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625AF" w14:textId="77777777" w:rsidR="00BF0063" w:rsidRDefault="00BF0063" w:rsidP="00171EC2">
      <w:pPr>
        <w:spacing w:line="360" w:lineRule="auto"/>
        <w:jc w:val="center"/>
        <w:rPr>
          <w:rFonts w:ascii="Arial" w:hAnsi="Arial" w:cs="Arial"/>
          <w:b/>
          <w:bCs/>
          <w:lang w:val="en-US"/>
        </w:rPr>
      </w:pPr>
      <w:r w:rsidRPr="00BF0063">
        <w:rPr>
          <w:rFonts w:ascii="Arial" w:hAnsi="Arial" w:cs="Arial"/>
          <w:b/>
          <w:bCs/>
          <w:lang w:val="en-US"/>
        </w:rPr>
        <w:t>Original Research Article</w:t>
      </w:r>
    </w:p>
    <w:p w14:paraId="2FCCA804" w14:textId="3F6C1BE0" w:rsidR="00B65C4C" w:rsidRPr="007E37EC" w:rsidRDefault="00B65C4C" w:rsidP="00171EC2">
      <w:pPr>
        <w:spacing w:line="360" w:lineRule="auto"/>
        <w:jc w:val="center"/>
        <w:rPr>
          <w:rFonts w:ascii="Arial" w:hAnsi="Arial" w:cs="Arial"/>
          <w:b/>
          <w:bCs/>
          <w:lang w:val="en-US"/>
        </w:rPr>
      </w:pPr>
      <w:r w:rsidRPr="007E37EC">
        <w:rPr>
          <w:rFonts w:ascii="Arial" w:hAnsi="Arial" w:cs="Arial"/>
          <w:b/>
          <w:bCs/>
          <w:lang w:val="en-US"/>
        </w:rPr>
        <w:t>Economic Analysis of Sweet Curd Production in Milk Dairy Value Chain: A Study in Terai district of West Bengal</w:t>
      </w:r>
    </w:p>
    <w:p w14:paraId="2BD17C98" w14:textId="2D56D68E" w:rsidR="0016103A" w:rsidRDefault="0016103A" w:rsidP="00171EC2">
      <w:pPr>
        <w:spacing w:line="360" w:lineRule="auto"/>
        <w:rPr>
          <w:rFonts w:ascii="Arial" w:hAnsi="Arial" w:cs="Arial"/>
        </w:rPr>
      </w:pPr>
    </w:p>
    <w:p w14:paraId="7771D96D" w14:textId="77777777" w:rsidR="00BD4F5D" w:rsidRPr="007E37EC" w:rsidRDefault="00BD4F5D" w:rsidP="00171EC2">
      <w:pPr>
        <w:spacing w:line="360" w:lineRule="auto"/>
        <w:rPr>
          <w:rFonts w:ascii="Arial" w:hAnsi="Arial" w:cs="Arial"/>
        </w:rPr>
      </w:pPr>
      <w:bookmarkStart w:id="0" w:name="_GoBack"/>
      <w:bookmarkEnd w:id="0"/>
    </w:p>
    <w:p w14:paraId="5C30231D" w14:textId="51BD54BE" w:rsidR="00B65C4C" w:rsidRPr="007E37EC" w:rsidRDefault="00B65C4C" w:rsidP="00171EC2">
      <w:pPr>
        <w:spacing w:line="360" w:lineRule="auto"/>
        <w:rPr>
          <w:rFonts w:ascii="Arial" w:hAnsi="Arial" w:cs="Arial"/>
          <w:b/>
          <w:bCs/>
        </w:rPr>
      </w:pPr>
      <w:r w:rsidRPr="007E37EC">
        <w:rPr>
          <w:rFonts w:ascii="Arial" w:hAnsi="Arial" w:cs="Arial"/>
          <w:b/>
          <w:bCs/>
        </w:rPr>
        <w:t>Abstract</w:t>
      </w:r>
    </w:p>
    <w:p w14:paraId="0F665B1F" w14:textId="08A03B32" w:rsidR="005D2F72" w:rsidRPr="007E37EC" w:rsidRDefault="005D2F72" w:rsidP="00171EC2">
      <w:pPr>
        <w:spacing w:line="360" w:lineRule="auto"/>
        <w:jc w:val="both"/>
        <w:rPr>
          <w:rFonts w:ascii="Arial" w:hAnsi="Arial" w:cs="Arial"/>
          <w:sz w:val="20"/>
          <w:szCs w:val="20"/>
        </w:rPr>
      </w:pPr>
      <w:r w:rsidRPr="007E37EC">
        <w:rPr>
          <w:rFonts w:ascii="Arial" w:hAnsi="Arial" w:cs="Arial"/>
          <w:sz w:val="20"/>
          <w:szCs w:val="20"/>
        </w:rPr>
        <w:t xml:space="preserve">This study </w:t>
      </w:r>
      <w:r w:rsidR="00F017EE" w:rsidRPr="007E37EC">
        <w:rPr>
          <w:rFonts w:ascii="Arial" w:hAnsi="Arial" w:cs="Arial"/>
          <w:sz w:val="20"/>
          <w:szCs w:val="20"/>
        </w:rPr>
        <w:t>examines</w:t>
      </w:r>
      <w:r w:rsidRPr="007E37EC">
        <w:rPr>
          <w:rFonts w:ascii="Arial" w:hAnsi="Arial" w:cs="Arial"/>
          <w:sz w:val="20"/>
          <w:szCs w:val="20"/>
        </w:rPr>
        <w:t xml:space="preserve"> the economic potential of sweet curd, or Mishti Doi, production across four blocks in the Terai </w:t>
      </w:r>
      <w:r w:rsidR="00EE6593" w:rsidRPr="007E37EC">
        <w:rPr>
          <w:rFonts w:ascii="Arial" w:hAnsi="Arial" w:cs="Arial"/>
          <w:sz w:val="20"/>
          <w:szCs w:val="20"/>
        </w:rPr>
        <w:t>District</w:t>
      </w:r>
      <w:r w:rsidRPr="007E37EC">
        <w:rPr>
          <w:rFonts w:ascii="Arial" w:hAnsi="Arial" w:cs="Arial"/>
          <w:sz w:val="20"/>
          <w:szCs w:val="20"/>
        </w:rPr>
        <w:t xml:space="preserve"> of West Bengal. It </w:t>
      </w:r>
      <w:r w:rsidR="004D61DD" w:rsidRPr="007E37EC">
        <w:rPr>
          <w:rFonts w:ascii="Arial" w:hAnsi="Arial" w:cs="Arial"/>
          <w:sz w:val="20"/>
          <w:szCs w:val="20"/>
        </w:rPr>
        <w:t>analyses</w:t>
      </w:r>
      <w:r w:rsidRPr="007E37EC">
        <w:rPr>
          <w:rFonts w:ascii="Arial" w:hAnsi="Arial" w:cs="Arial"/>
          <w:sz w:val="20"/>
          <w:szCs w:val="20"/>
        </w:rPr>
        <w:t xml:space="preserve"> data from 31 dairy processing units over the span of a year, from April 2024 to March 2025. The focus is on understanding cost structures, profitability, market concentration, and seasonal production trends within the dairy value chain. Researchers gathered primary data on various factors, including milk procurement, input costs, </w:t>
      </w:r>
      <w:r w:rsidR="00251DEB" w:rsidRPr="007E37EC">
        <w:rPr>
          <w:rFonts w:ascii="Arial" w:hAnsi="Arial" w:cs="Arial"/>
          <w:sz w:val="20"/>
          <w:szCs w:val="20"/>
        </w:rPr>
        <w:t>l</w:t>
      </w:r>
      <w:r w:rsidR="00F75CDA" w:rsidRPr="007E37EC">
        <w:rPr>
          <w:rFonts w:ascii="Arial" w:hAnsi="Arial" w:cs="Arial"/>
          <w:sz w:val="20"/>
          <w:szCs w:val="20"/>
        </w:rPr>
        <w:t>abo</w:t>
      </w:r>
      <w:r w:rsidR="00251DEB" w:rsidRPr="007E37EC">
        <w:rPr>
          <w:rFonts w:ascii="Arial" w:hAnsi="Arial" w:cs="Arial"/>
          <w:sz w:val="20"/>
          <w:szCs w:val="20"/>
        </w:rPr>
        <w:t>u</w:t>
      </w:r>
      <w:r w:rsidR="00F75CDA" w:rsidRPr="007E37EC">
        <w:rPr>
          <w:rFonts w:ascii="Arial" w:hAnsi="Arial" w:cs="Arial"/>
          <w:sz w:val="20"/>
          <w:szCs w:val="20"/>
        </w:rPr>
        <w:t>r</w:t>
      </w:r>
      <w:r w:rsidRPr="007E37EC">
        <w:rPr>
          <w:rFonts w:ascii="Arial" w:hAnsi="Arial" w:cs="Arial"/>
          <w:sz w:val="20"/>
          <w:szCs w:val="20"/>
        </w:rPr>
        <w:t xml:space="preserve">, equipment depreciation, and revenue generation. The results show that variable costs make up a staggering 98.6% of total production costs, with fluid milk accounting for 59–62% of that (around Rs 44–51/kg). Production costs differ quite a bit by region, ranging from Rs 71.84/kg in </w:t>
      </w:r>
      <w:proofErr w:type="spellStart"/>
      <w:r w:rsidRPr="007E37EC">
        <w:rPr>
          <w:rFonts w:ascii="Arial" w:hAnsi="Arial" w:cs="Arial"/>
          <w:sz w:val="20"/>
          <w:szCs w:val="20"/>
        </w:rPr>
        <w:t>Coochbehar</w:t>
      </w:r>
      <w:proofErr w:type="spellEnd"/>
      <w:r w:rsidRPr="007E37EC">
        <w:rPr>
          <w:rFonts w:ascii="Arial" w:hAnsi="Arial" w:cs="Arial"/>
          <w:sz w:val="20"/>
          <w:szCs w:val="20"/>
        </w:rPr>
        <w:t xml:space="preserve"> II to Rs 86.35/kg in </w:t>
      </w:r>
      <w:proofErr w:type="spellStart"/>
      <w:r w:rsidRPr="007E37EC">
        <w:rPr>
          <w:rFonts w:ascii="Arial" w:hAnsi="Arial" w:cs="Arial"/>
          <w:sz w:val="20"/>
          <w:szCs w:val="20"/>
        </w:rPr>
        <w:t>Alipurduar</w:t>
      </w:r>
      <w:proofErr w:type="spellEnd"/>
      <w:r w:rsidRPr="007E37EC">
        <w:rPr>
          <w:rFonts w:ascii="Arial" w:hAnsi="Arial" w:cs="Arial"/>
          <w:sz w:val="20"/>
          <w:szCs w:val="20"/>
        </w:rPr>
        <w:t xml:space="preserve"> I, largely due to variations in milk procurement prices (Rs 36.61–42.91/L). A benefit-cost ratio analysis indicates that sweet curd production is economically viable across the </w:t>
      </w:r>
      <w:r w:rsidR="00251DEB" w:rsidRPr="007E37EC">
        <w:rPr>
          <w:rFonts w:ascii="Arial" w:hAnsi="Arial" w:cs="Arial"/>
          <w:sz w:val="20"/>
          <w:szCs w:val="20"/>
        </w:rPr>
        <w:t>region</w:t>
      </w:r>
      <w:r w:rsidRPr="007E37EC">
        <w:rPr>
          <w:rFonts w:ascii="Arial" w:hAnsi="Arial" w:cs="Arial"/>
          <w:sz w:val="20"/>
          <w:szCs w:val="20"/>
        </w:rPr>
        <w:t xml:space="preserve">, with ratios between 1.44 and 1.72. Notably, </w:t>
      </w:r>
      <w:proofErr w:type="spellStart"/>
      <w:r w:rsidRPr="007E37EC">
        <w:rPr>
          <w:rFonts w:ascii="Arial" w:hAnsi="Arial" w:cs="Arial"/>
          <w:sz w:val="20"/>
          <w:szCs w:val="20"/>
        </w:rPr>
        <w:t>Coochbehar</w:t>
      </w:r>
      <w:proofErr w:type="spellEnd"/>
      <w:r w:rsidRPr="007E37EC">
        <w:rPr>
          <w:rFonts w:ascii="Arial" w:hAnsi="Arial" w:cs="Arial"/>
          <w:sz w:val="20"/>
          <w:szCs w:val="20"/>
        </w:rPr>
        <w:t xml:space="preserve"> II boasts the highest profit margin at 71.9%, translating to a net profit of Rs 51.68/kg. The low Gini coefficients (0.07–0.15) point to a fairly equitable distribution of market share among firms. Seasonal analysis reveals production fluctuations, with indices ranging from 86% during the monsoon months (July–September) to 112.57% in the festive season (September–December). Labo</w:t>
      </w:r>
      <w:r w:rsidR="00251DEB" w:rsidRPr="007E37EC">
        <w:rPr>
          <w:rFonts w:ascii="Arial" w:hAnsi="Arial" w:cs="Arial"/>
          <w:sz w:val="20"/>
          <w:szCs w:val="20"/>
        </w:rPr>
        <w:t>u</w:t>
      </w:r>
      <w:r w:rsidRPr="007E37EC">
        <w:rPr>
          <w:rFonts w:ascii="Arial" w:hAnsi="Arial" w:cs="Arial"/>
          <w:sz w:val="20"/>
          <w:szCs w:val="20"/>
        </w:rPr>
        <w:t xml:space="preserve">r analysis indicates a mix of family (1.36 workers, 7.25 hours daily) and hired </w:t>
      </w:r>
      <w:r w:rsidR="00251DEB" w:rsidRPr="007E37EC">
        <w:rPr>
          <w:rFonts w:ascii="Arial" w:hAnsi="Arial" w:cs="Arial"/>
          <w:sz w:val="20"/>
          <w:szCs w:val="20"/>
        </w:rPr>
        <w:t>l</w:t>
      </w:r>
      <w:r w:rsidR="00F75CDA" w:rsidRPr="007E37EC">
        <w:rPr>
          <w:rFonts w:ascii="Arial" w:hAnsi="Arial" w:cs="Arial"/>
          <w:sz w:val="20"/>
          <w:szCs w:val="20"/>
        </w:rPr>
        <w:t>abo</w:t>
      </w:r>
      <w:r w:rsidR="00251DEB" w:rsidRPr="007E37EC">
        <w:rPr>
          <w:rFonts w:ascii="Arial" w:hAnsi="Arial" w:cs="Arial"/>
          <w:sz w:val="20"/>
          <w:szCs w:val="20"/>
        </w:rPr>
        <w:t>u</w:t>
      </w:r>
      <w:r w:rsidR="00F75CDA" w:rsidRPr="007E37EC">
        <w:rPr>
          <w:rFonts w:ascii="Arial" w:hAnsi="Arial" w:cs="Arial"/>
          <w:sz w:val="20"/>
          <w:szCs w:val="20"/>
        </w:rPr>
        <w:t>r</w:t>
      </w:r>
      <w:r w:rsidRPr="007E37EC">
        <w:rPr>
          <w:rFonts w:ascii="Arial" w:hAnsi="Arial" w:cs="Arial"/>
          <w:sz w:val="20"/>
          <w:szCs w:val="20"/>
        </w:rPr>
        <w:t xml:space="preserve"> (1.9 workers, 13.95 hours), which together contribute 9.24% to production costs. Quality control measures are proving effective, with spoilage rates kept below 0.64%. In summary, sweet curd production offers a promising economic opportunity, showcasing average profit margins of 37.9% and benefit-cost ratios of 1.61. However, to boost profitability and sustainability within the dairy value chain, it’s crucial to enhance milk procurement strategies.</w:t>
      </w:r>
    </w:p>
    <w:p w14:paraId="073AC17F" w14:textId="3D831073" w:rsidR="005D2F72" w:rsidRPr="007E37EC" w:rsidRDefault="000D102C" w:rsidP="00171EC2">
      <w:pPr>
        <w:spacing w:line="360" w:lineRule="auto"/>
        <w:jc w:val="both"/>
        <w:rPr>
          <w:rFonts w:ascii="Arial" w:hAnsi="Arial" w:cs="Arial"/>
          <w:sz w:val="20"/>
          <w:szCs w:val="20"/>
        </w:rPr>
      </w:pPr>
      <w:r w:rsidRPr="007E37EC">
        <w:rPr>
          <w:rFonts w:ascii="Arial" w:hAnsi="Arial" w:cs="Arial"/>
          <w:sz w:val="20"/>
          <w:szCs w:val="20"/>
        </w:rPr>
        <w:t>Keywords:</w:t>
      </w:r>
      <w:r w:rsidR="005D2F72" w:rsidRPr="007E37EC">
        <w:rPr>
          <w:rFonts w:ascii="Arial" w:hAnsi="Arial" w:cs="Arial"/>
          <w:sz w:val="20"/>
          <w:szCs w:val="20"/>
        </w:rPr>
        <w:t xml:space="preserve"> </w:t>
      </w:r>
      <w:r w:rsidR="001F2A17" w:rsidRPr="007E37EC">
        <w:rPr>
          <w:rFonts w:ascii="Arial" w:hAnsi="Arial" w:cs="Arial"/>
          <w:sz w:val="20"/>
          <w:szCs w:val="20"/>
        </w:rPr>
        <w:t>Mishti Doi, S</w:t>
      </w:r>
      <w:r w:rsidR="00967C45" w:rsidRPr="007E37EC">
        <w:rPr>
          <w:rFonts w:ascii="Arial" w:hAnsi="Arial" w:cs="Arial"/>
          <w:sz w:val="20"/>
          <w:szCs w:val="20"/>
        </w:rPr>
        <w:t>weet yogurt</w:t>
      </w:r>
      <w:r w:rsidR="001F2A17" w:rsidRPr="007E37EC">
        <w:rPr>
          <w:rFonts w:ascii="Arial" w:hAnsi="Arial" w:cs="Arial"/>
          <w:sz w:val="20"/>
          <w:szCs w:val="20"/>
        </w:rPr>
        <w:t>,</w:t>
      </w:r>
      <w:r w:rsidR="00967C45" w:rsidRPr="007E37EC">
        <w:rPr>
          <w:rFonts w:ascii="Arial" w:hAnsi="Arial" w:cs="Arial"/>
          <w:sz w:val="20"/>
          <w:szCs w:val="20"/>
        </w:rPr>
        <w:t xml:space="preserve"> </w:t>
      </w:r>
      <w:r w:rsidR="001F2A17" w:rsidRPr="007E37EC">
        <w:rPr>
          <w:rFonts w:ascii="Arial" w:hAnsi="Arial" w:cs="Arial"/>
          <w:sz w:val="20"/>
          <w:szCs w:val="20"/>
        </w:rPr>
        <w:t>D</w:t>
      </w:r>
      <w:r w:rsidR="00967C45" w:rsidRPr="007E37EC">
        <w:rPr>
          <w:rFonts w:ascii="Arial" w:hAnsi="Arial" w:cs="Arial"/>
          <w:sz w:val="20"/>
          <w:szCs w:val="20"/>
        </w:rPr>
        <w:t xml:space="preserve">airy value </w:t>
      </w:r>
      <w:r w:rsidR="001F2A17" w:rsidRPr="007E37EC">
        <w:rPr>
          <w:rFonts w:ascii="Arial" w:hAnsi="Arial" w:cs="Arial"/>
          <w:sz w:val="20"/>
          <w:szCs w:val="20"/>
        </w:rPr>
        <w:t>chain,</w:t>
      </w:r>
      <w:r w:rsidR="006B5A21">
        <w:rPr>
          <w:rFonts w:ascii="Arial" w:hAnsi="Arial" w:cs="Arial"/>
          <w:sz w:val="20"/>
          <w:szCs w:val="20"/>
        </w:rPr>
        <w:t xml:space="preserve"> </w:t>
      </w:r>
      <w:r w:rsidR="000C51C1" w:rsidRPr="007E37EC">
        <w:rPr>
          <w:rFonts w:ascii="Arial" w:hAnsi="Arial" w:cs="Arial"/>
          <w:sz w:val="20"/>
          <w:szCs w:val="20"/>
        </w:rPr>
        <w:t xml:space="preserve">Benefit-cost </w:t>
      </w:r>
      <w:r w:rsidR="00F75CDA" w:rsidRPr="007E37EC">
        <w:rPr>
          <w:rFonts w:ascii="Arial" w:hAnsi="Arial" w:cs="Arial"/>
          <w:sz w:val="20"/>
          <w:szCs w:val="20"/>
        </w:rPr>
        <w:t xml:space="preserve">ratio, </w:t>
      </w:r>
      <w:r w:rsidR="001F2A17" w:rsidRPr="007E37EC">
        <w:rPr>
          <w:rFonts w:ascii="Arial" w:hAnsi="Arial" w:cs="Arial"/>
          <w:sz w:val="20"/>
          <w:szCs w:val="20"/>
        </w:rPr>
        <w:t>Spoilage</w:t>
      </w:r>
      <w:r w:rsidR="001F2A17" w:rsidRPr="007E37EC">
        <w:rPr>
          <w:rFonts w:ascii="Arial" w:hAnsi="Arial" w:cs="Arial"/>
          <w:b/>
          <w:sz w:val="20"/>
          <w:szCs w:val="20"/>
        </w:rPr>
        <w:t xml:space="preserve">, </w:t>
      </w:r>
      <w:r w:rsidR="001F2A17" w:rsidRPr="007E37EC">
        <w:rPr>
          <w:rFonts w:ascii="Arial" w:hAnsi="Arial" w:cs="Arial"/>
          <w:sz w:val="20"/>
          <w:szCs w:val="20"/>
        </w:rPr>
        <w:t>cost structure</w:t>
      </w:r>
      <w:r w:rsidR="00967C45" w:rsidRPr="007E37EC">
        <w:rPr>
          <w:rFonts w:ascii="Arial" w:hAnsi="Arial" w:cs="Arial"/>
          <w:sz w:val="20"/>
          <w:szCs w:val="20"/>
        </w:rPr>
        <w:t>, seasonal production trends</w:t>
      </w:r>
      <w:r w:rsidR="001F2A17" w:rsidRPr="007E37EC">
        <w:rPr>
          <w:rFonts w:ascii="Arial" w:hAnsi="Arial" w:cs="Arial"/>
          <w:sz w:val="20"/>
          <w:szCs w:val="20"/>
        </w:rPr>
        <w:t>, cost of production</w:t>
      </w:r>
      <w:r w:rsidR="00967C45" w:rsidRPr="007E37EC">
        <w:rPr>
          <w:rFonts w:ascii="Arial" w:hAnsi="Arial" w:cs="Arial"/>
          <w:sz w:val="20"/>
          <w:szCs w:val="20"/>
        </w:rPr>
        <w:t xml:space="preserve"> </w:t>
      </w:r>
    </w:p>
    <w:p w14:paraId="6A3754E9" w14:textId="77777777" w:rsidR="008601F7" w:rsidRPr="007E37EC" w:rsidRDefault="008601F7" w:rsidP="00171EC2">
      <w:pPr>
        <w:spacing w:line="360" w:lineRule="auto"/>
        <w:jc w:val="both"/>
        <w:rPr>
          <w:rFonts w:ascii="Arial" w:hAnsi="Arial" w:cs="Arial"/>
          <w:lang w:val="en-US"/>
        </w:rPr>
      </w:pPr>
      <w:r w:rsidRPr="007E37EC">
        <w:rPr>
          <w:rFonts w:ascii="Arial" w:hAnsi="Arial" w:cs="Arial"/>
          <w:b/>
          <w:bCs/>
          <w:lang w:val="en-US"/>
        </w:rPr>
        <w:t>1.Introduction</w:t>
      </w:r>
    </w:p>
    <w:p w14:paraId="67C170F1" w14:textId="58B3F4C5" w:rsidR="008601F7" w:rsidRPr="007E37EC" w:rsidRDefault="00346580" w:rsidP="00171EC2">
      <w:pPr>
        <w:spacing w:line="360" w:lineRule="auto"/>
        <w:jc w:val="both"/>
        <w:rPr>
          <w:rFonts w:ascii="Arial" w:hAnsi="Arial" w:cs="Arial"/>
          <w:sz w:val="20"/>
          <w:szCs w:val="20"/>
        </w:rPr>
      </w:pPr>
      <w:r w:rsidRPr="007E37EC">
        <w:rPr>
          <w:rFonts w:ascii="Arial" w:hAnsi="Arial" w:cs="Arial"/>
          <w:sz w:val="20"/>
          <w:szCs w:val="20"/>
        </w:rPr>
        <w:t>Mishti Doi, Bengal’s traditional sweet curd variant,</w:t>
      </w:r>
      <w:r w:rsidR="00251DEB" w:rsidRPr="007E37EC">
        <w:rPr>
          <w:rFonts w:ascii="Arial" w:hAnsi="Arial" w:cs="Arial"/>
          <w:sz w:val="20"/>
          <w:szCs w:val="20"/>
        </w:rPr>
        <w:t xml:space="preserve"> </w:t>
      </w:r>
      <w:r w:rsidRPr="007E37EC">
        <w:rPr>
          <w:rFonts w:ascii="Arial" w:hAnsi="Arial" w:cs="Arial"/>
          <w:sz w:val="20"/>
          <w:szCs w:val="20"/>
        </w:rPr>
        <w:t>represents a valuable dairy commodity within the regional processing sector</w:t>
      </w:r>
      <w:r w:rsidR="008601F7" w:rsidRPr="007E37EC">
        <w:rPr>
          <w:rFonts w:ascii="Arial" w:hAnsi="Arial" w:cs="Arial"/>
          <w:sz w:val="20"/>
          <w:szCs w:val="20"/>
        </w:rPr>
        <w:t xml:space="preserve"> (Chandan, 2017; </w:t>
      </w:r>
      <w:proofErr w:type="spellStart"/>
      <w:r w:rsidR="008601F7" w:rsidRPr="007E37EC">
        <w:rPr>
          <w:rFonts w:ascii="Arial" w:hAnsi="Arial" w:cs="Arial"/>
          <w:sz w:val="20"/>
          <w:szCs w:val="20"/>
        </w:rPr>
        <w:t>Savaiano</w:t>
      </w:r>
      <w:proofErr w:type="spellEnd"/>
      <w:r w:rsidR="008601F7" w:rsidRPr="007E37EC">
        <w:rPr>
          <w:rFonts w:ascii="Arial" w:hAnsi="Arial" w:cs="Arial"/>
          <w:sz w:val="20"/>
          <w:szCs w:val="20"/>
        </w:rPr>
        <w:t xml:space="preserve"> &amp; </w:t>
      </w:r>
      <w:proofErr w:type="spellStart"/>
      <w:r w:rsidR="008601F7" w:rsidRPr="007E37EC">
        <w:rPr>
          <w:rFonts w:ascii="Arial" w:hAnsi="Arial" w:cs="Arial"/>
          <w:sz w:val="20"/>
          <w:szCs w:val="20"/>
        </w:rPr>
        <w:t>Hutkins</w:t>
      </w:r>
      <w:proofErr w:type="spellEnd"/>
      <w:r w:rsidR="008601F7" w:rsidRPr="007E37EC">
        <w:rPr>
          <w:rFonts w:ascii="Arial" w:hAnsi="Arial" w:cs="Arial"/>
          <w:sz w:val="20"/>
          <w:szCs w:val="20"/>
        </w:rPr>
        <w:t>, 2021). Sweet curd (a traditional fermented sweet yogurt from Bengal), generally possesses a limited shelf life of 5–7 days when stored in refrigeration (4–5°C) owing to its high moisture and sugar content, as well as microbial activity (</w:t>
      </w:r>
      <w:proofErr w:type="spellStart"/>
      <w:r w:rsidR="008601F7" w:rsidRPr="007E37EC">
        <w:rPr>
          <w:rFonts w:ascii="Arial" w:hAnsi="Arial" w:cs="Arial"/>
          <w:sz w:val="20"/>
          <w:szCs w:val="20"/>
          <w:lang w:val="en-US"/>
        </w:rPr>
        <w:t>Rasane</w:t>
      </w:r>
      <w:proofErr w:type="spellEnd"/>
      <w:r w:rsidR="008601F7" w:rsidRPr="007E37EC">
        <w:rPr>
          <w:rFonts w:ascii="Arial" w:hAnsi="Arial" w:cs="Arial"/>
          <w:sz w:val="20"/>
          <w:szCs w:val="20"/>
          <w:lang w:val="en-US"/>
        </w:rPr>
        <w:t xml:space="preserve"> et al., 2017; Raju &amp; Pal, 2011).</w:t>
      </w:r>
      <w:r w:rsidR="008601F7" w:rsidRPr="007E37EC">
        <w:rPr>
          <w:rFonts w:ascii="Arial" w:hAnsi="Arial" w:cs="Arial"/>
          <w:sz w:val="20"/>
          <w:szCs w:val="20"/>
        </w:rPr>
        <w:t xml:space="preserve"> When kept at 10°C, its longevity decreases to approximately 3 days; inadequate storage conditions can result in texture hardening, whey separation, or spoilage (</w:t>
      </w:r>
      <w:proofErr w:type="spellStart"/>
      <w:r w:rsidR="008601F7" w:rsidRPr="007E37EC">
        <w:rPr>
          <w:rFonts w:ascii="Arial" w:hAnsi="Arial" w:cs="Arial"/>
          <w:sz w:val="20"/>
          <w:szCs w:val="20"/>
        </w:rPr>
        <w:t>Nuyadi</w:t>
      </w:r>
      <w:proofErr w:type="spellEnd"/>
      <w:r w:rsidR="008601F7" w:rsidRPr="007E37EC">
        <w:rPr>
          <w:rFonts w:ascii="Arial" w:hAnsi="Arial" w:cs="Arial"/>
          <w:sz w:val="20"/>
          <w:szCs w:val="20"/>
        </w:rPr>
        <w:t xml:space="preserve"> et al., 2019).</w:t>
      </w:r>
    </w:p>
    <w:p w14:paraId="0316C8E3" w14:textId="15741D9A" w:rsidR="008601F7" w:rsidRPr="007E37EC" w:rsidRDefault="008601F7" w:rsidP="00171EC2">
      <w:pPr>
        <w:spacing w:line="360" w:lineRule="auto"/>
        <w:jc w:val="both"/>
        <w:rPr>
          <w:rFonts w:ascii="Arial" w:hAnsi="Arial" w:cs="Arial"/>
          <w:sz w:val="20"/>
          <w:szCs w:val="20"/>
        </w:rPr>
      </w:pPr>
      <w:r w:rsidRPr="007E37EC">
        <w:rPr>
          <w:rFonts w:ascii="Arial" w:hAnsi="Arial" w:cs="Arial"/>
          <w:sz w:val="20"/>
          <w:szCs w:val="20"/>
        </w:rPr>
        <w:lastRenderedPageBreak/>
        <w:t>This research investigates economic aspects related to sweet curd production across four blocks in Terai region</w:t>
      </w:r>
      <w:r w:rsidR="00C15156" w:rsidRPr="007E37EC">
        <w:rPr>
          <w:rFonts w:ascii="Arial" w:hAnsi="Arial" w:cs="Arial"/>
          <w:sz w:val="20"/>
          <w:szCs w:val="20"/>
        </w:rPr>
        <w:t xml:space="preserve"> of West Bengal, </w:t>
      </w:r>
      <w:r w:rsidR="00844B2A" w:rsidRPr="007E37EC">
        <w:rPr>
          <w:rFonts w:ascii="Arial" w:hAnsi="Arial" w:cs="Arial"/>
          <w:sz w:val="20"/>
          <w:szCs w:val="20"/>
        </w:rPr>
        <w:t>India with</w:t>
      </w:r>
      <w:r w:rsidRPr="007E37EC">
        <w:rPr>
          <w:rFonts w:ascii="Arial" w:hAnsi="Arial" w:cs="Arial"/>
          <w:sz w:val="20"/>
          <w:szCs w:val="20"/>
        </w:rPr>
        <w:t xml:space="preserve"> an emphasis on the efficiency of transforming raw milk into the final product. The study is framed within the larger context of dairy value chain development in India (Vijayan, 2025; Rana, 2025), where value-added dairy products play a significant role in enhancing rural livelihoods and </w:t>
      </w:r>
      <w:r w:rsidR="00C15156" w:rsidRPr="007E37EC">
        <w:rPr>
          <w:rFonts w:ascii="Arial" w:hAnsi="Arial" w:cs="Arial"/>
          <w:sz w:val="20"/>
          <w:szCs w:val="20"/>
        </w:rPr>
        <w:t>farm</w:t>
      </w:r>
      <w:r w:rsidRPr="007E37EC">
        <w:rPr>
          <w:rFonts w:ascii="Arial" w:hAnsi="Arial" w:cs="Arial"/>
          <w:sz w:val="20"/>
          <w:szCs w:val="20"/>
        </w:rPr>
        <w:t xml:space="preserve"> income. Understanding the cost structure and profitability metrics is essential for improving production processes and ensuring economic sustainability, especially in light of the seasonal fluctuations in milk availability and quality (Mishra et al., 2025; Parmar et al., 2020). The research examines input costs, production factors, </w:t>
      </w:r>
      <w:r w:rsidR="00C15156" w:rsidRPr="007E37EC">
        <w:rPr>
          <w:rFonts w:ascii="Arial" w:hAnsi="Arial" w:cs="Arial"/>
          <w:sz w:val="20"/>
          <w:szCs w:val="20"/>
        </w:rPr>
        <w:t>l</w:t>
      </w:r>
      <w:r w:rsidR="00F75CDA" w:rsidRPr="007E37EC">
        <w:rPr>
          <w:rFonts w:ascii="Arial" w:hAnsi="Arial" w:cs="Arial"/>
          <w:sz w:val="20"/>
          <w:szCs w:val="20"/>
        </w:rPr>
        <w:t>abo</w:t>
      </w:r>
      <w:r w:rsidR="00C15156" w:rsidRPr="007E37EC">
        <w:rPr>
          <w:rFonts w:ascii="Arial" w:hAnsi="Arial" w:cs="Arial"/>
          <w:sz w:val="20"/>
          <w:szCs w:val="20"/>
        </w:rPr>
        <w:t>u</w:t>
      </w:r>
      <w:r w:rsidR="00F75CDA" w:rsidRPr="007E37EC">
        <w:rPr>
          <w:rFonts w:ascii="Arial" w:hAnsi="Arial" w:cs="Arial"/>
          <w:sz w:val="20"/>
          <w:szCs w:val="20"/>
        </w:rPr>
        <w:t>r</w:t>
      </w:r>
      <w:r w:rsidRPr="007E37EC">
        <w:rPr>
          <w:rFonts w:ascii="Arial" w:hAnsi="Arial" w:cs="Arial"/>
          <w:sz w:val="20"/>
          <w:szCs w:val="20"/>
        </w:rPr>
        <w:t xml:space="preserve"> requirements, equipment depreciation, and revenue generated from output across different production scales, utilizing benefit-cost ratio analysis techniques (Schwab &amp; Lusztig, 1969; Cotter, 2021).</w:t>
      </w:r>
    </w:p>
    <w:p w14:paraId="1C255F32" w14:textId="77777777" w:rsidR="008601F7" w:rsidRPr="007E37EC" w:rsidRDefault="008601F7" w:rsidP="00171EC2">
      <w:pPr>
        <w:spacing w:line="360" w:lineRule="auto"/>
        <w:jc w:val="both"/>
        <w:rPr>
          <w:rFonts w:ascii="Arial" w:hAnsi="Arial" w:cs="Arial"/>
          <w:b/>
          <w:bCs/>
        </w:rPr>
      </w:pPr>
      <w:r w:rsidRPr="007E37EC">
        <w:rPr>
          <w:rFonts w:ascii="Arial" w:hAnsi="Arial" w:cs="Arial"/>
          <w:b/>
          <w:bCs/>
        </w:rPr>
        <w:t>2.Methodology</w:t>
      </w:r>
    </w:p>
    <w:p w14:paraId="60C1B384" w14:textId="77777777" w:rsidR="008601F7" w:rsidRPr="007E37EC" w:rsidRDefault="008601F7" w:rsidP="00171EC2">
      <w:pPr>
        <w:spacing w:line="360" w:lineRule="auto"/>
        <w:jc w:val="both"/>
        <w:rPr>
          <w:rFonts w:ascii="Arial" w:hAnsi="Arial" w:cs="Arial"/>
          <w:b/>
          <w:bCs/>
        </w:rPr>
      </w:pPr>
      <w:r w:rsidRPr="007E37EC">
        <w:rPr>
          <w:rFonts w:ascii="Arial" w:hAnsi="Arial" w:cs="Arial"/>
          <w:b/>
          <w:bCs/>
        </w:rPr>
        <w:t>2.1 Sample Collection</w:t>
      </w:r>
    </w:p>
    <w:p w14:paraId="0210C232" w14:textId="7A38ADCF" w:rsidR="008601F7" w:rsidRPr="007E37EC" w:rsidRDefault="005A2E0D" w:rsidP="00171EC2">
      <w:pPr>
        <w:spacing w:line="360" w:lineRule="auto"/>
        <w:jc w:val="both"/>
        <w:rPr>
          <w:rFonts w:ascii="Arial" w:hAnsi="Arial" w:cs="Arial"/>
          <w:sz w:val="20"/>
          <w:szCs w:val="20"/>
        </w:rPr>
      </w:pPr>
      <w:r w:rsidRPr="007E37EC">
        <w:rPr>
          <w:rFonts w:ascii="Arial" w:hAnsi="Arial" w:cs="Arial"/>
          <w:sz w:val="20"/>
          <w:szCs w:val="20"/>
        </w:rPr>
        <w:t>Purposive sampling methodology was employed to select dairy processing facilities operating within Terai district boundaries.</w:t>
      </w:r>
      <w:r w:rsidR="008601F7" w:rsidRPr="007E37EC">
        <w:rPr>
          <w:rFonts w:ascii="Arial" w:hAnsi="Arial" w:cs="Arial"/>
          <w:sz w:val="20"/>
          <w:szCs w:val="20"/>
        </w:rPr>
        <w:t xml:space="preserve"> The research was carried out across four blocks in terai region, each with different sample sizes: </w:t>
      </w:r>
      <w:proofErr w:type="spellStart"/>
      <w:r w:rsidR="008601F7" w:rsidRPr="007E37EC">
        <w:rPr>
          <w:rFonts w:ascii="Arial" w:hAnsi="Arial" w:cs="Arial"/>
          <w:sz w:val="20"/>
          <w:szCs w:val="20"/>
        </w:rPr>
        <w:t>Coochbehar</w:t>
      </w:r>
      <w:proofErr w:type="spellEnd"/>
      <w:r w:rsidR="008601F7" w:rsidRPr="007E37EC">
        <w:rPr>
          <w:rFonts w:ascii="Arial" w:hAnsi="Arial" w:cs="Arial"/>
          <w:sz w:val="20"/>
          <w:szCs w:val="20"/>
        </w:rPr>
        <w:t xml:space="preserve"> II (n=11 units), </w:t>
      </w:r>
      <w:proofErr w:type="spellStart"/>
      <w:r w:rsidR="008601F7" w:rsidRPr="007E37EC">
        <w:rPr>
          <w:rFonts w:ascii="Arial" w:hAnsi="Arial" w:cs="Arial"/>
          <w:sz w:val="20"/>
          <w:szCs w:val="20"/>
        </w:rPr>
        <w:t>Tufanganj</w:t>
      </w:r>
      <w:proofErr w:type="spellEnd"/>
      <w:r w:rsidR="008601F7" w:rsidRPr="007E37EC">
        <w:rPr>
          <w:rFonts w:ascii="Arial" w:hAnsi="Arial" w:cs="Arial"/>
          <w:sz w:val="20"/>
          <w:szCs w:val="20"/>
        </w:rPr>
        <w:t xml:space="preserve"> I (n=10 units), </w:t>
      </w:r>
      <w:proofErr w:type="spellStart"/>
      <w:r w:rsidR="008601F7" w:rsidRPr="007E37EC">
        <w:rPr>
          <w:rFonts w:ascii="Arial" w:hAnsi="Arial" w:cs="Arial"/>
          <w:sz w:val="20"/>
          <w:szCs w:val="20"/>
        </w:rPr>
        <w:t>Alipurduar</w:t>
      </w:r>
      <w:proofErr w:type="spellEnd"/>
      <w:r w:rsidR="008601F7" w:rsidRPr="007E37EC">
        <w:rPr>
          <w:rFonts w:ascii="Arial" w:hAnsi="Arial" w:cs="Arial"/>
          <w:sz w:val="20"/>
          <w:szCs w:val="20"/>
        </w:rPr>
        <w:t xml:space="preserve"> I (n=4 units), and </w:t>
      </w:r>
      <w:proofErr w:type="spellStart"/>
      <w:r w:rsidR="008601F7" w:rsidRPr="007E37EC">
        <w:rPr>
          <w:rFonts w:ascii="Arial" w:hAnsi="Arial" w:cs="Arial"/>
          <w:sz w:val="20"/>
          <w:szCs w:val="20"/>
        </w:rPr>
        <w:t>Alipurduar</w:t>
      </w:r>
      <w:proofErr w:type="spellEnd"/>
      <w:r w:rsidR="008601F7" w:rsidRPr="007E37EC">
        <w:rPr>
          <w:rFonts w:ascii="Arial" w:hAnsi="Arial" w:cs="Arial"/>
          <w:sz w:val="20"/>
          <w:szCs w:val="20"/>
        </w:rPr>
        <w:t xml:space="preserve"> II (n=6 units). This targeted sampling strategy facilitated a thorough representation of various production scales and operational frameworks within the area. Data collection occurred from April 2024 to March 2025, effectively capturing seasonal fluctuations and production trends that align with the methodologies utilized in dairy sector research (Anika et al., 2024; Katoch et al., 2024).</w:t>
      </w:r>
    </w:p>
    <w:p w14:paraId="57F6B993" w14:textId="77777777" w:rsidR="008601F7" w:rsidRPr="007E37EC" w:rsidRDefault="008601F7" w:rsidP="00171EC2">
      <w:pPr>
        <w:spacing w:line="360" w:lineRule="auto"/>
        <w:jc w:val="both"/>
        <w:rPr>
          <w:rFonts w:ascii="Arial" w:hAnsi="Arial" w:cs="Arial"/>
          <w:b/>
          <w:bCs/>
        </w:rPr>
      </w:pPr>
      <w:r w:rsidRPr="007E37EC">
        <w:rPr>
          <w:rFonts w:ascii="Arial" w:hAnsi="Arial" w:cs="Arial"/>
          <w:b/>
          <w:bCs/>
        </w:rPr>
        <w:t>2.2 Data Collection</w:t>
      </w:r>
    </w:p>
    <w:p w14:paraId="2F3A2C33" w14:textId="763C1D7D" w:rsidR="008601F7" w:rsidRPr="007E37EC" w:rsidRDefault="008601F7" w:rsidP="00171EC2">
      <w:pPr>
        <w:spacing w:line="360" w:lineRule="auto"/>
        <w:jc w:val="both"/>
        <w:rPr>
          <w:rFonts w:ascii="Arial" w:hAnsi="Arial" w:cs="Arial"/>
          <w:sz w:val="20"/>
          <w:szCs w:val="20"/>
        </w:rPr>
      </w:pPr>
      <w:r w:rsidRPr="007E37EC">
        <w:rPr>
          <w:rFonts w:ascii="Arial" w:hAnsi="Arial" w:cs="Arial"/>
          <w:sz w:val="20"/>
          <w:szCs w:val="20"/>
        </w:rPr>
        <w:t xml:space="preserve">Primary data were gathered regarding daily milk handling volumes, costs of raw materials, </w:t>
      </w:r>
      <w:r w:rsidR="00C15156" w:rsidRPr="007E37EC">
        <w:rPr>
          <w:rFonts w:ascii="Arial" w:hAnsi="Arial" w:cs="Arial"/>
          <w:sz w:val="20"/>
          <w:szCs w:val="20"/>
        </w:rPr>
        <w:t>l</w:t>
      </w:r>
      <w:r w:rsidR="00F75CDA" w:rsidRPr="007E37EC">
        <w:rPr>
          <w:rFonts w:ascii="Arial" w:hAnsi="Arial" w:cs="Arial"/>
          <w:sz w:val="20"/>
          <w:szCs w:val="20"/>
        </w:rPr>
        <w:t>abo</w:t>
      </w:r>
      <w:r w:rsidR="00C15156" w:rsidRPr="007E37EC">
        <w:rPr>
          <w:rFonts w:ascii="Arial" w:hAnsi="Arial" w:cs="Arial"/>
          <w:sz w:val="20"/>
          <w:szCs w:val="20"/>
        </w:rPr>
        <w:t>u</w:t>
      </w:r>
      <w:r w:rsidR="00F75CDA" w:rsidRPr="007E37EC">
        <w:rPr>
          <w:rFonts w:ascii="Arial" w:hAnsi="Arial" w:cs="Arial"/>
          <w:sz w:val="20"/>
          <w:szCs w:val="20"/>
        </w:rPr>
        <w:t>r</w:t>
      </w:r>
      <w:r w:rsidRPr="007E37EC">
        <w:rPr>
          <w:rFonts w:ascii="Arial" w:hAnsi="Arial" w:cs="Arial"/>
          <w:sz w:val="20"/>
          <w:szCs w:val="20"/>
        </w:rPr>
        <w:t xml:space="preserve"> needs, equipment utilization, and production output in accordance with established protocols in dairy economics research (Alli et al., 2020). The cost components encompassed milk procurement, sugar, fuel, containers, equipment depreciation, and </w:t>
      </w:r>
      <w:r w:rsidR="00C15156" w:rsidRPr="007E37EC">
        <w:rPr>
          <w:rFonts w:ascii="Arial" w:hAnsi="Arial" w:cs="Arial"/>
          <w:sz w:val="20"/>
          <w:szCs w:val="20"/>
        </w:rPr>
        <w:t>l</w:t>
      </w:r>
      <w:r w:rsidR="00F75CDA" w:rsidRPr="007E37EC">
        <w:rPr>
          <w:rFonts w:ascii="Arial" w:hAnsi="Arial" w:cs="Arial"/>
          <w:sz w:val="20"/>
          <w:szCs w:val="20"/>
        </w:rPr>
        <w:t>abo</w:t>
      </w:r>
      <w:r w:rsidR="00C15156" w:rsidRPr="007E37EC">
        <w:rPr>
          <w:rFonts w:ascii="Arial" w:hAnsi="Arial" w:cs="Arial"/>
          <w:sz w:val="20"/>
          <w:szCs w:val="20"/>
        </w:rPr>
        <w:t>u</w:t>
      </w:r>
      <w:r w:rsidR="00F75CDA" w:rsidRPr="007E37EC">
        <w:rPr>
          <w:rFonts w:ascii="Arial" w:hAnsi="Arial" w:cs="Arial"/>
          <w:sz w:val="20"/>
          <w:szCs w:val="20"/>
        </w:rPr>
        <w:t>r</w:t>
      </w:r>
      <w:r w:rsidRPr="007E37EC">
        <w:rPr>
          <w:rFonts w:ascii="Arial" w:hAnsi="Arial" w:cs="Arial"/>
          <w:sz w:val="20"/>
          <w:szCs w:val="20"/>
        </w:rPr>
        <w:t xml:space="preserve"> (including both imputed family </w:t>
      </w:r>
      <w:r w:rsidR="00C15156" w:rsidRPr="007E37EC">
        <w:rPr>
          <w:rFonts w:ascii="Arial" w:hAnsi="Arial" w:cs="Arial"/>
          <w:sz w:val="20"/>
          <w:szCs w:val="20"/>
        </w:rPr>
        <w:t>l</w:t>
      </w:r>
      <w:r w:rsidR="00F75CDA" w:rsidRPr="007E37EC">
        <w:rPr>
          <w:rFonts w:ascii="Arial" w:hAnsi="Arial" w:cs="Arial"/>
          <w:sz w:val="20"/>
          <w:szCs w:val="20"/>
        </w:rPr>
        <w:t>abo</w:t>
      </w:r>
      <w:r w:rsidR="00C15156" w:rsidRPr="007E37EC">
        <w:rPr>
          <w:rFonts w:ascii="Arial" w:hAnsi="Arial" w:cs="Arial"/>
          <w:sz w:val="20"/>
          <w:szCs w:val="20"/>
        </w:rPr>
        <w:t>u</w:t>
      </w:r>
      <w:r w:rsidR="00F75CDA" w:rsidRPr="007E37EC">
        <w:rPr>
          <w:rFonts w:ascii="Arial" w:hAnsi="Arial" w:cs="Arial"/>
          <w:sz w:val="20"/>
          <w:szCs w:val="20"/>
        </w:rPr>
        <w:t>r</w:t>
      </w:r>
      <w:r w:rsidRPr="007E37EC">
        <w:rPr>
          <w:rFonts w:ascii="Arial" w:hAnsi="Arial" w:cs="Arial"/>
          <w:sz w:val="20"/>
          <w:szCs w:val="20"/>
        </w:rPr>
        <w:t xml:space="preserve"> and hired </w:t>
      </w:r>
      <w:r w:rsidR="00C15156" w:rsidRPr="007E37EC">
        <w:rPr>
          <w:rFonts w:ascii="Arial" w:hAnsi="Arial" w:cs="Arial"/>
          <w:sz w:val="20"/>
          <w:szCs w:val="20"/>
        </w:rPr>
        <w:t>l</w:t>
      </w:r>
      <w:r w:rsidR="00F75CDA" w:rsidRPr="007E37EC">
        <w:rPr>
          <w:rFonts w:ascii="Arial" w:hAnsi="Arial" w:cs="Arial"/>
          <w:sz w:val="20"/>
          <w:szCs w:val="20"/>
        </w:rPr>
        <w:t>abo</w:t>
      </w:r>
      <w:r w:rsidR="00C15156" w:rsidRPr="007E37EC">
        <w:rPr>
          <w:rFonts w:ascii="Arial" w:hAnsi="Arial" w:cs="Arial"/>
          <w:sz w:val="20"/>
          <w:szCs w:val="20"/>
        </w:rPr>
        <w:t>u</w:t>
      </w:r>
      <w:r w:rsidR="00F75CDA" w:rsidRPr="007E37EC">
        <w:rPr>
          <w:rFonts w:ascii="Arial" w:hAnsi="Arial" w:cs="Arial"/>
          <w:sz w:val="20"/>
          <w:szCs w:val="20"/>
        </w:rPr>
        <w:t>r</w:t>
      </w:r>
      <w:r w:rsidRPr="007E37EC">
        <w:rPr>
          <w:rFonts w:ascii="Arial" w:hAnsi="Arial" w:cs="Arial"/>
          <w:sz w:val="20"/>
          <w:szCs w:val="20"/>
        </w:rPr>
        <w:t>). Revenue information was collected based on daily disposal volumes and current market prices.</w:t>
      </w:r>
    </w:p>
    <w:p w14:paraId="65BE6B4E" w14:textId="77777777" w:rsidR="008601F7" w:rsidRPr="007E37EC" w:rsidRDefault="008601F7" w:rsidP="00171EC2">
      <w:pPr>
        <w:spacing w:line="360" w:lineRule="auto"/>
        <w:jc w:val="both"/>
        <w:rPr>
          <w:rFonts w:ascii="Arial" w:hAnsi="Arial" w:cs="Arial"/>
          <w:sz w:val="20"/>
          <w:szCs w:val="20"/>
        </w:rPr>
      </w:pPr>
      <w:r w:rsidRPr="007E37EC">
        <w:rPr>
          <w:rFonts w:ascii="Arial" w:hAnsi="Arial" w:cs="Arial"/>
          <w:sz w:val="20"/>
          <w:szCs w:val="20"/>
        </w:rPr>
        <w:t xml:space="preserve">Seasonality Index (SI) = (quarter average / annual average) × 100; </w:t>
      </w:r>
    </w:p>
    <w:p w14:paraId="552773D0" w14:textId="77777777" w:rsidR="008601F7" w:rsidRPr="007E37EC" w:rsidRDefault="008601F7" w:rsidP="00171EC2">
      <w:pPr>
        <w:spacing w:line="360" w:lineRule="auto"/>
        <w:jc w:val="both"/>
        <w:rPr>
          <w:rFonts w:ascii="Arial" w:hAnsi="Arial" w:cs="Arial"/>
          <w:sz w:val="20"/>
          <w:szCs w:val="20"/>
        </w:rPr>
      </w:pPr>
      <w:r w:rsidRPr="007E37EC">
        <w:rPr>
          <w:rFonts w:ascii="Arial" w:hAnsi="Arial" w:cs="Arial"/>
          <w:sz w:val="20"/>
          <w:szCs w:val="20"/>
        </w:rPr>
        <w:t xml:space="preserve">Market concentration was evaluated through the use of Concentration Ratio (CR4), </w:t>
      </w:r>
    </w:p>
    <w:p w14:paraId="6592E2A7" w14:textId="4BAA584F" w:rsidR="008601F7" w:rsidRPr="007E37EC" w:rsidRDefault="00D55B78" w:rsidP="00171EC2">
      <w:pPr>
        <w:spacing w:line="360" w:lineRule="auto"/>
        <w:jc w:val="both"/>
        <w:rPr>
          <w:rFonts w:ascii="Arial" w:hAnsi="Arial" w:cs="Arial"/>
          <w:sz w:val="20"/>
          <w:szCs w:val="20"/>
        </w:rPr>
      </w:pPr>
      <w:r>
        <w:rPr>
          <w:rFonts w:ascii="Arial" w:hAnsi="Arial" w:cs="Arial"/>
          <w:sz w:val="20"/>
          <w:szCs w:val="20"/>
        </w:rPr>
        <w:t>T</w:t>
      </w:r>
      <w:r w:rsidR="008601F7" w:rsidRPr="007E37EC">
        <w:rPr>
          <w:rFonts w:ascii="Arial" w:hAnsi="Arial" w:cs="Arial"/>
          <w:sz w:val="20"/>
          <w:szCs w:val="20"/>
        </w:rPr>
        <w:t>he Herfindahl-Hirschman Index (HHI)</w:t>
      </w:r>
      <w:r w:rsidR="00FA2247" w:rsidRPr="007E37EC">
        <w:rPr>
          <w:rFonts w:ascii="Arial" w:hAnsi="Arial" w:cs="Arial"/>
          <w:sz w:val="20"/>
          <w:szCs w:val="20"/>
        </w:rPr>
        <w:t xml:space="preserve"> =</w:t>
      </w:r>
      <m:oMath>
        <m:nary>
          <m:naryPr>
            <m:chr m:val="∑"/>
            <m:limLoc m:val="undOvr"/>
            <m:grow m:val="1"/>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i</m:t>
                        </m:r>
                      </m:sub>
                    </m:sSub>
                  </m:e>
                </m:d>
              </m:e>
              <m:sup>
                <m:r>
                  <w:rPr>
                    <w:rFonts w:ascii="Cambria Math" w:hAnsi="Cambria Math" w:cs="Arial"/>
                    <w:sz w:val="20"/>
                    <w:szCs w:val="20"/>
                  </w:rPr>
                  <m:t>2</m:t>
                </m:r>
              </m:sup>
            </m:sSup>
          </m:e>
        </m:nary>
      </m:oMath>
      <w:r w:rsidR="008601F7" w:rsidRPr="007E37EC">
        <w:rPr>
          <w:rFonts w:ascii="Arial" w:hAnsi="Arial" w:cs="Arial"/>
          <w:sz w:val="20"/>
          <w:szCs w:val="20"/>
        </w:rPr>
        <w:t>Where Si represents individual market shares</w:t>
      </w:r>
    </w:p>
    <w:p w14:paraId="4F0E16AE" w14:textId="610AA7A3" w:rsidR="008601F7" w:rsidRPr="007E37EC" w:rsidRDefault="008601F7" w:rsidP="00171EC2">
      <w:pPr>
        <w:spacing w:line="360" w:lineRule="auto"/>
        <w:jc w:val="both"/>
        <w:rPr>
          <w:rFonts w:ascii="Arial" w:hAnsi="Arial" w:cs="Arial"/>
        </w:rPr>
      </w:pPr>
      <w:r w:rsidRPr="007E37EC">
        <w:rPr>
          <w:rFonts w:ascii="Arial" w:hAnsi="Arial" w:cs="Arial"/>
          <w:sz w:val="20"/>
          <w:szCs w:val="20"/>
        </w:rPr>
        <w:t>The Gini coefficient</w:t>
      </w:r>
      <w:r w:rsidR="001519F9" w:rsidRPr="007E37EC">
        <w:rPr>
          <w:rFonts w:ascii="Arial" w:hAnsi="Arial" w:cs="Arial"/>
          <w:sz w:val="20"/>
          <w:szCs w:val="20"/>
        </w:rPr>
        <w:t xml:space="preserve"> was used</w:t>
      </w:r>
      <w:r w:rsidRPr="007E37EC">
        <w:rPr>
          <w:rFonts w:ascii="Arial" w:hAnsi="Arial" w:cs="Arial"/>
          <w:sz w:val="20"/>
          <w:szCs w:val="20"/>
        </w:rPr>
        <w:t xml:space="preserve"> to gain insight into competitive dynamics </w:t>
      </w:r>
    </w:p>
    <w:p w14:paraId="56DD5F68" w14:textId="0EB085FF" w:rsidR="00DF500E" w:rsidRPr="007E37EC" w:rsidRDefault="00DF500E" w:rsidP="00171EC2">
      <w:pPr>
        <w:spacing w:line="360" w:lineRule="auto"/>
        <w:jc w:val="both"/>
        <w:rPr>
          <w:rFonts w:ascii="Arial" w:hAnsi="Arial" w:cs="Arial"/>
          <w:b/>
          <w:bCs/>
        </w:rPr>
      </w:pPr>
      <w:r w:rsidRPr="007E37EC">
        <w:rPr>
          <w:rFonts w:ascii="Arial" w:hAnsi="Arial" w:cs="Arial"/>
          <w:b/>
          <w:bCs/>
        </w:rPr>
        <w:t xml:space="preserve">3.Result and </w:t>
      </w:r>
      <w:r w:rsidR="004A7B47">
        <w:rPr>
          <w:rFonts w:ascii="Arial" w:hAnsi="Arial" w:cs="Arial"/>
          <w:b/>
          <w:bCs/>
        </w:rPr>
        <w:t>Discussion</w:t>
      </w:r>
    </w:p>
    <w:p w14:paraId="05A1F1F3" w14:textId="77777777" w:rsidR="00DF500E" w:rsidRPr="007E37EC" w:rsidRDefault="00DF500E" w:rsidP="00171EC2">
      <w:pPr>
        <w:spacing w:line="360" w:lineRule="auto"/>
        <w:jc w:val="both"/>
        <w:rPr>
          <w:rFonts w:ascii="Arial" w:hAnsi="Arial" w:cs="Arial"/>
          <w:b/>
          <w:bCs/>
        </w:rPr>
      </w:pPr>
      <w:r w:rsidRPr="007E37EC">
        <w:rPr>
          <w:rFonts w:ascii="Arial" w:hAnsi="Arial" w:cs="Arial"/>
          <w:b/>
          <w:bCs/>
        </w:rPr>
        <w:t>3.1 Sample Characteristics and production scale</w:t>
      </w:r>
    </w:p>
    <w:p w14:paraId="30CBB099" w14:textId="77777777" w:rsidR="00DF500E" w:rsidRPr="003800DB" w:rsidRDefault="00DF500E" w:rsidP="00171EC2">
      <w:pPr>
        <w:spacing w:line="360" w:lineRule="auto"/>
        <w:jc w:val="both"/>
        <w:rPr>
          <w:rFonts w:ascii="Arial" w:hAnsi="Arial" w:cs="Arial"/>
          <w:b/>
          <w:bCs/>
          <w:color w:val="000000" w:themeColor="text1"/>
          <w:sz w:val="20"/>
          <w:szCs w:val="20"/>
        </w:rPr>
      </w:pPr>
      <w:r w:rsidRPr="003800DB">
        <w:rPr>
          <w:rFonts w:ascii="Arial" w:hAnsi="Arial" w:cs="Arial"/>
          <w:b/>
          <w:bCs/>
          <w:color w:val="000000" w:themeColor="text1"/>
          <w:sz w:val="20"/>
          <w:szCs w:val="20"/>
        </w:rPr>
        <w:t xml:space="preserve">Table 1: </w:t>
      </w:r>
      <w:r w:rsidRPr="003800DB">
        <w:rPr>
          <w:rFonts w:ascii="Arial" w:hAnsi="Arial" w:cs="Arial"/>
          <w:color w:val="000000" w:themeColor="text1"/>
          <w:sz w:val="20"/>
          <w:szCs w:val="20"/>
        </w:rPr>
        <w:t>About the processing units and their daily average business scale per firm per day</w:t>
      </w:r>
    </w:p>
    <w:tbl>
      <w:tblPr>
        <w:tblStyle w:val="TableGrid"/>
        <w:tblpPr w:leftFromText="180" w:rightFromText="180" w:vertAnchor="text" w:horzAnchor="margin" w:tblpY="272"/>
        <w:tblW w:w="10089" w:type="dxa"/>
        <w:tblLayout w:type="fixed"/>
        <w:tblLook w:val="01E0" w:firstRow="1" w:lastRow="1" w:firstColumn="1" w:lastColumn="1" w:noHBand="0" w:noVBand="0"/>
      </w:tblPr>
      <w:tblGrid>
        <w:gridCol w:w="1915"/>
        <w:gridCol w:w="1472"/>
        <w:gridCol w:w="1262"/>
        <w:gridCol w:w="1360"/>
        <w:gridCol w:w="1360"/>
        <w:gridCol w:w="1360"/>
        <w:gridCol w:w="1360"/>
      </w:tblGrid>
      <w:tr w:rsidR="00DF500E" w:rsidRPr="007E37EC" w14:paraId="018408E0" w14:textId="77777777" w:rsidTr="001E7672">
        <w:trPr>
          <w:trHeight w:val="899"/>
        </w:trPr>
        <w:tc>
          <w:tcPr>
            <w:tcW w:w="1915" w:type="dxa"/>
          </w:tcPr>
          <w:p w14:paraId="13DB1425" w14:textId="77777777" w:rsidR="00DF500E" w:rsidRPr="007E37EC" w:rsidRDefault="00DF500E" w:rsidP="00171EC2">
            <w:pPr>
              <w:spacing w:after="160" w:line="360" w:lineRule="auto"/>
              <w:jc w:val="both"/>
              <w:rPr>
                <w:rFonts w:ascii="Arial" w:hAnsi="Arial" w:cs="Arial"/>
                <w:b/>
                <w:bCs/>
                <w:sz w:val="20"/>
                <w:szCs w:val="20"/>
                <w:lang w:val="en-US"/>
              </w:rPr>
            </w:pPr>
          </w:p>
          <w:p w14:paraId="56A09CFE" w14:textId="77777777" w:rsidR="00DF500E" w:rsidRPr="007E37EC" w:rsidRDefault="00DF500E" w:rsidP="00171EC2">
            <w:pPr>
              <w:spacing w:after="160" w:line="360" w:lineRule="auto"/>
              <w:jc w:val="both"/>
              <w:rPr>
                <w:rFonts w:ascii="Arial" w:hAnsi="Arial" w:cs="Arial"/>
                <w:b/>
                <w:bCs/>
                <w:sz w:val="20"/>
                <w:szCs w:val="20"/>
                <w:lang w:val="en-US"/>
              </w:rPr>
            </w:pPr>
            <w:r w:rsidRPr="007E37EC">
              <w:rPr>
                <w:rFonts w:ascii="Arial" w:hAnsi="Arial" w:cs="Arial"/>
                <w:b/>
                <w:bCs/>
                <w:sz w:val="20"/>
                <w:szCs w:val="20"/>
                <w:lang w:val="en-US"/>
              </w:rPr>
              <w:t>Study Area</w:t>
            </w:r>
          </w:p>
        </w:tc>
        <w:tc>
          <w:tcPr>
            <w:tcW w:w="1472" w:type="dxa"/>
          </w:tcPr>
          <w:p w14:paraId="6AB39609" w14:textId="77777777" w:rsidR="00DF500E" w:rsidRPr="007E37EC" w:rsidRDefault="00DF500E" w:rsidP="00171EC2">
            <w:pPr>
              <w:spacing w:after="160" w:line="360" w:lineRule="auto"/>
              <w:jc w:val="both"/>
              <w:rPr>
                <w:rFonts w:ascii="Arial" w:hAnsi="Arial" w:cs="Arial"/>
                <w:b/>
                <w:bCs/>
                <w:sz w:val="20"/>
                <w:szCs w:val="20"/>
                <w:lang w:val="en-US"/>
              </w:rPr>
            </w:pPr>
            <w:r w:rsidRPr="007E37EC">
              <w:rPr>
                <w:rFonts w:ascii="Arial" w:hAnsi="Arial" w:cs="Arial"/>
                <w:b/>
                <w:bCs/>
                <w:sz w:val="20"/>
                <w:szCs w:val="20"/>
                <w:lang w:val="en-US"/>
              </w:rPr>
              <w:t xml:space="preserve">Total number of firms </w:t>
            </w:r>
          </w:p>
        </w:tc>
        <w:tc>
          <w:tcPr>
            <w:tcW w:w="1262" w:type="dxa"/>
          </w:tcPr>
          <w:p w14:paraId="068FC857" w14:textId="331F8F19" w:rsidR="00DF500E" w:rsidRPr="007E37EC" w:rsidRDefault="00DF500E" w:rsidP="00171EC2">
            <w:pPr>
              <w:spacing w:after="160" w:line="360" w:lineRule="auto"/>
              <w:jc w:val="both"/>
              <w:rPr>
                <w:rFonts w:ascii="Arial" w:hAnsi="Arial" w:cs="Arial"/>
                <w:b/>
                <w:bCs/>
                <w:sz w:val="20"/>
                <w:szCs w:val="20"/>
                <w:lang w:val="en-US"/>
              </w:rPr>
            </w:pPr>
            <w:r w:rsidRPr="007E37EC">
              <w:rPr>
                <w:rFonts w:ascii="Arial" w:hAnsi="Arial" w:cs="Arial"/>
                <w:b/>
                <w:bCs/>
                <w:sz w:val="20"/>
                <w:szCs w:val="20"/>
                <w:lang w:val="en-US"/>
              </w:rPr>
              <w:t>Use of fluid Milk (</w:t>
            </w:r>
            <w:proofErr w:type="spellStart"/>
            <w:r w:rsidRPr="007E37EC">
              <w:rPr>
                <w:rFonts w:ascii="Arial" w:hAnsi="Arial" w:cs="Arial"/>
                <w:b/>
                <w:bCs/>
                <w:sz w:val="20"/>
                <w:szCs w:val="20"/>
                <w:lang w:val="en-US"/>
              </w:rPr>
              <w:t>Lit</w:t>
            </w:r>
            <w:r w:rsidR="00AB2885" w:rsidRPr="007E37EC">
              <w:rPr>
                <w:rFonts w:ascii="Arial" w:hAnsi="Arial" w:cs="Arial"/>
                <w:b/>
                <w:bCs/>
                <w:sz w:val="20"/>
                <w:szCs w:val="20"/>
                <w:lang w:val="en-US"/>
              </w:rPr>
              <w:t>res</w:t>
            </w:r>
            <w:proofErr w:type="spellEnd"/>
            <w:r w:rsidRPr="007E37EC">
              <w:rPr>
                <w:rFonts w:ascii="Arial" w:hAnsi="Arial" w:cs="Arial"/>
                <w:b/>
                <w:bCs/>
                <w:sz w:val="20"/>
                <w:szCs w:val="20"/>
                <w:lang w:val="en-US"/>
              </w:rPr>
              <w:t>)</w:t>
            </w:r>
          </w:p>
        </w:tc>
        <w:tc>
          <w:tcPr>
            <w:tcW w:w="1360" w:type="dxa"/>
          </w:tcPr>
          <w:p w14:paraId="550568C0" w14:textId="057781C7" w:rsidR="00DF500E" w:rsidRPr="007E37EC" w:rsidRDefault="00DF500E" w:rsidP="00171EC2">
            <w:pPr>
              <w:pStyle w:val="TableParagraph"/>
              <w:spacing w:before="1" w:line="360" w:lineRule="auto"/>
              <w:ind w:right="248"/>
              <w:jc w:val="both"/>
              <w:rPr>
                <w:rFonts w:ascii="Arial" w:hAnsi="Arial" w:cs="Arial"/>
                <w:b/>
                <w:bCs/>
                <w:color w:val="000000" w:themeColor="text1"/>
                <w:spacing w:val="-2"/>
                <w:sz w:val="20"/>
                <w:szCs w:val="20"/>
              </w:rPr>
            </w:pPr>
            <w:r w:rsidRPr="007E37EC">
              <w:rPr>
                <w:rFonts w:ascii="Arial" w:hAnsi="Arial" w:cs="Arial"/>
                <w:b/>
                <w:bCs/>
                <w:color w:val="000000" w:themeColor="text1"/>
                <w:sz w:val="20"/>
                <w:szCs w:val="20"/>
              </w:rPr>
              <w:t>Sugar</w:t>
            </w:r>
            <w:r w:rsidRPr="007E37EC">
              <w:rPr>
                <w:rFonts w:ascii="Arial" w:hAnsi="Arial" w:cs="Arial"/>
                <w:b/>
                <w:bCs/>
                <w:color w:val="000000" w:themeColor="text1"/>
                <w:spacing w:val="-12"/>
                <w:sz w:val="20"/>
                <w:szCs w:val="20"/>
              </w:rPr>
              <w:t xml:space="preserve"> </w:t>
            </w:r>
            <w:r w:rsidRPr="007E37EC">
              <w:rPr>
                <w:rFonts w:ascii="Arial" w:hAnsi="Arial" w:cs="Arial"/>
                <w:b/>
                <w:bCs/>
                <w:color w:val="000000" w:themeColor="text1"/>
                <w:sz w:val="20"/>
                <w:szCs w:val="20"/>
              </w:rPr>
              <w:t xml:space="preserve">Qty </w:t>
            </w:r>
            <w:r w:rsidRPr="007E37EC">
              <w:rPr>
                <w:rFonts w:ascii="Arial" w:hAnsi="Arial" w:cs="Arial"/>
                <w:b/>
                <w:bCs/>
                <w:color w:val="000000" w:themeColor="text1"/>
                <w:spacing w:val="-2"/>
                <w:sz w:val="20"/>
                <w:szCs w:val="20"/>
              </w:rPr>
              <w:t>(k</w:t>
            </w:r>
            <w:r w:rsidR="00A9162F" w:rsidRPr="007E37EC">
              <w:rPr>
                <w:rFonts w:ascii="Arial" w:hAnsi="Arial" w:cs="Arial"/>
                <w:b/>
                <w:bCs/>
                <w:color w:val="000000" w:themeColor="text1"/>
                <w:spacing w:val="-2"/>
                <w:sz w:val="20"/>
                <w:szCs w:val="20"/>
              </w:rPr>
              <w:t>g</w:t>
            </w:r>
            <w:r w:rsidRPr="007E37EC">
              <w:rPr>
                <w:rFonts w:ascii="Arial" w:hAnsi="Arial" w:cs="Arial"/>
                <w:b/>
                <w:bCs/>
                <w:color w:val="000000" w:themeColor="text1"/>
                <w:spacing w:val="-2"/>
                <w:sz w:val="20"/>
                <w:szCs w:val="20"/>
              </w:rPr>
              <w:t>)</w:t>
            </w:r>
          </w:p>
          <w:p w14:paraId="4B9081F7" w14:textId="77777777" w:rsidR="00DF500E" w:rsidRPr="007E37EC" w:rsidRDefault="00DF500E" w:rsidP="00171EC2">
            <w:pPr>
              <w:spacing w:line="360" w:lineRule="auto"/>
              <w:jc w:val="both"/>
              <w:rPr>
                <w:rFonts w:ascii="Arial" w:hAnsi="Arial" w:cs="Arial"/>
                <w:b/>
                <w:bCs/>
                <w:sz w:val="20"/>
                <w:szCs w:val="20"/>
                <w:lang w:val="en-US"/>
              </w:rPr>
            </w:pPr>
          </w:p>
        </w:tc>
        <w:tc>
          <w:tcPr>
            <w:tcW w:w="1360" w:type="dxa"/>
          </w:tcPr>
          <w:p w14:paraId="01D6B002" w14:textId="1AB8CB58" w:rsidR="00DF500E" w:rsidRPr="007E37EC" w:rsidRDefault="00DF500E" w:rsidP="00171EC2">
            <w:pPr>
              <w:spacing w:line="360" w:lineRule="auto"/>
              <w:jc w:val="both"/>
              <w:rPr>
                <w:rFonts w:ascii="Arial" w:hAnsi="Arial" w:cs="Arial"/>
                <w:b/>
                <w:bCs/>
                <w:sz w:val="20"/>
                <w:szCs w:val="20"/>
                <w:lang w:val="en-US"/>
              </w:rPr>
            </w:pPr>
            <w:r w:rsidRPr="007E37EC">
              <w:rPr>
                <w:rFonts w:ascii="Arial" w:hAnsi="Arial" w:cs="Arial"/>
                <w:b/>
                <w:bCs/>
                <w:sz w:val="20"/>
                <w:szCs w:val="20"/>
                <w:lang w:val="en-US"/>
              </w:rPr>
              <w:t>Production of curd (K</w:t>
            </w:r>
            <w:r w:rsidR="00A9162F" w:rsidRPr="007E37EC">
              <w:rPr>
                <w:rFonts w:ascii="Arial" w:hAnsi="Arial" w:cs="Arial"/>
                <w:b/>
                <w:bCs/>
                <w:sz w:val="20"/>
                <w:szCs w:val="20"/>
                <w:lang w:val="en-US"/>
              </w:rPr>
              <w:t>g</w:t>
            </w:r>
            <w:r w:rsidRPr="007E37EC">
              <w:rPr>
                <w:rFonts w:ascii="Arial" w:hAnsi="Arial" w:cs="Arial"/>
                <w:b/>
                <w:bCs/>
                <w:sz w:val="20"/>
                <w:szCs w:val="20"/>
                <w:lang w:val="en-US"/>
              </w:rPr>
              <w:t>)</w:t>
            </w:r>
          </w:p>
        </w:tc>
        <w:tc>
          <w:tcPr>
            <w:tcW w:w="1360" w:type="dxa"/>
          </w:tcPr>
          <w:p w14:paraId="242AF6F3" w14:textId="77777777" w:rsidR="00DF500E" w:rsidRPr="007E37EC" w:rsidRDefault="00DF500E" w:rsidP="00171EC2">
            <w:pPr>
              <w:spacing w:line="360" w:lineRule="auto"/>
              <w:jc w:val="both"/>
              <w:rPr>
                <w:rFonts w:ascii="Arial" w:hAnsi="Arial" w:cs="Arial"/>
                <w:b/>
                <w:bCs/>
                <w:sz w:val="20"/>
                <w:szCs w:val="20"/>
                <w:lang w:val="en-US"/>
              </w:rPr>
            </w:pPr>
            <w:r w:rsidRPr="007E37EC">
              <w:rPr>
                <w:rFonts w:ascii="Arial" w:hAnsi="Arial" w:cs="Arial"/>
                <w:b/>
                <w:bCs/>
                <w:sz w:val="20"/>
                <w:szCs w:val="20"/>
                <w:lang w:val="en-US"/>
              </w:rPr>
              <w:t>Milk Price</w:t>
            </w:r>
          </w:p>
          <w:p w14:paraId="1F5080EE" w14:textId="77777777" w:rsidR="00DF500E" w:rsidRPr="007E37EC" w:rsidRDefault="00DF500E" w:rsidP="00171EC2">
            <w:pPr>
              <w:spacing w:line="360" w:lineRule="auto"/>
              <w:jc w:val="both"/>
              <w:rPr>
                <w:rFonts w:ascii="Arial" w:hAnsi="Arial" w:cs="Arial"/>
                <w:b/>
                <w:bCs/>
                <w:sz w:val="20"/>
                <w:szCs w:val="20"/>
                <w:lang w:val="en-US"/>
              </w:rPr>
            </w:pPr>
            <w:r w:rsidRPr="007E37EC">
              <w:rPr>
                <w:rFonts w:ascii="Arial" w:hAnsi="Arial" w:cs="Arial"/>
                <w:b/>
                <w:bCs/>
                <w:sz w:val="20"/>
                <w:szCs w:val="20"/>
                <w:lang w:val="en-US"/>
              </w:rPr>
              <w:t>(Rs/</w:t>
            </w:r>
            <w:proofErr w:type="spellStart"/>
            <w:r w:rsidRPr="007E37EC">
              <w:rPr>
                <w:rFonts w:ascii="Arial" w:hAnsi="Arial" w:cs="Arial"/>
                <w:b/>
                <w:bCs/>
                <w:sz w:val="20"/>
                <w:szCs w:val="20"/>
                <w:lang w:val="en-US"/>
              </w:rPr>
              <w:t>litre</w:t>
            </w:r>
            <w:proofErr w:type="spellEnd"/>
            <w:r w:rsidRPr="007E37EC">
              <w:rPr>
                <w:rFonts w:ascii="Arial" w:hAnsi="Arial" w:cs="Arial"/>
                <w:b/>
                <w:bCs/>
                <w:sz w:val="20"/>
                <w:szCs w:val="20"/>
                <w:lang w:val="en-US"/>
              </w:rPr>
              <w:t>)</w:t>
            </w:r>
          </w:p>
        </w:tc>
        <w:tc>
          <w:tcPr>
            <w:tcW w:w="1360" w:type="dxa"/>
          </w:tcPr>
          <w:p w14:paraId="6E6EDADD" w14:textId="77777777" w:rsidR="00DF500E" w:rsidRPr="007E37EC" w:rsidRDefault="00DF500E" w:rsidP="00171EC2">
            <w:pPr>
              <w:spacing w:line="360" w:lineRule="auto"/>
              <w:jc w:val="both"/>
              <w:rPr>
                <w:rFonts w:ascii="Arial" w:hAnsi="Arial" w:cs="Arial"/>
                <w:b/>
                <w:bCs/>
                <w:sz w:val="20"/>
                <w:szCs w:val="20"/>
                <w:lang w:val="en-US"/>
              </w:rPr>
            </w:pPr>
            <w:r w:rsidRPr="007E37EC">
              <w:rPr>
                <w:rFonts w:ascii="Arial" w:hAnsi="Arial" w:cs="Arial"/>
                <w:b/>
                <w:bCs/>
                <w:sz w:val="20"/>
                <w:szCs w:val="20"/>
                <w:lang w:val="en-US"/>
              </w:rPr>
              <w:t>Curd price</w:t>
            </w:r>
          </w:p>
          <w:p w14:paraId="2DCF372A" w14:textId="41772FFF" w:rsidR="00DF500E" w:rsidRPr="007E37EC" w:rsidRDefault="00DF500E" w:rsidP="00171EC2">
            <w:pPr>
              <w:spacing w:line="360" w:lineRule="auto"/>
              <w:jc w:val="both"/>
              <w:rPr>
                <w:rFonts w:ascii="Arial" w:hAnsi="Arial" w:cs="Arial"/>
                <w:b/>
                <w:bCs/>
                <w:sz w:val="20"/>
                <w:szCs w:val="20"/>
                <w:lang w:val="en-US"/>
              </w:rPr>
            </w:pPr>
            <w:r w:rsidRPr="007E37EC">
              <w:rPr>
                <w:rFonts w:ascii="Arial" w:hAnsi="Arial" w:cs="Arial"/>
                <w:b/>
                <w:bCs/>
                <w:sz w:val="20"/>
                <w:szCs w:val="20"/>
                <w:lang w:val="en-US"/>
              </w:rPr>
              <w:t>(Rs/k</w:t>
            </w:r>
            <w:r w:rsidR="00A9162F" w:rsidRPr="007E37EC">
              <w:rPr>
                <w:rFonts w:ascii="Arial" w:hAnsi="Arial" w:cs="Arial"/>
                <w:b/>
                <w:bCs/>
                <w:sz w:val="20"/>
                <w:szCs w:val="20"/>
                <w:lang w:val="en-US"/>
              </w:rPr>
              <w:t>g</w:t>
            </w:r>
            <w:r w:rsidRPr="007E37EC">
              <w:rPr>
                <w:rFonts w:ascii="Arial" w:hAnsi="Arial" w:cs="Arial"/>
                <w:b/>
                <w:bCs/>
                <w:sz w:val="20"/>
                <w:szCs w:val="20"/>
                <w:lang w:val="en-US"/>
              </w:rPr>
              <w:t>)</w:t>
            </w:r>
          </w:p>
        </w:tc>
      </w:tr>
      <w:tr w:rsidR="00DF500E" w:rsidRPr="007E37EC" w14:paraId="58299AE0" w14:textId="77777777" w:rsidTr="001E7672">
        <w:trPr>
          <w:trHeight w:val="360"/>
        </w:trPr>
        <w:tc>
          <w:tcPr>
            <w:tcW w:w="1915" w:type="dxa"/>
          </w:tcPr>
          <w:p w14:paraId="415518D8" w14:textId="77777777" w:rsidR="00DF500E" w:rsidRPr="007E37EC" w:rsidRDefault="00DF500E" w:rsidP="00171EC2">
            <w:pPr>
              <w:spacing w:after="160" w:line="360" w:lineRule="auto"/>
              <w:jc w:val="both"/>
              <w:rPr>
                <w:rFonts w:ascii="Arial" w:hAnsi="Arial" w:cs="Arial"/>
                <w:b/>
                <w:bCs/>
                <w:sz w:val="20"/>
                <w:szCs w:val="20"/>
                <w:lang w:val="en-US"/>
              </w:rPr>
            </w:pPr>
            <w:proofErr w:type="spellStart"/>
            <w:r w:rsidRPr="007E37EC">
              <w:rPr>
                <w:rFonts w:ascii="Arial" w:hAnsi="Arial" w:cs="Arial"/>
                <w:b/>
                <w:bCs/>
                <w:sz w:val="20"/>
                <w:szCs w:val="20"/>
                <w:lang w:val="en-US"/>
              </w:rPr>
              <w:t>Coochbehar</w:t>
            </w:r>
            <w:proofErr w:type="spellEnd"/>
            <w:r w:rsidRPr="007E37EC">
              <w:rPr>
                <w:rFonts w:ascii="Arial" w:hAnsi="Arial" w:cs="Arial"/>
                <w:b/>
                <w:bCs/>
                <w:sz w:val="20"/>
                <w:szCs w:val="20"/>
                <w:lang w:val="en-US"/>
              </w:rPr>
              <w:t xml:space="preserve"> II</w:t>
            </w:r>
          </w:p>
        </w:tc>
        <w:tc>
          <w:tcPr>
            <w:tcW w:w="1472" w:type="dxa"/>
          </w:tcPr>
          <w:p w14:paraId="78A6FB65" w14:textId="77777777" w:rsidR="00DF500E" w:rsidRPr="007E37EC" w:rsidRDefault="00DF500E" w:rsidP="00171EC2">
            <w:pPr>
              <w:spacing w:after="160" w:line="360" w:lineRule="auto"/>
              <w:jc w:val="both"/>
              <w:rPr>
                <w:rFonts w:ascii="Arial" w:hAnsi="Arial" w:cs="Arial"/>
                <w:sz w:val="20"/>
                <w:szCs w:val="20"/>
                <w:lang w:val="en-US"/>
              </w:rPr>
            </w:pPr>
            <w:r w:rsidRPr="007E37EC">
              <w:rPr>
                <w:rFonts w:ascii="Arial" w:hAnsi="Arial" w:cs="Arial"/>
                <w:sz w:val="20"/>
                <w:szCs w:val="20"/>
                <w:lang w:val="en-US"/>
              </w:rPr>
              <w:t>11</w:t>
            </w:r>
          </w:p>
        </w:tc>
        <w:tc>
          <w:tcPr>
            <w:tcW w:w="1262" w:type="dxa"/>
          </w:tcPr>
          <w:p w14:paraId="390750B2" w14:textId="77777777" w:rsidR="00DF500E" w:rsidRPr="007E37EC" w:rsidRDefault="00DF500E" w:rsidP="00171EC2">
            <w:pPr>
              <w:spacing w:after="160" w:line="360" w:lineRule="auto"/>
              <w:jc w:val="both"/>
              <w:rPr>
                <w:rFonts w:ascii="Arial" w:hAnsi="Arial" w:cs="Arial"/>
                <w:sz w:val="20"/>
                <w:szCs w:val="20"/>
                <w:lang w:val="en-US"/>
              </w:rPr>
            </w:pPr>
            <w:r w:rsidRPr="007E37EC">
              <w:rPr>
                <w:rFonts w:ascii="Arial" w:hAnsi="Arial" w:cs="Arial"/>
                <w:sz w:val="20"/>
                <w:szCs w:val="20"/>
                <w:lang w:val="en-US"/>
              </w:rPr>
              <w:t>168.47</w:t>
            </w:r>
          </w:p>
        </w:tc>
        <w:tc>
          <w:tcPr>
            <w:tcW w:w="1360" w:type="dxa"/>
          </w:tcPr>
          <w:p w14:paraId="68AF9201" w14:textId="77777777" w:rsidR="00DF500E" w:rsidRPr="007E37EC" w:rsidRDefault="00DF500E" w:rsidP="00171EC2">
            <w:pPr>
              <w:spacing w:line="360" w:lineRule="auto"/>
              <w:jc w:val="both"/>
              <w:rPr>
                <w:rFonts w:ascii="Arial" w:hAnsi="Arial" w:cs="Arial"/>
                <w:sz w:val="20"/>
                <w:szCs w:val="20"/>
                <w:lang w:val="en-US"/>
              </w:rPr>
            </w:pPr>
            <w:r w:rsidRPr="007E37EC">
              <w:rPr>
                <w:rFonts w:ascii="Arial" w:hAnsi="Arial" w:cs="Arial"/>
                <w:color w:val="000000" w:themeColor="text1"/>
                <w:spacing w:val="-2"/>
                <w:sz w:val="20"/>
                <w:szCs w:val="20"/>
              </w:rPr>
              <w:t>40.74</w:t>
            </w:r>
          </w:p>
        </w:tc>
        <w:tc>
          <w:tcPr>
            <w:tcW w:w="1360" w:type="dxa"/>
          </w:tcPr>
          <w:p w14:paraId="32812C4C" w14:textId="77777777" w:rsidR="00DF500E" w:rsidRPr="007E37EC" w:rsidRDefault="00DF500E" w:rsidP="00171EC2">
            <w:pPr>
              <w:spacing w:line="360" w:lineRule="auto"/>
              <w:jc w:val="both"/>
              <w:rPr>
                <w:rFonts w:ascii="Arial" w:hAnsi="Arial" w:cs="Arial"/>
                <w:sz w:val="20"/>
                <w:szCs w:val="20"/>
                <w:lang w:val="en-US"/>
              </w:rPr>
            </w:pPr>
            <w:r w:rsidRPr="007E37EC">
              <w:rPr>
                <w:rFonts w:ascii="Arial" w:hAnsi="Arial" w:cs="Arial"/>
                <w:sz w:val="20"/>
                <w:szCs w:val="20"/>
                <w:lang w:val="en-US"/>
              </w:rPr>
              <w:t>140.39</w:t>
            </w:r>
          </w:p>
        </w:tc>
        <w:tc>
          <w:tcPr>
            <w:tcW w:w="1360" w:type="dxa"/>
          </w:tcPr>
          <w:p w14:paraId="208D23B9" w14:textId="77777777" w:rsidR="00DF500E" w:rsidRPr="007E37EC" w:rsidRDefault="00DF500E" w:rsidP="00171EC2">
            <w:pPr>
              <w:spacing w:line="360" w:lineRule="auto"/>
              <w:jc w:val="both"/>
              <w:rPr>
                <w:rFonts w:ascii="Arial" w:hAnsi="Arial" w:cs="Arial"/>
                <w:sz w:val="20"/>
                <w:szCs w:val="20"/>
                <w:lang w:val="en-US"/>
              </w:rPr>
            </w:pPr>
            <w:r w:rsidRPr="007E37EC">
              <w:rPr>
                <w:rFonts w:ascii="Arial" w:hAnsi="Arial" w:cs="Arial"/>
                <w:sz w:val="20"/>
                <w:szCs w:val="20"/>
                <w:lang w:val="en-US"/>
              </w:rPr>
              <w:t>36.61</w:t>
            </w:r>
          </w:p>
        </w:tc>
        <w:tc>
          <w:tcPr>
            <w:tcW w:w="1360" w:type="dxa"/>
          </w:tcPr>
          <w:p w14:paraId="61A027F4" w14:textId="77777777" w:rsidR="00DF500E" w:rsidRPr="007E37EC" w:rsidRDefault="00DF500E" w:rsidP="00171EC2">
            <w:pPr>
              <w:spacing w:line="360" w:lineRule="auto"/>
              <w:jc w:val="both"/>
              <w:rPr>
                <w:rFonts w:ascii="Arial" w:hAnsi="Arial" w:cs="Arial"/>
                <w:sz w:val="20"/>
                <w:szCs w:val="20"/>
                <w:lang w:val="en-US"/>
              </w:rPr>
            </w:pPr>
            <w:r w:rsidRPr="007E37EC">
              <w:rPr>
                <w:rFonts w:ascii="Arial" w:hAnsi="Arial" w:cs="Arial"/>
                <w:sz w:val="20"/>
                <w:szCs w:val="20"/>
                <w:lang w:val="en-US"/>
              </w:rPr>
              <w:t>123.52</w:t>
            </w:r>
          </w:p>
        </w:tc>
      </w:tr>
      <w:tr w:rsidR="00DF500E" w:rsidRPr="007E37EC" w14:paraId="3081806D" w14:textId="77777777" w:rsidTr="001E7672">
        <w:trPr>
          <w:trHeight w:val="360"/>
        </w:trPr>
        <w:tc>
          <w:tcPr>
            <w:tcW w:w="1915" w:type="dxa"/>
          </w:tcPr>
          <w:p w14:paraId="4F27580B" w14:textId="77777777" w:rsidR="00DF500E" w:rsidRPr="007E37EC" w:rsidRDefault="00DF500E" w:rsidP="00171EC2">
            <w:pPr>
              <w:spacing w:after="160" w:line="360" w:lineRule="auto"/>
              <w:jc w:val="both"/>
              <w:rPr>
                <w:rFonts w:ascii="Arial" w:hAnsi="Arial" w:cs="Arial"/>
                <w:b/>
                <w:bCs/>
                <w:sz w:val="20"/>
                <w:szCs w:val="20"/>
                <w:lang w:val="en-US"/>
              </w:rPr>
            </w:pPr>
            <w:proofErr w:type="spellStart"/>
            <w:r w:rsidRPr="007E37EC">
              <w:rPr>
                <w:rFonts w:ascii="Arial" w:hAnsi="Arial" w:cs="Arial"/>
                <w:b/>
                <w:bCs/>
                <w:sz w:val="20"/>
                <w:szCs w:val="20"/>
                <w:lang w:val="en-US"/>
              </w:rPr>
              <w:t>Tufanganj</w:t>
            </w:r>
            <w:proofErr w:type="spellEnd"/>
            <w:r w:rsidRPr="007E37EC">
              <w:rPr>
                <w:rFonts w:ascii="Arial" w:hAnsi="Arial" w:cs="Arial"/>
                <w:b/>
                <w:bCs/>
                <w:sz w:val="20"/>
                <w:szCs w:val="20"/>
                <w:lang w:val="en-US"/>
              </w:rPr>
              <w:t xml:space="preserve"> I</w:t>
            </w:r>
          </w:p>
        </w:tc>
        <w:tc>
          <w:tcPr>
            <w:tcW w:w="1472" w:type="dxa"/>
          </w:tcPr>
          <w:p w14:paraId="33698194" w14:textId="77777777" w:rsidR="00DF500E" w:rsidRPr="007E37EC" w:rsidRDefault="00DF500E" w:rsidP="00171EC2">
            <w:pPr>
              <w:spacing w:after="160" w:line="360" w:lineRule="auto"/>
              <w:jc w:val="both"/>
              <w:rPr>
                <w:rFonts w:ascii="Arial" w:hAnsi="Arial" w:cs="Arial"/>
                <w:sz w:val="20"/>
                <w:szCs w:val="20"/>
                <w:lang w:val="en-US"/>
              </w:rPr>
            </w:pPr>
            <w:r w:rsidRPr="007E37EC">
              <w:rPr>
                <w:rFonts w:ascii="Arial" w:hAnsi="Arial" w:cs="Arial"/>
                <w:sz w:val="20"/>
                <w:szCs w:val="20"/>
                <w:lang w:val="en-US"/>
              </w:rPr>
              <w:t>10</w:t>
            </w:r>
          </w:p>
        </w:tc>
        <w:tc>
          <w:tcPr>
            <w:tcW w:w="1262" w:type="dxa"/>
          </w:tcPr>
          <w:p w14:paraId="719CCD99" w14:textId="77777777" w:rsidR="00DF500E" w:rsidRPr="007E37EC" w:rsidRDefault="00DF500E" w:rsidP="00171EC2">
            <w:pPr>
              <w:spacing w:after="160" w:line="360" w:lineRule="auto"/>
              <w:jc w:val="both"/>
              <w:rPr>
                <w:rFonts w:ascii="Arial" w:hAnsi="Arial" w:cs="Arial"/>
                <w:sz w:val="20"/>
                <w:szCs w:val="20"/>
                <w:lang w:val="en-US"/>
              </w:rPr>
            </w:pPr>
            <w:r w:rsidRPr="007E37EC">
              <w:rPr>
                <w:rFonts w:ascii="Arial" w:hAnsi="Arial" w:cs="Arial"/>
                <w:sz w:val="20"/>
                <w:szCs w:val="20"/>
                <w:lang w:val="en-US"/>
              </w:rPr>
              <w:t>137.36</w:t>
            </w:r>
          </w:p>
        </w:tc>
        <w:tc>
          <w:tcPr>
            <w:tcW w:w="1360" w:type="dxa"/>
          </w:tcPr>
          <w:p w14:paraId="278867AF" w14:textId="77777777" w:rsidR="00DF500E" w:rsidRPr="007E37EC" w:rsidRDefault="00DF500E" w:rsidP="00171EC2">
            <w:pPr>
              <w:spacing w:line="360" w:lineRule="auto"/>
              <w:jc w:val="both"/>
              <w:rPr>
                <w:rFonts w:ascii="Arial" w:hAnsi="Arial" w:cs="Arial"/>
                <w:sz w:val="20"/>
                <w:szCs w:val="20"/>
                <w:lang w:val="en-US"/>
              </w:rPr>
            </w:pPr>
            <w:r w:rsidRPr="007E37EC">
              <w:rPr>
                <w:rFonts w:ascii="Arial" w:hAnsi="Arial" w:cs="Arial"/>
                <w:color w:val="000000" w:themeColor="text1"/>
                <w:spacing w:val="-2"/>
                <w:sz w:val="20"/>
                <w:szCs w:val="20"/>
              </w:rPr>
              <w:t>42.94</w:t>
            </w:r>
          </w:p>
        </w:tc>
        <w:tc>
          <w:tcPr>
            <w:tcW w:w="1360" w:type="dxa"/>
          </w:tcPr>
          <w:p w14:paraId="36FE7D37" w14:textId="77777777" w:rsidR="00DF500E" w:rsidRPr="007E37EC" w:rsidRDefault="00DF500E" w:rsidP="00171EC2">
            <w:pPr>
              <w:spacing w:line="360" w:lineRule="auto"/>
              <w:jc w:val="both"/>
              <w:rPr>
                <w:rFonts w:ascii="Arial" w:hAnsi="Arial" w:cs="Arial"/>
                <w:sz w:val="20"/>
                <w:szCs w:val="20"/>
                <w:lang w:val="en-US"/>
              </w:rPr>
            </w:pPr>
            <w:r w:rsidRPr="007E37EC">
              <w:rPr>
                <w:rFonts w:ascii="Arial" w:hAnsi="Arial" w:cs="Arial"/>
                <w:sz w:val="20"/>
                <w:szCs w:val="20"/>
                <w:lang w:val="en-US"/>
              </w:rPr>
              <w:t>117.38</w:t>
            </w:r>
          </w:p>
        </w:tc>
        <w:tc>
          <w:tcPr>
            <w:tcW w:w="1360" w:type="dxa"/>
          </w:tcPr>
          <w:p w14:paraId="5C167C3F" w14:textId="77777777" w:rsidR="00DF500E" w:rsidRPr="007E37EC" w:rsidRDefault="00DF500E" w:rsidP="00171EC2">
            <w:pPr>
              <w:spacing w:line="360" w:lineRule="auto"/>
              <w:jc w:val="both"/>
              <w:rPr>
                <w:rFonts w:ascii="Arial" w:hAnsi="Arial" w:cs="Arial"/>
                <w:sz w:val="20"/>
                <w:szCs w:val="20"/>
                <w:lang w:val="en-US"/>
              </w:rPr>
            </w:pPr>
            <w:r w:rsidRPr="007E37EC">
              <w:rPr>
                <w:rFonts w:ascii="Arial" w:hAnsi="Arial" w:cs="Arial"/>
                <w:sz w:val="20"/>
                <w:szCs w:val="20"/>
                <w:lang w:val="en-US"/>
              </w:rPr>
              <w:t>37.59</w:t>
            </w:r>
          </w:p>
        </w:tc>
        <w:tc>
          <w:tcPr>
            <w:tcW w:w="1360" w:type="dxa"/>
          </w:tcPr>
          <w:p w14:paraId="65A971D9" w14:textId="77777777" w:rsidR="00DF500E" w:rsidRPr="007E37EC" w:rsidRDefault="00DF500E" w:rsidP="00171EC2">
            <w:pPr>
              <w:spacing w:line="360" w:lineRule="auto"/>
              <w:jc w:val="both"/>
              <w:rPr>
                <w:rFonts w:ascii="Arial" w:hAnsi="Arial" w:cs="Arial"/>
                <w:sz w:val="20"/>
                <w:szCs w:val="20"/>
                <w:lang w:val="en-US"/>
              </w:rPr>
            </w:pPr>
            <w:r w:rsidRPr="007E37EC">
              <w:rPr>
                <w:rFonts w:ascii="Arial" w:hAnsi="Arial" w:cs="Arial"/>
                <w:sz w:val="20"/>
                <w:szCs w:val="20"/>
                <w:lang w:val="en-US"/>
              </w:rPr>
              <w:t>124.00</w:t>
            </w:r>
          </w:p>
        </w:tc>
      </w:tr>
      <w:tr w:rsidR="00DF500E" w:rsidRPr="007E37EC" w14:paraId="59069EC6" w14:textId="77777777" w:rsidTr="001E7672">
        <w:trPr>
          <w:trHeight w:val="360"/>
        </w:trPr>
        <w:tc>
          <w:tcPr>
            <w:tcW w:w="1915" w:type="dxa"/>
          </w:tcPr>
          <w:p w14:paraId="7328B355" w14:textId="77777777" w:rsidR="00DF500E" w:rsidRPr="007E37EC" w:rsidRDefault="00DF500E" w:rsidP="00171EC2">
            <w:pPr>
              <w:spacing w:after="160" w:line="360" w:lineRule="auto"/>
              <w:jc w:val="both"/>
              <w:rPr>
                <w:rFonts w:ascii="Arial" w:hAnsi="Arial" w:cs="Arial"/>
                <w:b/>
                <w:bCs/>
                <w:sz w:val="20"/>
                <w:szCs w:val="20"/>
                <w:lang w:val="en-US"/>
              </w:rPr>
            </w:pPr>
            <w:proofErr w:type="spellStart"/>
            <w:r w:rsidRPr="007E37EC">
              <w:rPr>
                <w:rFonts w:ascii="Arial" w:hAnsi="Arial" w:cs="Arial"/>
                <w:b/>
                <w:bCs/>
                <w:sz w:val="20"/>
                <w:szCs w:val="20"/>
                <w:lang w:val="en-US"/>
              </w:rPr>
              <w:t>Alipurduar</w:t>
            </w:r>
            <w:proofErr w:type="spellEnd"/>
            <w:r w:rsidRPr="007E37EC">
              <w:rPr>
                <w:rFonts w:ascii="Arial" w:hAnsi="Arial" w:cs="Arial"/>
                <w:b/>
                <w:bCs/>
                <w:sz w:val="20"/>
                <w:szCs w:val="20"/>
                <w:lang w:val="en-US"/>
              </w:rPr>
              <w:t xml:space="preserve"> I</w:t>
            </w:r>
          </w:p>
        </w:tc>
        <w:tc>
          <w:tcPr>
            <w:tcW w:w="1472" w:type="dxa"/>
          </w:tcPr>
          <w:p w14:paraId="7B74A6A2" w14:textId="77777777" w:rsidR="00DF500E" w:rsidRPr="007E37EC" w:rsidRDefault="00DF500E" w:rsidP="00171EC2">
            <w:pPr>
              <w:spacing w:after="160" w:line="360" w:lineRule="auto"/>
              <w:jc w:val="both"/>
              <w:rPr>
                <w:rFonts w:ascii="Arial" w:hAnsi="Arial" w:cs="Arial"/>
                <w:sz w:val="20"/>
                <w:szCs w:val="20"/>
                <w:lang w:val="en-US"/>
              </w:rPr>
            </w:pPr>
            <w:r w:rsidRPr="007E37EC">
              <w:rPr>
                <w:rFonts w:ascii="Arial" w:hAnsi="Arial" w:cs="Arial"/>
                <w:sz w:val="20"/>
                <w:szCs w:val="20"/>
                <w:lang w:val="en-US"/>
              </w:rPr>
              <w:t>4</w:t>
            </w:r>
          </w:p>
        </w:tc>
        <w:tc>
          <w:tcPr>
            <w:tcW w:w="1262" w:type="dxa"/>
          </w:tcPr>
          <w:p w14:paraId="45297E47" w14:textId="77777777" w:rsidR="00DF500E" w:rsidRPr="007E37EC" w:rsidRDefault="00DF500E" w:rsidP="00171EC2">
            <w:pPr>
              <w:spacing w:after="160" w:line="360" w:lineRule="auto"/>
              <w:jc w:val="both"/>
              <w:rPr>
                <w:rFonts w:ascii="Arial" w:hAnsi="Arial" w:cs="Arial"/>
                <w:sz w:val="20"/>
                <w:szCs w:val="20"/>
                <w:lang w:val="en-US"/>
              </w:rPr>
            </w:pPr>
            <w:r w:rsidRPr="007E37EC">
              <w:rPr>
                <w:rFonts w:ascii="Arial" w:hAnsi="Arial" w:cs="Arial"/>
                <w:sz w:val="20"/>
                <w:szCs w:val="20"/>
                <w:lang w:val="en-US"/>
              </w:rPr>
              <w:t>129.49</w:t>
            </w:r>
          </w:p>
        </w:tc>
        <w:tc>
          <w:tcPr>
            <w:tcW w:w="1360" w:type="dxa"/>
          </w:tcPr>
          <w:p w14:paraId="63DE3325" w14:textId="77777777" w:rsidR="00DF500E" w:rsidRPr="007E37EC" w:rsidRDefault="00DF500E" w:rsidP="00171EC2">
            <w:pPr>
              <w:spacing w:line="360" w:lineRule="auto"/>
              <w:jc w:val="both"/>
              <w:rPr>
                <w:rFonts w:ascii="Arial" w:hAnsi="Arial" w:cs="Arial"/>
                <w:sz w:val="20"/>
                <w:szCs w:val="20"/>
                <w:lang w:val="en-US"/>
              </w:rPr>
            </w:pPr>
            <w:r w:rsidRPr="007E37EC">
              <w:rPr>
                <w:rFonts w:ascii="Arial" w:hAnsi="Arial" w:cs="Arial"/>
                <w:color w:val="000000" w:themeColor="text1"/>
                <w:spacing w:val="-2"/>
                <w:sz w:val="20"/>
                <w:szCs w:val="20"/>
              </w:rPr>
              <w:t>37.87</w:t>
            </w:r>
          </w:p>
        </w:tc>
        <w:tc>
          <w:tcPr>
            <w:tcW w:w="1360" w:type="dxa"/>
          </w:tcPr>
          <w:p w14:paraId="5E5D0BF9" w14:textId="77777777" w:rsidR="00DF500E" w:rsidRPr="007E37EC" w:rsidRDefault="00DF500E" w:rsidP="00171EC2">
            <w:pPr>
              <w:spacing w:line="360" w:lineRule="auto"/>
              <w:jc w:val="both"/>
              <w:rPr>
                <w:rFonts w:ascii="Arial" w:hAnsi="Arial" w:cs="Arial"/>
                <w:sz w:val="20"/>
                <w:szCs w:val="20"/>
                <w:lang w:val="en-US"/>
              </w:rPr>
            </w:pPr>
            <w:r w:rsidRPr="007E37EC">
              <w:rPr>
                <w:rFonts w:ascii="Arial" w:hAnsi="Arial" w:cs="Arial"/>
                <w:sz w:val="20"/>
                <w:szCs w:val="20"/>
                <w:lang w:val="en-US"/>
              </w:rPr>
              <w:t>107.91</w:t>
            </w:r>
          </w:p>
        </w:tc>
        <w:tc>
          <w:tcPr>
            <w:tcW w:w="1360" w:type="dxa"/>
          </w:tcPr>
          <w:p w14:paraId="32A14120" w14:textId="77777777" w:rsidR="00DF500E" w:rsidRPr="007E37EC" w:rsidRDefault="00DF500E" w:rsidP="00171EC2">
            <w:pPr>
              <w:spacing w:line="360" w:lineRule="auto"/>
              <w:jc w:val="both"/>
              <w:rPr>
                <w:rFonts w:ascii="Arial" w:hAnsi="Arial" w:cs="Arial"/>
                <w:sz w:val="20"/>
                <w:szCs w:val="20"/>
                <w:lang w:val="en-US"/>
              </w:rPr>
            </w:pPr>
            <w:r w:rsidRPr="007E37EC">
              <w:rPr>
                <w:rFonts w:ascii="Arial" w:hAnsi="Arial" w:cs="Arial"/>
                <w:sz w:val="20"/>
                <w:szCs w:val="20"/>
                <w:lang w:val="en-US"/>
              </w:rPr>
              <w:t>42.91</w:t>
            </w:r>
          </w:p>
        </w:tc>
        <w:tc>
          <w:tcPr>
            <w:tcW w:w="1360" w:type="dxa"/>
          </w:tcPr>
          <w:p w14:paraId="6F4C3127" w14:textId="77777777" w:rsidR="00DF500E" w:rsidRPr="007E37EC" w:rsidRDefault="00DF500E" w:rsidP="00171EC2">
            <w:pPr>
              <w:spacing w:line="360" w:lineRule="auto"/>
              <w:jc w:val="both"/>
              <w:rPr>
                <w:rFonts w:ascii="Arial" w:hAnsi="Arial" w:cs="Arial"/>
                <w:sz w:val="20"/>
                <w:szCs w:val="20"/>
                <w:lang w:val="en-US"/>
              </w:rPr>
            </w:pPr>
            <w:r w:rsidRPr="007E37EC">
              <w:rPr>
                <w:rFonts w:ascii="Arial" w:hAnsi="Arial" w:cs="Arial"/>
                <w:sz w:val="20"/>
                <w:szCs w:val="20"/>
                <w:lang w:val="en-US"/>
              </w:rPr>
              <w:t>127.43</w:t>
            </w:r>
          </w:p>
        </w:tc>
      </w:tr>
      <w:tr w:rsidR="00DF500E" w:rsidRPr="007E37EC" w14:paraId="64E2CCD9" w14:textId="77777777" w:rsidTr="001E7672">
        <w:trPr>
          <w:trHeight w:val="360"/>
        </w:trPr>
        <w:tc>
          <w:tcPr>
            <w:tcW w:w="1915" w:type="dxa"/>
          </w:tcPr>
          <w:p w14:paraId="6E060AA3" w14:textId="77777777" w:rsidR="00DF500E" w:rsidRPr="007E37EC" w:rsidRDefault="00DF500E" w:rsidP="00171EC2">
            <w:pPr>
              <w:spacing w:after="160" w:line="360" w:lineRule="auto"/>
              <w:jc w:val="both"/>
              <w:rPr>
                <w:rFonts w:ascii="Arial" w:hAnsi="Arial" w:cs="Arial"/>
                <w:b/>
                <w:bCs/>
                <w:sz w:val="20"/>
                <w:szCs w:val="20"/>
                <w:lang w:val="en-US"/>
              </w:rPr>
            </w:pPr>
            <w:proofErr w:type="spellStart"/>
            <w:r w:rsidRPr="007E37EC">
              <w:rPr>
                <w:rFonts w:ascii="Arial" w:hAnsi="Arial" w:cs="Arial"/>
                <w:b/>
                <w:bCs/>
                <w:sz w:val="20"/>
                <w:szCs w:val="20"/>
                <w:lang w:val="en-US"/>
              </w:rPr>
              <w:t>Alipurduar</w:t>
            </w:r>
            <w:proofErr w:type="spellEnd"/>
            <w:r w:rsidRPr="007E37EC">
              <w:rPr>
                <w:rFonts w:ascii="Arial" w:hAnsi="Arial" w:cs="Arial"/>
                <w:b/>
                <w:bCs/>
                <w:sz w:val="20"/>
                <w:szCs w:val="20"/>
                <w:lang w:val="en-US"/>
              </w:rPr>
              <w:t xml:space="preserve"> II</w:t>
            </w:r>
          </w:p>
        </w:tc>
        <w:tc>
          <w:tcPr>
            <w:tcW w:w="1472" w:type="dxa"/>
          </w:tcPr>
          <w:p w14:paraId="78D300F4" w14:textId="77777777" w:rsidR="00DF500E" w:rsidRPr="007E37EC" w:rsidRDefault="00DF500E" w:rsidP="00171EC2">
            <w:pPr>
              <w:spacing w:after="160" w:line="360" w:lineRule="auto"/>
              <w:jc w:val="both"/>
              <w:rPr>
                <w:rFonts w:ascii="Arial" w:hAnsi="Arial" w:cs="Arial"/>
                <w:sz w:val="20"/>
                <w:szCs w:val="20"/>
                <w:lang w:val="en-US"/>
              </w:rPr>
            </w:pPr>
            <w:r w:rsidRPr="007E37EC">
              <w:rPr>
                <w:rFonts w:ascii="Arial" w:hAnsi="Arial" w:cs="Arial"/>
                <w:sz w:val="20"/>
                <w:szCs w:val="20"/>
                <w:lang w:val="en-US"/>
              </w:rPr>
              <w:t>6</w:t>
            </w:r>
          </w:p>
        </w:tc>
        <w:tc>
          <w:tcPr>
            <w:tcW w:w="1262" w:type="dxa"/>
          </w:tcPr>
          <w:p w14:paraId="51D886A7" w14:textId="77777777" w:rsidR="00DF500E" w:rsidRPr="007E37EC" w:rsidRDefault="00DF500E" w:rsidP="00171EC2">
            <w:pPr>
              <w:spacing w:after="160" w:line="360" w:lineRule="auto"/>
              <w:jc w:val="both"/>
              <w:rPr>
                <w:rFonts w:ascii="Arial" w:hAnsi="Arial" w:cs="Arial"/>
                <w:b/>
                <w:bCs/>
                <w:sz w:val="20"/>
                <w:szCs w:val="20"/>
                <w:lang w:val="en-US"/>
              </w:rPr>
            </w:pPr>
            <w:r w:rsidRPr="007E37EC">
              <w:rPr>
                <w:rFonts w:ascii="Arial" w:hAnsi="Arial" w:cs="Arial"/>
                <w:sz w:val="20"/>
                <w:szCs w:val="20"/>
                <w:lang w:val="en-US"/>
              </w:rPr>
              <w:t>143.22</w:t>
            </w:r>
          </w:p>
        </w:tc>
        <w:tc>
          <w:tcPr>
            <w:tcW w:w="1360" w:type="dxa"/>
          </w:tcPr>
          <w:p w14:paraId="7AB291CD" w14:textId="77777777" w:rsidR="00DF500E" w:rsidRPr="007E37EC" w:rsidRDefault="00DF500E" w:rsidP="00171EC2">
            <w:pPr>
              <w:spacing w:line="360" w:lineRule="auto"/>
              <w:jc w:val="both"/>
              <w:rPr>
                <w:rFonts w:ascii="Arial" w:hAnsi="Arial" w:cs="Arial"/>
                <w:sz w:val="20"/>
                <w:szCs w:val="20"/>
                <w:lang w:val="en-US"/>
              </w:rPr>
            </w:pPr>
            <w:r w:rsidRPr="007E37EC">
              <w:rPr>
                <w:rFonts w:ascii="Arial" w:hAnsi="Arial" w:cs="Arial"/>
                <w:color w:val="000000" w:themeColor="text1"/>
                <w:spacing w:val="-2"/>
                <w:sz w:val="20"/>
                <w:szCs w:val="20"/>
              </w:rPr>
              <w:t>49.62</w:t>
            </w:r>
          </w:p>
        </w:tc>
        <w:tc>
          <w:tcPr>
            <w:tcW w:w="1360" w:type="dxa"/>
          </w:tcPr>
          <w:p w14:paraId="2F905D36" w14:textId="77777777" w:rsidR="00DF500E" w:rsidRPr="007E37EC" w:rsidRDefault="00DF500E" w:rsidP="00171EC2">
            <w:pPr>
              <w:spacing w:line="360" w:lineRule="auto"/>
              <w:jc w:val="both"/>
              <w:rPr>
                <w:rFonts w:ascii="Arial" w:hAnsi="Arial" w:cs="Arial"/>
                <w:sz w:val="20"/>
                <w:szCs w:val="20"/>
                <w:lang w:val="en-US"/>
              </w:rPr>
            </w:pPr>
            <w:r w:rsidRPr="007E37EC">
              <w:rPr>
                <w:rFonts w:ascii="Arial" w:hAnsi="Arial" w:cs="Arial"/>
                <w:sz w:val="20"/>
                <w:szCs w:val="20"/>
                <w:lang w:val="en-US"/>
              </w:rPr>
              <w:t>119.15</w:t>
            </w:r>
          </w:p>
        </w:tc>
        <w:tc>
          <w:tcPr>
            <w:tcW w:w="1360" w:type="dxa"/>
          </w:tcPr>
          <w:p w14:paraId="50549E48" w14:textId="77777777" w:rsidR="00DF500E" w:rsidRPr="007E37EC" w:rsidRDefault="00DF500E" w:rsidP="00171EC2">
            <w:pPr>
              <w:spacing w:line="360" w:lineRule="auto"/>
              <w:jc w:val="both"/>
              <w:rPr>
                <w:rFonts w:ascii="Arial" w:hAnsi="Arial" w:cs="Arial"/>
                <w:sz w:val="20"/>
                <w:szCs w:val="20"/>
                <w:lang w:val="en-US"/>
              </w:rPr>
            </w:pPr>
            <w:r w:rsidRPr="007E37EC">
              <w:rPr>
                <w:rFonts w:ascii="Arial" w:hAnsi="Arial" w:cs="Arial"/>
                <w:sz w:val="20"/>
                <w:szCs w:val="20"/>
                <w:lang w:val="en-US"/>
              </w:rPr>
              <w:t>42.36</w:t>
            </w:r>
          </w:p>
        </w:tc>
        <w:tc>
          <w:tcPr>
            <w:tcW w:w="1360" w:type="dxa"/>
          </w:tcPr>
          <w:p w14:paraId="59491CCD" w14:textId="77777777" w:rsidR="00DF500E" w:rsidRPr="007E37EC" w:rsidRDefault="00DF500E" w:rsidP="00171EC2">
            <w:pPr>
              <w:spacing w:line="360" w:lineRule="auto"/>
              <w:jc w:val="both"/>
              <w:rPr>
                <w:rFonts w:ascii="Arial" w:hAnsi="Arial" w:cs="Arial"/>
                <w:sz w:val="20"/>
                <w:szCs w:val="20"/>
                <w:lang w:val="en-US"/>
              </w:rPr>
            </w:pPr>
            <w:r w:rsidRPr="007E37EC">
              <w:rPr>
                <w:rFonts w:ascii="Arial" w:hAnsi="Arial" w:cs="Arial"/>
                <w:sz w:val="20"/>
                <w:szCs w:val="20"/>
                <w:lang w:val="en-US"/>
              </w:rPr>
              <w:t>121.70</w:t>
            </w:r>
          </w:p>
        </w:tc>
      </w:tr>
      <w:tr w:rsidR="00DF500E" w:rsidRPr="007E37EC" w14:paraId="49D45C6C" w14:textId="77777777" w:rsidTr="001E7672">
        <w:trPr>
          <w:trHeight w:val="360"/>
        </w:trPr>
        <w:tc>
          <w:tcPr>
            <w:tcW w:w="1915" w:type="dxa"/>
          </w:tcPr>
          <w:p w14:paraId="6BD97BA5" w14:textId="77777777" w:rsidR="00DF500E" w:rsidRPr="007E37EC" w:rsidRDefault="00DF500E" w:rsidP="00171EC2">
            <w:pPr>
              <w:spacing w:line="360" w:lineRule="auto"/>
              <w:jc w:val="both"/>
              <w:rPr>
                <w:rFonts w:ascii="Arial" w:hAnsi="Arial" w:cs="Arial"/>
                <w:b/>
                <w:bCs/>
                <w:sz w:val="20"/>
                <w:szCs w:val="20"/>
                <w:lang w:val="en-US"/>
              </w:rPr>
            </w:pPr>
            <w:r w:rsidRPr="007E37EC">
              <w:rPr>
                <w:rFonts w:ascii="Arial" w:hAnsi="Arial" w:cs="Arial"/>
                <w:b/>
                <w:bCs/>
                <w:sz w:val="20"/>
                <w:szCs w:val="20"/>
                <w:lang w:val="en-US"/>
              </w:rPr>
              <w:t xml:space="preserve">Total </w:t>
            </w:r>
          </w:p>
        </w:tc>
        <w:tc>
          <w:tcPr>
            <w:tcW w:w="1472" w:type="dxa"/>
          </w:tcPr>
          <w:p w14:paraId="1169487A" w14:textId="77777777" w:rsidR="00DF500E" w:rsidRPr="007E37EC" w:rsidRDefault="00DF500E" w:rsidP="00171EC2">
            <w:pPr>
              <w:spacing w:line="360" w:lineRule="auto"/>
              <w:jc w:val="both"/>
              <w:rPr>
                <w:rFonts w:ascii="Arial" w:hAnsi="Arial" w:cs="Arial"/>
                <w:b/>
                <w:bCs/>
                <w:sz w:val="20"/>
                <w:szCs w:val="20"/>
                <w:lang w:val="en-US"/>
              </w:rPr>
            </w:pPr>
            <w:r w:rsidRPr="007E37EC">
              <w:rPr>
                <w:rFonts w:ascii="Arial" w:hAnsi="Arial" w:cs="Arial"/>
                <w:b/>
                <w:bCs/>
                <w:sz w:val="20"/>
                <w:szCs w:val="20"/>
                <w:lang w:val="en-US"/>
              </w:rPr>
              <w:t>31</w:t>
            </w:r>
          </w:p>
        </w:tc>
        <w:tc>
          <w:tcPr>
            <w:tcW w:w="1262" w:type="dxa"/>
          </w:tcPr>
          <w:p w14:paraId="0F0E3A94" w14:textId="77777777" w:rsidR="00DF500E" w:rsidRPr="007E37EC" w:rsidRDefault="00DF500E" w:rsidP="00171EC2">
            <w:pPr>
              <w:spacing w:line="360" w:lineRule="auto"/>
              <w:jc w:val="both"/>
              <w:rPr>
                <w:rFonts w:ascii="Arial" w:hAnsi="Arial" w:cs="Arial"/>
                <w:b/>
                <w:bCs/>
                <w:sz w:val="20"/>
                <w:szCs w:val="20"/>
                <w:lang w:val="en-US"/>
              </w:rPr>
            </w:pPr>
            <w:r w:rsidRPr="007E37EC">
              <w:rPr>
                <w:rFonts w:ascii="Arial" w:hAnsi="Arial" w:cs="Arial"/>
                <w:b/>
                <w:bCs/>
                <w:sz w:val="20"/>
                <w:szCs w:val="20"/>
                <w:lang w:val="en-US"/>
              </w:rPr>
              <w:t>148.51</w:t>
            </w:r>
          </w:p>
        </w:tc>
        <w:tc>
          <w:tcPr>
            <w:tcW w:w="1360" w:type="dxa"/>
          </w:tcPr>
          <w:p w14:paraId="2FE9F378" w14:textId="77777777" w:rsidR="00DF500E" w:rsidRPr="007E37EC" w:rsidRDefault="00DF500E" w:rsidP="00171EC2">
            <w:pPr>
              <w:spacing w:line="360" w:lineRule="auto"/>
              <w:jc w:val="both"/>
              <w:rPr>
                <w:rFonts w:ascii="Arial" w:hAnsi="Arial" w:cs="Arial"/>
                <w:b/>
                <w:bCs/>
                <w:sz w:val="20"/>
                <w:szCs w:val="20"/>
                <w:lang w:val="en-US"/>
              </w:rPr>
            </w:pPr>
            <w:r w:rsidRPr="007E37EC">
              <w:rPr>
                <w:rFonts w:ascii="Arial" w:hAnsi="Arial" w:cs="Arial"/>
                <w:b/>
                <w:bCs/>
                <w:color w:val="000000" w:themeColor="text1"/>
                <w:spacing w:val="-2"/>
                <w:sz w:val="20"/>
                <w:szCs w:val="20"/>
              </w:rPr>
              <w:t>42.80</w:t>
            </w:r>
          </w:p>
        </w:tc>
        <w:tc>
          <w:tcPr>
            <w:tcW w:w="1360" w:type="dxa"/>
          </w:tcPr>
          <w:p w14:paraId="3D2E02CF" w14:textId="77777777" w:rsidR="00DF500E" w:rsidRPr="007E37EC" w:rsidRDefault="00DF500E" w:rsidP="00171EC2">
            <w:pPr>
              <w:spacing w:line="360" w:lineRule="auto"/>
              <w:jc w:val="both"/>
              <w:rPr>
                <w:rFonts w:ascii="Arial" w:hAnsi="Arial" w:cs="Arial"/>
                <w:b/>
                <w:bCs/>
                <w:sz w:val="20"/>
                <w:szCs w:val="20"/>
                <w:lang w:val="en-US"/>
              </w:rPr>
            </w:pPr>
            <w:r w:rsidRPr="007E37EC">
              <w:rPr>
                <w:rFonts w:ascii="Arial" w:hAnsi="Arial" w:cs="Arial"/>
                <w:b/>
                <w:bCs/>
                <w:sz w:val="20"/>
                <w:szCs w:val="20"/>
                <w:lang w:val="en-US"/>
              </w:rPr>
              <w:t>124.66</w:t>
            </w:r>
          </w:p>
        </w:tc>
        <w:tc>
          <w:tcPr>
            <w:tcW w:w="1360" w:type="dxa"/>
          </w:tcPr>
          <w:p w14:paraId="292E8C3A" w14:textId="77777777" w:rsidR="00DF500E" w:rsidRPr="007E37EC" w:rsidRDefault="00DF500E" w:rsidP="00171EC2">
            <w:pPr>
              <w:spacing w:line="360" w:lineRule="auto"/>
              <w:jc w:val="both"/>
              <w:rPr>
                <w:rFonts w:ascii="Arial" w:hAnsi="Arial" w:cs="Arial"/>
                <w:b/>
                <w:bCs/>
                <w:sz w:val="20"/>
                <w:szCs w:val="20"/>
                <w:lang w:val="en-US"/>
              </w:rPr>
            </w:pPr>
            <w:r w:rsidRPr="007E37EC">
              <w:rPr>
                <w:rFonts w:ascii="Arial" w:hAnsi="Arial" w:cs="Arial"/>
                <w:b/>
                <w:bCs/>
                <w:sz w:val="20"/>
                <w:szCs w:val="20"/>
                <w:lang w:val="en-US"/>
              </w:rPr>
              <w:t>38.85</w:t>
            </w:r>
          </w:p>
        </w:tc>
        <w:tc>
          <w:tcPr>
            <w:tcW w:w="1360" w:type="dxa"/>
          </w:tcPr>
          <w:p w14:paraId="79C65C6B" w14:textId="77777777" w:rsidR="00DF500E" w:rsidRPr="007E37EC" w:rsidRDefault="00DF500E" w:rsidP="00171EC2">
            <w:pPr>
              <w:spacing w:line="360" w:lineRule="auto"/>
              <w:jc w:val="both"/>
              <w:rPr>
                <w:rFonts w:ascii="Arial" w:hAnsi="Arial" w:cs="Arial"/>
                <w:b/>
                <w:bCs/>
                <w:sz w:val="20"/>
                <w:szCs w:val="20"/>
                <w:lang w:val="en-US"/>
              </w:rPr>
            </w:pPr>
            <w:r w:rsidRPr="007E37EC">
              <w:rPr>
                <w:rFonts w:ascii="Arial" w:hAnsi="Arial" w:cs="Arial"/>
                <w:b/>
                <w:bCs/>
                <w:sz w:val="20"/>
                <w:szCs w:val="20"/>
                <w:lang w:val="en-US"/>
              </w:rPr>
              <w:t>123.82</w:t>
            </w:r>
          </w:p>
        </w:tc>
      </w:tr>
    </w:tbl>
    <w:p w14:paraId="27C82982" w14:textId="4A728F64" w:rsidR="00DF500E" w:rsidRPr="007E37EC" w:rsidRDefault="00DF500E" w:rsidP="00171EC2">
      <w:pPr>
        <w:spacing w:line="360" w:lineRule="auto"/>
        <w:jc w:val="both"/>
        <w:rPr>
          <w:rFonts w:ascii="Arial" w:hAnsi="Arial" w:cs="Arial"/>
        </w:rPr>
      </w:pPr>
    </w:p>
    <w:p w14:paraId="22FF3210" w14:textId="77777777" w:rsidR="00574288" w:rsidRPr="007E37EC" w:rsidRDefault="00574288" w:rsidP="00171EC2">
      <w:pPr>
        <w:spacing w:after="0" w:line="360" w:lineRule="auto"/>
        <w:jc w:val="both"/>
        <w:rPr>
          <w:rFonts w:ascii="Arial" w:eastAsia="Times New Roman" w:hAnsi="Arial" w:cs="Arial"/>
          <w:kern w:val="0"/>
          <w:sz w:val="20"/>
          <w:szCs w:val="20"/>
          <w:lang w:eastAsia="en-IN"/>
          <w14:ligatures w14:val="none"/>
        </w:rPr>
      </w:pPr>
    </w:p>
    <w:p w14:paraId="07018901" w14:textId="7F171559" w:rsidR="00C63C30" w:rsidRPr="007E37EC" w:rsidRDefault="001E7AFD" w:rsidP="00171EC2">
      <w:pPr>
        <w:spacing w:after="0" w:line="360" w:lineRule="auto"/>
        <w:jc w:val="both"/>
        <w:rPr>
          <w:rFonts w:ascii="Arial" w:eastAsia="Times New Roman" w:hAnsi="Arial" w:cs="Arial"/>
          <w:kern w:val="0"/>
          <w:sz w:val="20"/>
          <w:szCs w:val="20"/>
          <w:lang w:eastAsia="en-IN"/>
          <w14:ligatures w14:val="none"/>
        </w:rPr>
      </w:pPr>
      <w:r w:rsidRPr="007E37EC">
        <w:rPr>
          <w:rFonts w:ascii="Arial" w:eastAsia="Times New Roman" w:hAnsi="Arial" w:cs="Arial"/>
          <w:kern w:val="0"/>
          <w:sz w:val="20"/>
          <w:szCs w:val="20"/>
          <w:lang w:eastAsia="en-IN"/>
          <w14:ligatures w14:val="none"/>
        </w:rPr>
        <w:t xml:space="preserve">Among the surveyed regions, </w:t>
      </w:r>
      <w:proofErr w:type="spellStart"/>
      <w:r w:rsidRPr="007E37EC">
        <w:rPr>
          <w:rFonts w:ascii="Arial" w:eastAsia="Times New Roman" w:hAnsi="Arial" w:cs="Arial"/>
          <w:kern w:val="0"/>
          <w:sz w:val="20"/>
          <w:szCs w:val="20"/>
          <w:lang w:eastAsia="en-IN"/>
          <w14:ligatures w14:val="none"/>
        </w:rPr>
        <w:t>Coochbehar</w:t>
      </w:r>
      <w:proofErr w:type="spellEnd"/>
      <w:r w:rsidRPr="007E37EC">
        <w:rPr>
          <w:rFonts w:ascii="Arial" w:eastAsia="Times New Roman" w:hAnsi="Arial" w:cs="Arial"/>
          <w:kern w:val="0"/>
          <w:sz w:val="20"/>
          <w:szCs w:val="20"/>
          <w:lang w:eastAsia="en-IN"/>
          <w14:ligatures w14:val="none"/>
        </w:rPr>
        <w:t xml:space="preserve"> II’s elev</w:t>
      </w:r>
      <w:r w:rsidR="001519F9" w:rsidRPr="007E37EC">
        <w:rPr>
          <w:rFonts w:ascii="Arial" w:eastAsia="Times New Roman" w:hAnsi="Arial" w:cs="Arial"/>
          <w:kern w:val="0"/>
          <w:sz w:val="20"/>
          <w:szCs w:val="20"/>
          <w:lang w:eastAsia="en-IN"/>
          <w14:ligatures w14:val="none"/>
        </w:rPr>
        <w:t>en processing units demonstrate</w:t>
      </w:r>
      <w:r w:rsidRPr="007E37EC">
        <w:rPr>
          <w:rFonts w:ascii="Arial" w:eastAsia="Times New Roman" w:hAnsi="Arial" w:cs="Arial"/>
          <w:kern w:val="0"/>
          <w:sz w:val="20"/>
          <w:szCs w:val="20"/>
          <w:lang w:eastAsia="en-IN"/>
          <w14:ligatures w14:val="none"/>
        </w:rPr>
        <w:t xml:space="preserve"> maximum in utilization – consuming milk</w:t>
      </w:r>
      <w:r w:rsidR="00C63C30" w:rsidRPr="007E37EC">
        <w:rPr>
          <w:rFonts w:ascii="Arial" w:eastAsia="Times New Roman" w:hAnsi="Arial" w:cs="Arial"/>
          <w:kern w:val="0"/>
          <w:sz w:val="20"/>
          <w:szCs w:val="20"/>
          <w:lang w:eastAsia="en-IN"/>
          <w14:ligatures w14:val="none"/>
        </w:rPr>
        <w:t xml:space="preserve"> (168.47 L per day per firm) and sugar (40.74 kg), </w:t>
      </w:r>
      <w:r w:rsidRPr="007E37EC">
        <w:rPr>
          <w:rFonts w:ascii="Arial" w:eastAsia="Times New Roman" w:hAnsi="Arial" w:cs="Arial"/>
          <w:kern w:val="0"/>
          <w:sz w:val="20"/>
          <w:szCs w:val="20"/>
          <w:lang w:eastAsia="en-IN"/>
          <w14:ligatures w14:val="none"/>
        </w:rPr>
        <w:t>yielding</w:t>
      </w:r>
      <w:r w:rsidR="00C63C30" w:rsidRPr="007E37EC">
        <w:rPr>
          <w:rFonts w:ascii="Arial" w:eastAsia="Times New Roman" w:hAnsi="Arial" w:cs="Arial"/>
          <w:kern w:val="0"/>
          <w:sz w:val="20"/>
          <w:szCs w:val="20"/>
          <w:lang w:eastAsia="en-IN"/>
          <w14:ligatures w14:val="none"/>
        </w:rPr>
        <w:t xml:space="preserve"> in a production output of 140.39 kg of curd at a relatively low milk price of Rs 36.61 per </w:t>
      </w:r>
      <w:r w:rsidR="00001E8B" w:rsidRPr="007E37EC">
        <w:rPr>
          <w:rFonts w:ascii="Arial" w:eastAsia="Times New Roman" w:hAnsi="Arial" w:cs="Arial"/>
          <w:kern w:val="0"/>
          <w:sz w:val="20"/>
          <w:szCs w:val="20"/>
          <w:lang w:eastAsia="en-IN"/>
          <w14:ligatures w14:val="none"/>
        </w:rPr>
        <w:t>litre</w:t>
      </w:r>
      <w:r w:rsidR="00C63C30" w:rsidRPr="007E37EC">
        <w:rPr>
          <w:rFonts w:ascii="Arial" w:eastAsia="Times New Roman" w:hAnsi="Arial" w:cs="Arial"/>
          <w:kern w:val="0"/>
          <w:sz w:val="20"/>
          <w:szCs w:val="20"/>
          <w:lang w:eastAsia="en-IN"/>
          <w14:ligatures w14:val="none"/>
        </w:rPr>
        <w:t xml:space="preserve">. In comparison, </w:t>
      </w:r>
      <w:proofErr w:type="spellStart"/>
      <w:r w:rsidR="00C63C30" w:rsidRPr="007E37EC">
        <w:rPr>
          <w:rFonts w:ascii="Arial" w:eastAsia="Times New Roman" w:hAnsi="Arial" w:cs="Arial"/>
          <w:kern w:val="0"/>
          <w:sz w:val="20"/>
          <w:szCs w:val="20"/>
          <w:lang w:eastAsia="en-IN"/>
          <w14:ligatures w14:val="none"/>
        </w:rPr>
        <w:t>Tufanganj</w:t>
      </w:r>
      <w:proofErr w:type="spellEnd"/>
      <w:r w:rsidR="00C63C30" w:rsidRPr="007E37EC">
        <w:rPr>
          <w:rFonts w:ascii="Arial" w:eastAsia="Times New Roman" w:hAnsi="Arial" w:cs="Arial"/>
          <w:kern w:val="0"/>
          <w:sz w:val="20"/>
          <w:szCs w:val="20"/>
          <w:lang w:eastAsia="en-IN"/>
          <w14:ligatures w14:val="none"/>
        </w:rPr>
        <w:t xml:space="preserve"> I, consisting of 10 firms, uses less milk (137.36 L) but a greater amount of sugar (42.94 kg), producing 117.38 kg of curd. </w:t>
      </w:r>
      <w:proofErr w:type="spellStart"/>
      <w:r w:rsidR="00001E8B" w:rsidRPr="007E37EC">
        <w:rPr>
          <w:rFonts w:ascii="Arial" w:eastAsia="Times New Roman" w:hAnsi="Arial" w:cs="Arial"/>
          <w:kern w:val="0"/>
          <w:sz w:val="20"/>
          <w:szCs w:val="20"/>
          <w:lang w:eastAsia="en-IN"/>
          <w14:ligatures w14:val="none"/>
        </w:rPr>
        <w:t>Alipurduar</w:t>
      </w:r>
      <w:proofErr w:type="spellEnd"/>
      <w:r w:rsidR="00C63C30" w:rsidRPr="007E37EC">
        <w:rPr>
          <w:rFonts w:ascii="Arial" w:eastAsia="Times New Roman" w:hAnsi="Arial" w:cs="Arial"/>
          <w:kern w:val="0"/>
          <w:sz w:val="20"/>
          <w:szCs w:val="20"/>
          <w:lang w:eastAsia="en-IN"/>
          <w14:ligatures w14:val="none"/>
        </w:rPr>
        <w:t xml:space="preserve"> I </w:t>
      </w:r>
      <w:r w:rsidR="00001E8B" w:rsidRPr="007E37EC">
        <w:rPr>
          <w:rFonts w:ascii="Arial" w:eastAsia="Times New Roman" w:hAnsi="Arial" w:cs="Arial"/>
          <w:kern w:val="0"/>
          <w:sz w:val="20"/>
          <w:szCs w:val="20"/>
          <w:lang w:eastAsia="en-IN"/>
          <w14:ligatures w14:val="none"/>
        </w:rPr>
        <w:t>operate</w:t>
      </w:r>
      <w:r w:rsidR="00C63C30" w:rsidRPr="007E37EC">
        <w:rPr>
          <w:rFonts w:ascii="Arial" w:eastAsia="Times New Roman" w:hAnsi="Arial" w:cs="Arial"/>
          <w:kern w:val="0"/>
          <w:sz w:val="20"/>
          <w:szCs w:val="20"/>
          <w:lang w:eastAsia="en-IN"/>
          <w14:ligatures w14:val="none"/>
        </w:rPr>
        <w:t xml:space="preserve"> on a smaller scale with 4 firms, consuming 129.49 L of milk and 37.87 kg of sugar to yield 107.91 kg of curd, despite higher milk prices (Rs 42.91 per </w:t>
      </w:r>
      <w:r w:rsidR="00AC2E7D" w:rsidRPr="007E37EC">
        <w:rPr>
          <w:rFonts w:ascii="Arial" w:eastAsia="Times New Roman" w:hAnsi="Arial" w:cs="Arial"/>
          <w:kern w:val="0"/>
          <w:sz w:val="20"/>
          <w:szCs w:val="20"/>
          <w:lang w:eastAsia="en-IN"/>
          <w14:ligatures w14:val="none"/>
        </w:rPr>
        <w:t>litre</w:t>
      </w:r>
      <w:r w:rsidR="00C63C30" w:rsidRPr="007E37EC">
        <w:rPr>
          <w:rFonts w:ascii="Arial" w:eastAsia="Times New Roman" w:hAnsi="Arial" w:cs="Arial"/>
          <w:kern w:val="0"/>
          <w:sz w:val="20"/>
          <w:szCs w:val="20"/>
          <w:lang w:eastAsia="en-IN"/>
          <w14:ligatures w14:val="none"/>
        </w:rPr>
        <w:t xml:space="preserve">). </w:t>
      </w:r>
      <w:proofErr w:type="spellStart"/>
      <w:r w:rsidR="00C63C30" w:rsidRPr="007E37EC">
        <w:rPr>
          <w:rFonts w:ascii="Arial" w:eastAsia="Times New Roman" w:hAnsi="Arial" w:cs="Arial"/>
          <w:kern w:val="0"/>
          <w:sz w:val="20"/>
          <w:szCs w:val="20"/>
          <w:lang w:eastAsia="en-IN"/>
          <w14:ligatures w14:val="none"/>
        </w:rPr>
        <w:t>Alipurduar</w:t>
      </w:r>
      <w:proofErr w:type="spellEnd"/>
      <w:r w:rsidR="00C63C30" w:rsidRPr="007E37EC">
        <w:rPr>
          <w:rFonts w:ascii="Arial" w:eastAsia="Times New Roman" w:hAnsi="Arial" w:cs="Arial"/>
          <w:kern w:val="0"/>
          <w:sz w:val="20"/>
          <w:szCs w:val="20"/>
          <w:lang w:eastAsia="en-IN"/>
          <w14:ligatures w14:val="none"/>
        </w:rPr>
        <w:t xml:space="preserve"> II, comprising 6 firms, achieves a balance by using 143.22 L of milk and 49.62 kg of sugar, resulting in 119.15 kg of curd. On average, firms consume 148.51 L of milk and 42.80 kg of sugar, leading to the sale of 124.66 kg of curd at Rs 123.82 per kg, with milk priced at Rs 38.85 per </w:t>
      </w:r>
      <w:r w:rsidR="00001E8B" w:rsidRPr="007E37EC">
        <w:rPr>
          <w:rFonts w:ascii="Arial" w:eastAsia="Times New Roman" w:hAnsi="Arial" w:cs="Arial"/>
          <w:kern w:val="0"/>
          <w:sz w:val="20"/>
          <w:szCs w:val="20"/>
          <w:lang w:eastAsia="en-IN"/>
          <w14:ligatures w14:val="none"/>
        </w:rPr>
        <w:t>litre</w:t>
      </w:r>
      <w:r w:rsidR="00C63C30" w:rsidRPr="007E37EC">
        <w:rPr>
          <w:rFonts w:ascii="Arial" w:eastAsia="Times New Roman" w:hAnsi="Arial" w:cs="Arial"/>
          <w:kern w:val="0"/>
          <w:sz w:val="20"/>
          <w:szCs w:val="20"/>
          <w:lang w:eastAsia="en-IN"/>
          <w14:ligatures w14:val="none"/>
        </w:rPr>
        <w:t xml:space="preserve">. </w:t>
      </w:r>
      <w:proofErr w:type="spellStart"/>
      <w:r w:rsidR="00C63C30" w:rsidRPr="007E37EC">
        <w:rPr>
          <w:rFonts w:ascii="Arial" w:eastAsia="Times New Roman" w:hAnsi="Arial" w:cs="Arial"/>
          <w:kern w:val="0"/>
          <w:sz w:val="20"/>
          <w:szCs w:val="20"/>
          <w:lang w:eastAsia="en-IN"/>
          <w14:ligatures w14:val="none"/>
        </w:rPr>
        <w:t>Coochbehar</w:t>
      </w:r>
      <w:proofErr w:type="spellEnd"/>
      <w:r w:rsidR="00C63C30" w:rsidRPr="007E37EC">
        <w:rPr>
          <w:rFonts w:ascii="Arial" w:eastAsia="Times New Roman" w:hAnsi="Arial" w:cs="Arial"/>
          <w:kern w:val="0"/>
          <w:sz w:val="20"/>
          <w:szCs w:val="20"/>
          <w:lang w:eastAsia="en-IN"/>
          <w14:ligatures w14:val="none"/>
        </w:rPr>
        <w:t xml:space="preserve"> II demonstrates efficiency through high production volume, whereas </w:t>
      </w:r>
      <w:proofErr w:type="spellStart"/>
      <w:r w:rsidR="00C63C30" w:rsidRPr="007E37EC">
        <w:rPr>
          <w:rFonts w:ascii="Arial" w:eastAsia="Times New Roman" w:hAnsi="Arial" w:cs="Arial"/>
          <w:kern w:val="0"/>
          <w:sz w:val="20"/>
          <w:szCs w:val="20"/>
          <w:lang w:eastAsia="en-IN"/>
          <w14:ligatures w14:val="none"/>
        </w:rPr>
        <w:t>Alipurduar</w:t>
      </w:r>
      <w:proofErr w:type="spellEnd"/>
      <w:r w:rsidR="00C63C30" w:rsidRPr="007E37EC">
        <w:rPr>
          <w:rFonts w:ascii="Arial" w:eastAsia="Times New Roman" w:hAnsi="Arial" w:cs="Arial"/>
          <w:kern w:val="0"/>
          <w:sz w:val="20"/>
          <w:szCs w:val="20"/>
          <w:lang w:eastAsia="en-IN"/>
          <w14:ligatures w14:val="none"/>
        </w:rPr>
        <w:t xml:space="preserve"> encounters cost-related challenges, highlighting the need for supply chain interventions in oligopolistic markets.</w:t>
      </w:r>
    </w:p>
    <w:p w14:paraId="627B783F" w14:textId="7D7349C9" w:rsidR="00C63C30" w:rsidRPr="007E37EC" w:rsidRDefault="00C63C30" w:rsidP="00171EC2">
      <w:pPr>
        <w:pStyle w:val="BodyText"/>
        <w:spacing w:line="360" w:lineRule="auto"/>
        <w:ind w:right="429"/>
        <w:jc w:val="both"/>
        <w:rPr>
          <w:rFonts w:ascii="Arial" w:hAnsi="Arial" w:cs="Arial"/>
          <w:b/>
          <w:bCs/>
          <w:sz w:val="22"/>
          <w:szCs w:val="22"/>
        </w:rPr>
      </w:pPr>
      <w:r w:rsidRPr="007E37EC">
        <w:rPr>
          <w:rFonts w:ascii="Arial" w:hAnsi="Arial" w:cs="Arial"/>
          <w:b/>
          <w:bCs/>
          <w:sz w:val="22"/>
          <w:szCs w:val="22"/>
        </w:rPr>
        <w:t xml:space="preserve">3.2. Analysis of variable cost other than </w:t>
      </w:r>
      <w:proofErr w:type="spellStart"/>
      <w:r w:rsidRPr="007E37EC">
        <w:rPr>
          <w:rFonts w:ascii="Arial" w:hAnsi="Arial" w:cs="Arial"/>
          <w:b/>
          <w:bCs/>
          <w:sz w:val="22"/>
          <w:szCs w:val="22"/>
        </w:rPr>
        <w:t>lab</w:t>
      </w:r>
      <w:r w:rsidR="009908C4" w:rsidRPr="007E37EC">
        <w:rPr>
          <w:rFonts w:ascii="Arial" w:hAnsi="Arial" w:cs="Arial"/>
          <w:b/>
          <w:bCs/>
          <w:sz w:val="22"/>
          <w:szCs w:val="22"/>
        </w:rPr>
        <w:t>our</w:t>
      </w:r>
      <w:proofErr w:type="spellEnd"/>
      <w:r w:rsidRPr="007E37EC">
        <w:rPr>
          <w:rFonts w:ascii="Arial" w:hAnsi="Arial" w:cs="Arial"/>
          <w:b/>
          <w:bCs/>
          <w:sz w:val="22"/>
          <w:szCs w:val="22"/>
        </w:rPr>
        <w:t xml:space="preserve"> </w:t>
      </w:r>
      <w:r w:rsidR="00033F7D" w:rsidRPr="007E37EC">
        <w:rPr>
          <w:rFonts w:ascii="Arial" w:hAnsi="Arial" w:cs="Arial"/>
          <w:b/>
          <w:bCs/>
          <w:sz w:val="22"/>
          <w:szCs w:val="22"/>
        </w:rPr>
        <w:t>(</w:t>
      </w:r>
      <w:r w:rsidRPr="007E37EC">
        <w:rPr>
          <w:rFonts w:ascii="Arial" w:hAnsi="Arial" w:cs="Arial"/>
          <w:b/>
          <w:bCs/>
          <w:sz w:val="22"/>
          <w:szCs w:val="22"/>
        </w:rPr>
        <w:t>per day per processing unit</w:t>
      </w:r>
      <w:r w:rsidR="00033F7D" w:rsidRPr="007E37EC">
        <w:rPr>
          <w:rFonts w:ascii="Arial" w:hAnsi="Arial" w:cs="Arial"/>
          <w:b/>
          <w:bCs/>
          <w:sz w:val="22"/>
          <w:szCs w:val="22"/>
        </w:rPr>
        <w:t>)</w:t>
      </w:r>
    </w:p>
    <w:p w14:paraId="35C100FF" w14:textId="77777777" w:rsidR="00C63C30" w:rsidRPr="007E37EC" w:rsidRDefault="00C63C30" w:rsidP="00171EC2">
      <w:pPr>
        <w:spacing w:line="360" w:lineRule="auto"/>
        <w:ind w:right="866"/>
        <w:jc w:val="both"/>
        <w:rPr>
          <w:rFonts w:ascii="Arial" w:hAnsi="Arial" w:cs="Arial"/>
          <w:color w:val="000000" w:themeColor="text1"/>
        </w:rPr>
      </w:pPr>
      <w:r w:rsidRPr="003800DB">
        <w:rPr>
          <w:rFonts w:ascii="Arial" w:hAnsi="Arial" w:cs="Arial"/>
          <w:b/>
          <w:color w:val="000000" w:themeColor="text1"/>
          <w:sz w:val="20"/>
          <w:szCs w:val="20"/>
        </w:rPr>
        <w:t xml:space="preserve">Table 2: </w:t>
      </w:r>
      <w:r w:rsidRPr="003800DB">
        <w:rPr>
          <w:rFonts w:ascii="Arial" w:hAnsi="Arial" w:cs="Arial"/>
          <w:color w:val="000000" w:themeColor="text1"/>
          <w:sz w:val="20"/>
          <w:szCs w:val="20"/>
        </w:rPr>
        <w:t>Cost of variable items per firm per day (in Rs)</w:t>
      </w:r>
    </w:p>
    <w:tbl>
      <w:tblPr>
        <w:tblStyle w:val="TableGrid"/>
        <w:tblW w:w="9554" w:type="dxa"/>
        <w:tblLook w:val="04A0" w:firstRow="1" w:lastRow="0" w:firstColumn="1" w:lastColumn="0" w:noHBand="0" w:noVBand="1"/>
      </w:tblPr>
      <w:tblGrid>
        <w:gridCol w:w="1591"/>
        <w:gridCol w:w="1591"/>
        <w:gridCol w:w="1593"/>
        <w:gridCol w:w="1593"/>
        <w:gridCol w:w="1593"/>
        <w:gridCol w:w="1593"/>
      </w:tblGrid>
      <w:tr w:rsidR="00FF33A9" w:rsidRPr="007E37EC" w14:paraId="71A75D13" w14:textId="77777777" w:rsidTr="00FF76EA">
        <w:trPr>
          <w:trHeight w:val="255"/>
        </w:trPr>
        <w:tc>
          <w:tcPr>
            <w:tcW w:w="1591" w:type="dxa"/>
            <w:vAlign w:val="center"/>
          </w:tcPr>
          <w:p w14:paraId="2BB46C0F" w14:textId="77777777" w:rsidR="00FF33A9" w:rsidRPr="007E37EC" w:rsidRDefault="00FF33A9" w:rsidP="000965F4">
            <w:pPr>
              <w:jc w:val="center"/>
              <w:rPr>
                <w:rFonts w:ascii="Arial" w:hAnsi="Arial" w:cs="Arial"/>
                <w:sz w:val="20"/>
                <w:szCs w:val="20"/>
              </w:rPr>
            </w:pPr>
            <w:r w:rsidRPr="007E37EC">
              <w:rPr>
                <w:rFonts w:ascii="Arial" w:hAnsi="Arial" w:cs="Arial"/>
                <w:sz w:val="20"/>
                <w:szCs w:val="20"/>
              </w:rPr>
              <w:t>Blocks</w:t>
            </w:r>
          </w:p>
        </w:tc>
        <w:tc>
          <w:tcPr>
            <w:tcW w:w="1591" w:type="dxa"/>
            <w:vAlign w:val="center"/>
          </w:tcPr>
          <w:p w14:paraId="43A24A6C" w14:textId="77777777" w:rsidR="00FF33A9" w:rsidRPr="007E37EC" w:rsidRDefault="00FF33A9" w:rsidP="000965F4">
            <w:pPr>
              <w:jc w:val="center"/>
              <w:rPr>
                <w:rFonts w:ascii="Arial" w:hAnsi="Arial" w:cs="Arial"/>
                <w:sz w:val="20"/>
                <w:szCs w:val="20"/>
              </w:rPr>
            </w:pPr>
            <w:r w:rsidRPr="007E37EC">
              <w:rPr>
                <w:rFonts w:ascii="Arial" w:hAnsi="Arial" w:cs="Arial"/>
                <w:sz w:val="20"/>
                <w:szCs w:val="20"/>
              </w:rPr>
              <w:t>Fluid Milk</w:t>
            </w:r>
          </w:p>
        </w:tc>
        <w:tc>
          <w:tcPr>
            <w:tcW w:w="1593" w:type="dxa"/>
            <w:vAlign w:val="center"/>
          </w:tcPr>
          <w:p w14:paraId="440DFC4F" w14:textId="77777777" w:rsidR="00FF33A9" w:rsidRPr="007E37EC" w:rsidRDefault="00FF33A9" w:rsidP="000965F4">
            <w:pPr>
              <w:jc w:val="center"/>
              <w:rPr>
                <w:rFonts w:ascii="Arial" w:hAnsi="Arial" w:cs="Arial"/>
                <w:sz w:val="20"/>
                <w:szCs w:val="20"/>
              </w:rPr>
            </w:pPr>
            <w:r w:rsidRPr="007E37EC">
              <w:rPr>
                <w:rFonts w:ascii="Arial" w:hAnsi="Arial" w:cs="Arial"/>
                <w:sz w:val="20"/>
                <w:szCs w:val="20"/>
              </w:rPr>
              <w:t>Sugar</w:t>
            </w:r>
          </w:p>
        </w:tc>
        <w:tc>
          <w:tcPr>
            <w:tcW w:w="1593" w:type="dxa"/>
            <w:vAlign w:val="center"/>
          </w:tcPr>
          <w:p w14:paraId="67952BD4" w14:textId="77777777" w:rsidR="00FF33A9" w:rsidRPr="007E37EC" w:rsidRDefault="00FF33A9" w:rsidP="000965F4">
            <w:pPr>
              <w:jc w:val="center"/>
              <w:rPr>
                <w:rFonts w:ascii="Arial" w:hAnsi="Arial" w:cs="Arial"/>
                <w:sz w:val="20"/>
                <w:szCs w:val="20"/>
              </w:rPr>
            </w:pPr>
            <w:r w:rsidRPr="007E37EC">
              <w:rPr>
                <w:rFonts w:ascii="Arial" w:hAnsi="Arial" w:cs="Arial"/>
                <w:sz w:val="20"/>
                <w:szCs w:val="20"/>
              </w:rPr>
              <w:t>Fuel</w:t>
            </w:r>
          </w:p>
        </w:tc>
        <w:tc>
          <w:tcPr>
            <w:tcW w:w="1593" w:type="dxa"/>
            <w:vAlign w:val="center"/>
          </w:tcPr>
          <w:p w14:paraId="60BF48A5" w14:textId="77777777" w:rsidR="00FF33A9" w:rsidRPr="007E37EC" w:rsidRDefault="00FF33A9" w:rsidP="000965F4">
            <w:pPr>
              <w:jc w:val="center"/>
              <w:rPr>
                <w:rFonts w:ascii="Arial" w:hAnsi="Arial" w:cs="Arial"/>
                <w:sz w:val="20"/>
                <w:szCs w:val="20"/>
              </w:rPr>
            </w:pPr>
            <w:r w:rsidRPr="007E37EC">
              <w:rPr>
                <w:rFonts w:ascii="Arial" w:hAnsi="Arial" w:cs="Arial"/>
                <w:sz w:val="20"/>
                <w:szCs w:val="20"/>
              </w:rPr>
              <w:t>Container</w:t>
            </w:r>
          </w:p>
        </w:tc>
        <w:tc>
          <w:tcPr>
            <w:tcW w:w="1593" w:type="dxa"/>
            <w:vAlign w:val="center"/>
          </w:tcPr>
          <w:p w14:paraId="2552B99C" w14:textId="77777777" w:rsidR="00FF33A9" w:rsidRPr="007E37EC" w:rsidRDefault="00FF33A9" w:rsidP="000965F4">
            <w:pPr>
              <w:jc w:val="center"/>
              <w:rPr>
                <w:rFonts w:ascii="Arial" w:hAnsi="Arial" w:cs="Arial"/>
                <w:sz w:val="20"/>
                <w:szCs w:val="20"/>
              </w:rPr>
            </w:pPr>
            <w:r w:rsidRPr="007E37EC">
              <w:rPr>
                <w:rFonts w:ascii="Arial" w:hAnsi="Arial" w:cs="Arial"/>
                <w:sz w:val="20"/>
                <w:szCs w:val="20"/>
              </w:rPr>
              <w:t>Total</w:t>
            </w:r>
          </w:p>
        </w:tc>
      </w:tr>
      <w:tr w:rsidR="00FF33A9" w:rsidRPr="007E37EC" w14:paraId="7A1E3579" w14:textId="77777777" w:rsidTr="00FF76EA">
        <w:trPr>
          <w:trHeight w:val="510"/>
        </w:trPr>
        <w:tc>
          <w:tcPr>
            <w:tcW w:w="1591" w:type="dxa"/>
            <w:vAlign w:val="center"/>
          </w:tcPr>
          <w:p w14:paraId="3CAAA614" w14:textId="77777777" w:rsidR="00FF33A9" w:rsidRPr="007E37EC" w:rsidRDefault="00FF33A9" w:rsidP="000965F4">
            <w:pPr>
              <w:jc w:val="center"/>
              <w:rPr>
                <w:rFonts w:ascii="Arial" w:hAnsi="Arial" w:cs="Arial"/>
                <w:sz w:val="20"/>
                <w:szCs w:val="20"/>
              </w:rPr>
            </w:pPr>
            <w:proofErr w:type="spellStart"/>
            <w:r w:rsidRPr="007E37EC">
              <w:rPr>
                <w:rFonts w:ascii="Arial" w:hAnsi="Arial" w:cs="Arial"/>
                <w:b/>
                <w:bCs/>
                <w:color w:val="000000" w:themeColor="text1"/>
                <w:sz w:val="20"/>
                <w:szCs w:val="20"/>
              </w:rPr>
              <w:t>Coochbehar</w:t>
            </w:r>
            <w:proofErr w:type="spellEnd"/>
            <w:r w:rsidRPr="007E37EC">
              <w:rPr>
                <w:rFonts w:ascii="Arial" w:hAnsi="Arial" w:cs="Arial"/>
                <w:b/>
                <w:bCs/>
                <w:color w:val="000000" w:themeColor="text1"/>
                <w:sz w:val="20"/>
                <w:szCs w:val="20"/>
              </w:rPr>
              <w:t xml:space="preserve"> II</w:t>
            </w:r>
          </w:p>
        </w:tc>
        <w:tc>
          <w:tcPr>
            <w:tcW w:w="1591" w:type="dxa"/>
            <w:vAlign w:val="center"/>
          </w:tcPr>
          <w:p w14:paraId="79B2109F"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pacing w:val="-2"/>
                <w:sz w:val="20"/>
                <w:szCs w:val="20"/>
              </w:rPr>
              <w:t>6188.62</w:t>
            </w:r>
          </w:p>
        </w:tc>
        <w:tc>
          <w:tcPr>
            <w:tcW w:w="1593" w:type="dxa"/>
            <w:vAlign w:val="center"/>
          </w:tcPr>
          <w:p w14:paraId="3F34AF47"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pacing w:val="-2"/>
                <w:sz w:val="20"/>
                <w:szCs w:val="20"/>
              </w:rPr>
              <w:t>1,683.20</w:t>
            </w:r>
          </w:p>
        </w:tc>
        <w:tc>
          <w:tcPr>
            <w:tcW w:w="1593" w:type="dxa"/>
            <w:vAlign w:val="center"/>
          </w:tcPr>
          <w:p w14:paraId="63351906"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pacing w:val="-2"/>
                <w:sz w:val="20"/>
                <w:szCs w:val="20"/>
              </w:rPr>
              <w:t>260.91</w:t>
            </w:r>
          </w:p>
        </w:tc>
        <w:tc>
          <w:tcPr>
            <w:tcW w:w="1593" w:type="dxa"/>
            <w:vAlign w:val="center"/>
          </w:tcPr>
          <w:p w14:paraId="070DDA0B"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pacing w:val="-2"/>
                <w:sz w:val="20"/>
                <w:szCs w:val="20"/>
              </w:rPr>
              <w:t>942.43</w:t>
            </w:r>
          </w:p>
        </w:tc>
        <w:tc>
          <w:tcPr>
            <w:tcW w:w="1593" w:type="dxa"/>
            <w:vAlign w:val="center"/>
          </w:tcPr>
          <w:p w14:paraId="397289D3"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z w:val="20"/>
                <w:szCs w:val="20"/>
              </w:rPr>
              <w:t>9075.16</w:t>
            </w:r>
          </w:p>
        </w:tc>
      </w:tr>
      <w:tr w:rsidR="00FF33A9" w:rsidRPr="007E37EC" w14:paraId="0FDEEE40" w14:textId="77777777" w:rsidTr="00FF76EA">
        <w:trPr>
          <w:trHeight w:val="255"/>
        </w:trPr>
        <w:tc>
          <w:tcPr>
            <w:tcW w:w="1591" w:type="dxa"/>
            <w:vAlign w:val="center"/>
          </w:tcPr>
          <w:p w14:paraId="73F64A48" w14:textId="77777777" w:rsidR="00FF33A9" w:rsidRPr="007E37EC" w:rsidRDefault="00FF33A9" w:rsidP="000965F4">
            <w:pPr>
              <w:jc w:val="center"/>
              <w:rPr>
                <w:rFonts w:ascii="Arial" w:hAnsi="Arial" w:cs="Arial"/>
                <w:sz w:val="20"/>
                <w:szCs w:val="20"/>
              </w:rPr>
            </w:pPr>
            <w:proofErr w:type="spellStart"/>
            <w:r w:rsidRPr="007E37EC">
              <w:rPr>
                <w:rFonts w:ascii="Arial" w:hAnsi="Arial" w:cs="Arial"/>
                <w:b/>
                <w:bCs/>
                <w:color w:val="000000" w:themeColor="text1"/>
                <w:spacing w:val="-2"/>
                <w:sz w:val="20"/>
                <w:szCs w:val="20"/>
              </w:rPr>
              <w:t>Tufanganj</w:t>
            </w:r>
            <w:proofErr w:type="spellEnd"/>
            <w:r w:rsidRPr="007E37EC">
              <w:rPr>
                <w:rFonts w:ascii="Arial" w:hAnsi="Arial" w:cs="Arial"/>
                <w:b/>
                <w:bCs/>
                <w:color w:val="000000" w:themeColor="text1"/>
                <w:spacing w:val="-2"/>
                <w:sz w:val="20"/>
                <w:szCs w:val="20"/>
              </w:rPr>
              <w:t xml:space="preserve"> I</w:t>
            </w:r>
          </w:p>
        </w:tc>
        <w:tc>
          <w:tcPr>
            <w:tcW w:w="1591" w:type="dxa"/>
            <w:vAlign w:val="center"/>
          </w:tcPr>
          <w:p w14:paraId="4A8C9894"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pacing w:val="-2"/>
                <w:sz w:val="20"/>
                <w:szCs w:val="20"/>
              </w:rPr>
              <w:t>5172.16</w:t>
            </w:r>
          </w:p>
        </w:tc>
        <w:tc>
          <w:tcPr>
            <w:tcW w:w="1593" w:type="dxa"/>
            <w:vAlign w:val="center"/>
          </w:tcPr>
          <w:p w14:paraId="0EC63950"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pacing w:val="-2"/>
                <w:sz w:val="20"/>
                <w:szCs w:val="20"/>
              </w:rPr>
              <w:t>1,763.62</w:t>
            </w:r>
          </w:p>
        </w:tc>
        <w:tc>
          <w:tcPr>
            <w:tcW w:w="1593" w:type="dxa"/>
            <w:vAlign w:val="center"/>
          </w:tcPr>
          <w:p w14:paraId="659179D8"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pacing w:val="-2"/>
                <w:sz w:val="20"/>
                <w:szCs w:val="20"/>
              </w:rPr>
              <w:t>241.00</w:t>
            </w:r>
          </w:p>
        </w:tc>
        <w:tc>
          <w:tcPr>
            <w:tcW w:w="1593" w:type="dxa"/>
            <w:vAlign w:val="center"/>
          </w:tcPr>
          <w:p w14:paraId="18FC2DC3"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pacing w:val="-2"/>
                <w:sz w:val="20"/>
                <w:szCs w:val="20"/>
              </w:rPr>
              <w:t>732.84</w:t>
            </w:r>
          </w:p>
        </w:tc>
        <w:tc>
          <w:tcPr>
            <w:tcW w:w="1593" w:type="dxa"/>
            <w:vAlign w:val="center"/>
          </w:tcPr>
          <w:p w14:paraId="1D744099"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z w:val="20"/>
                <w:szCs w:val="20"/>
              </w:rPr>
              <w:t>7909.62</w:t>
            </w:r>
          </w:p>
        </w:tc>
      </w:tr>
      <w:tr w:rsidR="00FF33A9" w:rsidRPr="007E37EC" w14:paraId="7E93FE78" w14:textId="77777777" w:rsidTr="00FF76EA">
        <w:trPr>
          <w:trHeight w:val="255"/>
        </w:trPr>
        <w:tc>
          <w:tcPr>
            <w:tcW w:w="1591" w:type="dxa"/>
            <w:vAlign w:val="center"/>
          </w:tcPr>
          <w:p w14:paraId="7666B75B" w14:textId="77777777" w:rsidR="00FF33A9" w:rsidRPr="007E37EC" w:rsidRDefault="00FF33A9" w:rsidP="000965F4">
            <w:pPr>
              <w:jc w:val="center"/>
              <w:rPr>
                <w:rFonts w:ascii="Arial" w:hAnsi="Arial" w:cs="Arial"/>
                <w:sz w:val="20"/>
                <w:szCs w:val="20"/>
              </w:rPr>
            </w:pPr>
            <w:proofErr w:type="spellStart"/>
            <w:r w:rsidRPr="007E37EC">
              <w:rPr>
                <w:rFonts w:ascii="Arial" w:hAnsi="Arial" w:cs="Arial"/>
                <w:b/>
                <w:bCs/>
                <w:color w:val="000000" w:themeColor="text1"/>
                <w:sz w:val="20"/>
                <w:szCs w:val="20"/>
              </w:rPr>
              <w:t>Alipurduar</w:t>
            </w:r>
            <w:proofErr w:type="spellEnd"/>
            <w:r w:rsidRPr="007E37EC">
              <w:rPr>
                <w:rFonts w:ascii="Arial" w:hAnsi="Arial" w:cs="Arial"/>
                <w:b/>
                <w:bCs/>
                <w:color w:val="000000" w:themeColor="text1"/>
                <w:sz w:val="20"/>
                <w:szCs w:val="20"/>
              </w:rPr>
              <w:t xml:space="preserve"> </w:t>
            </w:r>
            <w:r w:rsidRPr="007E37EC">
              <w:rPr>
                <w:rFonts w:ascii="Arial" w:hAnsi="Arial" w:cs="Arial"/>
                <w:b/>
                <w:bCs/>
                <w:color w:val="000000" w:themeColor="text1"/>
                <w:spacing w:val="-10"/>
                <w:sz w:val="20"/>
                <w:szCs w:val="20"/>
              </w:rPr>
              <w:t>I</w:t>
            </w:r>
          </w:p>
        </w:tc>
        <w:tc>
          <w:tcPr>
            <w:tcW w:w="1591" w:type="dxa"/>
            <w:vAlign w:val="center"/>
          </w:tcPr>
          <w:p w14:paraId="5D952168"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pacing w:val="-2"/>
                <w:sz w:val="20"/>
                <w:szCs w:val="20"/>
              </w:rPr>
              <w:t>5542.35</w:t>
            </w:r>
          </w:p>
        </w:tc>
        <w:tc>
          <w:tcPr>
            <w:tcW w:w="1593" w:type="dxa"/>
            <w:vAlign w:val="center"/>
          </w:tcPr>
          <w:p w14:paraId="3D2F7CA8"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pacing w:val="-2"/>
                <w:sz w:val="20"/>
                <w:szCs w:val="20"/>
              </w:rPr>
              <w:t>1,607.95</w:t>
            </w:r>
          </w:p>
        </w:tc>
        <w:tc>
          <w:tcPr>
            <w:tcW w:w="1593" w:type="dxa"/>
            <w:vAlign w:val="center"/>
          </w:tcPr>
          <w:p w14:paraId="61CE05C2"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pacing w:val="-2"/>
                <w:sz w:val="20"/>
                <w:szCs w:val="20"/>
              </w:rPr>
              <w:t>240.00</w:t>
            </w:r>
          </w:p>
        </w:tc>
        <w:tc>
          <w:tcPr>
            <w:tcW w:w="1593" w:type="dxa"/>
            <w:vAlign w:val="center"/>
          </w:tcPr>
          <w:p w14:paraId="37BFBD51"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pacing w:val="-2"/>
                <w:sz w:val="20"/>
                <w:szCs w:val="20"/>
              </w:rPr>
              <w:t>760.38</w:t>
            </w:r>
          </w:p>
        </w:tc>
        <w:tc>
          <w:tcPr>
            <w:tcW w:w="1593" w:type="dxa"/>
            <w:vAlign w:val="center"/>
          </w:tcPr>
          <w:p w14:paraId="51CE9E19"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z w:val="20"/>
                <w:szCs w:val="20"/>
              </w:rPr>
              <w:t>8150.68</w:t>
            </w:r>
          </w:p>
        </w:tc>
      </w:tr>
      <w:tr w:rsidR="00FF33A9" w:rsidRPr="007E37EC" w14:paraId="6760DD39" w14:textId="77777777" w:rsidTr="00FF76EA">
        <w:trPr>
          <w:trHeight w:val="255"/>
        </w:trPr>
        <w:tc>
          <w:tcPr>
            <w:tcW w:w="1591" w:type="dxa"/>
            <w:vAlign w:val="center"/>
          </w:tcPr>
          <w:p w14:paraId="0E96362F" w14:textId="77777777" w:rsidR="00FF33A9" w:rsidRPr="007E37EC" w:rsidRDefault="00FF33A9" w:rsidP="000965F4">
            <w:pPr>
              <w:jc w:val="center"/>
              <w:rPr>
                <w:rFonts w:ascii="Arial" w:hAnsi="Arial" w:cs="Arial"/>
                <w:sz w:val="20"/>
                <w:szCs w:val="20"/>
              </w:rPr>
            </w:pPr>
            <w:proofErr w:type="spellStart"/>
            <w:r w:rsidRPr="007E37EC">
              <w:rPr>
                <w:rFonts w:ascii="Arial" w:hAnsi="Arial" w:cs="Arial"/>
                <w:b/>
                <w:bCs/>
                <w:color w:val="000000" w:themeColor="text1"/>
                <w:sz w:val="20"/>
                <w:szCs w:val="20"/>
              </w:rPr>
              <w:t>Alipurduar</w:t>
            </w:r>
            <w:proofErr w:type="spellEnd"/>
            <w:r w:rsidRPr="007E37EC">
              <w:rPr>
                <w:rFonts w:ascii="Arial" w:hAnsi="Arial" w:cs="Arial"/>
                <w:b/>
                <w:bCs/>
                <w:color w:val="000000" w:themeColor="text1"/>
                <w:sz w:val="20"/>
                <w:szCs w:val="20"/>
              </w:rPr>
              <w:t xml:space="preserve"> </w:t>
            </w:r>
            <w:r w:rsidRPr="007E37EC">
              <w:rPr>
                <w:rFonts w:ascii="Arial" w:hAnsi="Arial" w:cs="Arial"/>
                <w:b/>
                <w:bCs/>
                <w:color w:val="000000" w:themeColor="text1"/>
                <w:spacing w:val="-5"/>
                <w:sz w:val="20"/>
                <w:szCs w:val="20"/>
              </w:rPr>
              <w:t>II</w:t>
            </w:r>
          </w:p>
        </w:tc>
        <w:tc>
          <w:tcPr>
            <w:tcW w:w="1591" w:type="dxa"/>
            <w:vAlign w:val="center"/>
          </w:tcPr>
          <w:p w14:paraId="33A974D4"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pacing w:val="-2"/>
                <w:sz w:val="20"/>
                <w:szCs w:val="20"/>
              </w:rPr>
              <w:t>6051.45</w:t>
            </w:r>
          </w:p>
        </w:tc>
        <w:tc>
          <w:tcPr>
            <w:tcW w:w="1593" w:type="dxa"/>
            <w:vAlign w:val="center"/>
          </w:tcPr>
          <w:p w14:paraId="06F3B4FF"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pacing w:val="-2"/>
                <w:sz w:val="20"/>
                <w:szCs w:val="20"/>
              </w:rPr>
              <w:t>2,103.75</w:t>
            </w:r>
          </w:p>
        </w:tc>
        <w:tc>
          <w:tcPr>
            <w:tcW w:w="1593" w:type="dxa"/>
            <w:vAlign w:val="center"/>
          </w:tcPr>
          <w:p w14:paraId="4E735528"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pacing w:val="-2"/>
                <w:sz w:val="20"/>
                <w:szCs w:val="20"/>
              </w:rPr>
              <w:t>241.67</w:t>
            </w:r>
          </w:p>
        </w:tc>
        <w:tc>
          <w:tcPr>
            <w:tcW w:w="1593" w:type="dxa"/>
            <w:vAlign w:val="center"/>
          </w:tcPr>
          <w:p w14:paraId="3996B40D"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pacing w:val="-2"/>
                <w:sz w:val="20"/>
                <w:szCs w:val="20"/>
              </w:rPr>
              <w:t>795.00</w:t>
            </w:r>
          </w:p>
        </w:tc>
        <w:tc>
          <w:tcPr>
            <w:tcW w:w="1593" w:type="dxa"/>
            <w:vAlign w:val="center"/>
          </w:tcPr>
          <w:p w14:paraId="65862C5D" w14:textId="77777777" w:rsidR="00FF33A9" w:rsidRPr="007E37EC" w:rsidRDefault="00FF33A9" w:rsidP="000965F4">
            <w:pPr>
              <w:jc w:val="center"/>
              <w:rPr>
                <w:rFonts w:ascii="Arial" w:hAnsi="Arial" w:cs="Arial"/>
                <w:sz w:val="20"/>
                <w:szCs w:val="20"/>
              </w:rPr>
            </w:pPr>
            <w:r w:rsidRPr="007E37EC">
              <w:rPr>
                <w:rFonts w:ascii="Arial" w:hAnsi="Arial" w:cs="Arial"/>
                <w:color w:val="000000" w:themeColor="text1"/>
                <w:sz w:val="20"/>
                <w:szCs w:val="20"/>
              </w:rPr>
              <w:t>9191.87</w:t>
            </w:r>
          </w:p>
        </w:tc>
      </w:tr>
      <w:tr w:rsidR="00FF33A9" w:rsidRPr="007E37EC" w14:paraId="7E268A4E" w14:textId="77777777" w:rsidTr="00FF76EA">
        <w:trPr>
          <w:trHeight w:val="255"/>
        </w:trPr>
        <w:tc>
          <w:tcPr>
            <w:tcW w:w="1591" w:type="dxa"/>
            <w:vAlign w:val="center"/>
          </w:tcPr>
          <w:p w14:paraId="0A13D410" w14:textId="77777777" w:rsidR="00FF33A9" w:rsidRPr="007E37EC" w:rsidRDefault="00FF33A9" w:rsidP="000965F4">
            <w:pPr>
              <w:jc w:val="center"/>
              <w:rPr>
                <w:rFonts w:ascii="Arial" w:hAnsi="Arial" w:cs="Arial"/>
                <w:sz w:val="20"/>
                <w:szCs w:val="20"/>
              </w:rPr>
            </w:pPr>
            <w:r w:rsidRPr="007E37EC">
              <w:rPr>
                <w:rFonts w:ascii="Arial" w:hAnsi="Arial" w:cs="Arial"/>
                <w:b/>
                <w:bCs/>
                <w:color w:val="000000" w:themeColor="text1"/>
                <w:sz w:val="20"/>
                <w:szCs w:val="20"/>
              </w:rPr>
              <w:t>Total</w:t>
            </w:r>
          </w:p>
        </w:tc>
        <w:tc>
          <w:tcPr>
            <w:tcW w:w="1591" w:type="dxa"/>
            <w:vAlign w:val="center"/>
          </w:tcPr>
          <w:p w14:paraId="35BB230F" w14:textId="77777777" w:rsidR="00FF33A9" w:rsidRPr="007E37EC" w:rsidRDefault="00FF33A9" w:rsidP="000965F4">
            <w:pPr>
              <w:jc w:val="center"/>
              <w:rPr>
                <w:rFonts w:ascii="Arial" w:hAnsi="Arial" w:cs="Arial"/>
                <w:sz w:val="20"/>
                <w:szCs w:val="20"/>
              </w:rPr>
            </w:pPr>
            <w:r w:rsidRPr="007E37EC">
              <w:rPr>
                <w:rFonts w:ascii="Arial" w:hAnsi="Arial" w:cs="Arial"/>
                <w:b/>
                <w:bCs/>
                <w:color w:val="000000" w:themeColor="text1"/>
                <w:spacing w:val="-2"/>
                <w:sz w:val="20"/>
                <w:szCs w:val="20"/>
              </w:rPr>
              <w:t>5750.74</w:t>
            </w:r>
          </w:p>
        </w:tc>
        <w:tc>
          <w:tcPr>
            <w:tcW w:w="1593" w:type="dxa"/>
            <w:vAlign w:val="center"/>
          </w:tcPr>
          <w:p w14:paraId="673CC798" w14:textId="77777777" w:rsidR="00FF33A9" w:rsidRPr="007E37EC" w:rsidRDefault="00FF33A9" w:rsidP="000965F4">
            <w:pPr>
              <w:jc w:val="center"/>
              <w:rPr>
                <w:rFonts w:ascii="Arial" w:hAnsi="Arial" w:cs="Arial"/>
                <w:sz w:val="20"/>
                <w:szCs w:val="20"/>
              </w:rPr>
            </w:pPr>
            <w:r w:rsidRPr="007E37EC">
              <w:rPr>
                <w:rFonts w:ascii="Arial" w:hAnsi="Arial" w:cs="Arial"/>
                <w:b/>
                <w:bCs/>
                <w:color w:val="000000" w:themeColor="text1"/>
                <w:spacing w:val="-2"/>
                <w:sz w:val="20"/>
                <w:szCs w:val="20"/>
              </w:rPr>
              <w:t>1780.83</w:t>
            </w:r>
          </w:p>
        </w:tc>
        <w:tc>
          <w:tcPr>
            <w:tcW w:w="1593" w:type="dxa"/>
            <w:vAlign w:val="center"/>
          </w:tcPr>
          <w:p w14:paraId="21C2078F" w14:textId="77777777" w:rsidR="00FF33A9" w:rsidRPr="007E37EC" w:rsidRDefault="00FF33A9" w:rsidP="000965F4">
            <w:pPr>
              <w:jc w:val="center"/>
              <w:rPr>
                <w:rFonts w:ascii="Arial" w:hAnsi="Arial" w:cs="Arial"/>
                <w:sz w:val="20"/>
                <w:szCs w:val="20"/>
              </w:rPr>
            </w:pPr>
            <w:r w:rsidRPr="007E37EC">
              <w:rPr>
                <w:rFonts w:ascii="Arial" w:hAnsi="Arial" w:cs="Arial"/>
                <w:b/>
                <w:bCs/>
                <w:color w:val="000000" w:themeColor="text1"/>
                <w:spacing w:val="-2"/>
                <w:sz w:val="20"/>
                <w:szCs w:val="20"/>
              </w:rPr>
              <w:t>248.06</w:t>
            </w:r>
          </w:p>
        </w:tc>
        <w:tc>
          <w:tcPr>
            <w:tcW w:w="1593" w:type="dxa"/>
            <w:vAlign w:val="center"/>
          </w:tcPr>
          <w:p w14:paraId="2BA8BDA9" w14:textId="77777777" w:rsidR="00FF33A9" w:rsidRPr="007E37EC" w:rsidRDefault="00FF33A9" w:rsidP="000965F4">
            <w:pPr>
              <w:jc w:val="center"/>
              <w:rPr>
                <w:rFonts w:ascii="Arial" w:hAnsi="Arial" w:cs="Arial"/>
                <w:sz w:val="20"/>
                <w:szCs w:val="20"/>
              </w:rPr>
            </w:pPr>
            <w:r w:rsidRPr="007E37EC">
              <w:rPr>
                <w:rFonts w:ascii="Arial" w:hAnsi="Arial" w:cs="Arial"/>
                <w:b/>
                <w:bCs/>
                <w:color w:val="000000" w:themeColor="text1"/>
                <w:spacing w:val="-2"/>
                <w:sz w:val="20"/>
                <w:szCs w:val="20"/>
              </w:rPr>
              <w:t>822.80</w:t>
            </w:r>
          </w:p>
        </w:tc>
        <w:tc>
          <w:tcPr>
            <w:tcW w:w="1593" w:type="dxa"/>
            <w:vAlign w:val="center"/>
          </w:tcPr>
          <w:p w14:paraId="0380C587" w14:textId="77777777" w:rsidR="00FF33A9" w:rsidRPr="007E37EC" w:rsidRDefault="00FF33A9" w:rsidP="000965F4">
            <w:pPr>
              <w:jc w:val="center"/>
              <w:rPr>
                <w:rFonts w:ascii="Arial" w:hAnsi="Arial" w:cs="Arial"/>
                <w:sz w:val="20"/>
                <w:szCs w:val="20"/>
              </w:rPr>
            </w:pPr>
            <w:r w:rsidRPr="007E37EC">
              <w:rPr>
                <w:rFonts w:ascii="Arial" w:hAnsi="Arial" w:cs="Arial"/>
                <w:b/>
                <w:bCs/>
                <w:color w:val="000000" w:themeColor="text1"/>
                <w:sz w:val="20"/>
                <w:szCs w:val="20"/>
              </w:rPr>
              <w:t>8602.43</w:t>
            </w:r>
          </w:p>
        </w:tc>
      </w:tr>
    </w:tbl>
    <w:p w14:paraId="77029659" w14:textId="77777777" w:rsidR="003800DB" w:rsidRDefault="003800DB" w:rsidP="00171EC2">
      <w:pPr>
        <w:spacing w:after="0" w:line="360" w:lineRule="auto"/>
        <w:jc w:val="both"/>
        <w:rPr>
          <w:rFonts w:ascii="Arial" w:hAnsi="Arial" w:cs="Arial"/>
          <w:color w:val="000000" w:themeColor="text1"/>
          <w:sz w:val="20"/>
          <w:szCs w:val="20"/>
        </w:rPr>
      </w:pPr>
    </w:p>
    <w:p w14:paraId="7DED90C8" w14:textId="078AE868" w:rsidR="00C63C30" w:rsidRPr="007E37EC" w:rsidRDefault="00C63C30" w:rsidP="00171EC2">
      <w:pPr>
        <w:spacing w:after="0" w:line="360" w:lineRule="auto"/>
        <w:jc w:val="both"/>
        <w:rPr>
          <w:rFonts w:ascii="Arial" w:eastAsia="Times New Roman" w:hAnsi="Arial" w:cs="Arial"/>
          <w:kern w:val="0"/>
          <w:sz w:val="20"/>
          <w:szCs w:val="20"/>
          <w:lang w:eastAsia="en-IN"/>
          <w14:ligatures w14:val="none"/>
        </w:rPr>
      </w:pPr>
      <w:r w:rsidRPr="007E37EC">
        <w:rPr>
          <w:rFonts w:ascii="Arial" w:eastAsia="Times New Roman" w:hAnsi="Arial" w:cs="Arial"/>
          <w:kern w:val="0"/>
          <w:sz w:val="20"/>
          <w:szCs w:val="20"/>
          <w:lang w:eastAsia="en-IN"/>
          <w14:ligatures w14:val="none"/>
        </w:rPr>
        <w:t xml:space="preserve">The table presents the total variable costs per day for sweet curd production across four Terai blocks, based on data from 31 surveyed firms. These costs include fluid milk, sugar, fuel, and containers, with an average annual expenditure of Rs 8,602.43 per firm. Fluid milk represents the largest cost component, accounting for 66.8% of the total (averaging Rs 5,750.74), highlighting its central role in sweet curd production. Sugar comprises 20.7% (Rs 1,780.83), with notable regional variation: </w:t>
      </w:r>
      <w:proofErr w:type="spellStart"/>
      <w:r w:rsidRPr="007E37EC">
        <w:rPr>
          <w:rFonts w:ascii="Arial" w:eastAsia="Times New Roman" w:hAnsi="Arial" w:cs="Arial"/>
          <w:kern w:val="0"/>
          <w:sz w:val="20"/>
          <w:szCs w:val="20"/>
          <w:lang w:eastAsia="en-IN"/>
          <w14:ligatures w14:val="none"/>
        </w:rPr>
        <w:t>Coochbehar</w:t>
      </w:r>
      <w:proofErr w:type="spellEnd"/>
      <w:r w:rsidRPr="007E37EC">
        <w:rPr>
          <w:rFonts w:ascii="Arial" w:eastAsia="Times New Roman" w:hAnsi="Arial" w:cs="Arial"/>
          <w:kern w:val="0"/>
          <w:sz w:val="20"/>
          <w:szCs w:val="20"/>
          <w:lang w:eastAsia="en-IN"/>
          <w14:ligatures w14:val="none"/>
        </w:rPr>
        <w:t xml:space="preserve"> II reports the lowest average at Rs 1,683, while </w:t>
      </w:r>
      <w:proofErr w:type="spellStart"/>
      <w:r w:rsidRPr="007E37EC">
        <w:rPr>
          <w:rFonts w:ascii="Arial" w:eastAsia="Times New Roman" w:hAnsi="Arial" w:cs="Arial"/>
          <w:kern w:val="0"/>
          <w:sz w:val="20"/>
          <w:szCs w:val="20"/>
          <w:lang w:eastAsia="en-IN"/>
          <w14:ligatures w14:val="none"/>
        </w:rPr>
        <w:t>Alipurduar</w:t>
      </w:r>
      <w:proofErr w:type="spellEnd"/>
      <w:r w:rsidRPr="007E37EC">
        <w:rPr>
          <w:rFonts w:ascii="Arial" w:eastAsia="Times New Roman" w:hAnsi="Arial" w:cs="Arial"/>
          <w:kern w:val="0"/>
          <w:sz w:val="20"/>
          <w:szCs w:val="20"/>
          <w:lang w:eastAsia="en-IN"/>
          <w14:ligatures w14:val="none"/>
        </w:rPr>
        <w:t xml:space="preserve"> II reports the highest at Rs 2,104. Fuel costs are relatively consistent, ranging from Rs 240 to Rs 262 (2.9%), and the average cost of containers is Rs 823 (9.6%), which increases with production volume. </w:t>
      </w:r>
      <w:proofErr w:type="spellStart"/>
      <w:r w:rsidRPr="007E37EC">
        <w:rPr>
          <w:rFonts w:ascii="Arial" w:eastAsia="Times New Roman" w:hAnsi="Arial" w:cs="Arial"/>
          <w:kern w:val="0"/>
          <w:sz w:val="20"/>
          <w:szCs w:val="20"/>
          <w:lang w:eastAsia="en-IN"/>
          <w14:ligatures w14:val="none"/>
        </w:rPr>
        <w:t>Coochbehar</w:t>
      </w:r>
      <w:proofErr w:type="spellEnd"/>
      <w:r w:rsidRPr="007E37EC">
        <w:rPr>
          <w:rFonts w:ascii="Arial" w:eastAsia="Times New Roman" w:hAnsi="Arial" w:cs="Arial"/>
          <w:kern w:val="0"/>
          <w:sz w:val="20"/>
          <w:szCs w:val="20"/>
          <w:lang w:eastAsia="en-IN"/>
          <w14:ligatures w14:val="none"/>
        </w:rPr>
        <w:t xml:space="preserve"> II incurs the </w:t>
      </w:r>
      <w:r w:rsidRPr="007E37EC">
        <w:rPr>
          <w:rFonts w:ascii="Arial" w:eastAsia="Times New Roman" w:hAnsi="Arial" w:cs="Arial"/>
          <w:kern w:val="0"/>
          <w:sz w:val="20"/>
          <w:szCs w:val="20"/>
          <w:lang w:eastAsia="en-IN"/>
          <w14:ligatures w14:val="none"/>
        </w:rPr>
        <w:lastRenderedPageBreak/>
        <w:t xml:space="preserve">highest total costs (Rs 9,075) due to greater milk usage, but benefits from economies of scale with 11 firms in operation. </w:t>
      </w:r>
      <w:proofErr w:type="spellStart"/>
      <w:r w:rsidR="00033F7D" w:rsidRPr="007E37EC">
        <w:rPr>
          <w:rFonts w:ascii="Arial" w:eastAsia="Times New Roman" w:hAnsi="Arial" w:cs="Arial"/>
          <w:kern w:val="0"/>
          <w:sz w:val="20"/>
          <w:szCs w:val="20"/>
          <w:lang w:eastAsia="en-IN"/>
          <w14:ligatures w14:val="none"/>
        </w:rPr>
        <w:t>Tufanganj</w:t>
      </w:r>
      <w:proofErr w:type="spellEnd"/>
      <w:r w:rsidR="00033F7D" w:rsidRPr="007E37EC">
        <w:rPr>
          <w:rFonts w:ascii="Arial" w:eastAsia="Times New Roman" w:hAnsi="Arial" w:cs="Arial"/>
          <w:kern w:val="0"/>
          <w:sz w:val="20"/>
          <w:szCs w:val="20"/>
          <w:lang w:eastAsia="en-IN"/>
          <w14:ligatures w14:val="none"/>
        </w:rPr>
        <w:t>-</w:t>
      </w:r>
      <w:r w:rsidRPr="007E37EC">
        <w:rPr>
          <w:rFonts w:ascii="Arial" w:eastAsia="Times New Roman" w:hAnsi="Arial" w:cs="Arial"/>
          <w:kern w:val="0"/>
          <w:sz w:val="20"/>
          <w:szCs w:val="20"/>
          <w:lang w:eastAsia="en-IN"/>
          <w14:ligatures w14:val="none"/>
        </w:rPr>
        <w:t xml:space="preserve"> I record the lowest costs (Rs 7,910), whereas the </w:t>
      </w:r>
      <w:proofErr w:type="spellStart"/>
      <w:r w:rsidRPr="007E37EC">
        <w:rPr>
          <w:rFonts w:ascii="Arial" w:eastAsia="Times New Roman" w:hAnsi="Arial" w:cs="Arial"/>
          <w:kern w:val="0"/>
          <w:sz w:val="20"/>
          <w:szCs w:val="20"/>
          <w:lang w:eastAsia="en-IN"/>
          <w14:ligatures w14:val="none"/>
        </w:rPr>
        <w:t>Alipurduar</w:t>
      </w:r>
      <w:proofErr w:type="spellEnd"/>
      <w:r w:rsidRPr="007E37EC">
        <w:rPr>
          <w:rFonts w:ascii="Arial" w:eastAsia="Times New Roman" w:hAnsi="Arial" w:cs="Arial"/>
          <w:kern w:val="0"/>
          <w:sz w:val="20"/>
          <w:szCs w:val="20"/>
          <w:lang w:eastAsia="en-IN"/>
          <w14:ligatures w14:val="none"/>
        </w:rPr>
        <w:t xml:space="preserve"> regions fall within the mid-range (Rs 8,151 to Rs 9,192).</w:t>
      </w:r>
    </w:p>
    <w:p w14:paraId="5DB5F24F" w14:textId="77777777" w:rsidR="00F25E7A" w:rsidRPr="007E37EC" w:rsidRDefault="00F25E7A" w:rsidP="00171EC2">
      <w:pPr>
        <w:spacing w:line="360" w:lineRule="auto"/>
        <w:jc w:val="both"/>
        <w:rPr>
          <w:rFonts w:ascii="Arial" w:hAnsi="Arial" w:cs="Arial"/>
          <w:b/>
          <w:bCs/>
        </w:rPr>
      </w:pPr>
      <w:r w:rsidRPr="007E37EC">
        <w:rPr>
          <w:rFonts w:ascii="Arial" w:hAnsi="Arial" w:cs="Arial"/>
          <w:b/>
          <w:bCs/>
        </w:rPr>
        <w:t>3.3</w:t>
      </w:r>
      <w:r w:rsidRPr="007E37EC">
        <w:rPr>
          <w:rFonts w:ascii="Arial" w:hAnsi="Arial" w:cs="Arial"/>
          <w:b/>
          <w:bCs/>
          <w:color w:val="000000" w:themeColor="text1"/>
        </w:rPr>
        <w:t xml:space="preserve">Analysis of fixed costs </w:t>
      </w:r>
    </w:p>
    <w:p w14:paraId="281DB98F" w14:textId="1DF99E4A" w:rsidR="00F25E7A" w:rsidRPr="003800DB" w:rsidRDefault="00F25E7A" w:rsidP="00171EC2">
      <w:pPr>
        <w:spacing w:line="360" w:lineRule="auto"/>
        <w:jc w:val="both"/>
        <w:rPr>
          <w:rFonts w:ascii="Arial" w:hAnsi="Arial" w:cs="Arial"/>
          <w:color w:val="000000" w:themeColor="text1"/>
          <w:sz w:val="20"/>
          <w:szCs w:val="20"/>
        </w:rPr>
      </w:pPr>
      <w:r w:rsidRPr="003800DB">
        <w:rPr>
          <w:rFonts w:ascii="Arial" w:hAnsi="Arial" w:cs="Arial"/>
          <w:b/>
          <w:bCs/>
          <w:color w:val="000000" w:themeColor="text1"/>
          <w:sz w:val="20"/>
          <w:szCs w:val="20"/>
        </w:rPr>
        <w:t xml:space="preserve">Table 3: </w:t>
      </w:r>
      <w:r w:rsidRPr="003800DB">
        <w:rPr>
          <w:rFonts w:ascii="Arial" w:hAnsi="Arial" w:cs="Arial"/>
          <w:color w:val="000000" w:themeColor="text1"/>
          <w:sz w:val="20"/>
          <w:szCs w:val="20"/>
        </w:rPr>
        <w:t xml:space="preserve">Calculation of depreciation on equipment and building </w:t>
      </w:r>
      <w:r w:rsidR="00475872" w:rsidRPr="003800DB">
        <w:rPr>
          <w:rFonts w:ascii="Arial" w:hAnsi="Arial" w:cs="Arial"/>
          <w:color w:val="000000" w:themeColor="text1"/>
          <w:sz w:val="20"/>
          <w:szCs w:val="20"/>
        </w:rPr>
        <w:t>(per</w:t>
      </w:r>
      <w:r w:rsidRPr="003800DB">
        <w:rPr>
          <w:rFonts w:ascii="Arial" w:hAnsi="Arial" w:cs="Arial"/>
          <w:color w:val="000000" w:themeColor="text1"/>
          <w:sz w:val="20"/>
          <w:szCs w:val="20"/>
        </w:rPr>
        <w:t xml:space="preserve"> firm per day in Rs.)</w:t>
      </w:r>
    </w:p>
    <w:tbl>
      <w:tblPr>
        <w:tblStyle w:val="TableGrid"/>
        <w:tblW w:w="11002" w:type="dxa"/>
        <w:tblLook w:val="04A0" w:firstRow="1" w:lastRow="0" w:firstColumn="1" w:lastColumn="0" w:noHBand="0" w:noVBand="1"/>
      </w:tblPr>
      <w:tblGrid>
        <w:gridCol w:w="1511"/>
        <w:gridCol w:w="1199"/>
        <w:gridCol w:w="1152"/>
        <w:gridCol w:w="1159"/>
        <w:gridCol w:w="1150"/>
        <w:gridCol w:w="1150"/>
        <w:gridCol w:w="1387"/>
        <w:gridCol w:w="1170"/>
        <w:gridCol w:w="1124"/>
      </w:tblGrid>
      <w:tr w:rsidR="00BF0063" w:rsidRPr="007E37EC" w14:paraId="24A22D3C" w14:textId="77777777" w:rsidTr="00BF0063">
        <w:trPr>
          <w:trHeight w:val="872"/>
        </w:trPr>
        <w:tc>
          <w:tcPr>
            <w:tcW w:w="1511" w:type="dxa"/>
          </w:tcPr>
          <w:p w14:paraId="2DC1E3B5" w14:textId="77777777" w:rsidR="00BF0063" w:rsidRPr="007E37EC" w:rsidRDefault="00BF0063" w:rsidP="000965F4">
            <w:pPr>
              <w:rPr>
                <w:rFonts w:ascii="Arial" w:hAnsi="Arial" w:cs="Arial"/>
                <w:b/>
                <w:bCs/>
                <w:sz w:val="20"/>
                <w:szCs w:val="20"/>
              </w:rPr>
            </w:pPr>
            <w:r w:rsidRPr="007E37EC">
              <w:rPr>
                <w:rFonts w:ascii="Arial" w:hAnsi="Arial" w:cs="Arial"/>
                <w:b/>
                <w:bCs/>
                <w:sz w:val="20"/>
                <w:szCs w:val="20"/>
              </w:rPr>
              <w:t>Blocks</w:t>
            </w:r>
          </w:p>
        </w:tc>
        <w:tc>
          <w:tcPr>
            <w:tcW w:w="1199" w:type="dxa"/>
          </w:tcPr>
          <w:p w14:paraId="0249758B" w14:textId="77777777" w:rsidR="00BF0063" w:rsidRPr="007E37EC" w:rsidRDefault="00BF0063" w:rsidP="000965F4">
            <w:pPr>
              <w:rPr>
                <w:rFonts w:ascii="Arial" w:hAnsi="Arial" w:cs="Arial"/>
                <w:b/>
                <w:bCs/>
                <w:sz w:val="20"/>
                <w:szCs w:val="20"/>
              </w:rPr>
            </w:pPr>
            <w:r w:rsidRPr="007E37EC">
              <w:rPr>
                <w:rFonts w:ascii="Arial" w:hAnsi="Arial" w:cs="Arial"/>
                <w:b/>
                <w:bCs/>
                <w:sz w:val="20"/>
                <w:szCs w:val="20"/>
              </w:rPr>
              <w:t>Cauldron</w:t>
            </w:r>
          </w:p>
        </w:tc>
        <w:tc>
          <w:tcPr>
            <w:tcW w:w="1152" w:type="dxa"/>
          </w:tcPr>
          <w:p w14:paraId="572F005B" w14:textId="77777777" w:rsidR="00BF0063" w:rsidRPr="007E37EC" w:rsidRDefault="00BF0063" w:rsidP="000965F4">
            <w:pPr>
              <w:rPr>
                <w:rFonts w:ascii="Arial" w:hAnsi="Arial" w:cs="Arial"/>
                <w:b/>
                <w:bCs/>
                <w:sz w:val="20"/>
                <w:szCs w:val="20"/>
              </w:rPr>
            </w:pPr>
            <w:r w:rsidRPr="007E37EC">
              <w:rPr>
                <w:rFonts w:ascii="Arial" w:hAnsi="Arial" w:cs="Arial"/>
                <w:b/>
                <w:bCs/>
                <w:sz w:val="20"/>
                <w:szCs w:val="20"/>
              </w:rPr>
              <w:t>Spatula</w:t>
            </w:r>
          </w:p>
        </w:tc>
        <w:tc>
          <w:tcPr>
            <w:tcW w:w="1159" w:type="dxa"/>
          </w:tcPr>
          <w:p w14:paraId="412D7901" w14:textId="77777777" w:rsidR="00BF0063" w:rsidRPr="007E37EC" w:rsidRDefault="00BF0063" w:rsidP="000965F4">
            <w:pPr>
              <w:rPr>
                <w:rFonts w:ascii="Arial" w:hAnsi="Arial" w:cs="Arial"/>
                <w:b/>
                <w:bCs/>
                <w:sz w:val="20"/>
                <w:szCs w:val="20"/>
              </w:rPr>
            </w:pPr>
            <w:r w:rsidRPr="007E37EC">
              <w:rPr>
                <w:rFonts w:ascii="Arial" w:hAnsi="Arial" w:cs="Arial"/>
                <w:b/>
                <w:bCs/>
                <w:sz w:val="20"/>
                <w:szCs w:val="20"/>
              </w:rPr>
              <w:t>Buckets</w:t>
            </w:r>
          </w:p>
        </w:tc>
        <w:tc>
          <w:tcPr>
            <w:tcW w:w="1150" w:type="dxa"/>
          </w:tcPr>
          <w:p w14:paraId="33B1B80D" w14:textId="77777777" w:rsidR="00BF0063" w:rsidRPr="007E37EC" w:rsidRDefault="00BF0063" w:rsidP="000965F4">
            <w:pPr>
              <w:rPr>
                <w:rFonts w:ascii="Arial" w:hAnsi="Arial" w:cs="Arial"/>
                <w:b/>
                <w:bCs/>
                <w:sz w:val="20"/>
                <w:szCs w:val="20"/>
              </w:rPr>
            </w:pPr>
          </w:p>
        </w:tc>
        <w:tc>
          <w:tcPr>
            <w:tcW w:w="1150" w:type="dxa"/>
          </w:tcPr>
          <w:p w14:paraId="0887F2F5" w14:textId="1E3A0A81" w:rsidR="00BF0063" w:rsidRPr="007E37EC" w:rsidRDefault="00BF0063" w:rsidP="000965F4">
            <w:pPr>
              <w:rPr>
                <w:rFonts w:ascii="Arial" w:hAnsi="Arial" w:cs="Arial"/>
                <w:b/>
                <w:bCs/>
                <w:sz w:val="20"/>
                <w:szCs w:val="20"/>
              </w:rPr>
            </w:pPr>
            <w:r w:rsidRPr="007E37EC">
              <w:rPr>
                <w:rFonts w:ascii="Arial" w:hAnsi="Arial" w:cs="Arial"/>
                <w:b/>
                <w:bCs/>
                <w:sz w:val="20"/>
                <w:szCs w:val="20"/>
              </w:rPr>
              <w:t>Freezer</w:t>
            </w:r>
          </w:p>
        </w:tc>
        <w:tc>
          <w:tcPr>
            <w:tcW w:w="1387" w:type="dxa"/>
          </w:tcPr>
          <w:p w14:paraId="62806171" w14:textId="77777777" w:rsidR="00BF0063" w:rsidRPr="007E37EC" w:rsidRDefault="00BF0063" w:rsidP="000965F4">
            <w:pPr>
              <w:rPr>
                <w:rFonts w:ascii="Arial" w:hAnsi="Arial" w:cs="Arial"/>
                <w:b/>
                <w:bCs/>
                <w:sz w:val="20"/>
                <w:szCs w:val="20"/>
              </w:rPr>
            </w:pPr>
            <w:proofErr w:type="spellStart"/>
            <w:r w:rsidRPr="007E37EC">
              <w:rPr>
                <w:rFonts w:ascii="Arial" w:hAnsi="Arial" w:cs="Arial"/>
                <w:b/>
                <w:bCs/>
                <w:sz w:val="20"/>
                <w:szCs w:val="20"/>
              </w:rPr>
              <w:t>Tupri</w:t>
            </w:r>
            <w:proofErr w:type="spellEnd"/>
            <w:r w:rsidRPr="007E37EC">
              <w:rPr>
                <w:rFonts w:ascii="Arial" w:hAnsi="Arial" w:cs="Arial"/>
                <w:b/>
                <w:bCs/>
                <w:sz w:val="20"/>
                <w:szCs w:val="20"/>
              </w:rPr>
              <w:t>/Cover</w:t>
            </w:r>
          </w:p>
        </w:tc>
        <w:tc>
          <w:tcPr>
            <w:tcW w:w="1170" w:type="dxa"/>
          </w:tcPr>
          <w:p w14:paraId="72270DFB" w14:textId="77777777" w:rsidR="00BF0063" w:rsidRPr="007E37EC" w:rsidRDefault="00BF0063" w:rsidP="000965F4">
            <w:pPr>
              <w:rPr>
                <w:rFonts w:ascii="Arial" w:hAnsi="Arial" w:cs="Arial"/>
                <w:b/>
                <w:bCs/>
                <w:sz w:val="20"/>
                <w:szCs w:val="20"/>
              </w:rPr>
            </w:pPr>
            <w:r w:rsidRPr="007E37EC">
              <w:rPr>
                <w:rFonts w:ascii="Arial" w:hAnsi="Arial" w:cs="Arial"/>
                <w:b/>
                <w:bCs/>
                <w:sz w:val="20"/>
                <w:szCs w:val="20"/>
              </w:rPr>
              <w:t>Building</w:t>
            </w:r>
          </w:p>
        </w:tc>
        <w:tc>
          <w:tcPr>
            <w:tcW w:w="1124" w:type="dxa"/>
          </w:tcPr>
          <w:p w14:paraId="5F503F88" w14:textId="77777777" w:rsidR="00BF0063" w:rsidRPr="007E37EC" w:rsidRDefault="00BF0063" w:rsidP="000965F4">
            <w:pPr>
              <w:rPr>
                <w:rFonts w:ascii="Arial" w:hAnsi="Arial" w:cs="Arial"/>
                <w:b/>
                <w:bCs/>
                <w:sz w:val="20"/>
                <w:szCs w:val="20"/>
              </w:rPr>
            </w:pPr>
            <w:r w:rsidRPr="007E37EC">
              <w:rPr>
                <w:rFonts w:ascii="Arial" w:hAnsi="Arial" w:cs="Arial"/>
                <w:b/>
                <w:bCs/>
                <w:sz w:val="20"/>
                <w:szCs w:val="20"/>
              </w:rPr>
              <w:t>Total Fixed cost</w:t>
            </w:r>
          </w:p>
        </w:tc>
      </w:tr>
      <w:tr w:rsidR="00BF0063" w:rsidRPr="007E37EC" w14:paraId="54FE00AC" w14:textId="77777777" w:rsidTr="00BF0063">
        <w:trPr>
          <w:trHeight w:val="510"/>
        </w:trPr>
        <w:tc>
          <w:tcPr>
            <w:tcW w:w="1511" w:type="dxa"/>
            <w:vAlign w:val="center"/>
          </w:tcPr>
          <w:p w14:paraId="7CAE0EB1" w14:textId="77777777" w:rsidR="00BF0063" w:rsidRPr="007E37EC" w:rsidRDefault="00BF0063" w:rsidP="000965F4">
            <w:pPr>
              <w:rPr>
                <w:rFonts w:ascii="Arial" w:hAnsi="Arial" w:cs="Arial"/>
                <w:sz w:val="20"/>
                <w:szCs w:val="20"/>
              </w:rPr>
            </w:pPr>
            <w:proofErr w:type="spellStart"/>
            <w:r w:rsidRPr="007E37EC">
              <w:rPr>
                <w:rFonts w:ascii="Arial" w:hAnsi="Arial" w:cs="Arial"/>
                <w:b/>
                <w:bCs/>
                <w:color w:val="000000" w:themeColor="text1"/>
                <w:sz w:val="20"/>
                <w:szCs w:val="20"/>
              </w:rPr>
              <w:t>Coochbehar</w:t>
            </w:r>
            <w:proofErr w:type="spellEnd"/>
            <w:r w:rsidRPr="007E37EC">
              <w:rPr>
                <w:rFonts w:ascii="Arial" w:hAnsi="Arial" w:cs="Arial"/>
                <w:b/>
                <w:bCs/>
                <w:color w:val="000000" w:themeColor="text1"/>
                <w:sz w:val="20"/>
                <w:szCs w:val="20"/>
              </w:rPr>
              <w:t xml:space="preserve"> II</w:t>
            </w:r>
          </w:p>
        </w:tc>
        <w:tc>
          <w:tcPr>
            <w:tcW w:w="1199" w:type="dxa"/>
            <w:vAlign w:val="center"/>
          </w:tcPr>
          <w:p w14:paraId="3C768979"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17.06</w:t>
            </w:r>
          </w:p>
        </w:tc>
        <w:tc>
          <w:tcPr>
            <w:tcW w:w="1152" w:type="dxa"/>
            <w:vAlign w:val="center"/>
          </w:tcPr>
          <w:p w14:paraId="2A84B376"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1.68</w:t>
            </w:r>
          </w:p>
        </w:tc>
        <w:tc>
          <w:tcPr>
            <w:tcW w:w="1159" w:type="dxa"/>
            <w:vAlign w:val="center"/>
          </w:tcPr>
          <w:p w14:paraId="3FE57ACD"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4.33</w:t>
            </w:r>
          </w:p>
        </w:tc>
        <w:tc>
          <w:tcPr>
            <w:tcW w:w="1150" w:type="dxa"/>
          </w:tcPr>
          <w:p w14:paraId="3554382D" w14:textId="77777777" w:rsidR="00BF0063" w:rsidRPr="007E37EC" w:rsidRDefault="00BF0063" w:rsidP="000965F4">
            <w:pPr>
              <w:rPr>
                <w:rFonts w:ascii="Arial" w:hAnsi="Arial" w:cs="Arial"/>
                <w:sz w:val="20"/>
                <w:szCs w:val="20"/>
                <w:lang w:val="en-US"/>
              </w:rPr>
            </w:pPr>
          </w:p>
        </w:tc>
        <w:tc>
          <w:tcPr>
            <w:tcW w:w="1150" w:type="dxa"/>
            <w:vAlign w:val="center"/>
          </w:tcPr>
          <w:p w14:paraId="61A4E882" w14:textId="43EEA59C" w:rsidR="00BF0063" w:rsidRPr="007E37EC" w:rsidRDefault="00BF0063" w:rsidP="000965F4">
            <w:pPr>
              <w:rPr>
                <w:rFonts w:ascii="Arial" w:hAnsi="Arial" w:cs="Arial"/>
                <w:sz w:val="20"/>
                <w:szCs w:val="20"/>
              </w:rPr>
            </w:pPr>
            <w:r w:rsidRPr="007E37EC">
              <w:rPr>
                <w:rFonts w:ascii="Arial" w:hAnsi="Arial" w:cs="Arial"/>
                <w:sz w:val="20"/>
                <w:szCs w:val="20"/>
                <w:lang w:val="en-US"/>
              </w:rPr>
              <w:t>78.95</w:t>
            </w:r>
          </w:p>
        </w:tc>
        <w:tc>
          <w:tcPr>
            <w:tcW w:w="1387" w:type="dxa"/>
            <w:vAlign w:val="center"/>
          </w:tcPr>
          <w:p w14:paraId="0E789B7F"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4.22</w:t>
            </w:r>
          </w:p>
        </w:tc>
        <w:tc>
          <w:tcPr>
            <w:tcW w:w="1170" w:type="dxa"/>
            <w:vAlign w:val="center"/>
          </w:tcPr>
          <w:p w14:paraId="43F20990" w14:textId="77777777" w:rsidR="00BF0063" w:rsidRPr="007E37EC" w:rsidRDefault="00BF0063" w:rsidP="000965F4">
            <w:pPr>
              <w:rPr>
                <w:rFonts w:ascii="Arial" w:hAnsi="Arial" w:cs="Arial"/>
                <w:sz w:val="20"/>
                <w:szCs w:val="20"/>
              </w:rPr>
            </w:pPr>
            <w:r w:rsidRPr="007E37EC">
              <w:rPr>
                <w:rFonts w:ascii="Arial" w:hAnsi="Arial" w:cs="Arial"/>
                <w:sz w:val="20"/>
                <w:szCs w:val="20"/>
              </w:rPr>
              <w:t>24.83</w:t>
            </w:r>
          </w:p>
        </w:tc>
        <w:tc>
          <w:tcPr>
            <w:tcW w:w="1124" w:type="dxa"/>
            <w:vAlign w:val="center"/>
          </w:tcPr>
          <w:p w14:paraId="3765BC85"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131.07</w:t>
            </w:r>
          </w:p>
        </w:tc>
      </w:tr>
      <w:tr w:rsidR="00BF0063" w:rsidRPr="007E37EC" w14:paraId="70E8AA7D" w14:textId="77777777" w:rsidTr="00BF0063">
        <w:trPr>
          <w:trHeight w:val="246"/>
        </w:trPr>
        <w:tc>
          <w:tcPr>
            <w:tcW w:w="1511" w:type="dxa"/>
            <w:vAlign w:val="center"/>
          </w:tcPr>
          <w:p w14:paraId="2F6CB5D4" w14:textId="77777777" w:rsidR="00BF0063" w:rsidRPr="007E37EC" w:rsidRDefault="00BF0063" w:rsidP="000965F4">
            <w:pPr>
              <w:rPr>
                <w:rFonts w:ascii="Arial" w:hAnsi="Arial" w:cs="Arial"/>
                <w:sz w:val="20"/>
                <w:szCs w:val="20"/>
              </w:rPr>
            </w:pPr>
            <w:proofErr w:type="spellStart"/>
            <w:r w:rsidRPr="007E37EC">
              <w:rPr>
                <w:rFonts w:ascii="Arial" w:hAnsi="Arial" w:cs="Arial"/>
                <w:b/>
                <w:bCs/>
                <w:color w:val="000000" w:themeColor="text1"/>
                <w:spacing w:val="-2"/>
                <w:sz w:val="20"/>
                <w:szCs w:val="20"/>
              </w:rPr>
              <w:t>Tufanganj</w:t>
            </w:r>
            <w:proofErr w:type="spellEnd"/>
            <w:r w:rsidRPr="007E37EC">
              <w:rPr>
                <w:rFonts w:ascii="Arial" w:hAnsi="Arial" w:cs="Arial"/>
                <w:b/>
                <w:bCs/>
                <w:color w:val="000000" w:themeColor="text1"/>
                <w:spacing w:val="-2"/>
                <w:sz w:val="20"/>
                <w:szCs w:val="20"/>
              </w:rPr>
              <w:t xml:space="preserve"> I</w:t>
            </w:r>
          </w:p>
        </w:tc>
        <w:tc>
          <w:tcPr>
            <w:tcW w:w="1199" w:type="dxa"/>
            <w:vAlign w:val="center"/>
          </w:tcPr>
          <w:p w14:paraId="78885CB4"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15.76</w:t>
            </w:r>
          </w:p>
        </w:tc>
        <w:tc>
          <w:tcPr>
            <w:tcW w:w="1152" w:type="dxa"/>
            <w:vAlign w:val="center"/>
          </w:tcPr>
          <w:p w14:paraId="22596BAA"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1.55</w:t>
            </w:r>
          </w:p>
        </w:tc>
        <w:tc>
          <w:tcPr>
            <w:tcW w:w="1159" w:type="dxa"/>
            <w:vAlign w:val="center"/>
          </w:tcPr>
          <w:p w14:paraId="5B841F6A"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4.30</w:t>
            </w:r>
          </w:p>
        </w:tc>
        <w:tc>
          <w:tcPr>
            <w:tcW w:w="1150" w:type="dxa"/>
          </w:tcPr>
          <w:p w14:paraId="2B435541" w14:textId="77777777" w:rsidR="00BF0063" w:rsidRPr="007E37EC" w:rsidRDefault="00BF0063" w:rsidP="000965F4">
            <w:pPr>
              <w:rPr>
                <w:rFonts w:ascii="Arial" w:hAnsi="Arial" w:cs="Arial"/>
                <w:sz w:val="20"/>
                <w:szCs w:val="20"/>
                <w:lang w:val="en-US"/>
              </w:rPr>
            </w:pPr>
          </w:p>
        </w:tc>
        <w:tc>
          <w:tcPr>
            <w:tcW w:w="1150" w:type="dxa"/>
            <w:vAlign w:val="center"/>
          </w:tcPr>
          <w:p w14:paraId="76B60A5C" w14:textId="7AFBDC67" w:rsidR="00BF0063" w:rsidRPr="007E37EC" w:rsidRDefault="00BF0063" w:rsidP="000965F4">
            <w:pPr>
              <w:rPr>
                <w:rFonts w:ascii="Arial" w:hAnsi="Arial" w:cs="Arial"/>
                <w:sz w:val="20"/>
                <w:szCs w:val="20"/>
              </w:rPr>
            </w:pPr>
            <w:r w:rsidRPr="007E37EC">
              <w:rPr>
                <w:rFonts w:ascii="Arial" w:hAnsi="Arial" w:cs="Arial"/>
                <w:sz w:val="20"/>
                <w:szCs w:val="20"/>
                <w:lang w:val="en-US"/>
              </w:rPr>
              <w:t>84.11</w:t>
            </w:r>
          </w:p>
        </w:tc>
        <w:tc>
          <w:tcPr>
            <w:tcW w:w="1387" w:type="dxa"/>
            <w:vAlign w:val="center"/>
          </w:tcPr>
          <w:p w14:paraId="40B857FE"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4.50</w:t>
            </w:r>
          </w:p>
        </w:tc>
        <w:tc>
          <w:tcPr>
            <w:tcW w:w="1170" w:type="dxa"/>
            <w:vAlign w:val="center"/>
          </w:tcPr>
          <w:p w14:paraId="7B148CC0" w14:textId="77777777" w:rsidR="00BF0063" w:rsidRPr="007E37EC" w:rsidRDefault="00BF0063" w:rsidP="000965F4">
            <w:pPr>
              <w:rPr>
                <w:rFonts w:ascii="Arial" w:hAnsi="Arial" w:cs="Arial"/>
                <w:sz w:val="20"/>
                <w:szCs w:val="20"/>
              </w:rPr>
            </w:pPr>
            <w:r w:rsidRPr="007E37EC">
              <w:rPr>
                <w:rFonts w:ascii="Arial" w:hAnsi="Arial" w:cs="Arial"/>
                <w:sz w:val="20"/>
                <w:szCs w:val="20"/>
              </w:rPr>
              <w:t>29.73</w:t>
            </w:r>
          </w:p>
        </w:tc>
        <w:tc>
          <w:tcPr>
            <w:tcW w:w="1124" w:type="dxa"/>
            <w:vAlign w:val="center"/>
          </w:tcPr>
          <w:p w14:paraId="5E68AE04"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139.95</w:t>
            </w:r>
          </w:p>
        </w:tc>
      </w:tr>
      <w:tr w:rsidR="00BF0063" w:rsidRPr="007E37EC" w14:paraId="4A5F2D90" w14:textId="77777777" w:rsidTr="00BF0063">
        <w:trPr>
          <w:trHeight w:val="246"/>
        </w:trPr>
        <w:tc>
          <w:tcPr>
            <w:tcW w:w="1511" w:type="dxa"/>
            <w:vAlign w:val="center"/>
          </w:tcPr>
          <w:p w14:paraId="28E171DA" w14:textId="77777777" w:rsidR="00BF0063" w:rsidRPr="007E37EC" w:rsidRDefault="00BF0063" w:rsidP="000965F4">
            <w:pPr>
              <w:rPr>
                <w:rFonts w:ascii="Arial" w:hAnsi="Arial" w:cs="Arial"/>
                <w:sz w:val="20"/>
                <w:szCs w:val="20"/>
              </w:rPr>
            </w:pPr>
            <w:proofErr w:type="spellStart"/>
            <w:r w:rsidRPr="007E37EC">
              <w:rPr>
                <w:rFonts w:ascii="Arial" w:hAnsi="Arial" w:cs="Arial"/>
                <w:b/>
                <w:bCs/>
                <w:color w:val="000000" w:themeColor="text1"/>
                <w:sz w:val="20"/>
                <w:szCs w:val="20"/>
              </w:rPr>
              <w:t>Alipurduar</w:t>
            </w:r>
            <w:proofErr w:type="spellEnd"/>
            <w:r w:rsidRPr="007E37EC">
              <w:rPr>
                <w:rFonts w:ascii="Arial" w:hAnsi="Arial" w:cs="Arial"/>
                <w:b/>
                <w:bCs/>
                <w:color w:val="000000" w:themeColor="text1"/>
                <w:sz w:val="20"/>
                <w:szCs w:val="20"/>
              </w:rPr>
              <w:t xml:space="preserve"> </w:t>
            </w:r>
            <w:r w:rsidRPr="007E37EC">
              <w:rPr>
                <w:rFonts w:ascii="Arial" w:hAnsi="Arial" w:cs="Arial"/>
                <w:b/>
                <w:bCs/>
                <w:color w:val="000000" w:themeColor="text1"/>
                <w:spacing w:val="-10"/>
                <w:sz w:val="20"/>
                <w:szCs w:val="20"/>
              </w:rPr>
              <w:t>I</w:t>
            </w:r>
          </w:p>
        </w:tc>
        <w:tc>
          <w:tcPr>
            <w:tcW w:w="1199" w:type="dxa"/>
            <w:vAlign w:val="center"/>
          </w:tcPr>
          <w:p w14:paraId="6BD97629"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15.31</w:t>
            </w:r>
          </w:p>
        </w:tc>
        <w:tc>
          <w:tcPr>
            <w:tcW w:w="1152" w:type="dxa"/>
            <w:vAlign w:val="center"/>
          </w:tcPr>
          <w:p w14:paraId="1096E50E"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1.31</w:t>
            </w:r>
          </w:p>
        </w:tc>
        <w:tc>
          <w:tcPr>
            <w:tcW w:w="1159" w:type="dxa"/>
            <w:vAlign w:val="center"/>
          </w:tcPr>
          <w:p w14:paraId="07DDFBC4"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3.82</w:t>
            </w:r>
          </w:p>
        </w:tc>
        <w:tc>
          <w:tcPr>
            <w:tcW w:w="1150" w:type="dxa"/>
          </w:tcPr>
          <w:p w14:paraId="61A176BF" w14:textId="77777777" w:rsidR="00BF0063" w:rsidRPr="007E37EC" w:rsidRDefault="00BF0063" w:rsidP="000965F4">
            <w:pPr>
              <w:rPr>
                <w:rFonts w:ascii="Arial" w:hAnsi="Arial" w:cs="Arial"/>
                <w:sz w:val="20"/>
                <w:szCs w:val="20"/>
                <w:lang w:val="en-US"/>
              </w:rPr>
            </w:pPr>
          </w:p>
        </w:tc>
        <w:tc>
          <w:tcPr>
            <w:tcW w:w="1150" w:type="dxa"/>
            <w:vAlign w:val="center"/>
          </w:tcPr>
          <w:p w14:paraId="6A105216" w14:textId="512A5F93" w:rsidR="00BF0063" w:rsidRPr="007E37EC" w:rsidRDefault="00BF0063" w:rsidP="000965F4">
            <w:pPr>
              <w:rPr>
                <w:rFonts w:ascii="Arial" w:hAnsi="Arial" w:cs="Arial"/>
                <w:sz w:val="20"/>
                <w:szCs w:val="20"/>
              </w:rPr>
            </w:pPr>
            <w:r w:rsidRPr="007E37EC">
              <w:rPr>
                <w:rFonts w:ascii="Arial" w:hAnsi="Arial" w:cs="Arial"/>
                <w:sz w:val="20"/>
                <w:szCs w:val="20"/>
                <w:lang w:val="en-US"/>
              </w:rPr>
              <w:t>83.56</w:t>
            </w:r>
          </w:p>
        </w:tc>
        <w:tc>
          <w:tcPr>
            <w:tcW w:w="1387" w:type="dxa"/>
            <w:vAlign w:val="center"/>
          </w:tcPr>
          <w:p w14:paraId="0F2A0590"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3.80</w:t>
            </w:r>
          </w:p>
        </w:tc>
        <w:tc>
          <w:tcPr>
            <w:tcW w:w="1170" w:type="dxa"/>
            <w:vAlign w:val="center"/>
          </w:tcPr>
          <w:p w14:paraId="5A242A8C" w14:textId="77777777" w:rsidR="00BF0063" w:rsidRPr="007E37EC" w:rsidRDefault="00BF0063" w:rsidP="000965F4">
            <w:pPr>
              <w:rPr>
                <w:rFonts w:ascii="Arial" w:hAnsi="Arial" w:cs="Arial"/>
                <w:sz w:val="20"/>
                <w:szCs w:val="20"/>
              </w:rPr>
            </w:pPr>
            <w:r w:rsidRPr="007E37EC">
              <w:rPr>
                <w:rFonts w:ascii="Arial" w:hAnsi="Arial" w:cs="Arial"/>
                <w:sz w:val="20"/>
                <w:szCs w:val="20"/>
              </w:rPr>
              <w:t>22.60</w:t>
            </w:r>
          </w:p>
        </w:tc>
        <w:tc>
          <w:tcPr>
            <w:tcW w:w="1124" w:type="dxa"/>
            <w:vAlign w:val="center"/>
          </w:tcPr>
          <w:p w14:paraId="38811068"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130.40</w:t>
            </w:r>
          </w:p>
        </w:tc>
      </w:tr>
      <w:tr w:rsidR="00BF0063" w:rsidRPr="007E37EC" w14:paraId="31D1FD7A" w14:textId="77777777" w:rsidTr="00BF0063">
        <w:trPr>
          <w:trHeight w:val="493"/>
        </w:trPr>
        <w:tc>
          <w:tcPr>
            <w:tcW w:w="1511" w:type="dxa"/>
            <w:vAlign w:val="center"/>
          </w:tcPr>
          <w:p w14:paraId="4063C79A" w14:textId="77777777" w:rsidR="00BF0063" w:rsidRPr="007E37EC" w:rsidRDefault="00BF0063" w:rsidP="000965F4">
            <w:pPr>
              <w:rPr>
                <w:rFonts w:ascii="Arial" w:hAnsi="Arial" w:cs="Arial"/>
                <w:sz w:val="20"/>
                <w:szCs w:val="20"/>
              </w:rPr>
            </w:pPr>
            <w:proofErr w:type="spellStart"/>
            <w:r w:rsidRPr="007E37EC">
              <w:rPr>
                <w:rFonts w:ascii="Arial" w:hAnsi="Arial" w:cs="Arial"/>
                <w:b/>
                <w:bCs/>
                <w:color w:val="000000" w:themeColor="text1"/>
                <w:sz w:val="20"/>
                <w:szCs w:val="20"/>
              </w:rPr>
              <w:t>Alipurduar</w:t>
            </w:r>
            <w:proofErr w:type="spellEnd"/>
            <w:r w:rsidRPr="007E37EC">
              <w:rPr>
                <w:rFonts w:ascii="Arial" w:hAnsi="Arial" w:cs="Arial"/>
                <w:b/>
                <w:bCs/>
                <w:color w:val="000000" w:themeColor="text1"/>
                <w:sz w:val="20"/>
                <w:szCs w:val="20"/>
              </w:rPr>
              <w:t xml:space="preserve"> </w:t>
            </w:r>
            <w:r w:rsidRPr="007E37EC">
              <w:rPr>
                <w:rFonts w:ascii="Arial" w:hAnsi="Arial" w:cs="Arial"/>
                <w:b/>
                <w:bCs/>
                <w:color w:val="000000" w:themeColor="text1"/>
                <w:spacing w:val="-5"/>
                <w:sz w:val="20"/>
                <w:szCs w:val="20"/>
              </w:rPr>
              <w:t>II</w:t>
            </w:r>
          </w:p>
        </w:tc>
        <w:tc>
          <w:tcPr>
            <w:tcW w:w="1199" w:type="dxa"/>
            <w:vAlign w:val="center"/>
          </w:tcPr>
          <w:p w14:paraId="4EED3410"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20.40</w:t>
            </w:r>
          </w:p>
        </w:tc>
        <w:tc>
          <w:tcPr>
            <w:tcW w:w="1152" w:type="dxa"/>
            <w:vAlign w:val="center"/>
          </w:tcPr>
          <w:p w14:paraId="7CF330D6"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1.63</w:t>
            </w:r>
          </w:p>
        </w:tc>
        <w:tc>
          <w:tcPr>
            <w:tcW w:w="1159" w:type="dxa"/>
            <w:vAlign w:val="center"/>
          </w:tcPr>
          <w:p w14:paraId="18A57895"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4.97</w:t>
            </w:r>
          </w:p>
        </w:tc>
        <w:tc>
          <w:tcPr>
            <w:tcW w:w="1150" w:type="dxa"/>
          </w:tcPr>
          <w:p w14:paraId="0AC0328D" w14:textId="77777777" w:rsidR="00BF0063" w:rsidRPr="007E37EC" w:rsidRDefault="00BF0063" w:rsidP="000965F4">
            <w:pPr>
              <w:rPr>
                <w:rFonts w:ascii="Arial" w:hAnsi="Arial" w:cs="Arial"/>
                <w:sz w:val="20"/>
                <w:szCs w:val="20"/>
                <w:lang w:val="en-US"/>
              </w:rPr>
            </w:pPr>
          </w:p>
        </w:tc>
        <w:tc>
          <w:tcPr>
            <w:tcW w:w="1150" w:type="dxa"/>
            <w:vAlign w:val="center"/>
          </w:tcPr>
          <w:p w14:paraId="1F0FA2E7" w14:textId="0A557041" w:rsidR="00BF0063" w:rsidRPr="007E37EC" w:rsidRDefault="00BF0063" w:rsidP="000965F4">
            <w:pPr>
              <w:rPr>
                <w:rFonts w:ascii="Arial" w:hAnsi="Arial" w:cs="Arial"/>
                <w:sz w:val="20"/>
                <w:szCs w:val="20"/>
              </w:rPr>
            </w:pPr>
            <w:r w:rsidRPr="007E37EC">
              <w:rPr>
                <w:rFonts w:ascii="Arial" w:hAnsi="Arial" w:cs="Arial"/>
                <w:sz w:val="20"/>
                <w:szCs w:val="20"/>
                <w:lang w:val="en-US"/>
              </w:rPr>
              <w:t>80.82</w:t>
            </w:r>
          </w:p>
        </w:tc>
        <w:tc>
          <w:tcPr>
            <w:tcW w:w="1387" w:type="dxa"/>
            <w:vAlign w:val="center"/>
          </w:tcPr>
          <w:p w14:paraId="35E9494B"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3.04</w:t>
            </w:r>
          </w:p>
        </w:tc>
        <w:tc>
          <w:tcPr>
            <w:tcW w:w="1170" w:type="dxa"/>
            <w:vAlign w:val="center"/>
          </w:tcPr>
          <w:p w14:paraId="51AD7FC3" w14:textId="77777777" w:rsidR="00BF0063" w:rsidRPr="007E37EC" w:rsidRDefault="00BF0063" w:rsidP="000965F4">
            <w:pPr>
              <w:rPr>
                <w:rFonts w:ascii="Arial" w:hAnsi="Arial" w:cs="Arial"/>
                <w:sz w:val="20"/>
                <w:szCs w:val="20"/>
              </w:rPr>
            </w:pPr>
            <w:r w:rsidRPr="007E37EC">
              <w:rPr>
                <w:rFonts w:ascii="Arial" w:hAnsi="Arial" w:cs="Arial"/>
                <w:sz w:val="20"/>
                <w:szCs w:val="20"/>
              </w:rPr>
              <w:t>28.25</w:t>
            </w:r>
          </w:p>
        </w:tc>
        <w:tc>
          <w:tcPr>
            <w:tcW w:w="1124" w:type="dxa"/>
            <w:vAlign w:val="center"/>
          </w:tcPr>
          <w:p w14:paraId="080B3A8E" w14:textId="77777777" w:rsidR="00BF0063" w:rsidRPr="007E37EC" w:rsidRDefault="00BF0063" w:rsidP="000965F4">
            <w:pPr>
              <w:rPr>
                <w:rFonts w:ascii="Arial" w:hAnsi="Arial" w:cs="Arial"/>
                <w:sz w:val="20"/>
                <w:szCs w:val="20"/>
              </w:rPr>
            </w:pPr>
            <w:r w:rsidRPr="007E37EC">
              <w:rPr>
                <w:rFonts w:ascii="Arial" w:hAnsi="Arial" w:cs="Arial"/>
                <w:sz w:val="20"/>
                <w:szCs w:val="20"/>
                <w:lang w:val="en-US"/>
              </w:rPr>
              <w:t>139.11</w:t>
            </w:r>
          </w:p>
        </w:tc>
      </w:tr>
      <w:tr w:rsidR="00BF0063" w:rsidRPr="007E37EC" w14:paraId="028A129B" w14:textId="77777777" w:rsidTr="00BF0063">
        <w:trPr>
          <w:trHeight w:val="246"/>
        </w:trPr>
        <w:tc>
          <w:tcPr>
            <w:tcW w:w="1511" w:type="dxa"/>
            <w:vAlign w:val="center"/>
          </w:tcPr>
          <w:p w14:paraId="5FF60B62" w14:textId="77777777" w:rsidR="00BF0063" w:rsidRPr="007E37EC" w:rsidRDefault="00BF0063" w:rsidP="000965F4">
            <w:pPr>
              <w:rPr>
                <w:rFonts w:ascii="Arial" w:hAnsi="Arial" w:cs="Arial"/>
                <w:sz w:val="20"/>
                <w:szCs w:val="20"/>
              </w:rPr>
            </w:pPr>
            <w:r w:rsidRPr="007E37EC">
              <w:rPr>
                <w:rFonts w:ascii="Arial" w:hAnsi="Arial" w:cs="Arial"/>
                <w:b/>
                <w:bCs/>
                <w:sz w:val="20"/>
                <w:szCs w:val="20"/>
                <w:lang w:val="en-US"/>
              </w:rPr>
              <w:t>Total</w:t>
            </w:r>
          </w:p>
        </w:tc>
        <w:tc>
          <w:tcPr>
            <w:tcW w:w="1199" w:type="dxa"/>
            <w:vAlign w:val="center"/>
          </w:tcPr>
          <w:p w14:paraId="7D1F952D" w14:textId="77777777" w:rsidR="00BF0063" w:rsidRPr="007E37EC" w:rsidRDefault="00BF0063" w:rsidP="000965F4">
            <w:pPr>
              <w:rPr>
                <w:rFonts w:ascii="Arial" w:hAnsi="Arial" w:cs="Arial"/>
                <w:sz w:val="20"/>
                <w:szCs w:val="20"/>
              </w:rPr>
            </w:pPr>
            <w:r w:rsidRPr="007E37EC">
              <w:rPr>
                <w:rFonts w:ascii="Arial" w:hAnsi="Arial" w:cs="Arial"/>
                <w:b/>
                <w:bCs/>
                <w:sz w:val="20"/>
                <w:szCs w:val="20"/>
              </w:rPr>
              <w:t>17.06</w:t>
            </w:r>
          </w:p>
        </w:tc>
        <w:tc>
          <w:tcPr>
            <w:tcW w:w="1152" w:type="dxa"/>
            <w:vAlign w:val="center"/>
          </w:tcPr>
          <w:p w14:paraId="3FAAD2BD" w14:textId="77777777" w:rsidR="00BF0063" w:rsidRPr="007E37EC" w:rsidRDefault="00BF0063" w:rsidP="000965F4">
            <w:pPr>
              <w:rPr>
                <w:rFonts w:ascii="Arial" w:hAnsi="Arial" w:cs="Arial"/>
                <w:sz w:val="20"/>
                <w:szCs w:val="20"/>
              </w:rPr>
            </w:pPr>
            <w:r w:rsidRPr="007E37EC">
              <w:rPr>
                <w:rFonts w:ascii="Arial" w:hAnsi="Arial" w:cs="Arial"/>
                <w:b/>
                <w:bCs/>
                <w:sz w:val="20"/>
                <w:szCs w:val="20"/>
              </w:rPr>
              <w:t>1.58</w:t>
            </w:r>
          </w:p>
        </w:tc>
        <w:tc>
          <w:tcPr>
            <w:tcW w:w="1159" w:type="dxa"/>
            <w:vAlign w:val="center"/>
          </w:tcPr>
          <w:p w14:paraId="17636C03" w14:textId="77777777" w:rsidR="00BF0063" w:rsidRPr="007E37EC" w:rsidRDefault="00BF0063" w:rsidP="000965F4">
            <w:pPr>
              <w:rPr>
                <w:rFonts w:ascii="Arial" w:hAnsi="Arial" w:cs="Arial"/>
                <w:sz w:val="20"/>
                <w:szCs w:val="20"/>
              </w:rPr>
            </w:pPr>
            <w:r w:rsidRPr="007E37EC">
              <w:rPr>
                <w:rFonts w:ascii="Arial" w:hAnsi="Arial" w:cs="Arial"/>
                <w:b/>
                <w:bCs/>
                <w:sz w:val="20"/>
                <w:szCs w:val="20"/>
              </w:rPr>
              <w:t>4.38</w:t>
            </w:r>
          </w:p>
        </w:tc>
        <w:tc>
          <w:tcPr>
            <w:tcW w:w="1150" w:type="dxa"/>
          </w:tcPr>
          <w:p w14:paraId="205BE376" w14:textId="77777777" w:rsidR="00BF0063" w:rsidRPr="007E37EC" w:rsidRDefault="00BF0063" w:rsidP="000965F4">
            <w:pPr>
              <w:rPr>
                <w:rFonts w:ascii="Arial" w:hAnsi="Arial" w:cs="Arial"/>
                <w:b/>
                <w:bCs/>
                <w:sz w:val="20"/>
                <w:szCs w:val="20"/>
              </w:rPr>
            </w:pPr>
          </w:p>
        </w:tc>
        <w:tc>
          <w:tcPr>
            <w:tcW w:w="1150" w:type="dxa"/>
            <w:vAlign w:val="center"/>
          </w:tcPr>
          <w:p w14:paraId="5C337047" w14:textId="0A6002E6" w:rsidR="00BF0063" w:rsidRPr="007E37EC" w:rsidRDefault="00BF0063" w:rsidP="000965F4">
            <w:pPr>
              <w:rPr>
                <w:rFonts w:ascii="Arial" w:hAnsi="Arial" w:cs="Arial"/>
                <w:sz w:val="20"/>
                <w:szCs w:val="20"/>
              </w:rPr>
            </w:pPr>
            <w:r w:rsidRPr="007E37EC">
              <w:rPr>
                <w:rFonts w:ascii="Arial" w:hAnsi="Arial" w:cs="Arial"/>
                <w:b/>
                <w:bCs/>
                <w:sz w:val="20"/>
                <w:szCs w:val="20"/>
              </w:rPr>
              <w:t>81.57</w:t>
            </w:r>
          </w:p>
        </w:tc>
        <w:tc>
          <w:tcPr>
            <w:tcW w:w="1387" w:type="dxa"/>
            <w:vAlign w:val="center"/>
          </w:tcPr>
          <w:p w14:paraId="3C672EAE" w14:textId="77777777" w:rsidR="00BF0063" w:rsidRPr="007E37EC" w:rsidRDefault="00BF0063" w:rsidP="000965F4">
            <w:pPr>
              <w:rPr>
                <w:rFonts w:ascii="Arial" w:hAnsi="Arial" w:cs="Arial"/>
                <w:sz w:val="20"/>
                <w:szCs w:val="20"/>
              </w:rPr>
            </w:pPr>
            <w:r w:rsidRPr="007E37EC">
              <w:rPr>
                <w:rFonts w:ascii="Arial" w:hAnsi="Arial" w:cs="Arial"/>
                <w:b/>
                <w:bCs/>
                <w:sz w:val="20"/>
                <w:szCs w:val="20"/>
              </w:rPr>
              <w:t>4.03</w:t>
            </w:r>
          </w:p>
        </w:tc>
        <w:tc>
          <w:tcPr>
            <w:tcW w:w="1170" w:type="dxa"/>
            <w:vAlign w:val="center"/>
          </w:tcPr>
          <w:p w14:paraId="5D76AFB6" w14:textId="77777777" w:rsidR="00BF0063" w:rsidRPr="007E37EC" w:rsidRDefault="00BF0063" w:rsidP="000965F4">
            <w:pPr>
              <w:rPr>
                <w:rFonts w:ascii="Arial" w:hAnsi="Arial" w:cs="Arial"/>
                <w:sz w:val="20"/>
                <w:szCs w:val="20"/>
              </w:rPr>
            </w:pPr>
            <w:r w:rsidRPr="007E37EC">
              <w:rPr>
                <w:rFonts w:ascii="Arial" w:hAnsi="Arial" w:cs="Arial"/>
                <w:b/>
                <w:bCs/>
                <w:sz w:val="20"/>
                <w:szCs w:val="20"/>
              </w:rPr>
              <w:t>26.78</w:t>
            </w:r>
          </w:p>
        </w:tc>
        <w:tc>
          <w:tcPr>
            <w:tcW w:w="1124" w:type="dxa"/>
            <w:vAlign w:val="center"/>
          </w:tcPr>
          <w:p w14:paraId="2D3FC58A" w14:textId="77777777" w:rsidR="00BF0063" w:rsidRPr="007E37EC" w:rsidRDefault="00BF0063" w:rsidP="000965F4">
            <w:pPr>
              <w:rPr>
                <w:rFonts w:ascii="Arial" w:hAnsi="Arial" w:cs="Arial"/>
                <w:sz w:val="20"/>
                <w:szCs w:val="20"/>
              </w:rPr>
            </w:pPr>
            <w:r w:rsidRPr="007E37EC">
              <w:rPr>
                <w:rFonts w:ascii="Arial" w:hAnsi="Arial" w:cs="Arial"/>
                <w:b/>
                <w:bCs/>
                <w:sz w:val="20"/>
                <w:szCs w:val="20"/>
              </w:rPr>
              <w:t>135.40</w:t>
            </w:r>
          </w:p>
        </w:tc>
      </w:tr>
    </w:tbl>
    <w:p w14:paraId="21087469" w14:textId="77777777" w:rsidR="003800DB" w:rsidRDefault="003800DB" w:rsidP="00171EC2">
      <w:pPr>
        <w:spacing w:after="0" w:line="360" w:lineRule="auto"/>
        <w:jc w:val="both"/>
        <w:rPr>
          <w:rFonts w:ascii="Arial" w:hAnsi="Arial" w:cs="Arial"/>
          <w:sz w:val="20"/>
          <w:szCs w:val="20"/>
        </w:rPr>
      </w:pPr>
    </w:p>
    <w:p w14:paraId="1DD83E12" w14:textId="394ED9DB" w:rsidR="00C63C30" w:rsidRPr="007E37EC" w:rsidRDefault="00F25E7A" w:rsidP="00171EC2">
      <w:pPr>
        <w:spacing w:after="0" w:line="360" w:lineRule="auto"/>
        <w:jc w:val="both"/>
        <w:rPr>
          <w:rFonts w:ascii="Arial" w:eastAsia="Times New Roman" w:hAnsi="Arial" w:cs="Arial"/>
          <w:kern w:val="0"/>
          <w:sz w:val="20"/>
          <w:szCs w:val="20"/>
          <w:lang w:eastAsia="en-IN"/>
          <w14:ligatures w14:val="none"/>
        </w:rPr>
      </w:pPr>
      <w:r w:rsidRPr="007E37EC">
        <w:rPr>
          <w:rFonts w:ascii="Arial" w:eastAsia="Times New Roman" w:hAnsi="Arial" w:cs="Arial"/>
          <w:kern w:val="0"/>
          <w:sz w:val="20"/>
          <w:szCs w:val="20"/>
          <w:lang w:eastAsia="en-IN"/>
          <w14:ligatures w14:val="none"/>
        </w:rPr>
        <w:t>With an average daily</w:t>
      </w:r>
      <w:r w:rsidR="00B4123E" w:rsidRPr="007E37EC">
        <w:rPr>
          <w:rFonts w:ascii="Arial" w:eastAsia="Times New Roman" w:hAnsi="Arial" w:cs="Arial"/>
          <w:kern w:val="0"/>
          <w:sz w:val="20"/>
          <w:szCs w:val="20"/>
          <w:lang w:eastAsia="en-IN"/>
          <w14:ligatures w14:val="none"/>
        </w:rPr>
        <w:t xml:space="preserve"> freezer depreciation cost</w:t>
      </w:r>
      <w:r w:rsidRPr="007E37EC">
        <w:rPr>
          <w:rFonts w:ascii="Arial" w:eastAsia="Times New Roman" w:hAnsi="Arial" w:cs="Arial"/>
          <w:kern w:val="0"/>
          <w:sz w:val="20"/>
          <w:szCs w:val="20"/>
          <w:lang w:eastAsia="en-IN"/>
          <w14:ligatures w14:val="none"/>
        </w:rPr>
        <w:t xml:space="preserve"> of Rs. 81.57</w:t>
      </w:r>
      <w:r w:rsidR="00033F7D" w:rsidRPr="007E37EC">
        <w:rPr>
          <w:rFonts w:ascii="Arial" w:eastAsia="Times New Roman" w:hAnsi="Arial" w:cs="Arial"/>
          <w:kern w:val="0"/>
          <w:sz w:val="20"/>
          <w:szCs w:val="20"/>
          <w:lang w:eastAsia="en-IN"/>
          <w14:ligatures w14:val="none"/>
        </w:rPr>
        <w:t xml:space="preserve"> </w:t>
      </w:r>
      <w:r w:rsidRPr="007E37EC">
        <w:rPr>
          <w:rFonts w:ascii="Arial" w:eastAsia="Times New Roman" w:hAnsi="Arial" w:cs="Arial"/>
          <w:kern w:val="0"/>
          <w:sz w:val="20"/>
          <w:szCs w:val="20"/>
          <w:lang w:eastAsia="en-IN"/>
          <w14:ligatures w14:val="none"/>
        </w:rPr>
        <w:t xml:space="preserve">this table shows the capital and depreciation costs of critical processing equipment and infrastructure. At Rs. 26.78 per day, building costs rank as the second-highest expense, depending on the facility. Although inexpensive, the </w:t>
      </w:r>
      <w:r w:rsidR="00CA7E14" w:rsidRPr="007E37EC">
        <w:rPr>
          <w:rFonts w:ascii="Arial" w:eastAsia="Times New Roman" w:hAnsi="Arial" w:cs="Arial"/>
          <w:kern w:val="0"/>
          <w:sz w:val="20"/>
          <w:szCs w:val="20"/>
          <w:lang w:eastAsia="en-IN"/>
          <w14:ligatures w14:val="none"/>
        </w:rPr>
        <w:t>other essential equipment</w:t>
      </w:r>
      <w:r w:rsidRPr="007E37EC">
        <w:rPr>
          <w:rFonts w:ascii="Arial" w:eastAsia="Times New Roman" w:hAnsi="Arial" w:cs="Arial"/>
          <w:kern w:val="0"/>
          <w:sz w:val="20"/>
          <w:szCs w:val="20"/>
          <w:lang w:eastAsia="en-IN"/>
          <w14:ligatures w14:val="none"/>
        </w:rPr>
        <w:t xml:space="preserve"> </w:t>
      </w:r>
      <w:r w:rsidR="00CA7E14" w:rsidRPr="007E37EC">
        <w:rPr>
          <w:rFonts w:ascii="Arial" w:eastAsia="Times New Roman" w:hAnsi="Arial" w:cs="Arial"/>
          <w:kern w:val="0"/>
          <w:sz w:val="20"/>
          <w:szCs w:val="20"/>
          <w:lang w:eastAsia="en-IN"/>
          <w14:ligatures w14:val="none"/>
        </w:rPr>
        <w:t>for processing are cauldrons</w:t>
      </w:r>
      <w:r w:rsidRPr="007E37EC">
        <w:rPr>
          <w:rFonts w:ascii="Arial" w:eastAsia="Times New Roman" w:hAnsi="Arial" w:cs="Arial"/>
          <w:kern w:val="0"/>
          <w:sz w:val="20"/>
          <w:szCs w:val="20"/>
          <w:lang w:eastAsia="en-IN"/>
          <w14:ligatures w14:val="none"/>
        </w:rPr>
        <w:t xml:space="preserve"> (Rs. 17.06), buck</w:t>
      </w:r>
      <w:r w:rsidR="00CA7E14" w:rsidRPr="007E37EC">
        <w:rPr>
          <w:rFonts w:ascii="Arial" w:eastAsia="Times New Roman" w:hAnsi="Arial" w:cs="Arial"/>
          <w:kern w:val="0"/>
          <w:sz w:val="20"/>
          <w:szCs w:val="20"/>
          <w:lang w:eastAsia="en-IN"/>
          <w14:ligatures w14:val="none"/>
        </w:rPr>
        <w:t xml:space="preserve">ets (Rs. 4.38), </w:t>
      </w:r>
      <w:proofErr w:type="spellStart"/>
      <w:r w:rsidR="00CA7E14" w:rsidRPr="007E37EC">
        <w:rPr>
          <w:rFonts w:ascii="Arial" w:eastAsia="Times New Roman" w:hAnsi="Arial" w:cs="Arial"/>
          <w:kern w:val="0"/>
          <w:sz w:val="20"/>
          <w:szCs w:val="20"/>
          <w:lang w:eastAsia="en-IN"/>
          <w14:ligatures w14:val="none"/>
        </w:rPr>
        <w:t>tupri</w:t>
      </w:r>
      <w:proofErr w:type="spellEnd"/>
      <w:r w:rsidR="00CA7E14" w:rsidRPr="007E37EC">
        <w:rPr>
          <w:rFonts w:ascii="Arial" w:eastAsia="Times New Roman" w:hAnsi="Arial" w:cs="Arial"/>
          <w:kern w:val="0"/>
          <w:sz w:val="20"/>
          <w:szCs w:val="20"/>
          <w:lang w:eastAsia="en-IN"/>
          <w14:ligatures w14:val="none"/>
        </w:rPr>
        <w:t xml:space="preserve"> (bamboo made hemispheric cover)</w:t>
      </w:r>
      <w:r w:rsidRPr="007E37EC">
        <w:rPr>
          <w:rFonts w:ascii="Arial" w:eastAsia="Times New Roman" w:hAnsi="Arial" w:cs="Arial"/>
          <w:kern w:val="0"/>
          <w:sz w:val="20"/>
          <w:szCs w:val="20"/>
          <w:lang w:eastAsia="en-IN"/>
          <w14:ligatures w14:val="none"/>
        </w:rPr>
        <w:t xml:space="preserve"> (Rs. 4.03), and spatulas (Rs. 1.58). The average daily fixed cost </w:t>
      </w:r>
      <w:r w:rsidR="00CA7E14" w:rsidRPr="007E37EC">
        <w:rPr>
          <w:rFonts w:ascii="Arial" w:eastAsia="Times New Roman" w:hAnsi="Arial" w:cs="Arial"/>
          <w:kern w:val="0"/>
          <w:sz w:val="20"/>
          <w:szCs w:val="20"/>
          <w:lang w:eastAsia="en-IN"/>
          <w14:ligatures w14:val="none"/>
        </w:rPr>
        <w:t xml:space="preserve">comes </w:t>
      </w:r>
      <w:r w:rsidR="009908C4" w:rsidRPr="007E37EC">
        <w:rPr>
          <w:rFonts w:ascii="Arial" w:eastAsia="Times New Roman" w:hAnsi="Arial" w:cs="Arial"/>
          <w:kern w:val="0"/>
          <w:sz w:val="20"/>
          <w:szCs w:val="20"/>
          <w:lang w:eastAsia="en-IN"/>
          <w14:ligatures w14:val="none"/>
        </w:rPr>
        <w:t>at Rs</w:t>
      </w:r>
      <w:r w:rsidRPr="007E37EC">
        <w:rPr>
          <w:rFonts w:ascii="Arial" w:eastAsia="Times New Roman" w:hAnsi="Arial" w:cs="Arial"/>
          <w:kern w:val="0"/>
          <w:sz w:val="20"/>
          <w:szCs w:val="20"/>
          <w:lang w:eastAsia="en-IN"/>
          <w14:ligatures w14:val="none"/>
        </w:rPr>
        <w:t>. 135.40, or roughly 1.4% of operating costs</w:t>
      </w:r>
      <w:r w:rsidR="00CA7E14" w:rsidRPr="007E37EC">
        <w:rPr>
          <w:rFonts w:ascii="Arial" w:eastAsia="Times New Roman" w:hAnsi="Arial" w:cs="Arial"/>
          <w:kern w:val="0"/>
          <w:sz w:val="20"/>
          <w:szCs w:val="20"/>
          <w:lang w:eastAsia="en-IN"/>
          <w14:ligatures w14:val="none"/>
        </w:rPr>
        <w:t>.</w:t>
      </w:r>
      <w:r w:rsidRPr="007E37EC">
        <w:rPr>
          <w:rFonts w:ascii="Arial" w:eastAsia="Times New Roman" w:hAnsi="Arial" w:cs="Arial"/>
          <w:kern w:val="0"/>
          <w:sz w:val="20"/>
          <w:szCs w:val="20"/>
          <w:lang w:eastAsia="en-IN"/>
          <w14:ligatures w14:val="none"/>
        </w:rPr>
        <w:t xml:space="preserve"> </w:t>
      </w:r>
    </w:p>
    <w:p w14:paraId="69DC0F35" w14:textId="77777777" w:rsidR="003B5A7D" w:rsidRPr="007E37EC" w:rsidRDefault="003B5A7D" w:rsidP="00171EC2">
      <w:pPr>
        <w:spacing w:after="0" w:line="360" w:lineRule="auto"/>
        <w:jc w:val="both"/>
        <w:rPr>
          <w:rFonts w:ascii="Arial" w:eastAsia="Times New Roman" w:hAnsi="Arial" w:cs="Arial"/>
          <w:kern w:val="0"/>
          <w:lang w:eastAsia="en-IN"/>
          <w14:ligatures w14:val="none"/>
        </w:rPr>
      </w:pPr>
    </w:p>
    <w:p w14:paraId="51018B6C" w14:textId="40907D84" w:rsidR="00DC09BF" w:rsidRPr="007E37EC" w:rsidRDefault="00DC09BF" w:rsidP="00171EC2">
      <w:pPr>
        <w:pStyle w:val="BodyText"/>
        <w:spacing w:line="360" w:lineRule="auto"/>
        <w:ind w:right="741"/>
        <w:jc w:val="both"/>
        <w:rPr>
          <w:rFonts w:ascii="Arial" w:hAnsi="Arial" w:cs="Arial"/>
          <w:b/>
          <w:bCs/>
          <w:color w:val="000000" w:themeColor="text1"/>
          <w:spacing w:val="-2"/>
          <w:sz w:val="22"/>
          <w:szCs w:val="22"/>
        </w:rPr>
      </w:pPr>
      <w:r w:rsidRPr="007E37EC">
        <w:rPr>
          <w:rFonts w:ascii="Arial" w:hAnsi="Arial" w:cs="Arial"/>
          <w:b/>
          <w:bCs/>
          <w:color w:val="000000" w:themeColor="text1"/>
          <w:spacing w:val="-2"/>
          <w:sz w:val="22"/>
          <w:szCs w:val="22"/>
        </w:rPr>
        <w:t xml:space="preserve">3.4 Analysis of </w:t>
      </w:r>
      <w:proofErr w:type="spellStart"/>
      <w:r w:rsidRPr="007E37EC">
        <w:rPr>
          <w:rFonts w:ascii="Arial" w:hAnsi="Arial" w:cs="Arial"/>
          <w:b/>
          <w:bCs/>
          <w:color w:val="000000" w:themeColor="text1"/>
          <w:spacing w:val="-2"/>
          <w:sz w:val="22"/>
          <w:szCs w:val="22"/>
        </w:rPr>
        <w:t>lab</w:t>
      </w:r>
      <w:r w:rsidR="009908C4" w:rsidRPr="007E37EC">
        <w:rPr>
          <w:rFonts w:ascii="Arial" w:hAnsi="Arial" w:cs="Arial"/>
          <w:b/>
          <w:bCs/>
          <w:color w:val="000000" w:themeColor="text1"/>
          <w:spacing w:val="-2"/>
          <w:sz w:val="22"/>
          <w:szCs w:val="22"/>
        </w:rPr>
        <w:t>our</w:t>
      </w:r>
      <w:proofErr w:type="spellEnd"/>
      <w:r w:rsidRPr="007E37EC">
        <w:rPr>
          <w:rFonts w:ascii="Arial" w:hAnsi="Arial" w:cs="Arial"/>
          <w:b/>
          <w:bCs/>
          <w:color w:val="000000" w:themeColor="text1"/>
          <w:spacing w:val="-2"/>
          <w:sz w:val="22"/>
          <w:szCs w:val="22"/>
        </w:rPr>
        <w:t xml:space="preserve"> cost cum employment generation</w:t>
      </w:r>
    </w:p>
    <w:p w14:paraId="434E8BD2" w14:textId="77777777" w:rsidR="00DC09BF" w:rsidRPr="003800DB" w:rsidRDefault="00DC09BF" w:rsidP="00171EC2">
      <w:pPr>
        <w:spacing w:line="360" w:lineRule="auto"/>
        <w:ind w:right="866"/>
        <w:jc w:val="both"/>
        <w:rPr>
          <w:rFonts w:ascii="Arial" w:hAnsi="Arial" w:cs="Arial"/>
          <w:b/>
          <w:bCs/>
          <w:color w:val="000000" w:themeColor="text1"/>
          <w:sz w:val="20"/>
          <w:szCs w:val="20"/>
        </w:rPr>
      </w:pPr>
      <w:r w:rsidRPr="003800DB">
        <w:rPr>
          <w:rFonts w:ascii="Arial" w:hAnsi="Arial" w:cs="Arial"/>
          <w:b/>
          <w:bCs/>
          <w:color w:val="000000" w:themeColor="text1"/>
          <w:spacing w:val="-2"/>
          <w:sz w:val="20"/>
          <w:szCs w:val="20"/>
        </w:rPr>
        <w:t>Table 4:</w:t>
      </w:r>
      <w:r w:rsidRPr="003800DB">
        <w:rPr>
          <w:rFonts w:ascii="Arial" w:hAnsi="Arial" w:cs="Arial"/>
          <w:b/>
          <w:bCs/>
          <w:color w:val="545454"/>
          <w:sz w:val="20"/>
          <w:szCs w:val="20"/>
        </w:rPr>
        <w:t xml:space="preserve"> G</w:t>
      </w:r>
      <w:r w:rsidRPr="003800DB">
        <w:rPr>
          <w:rFonts w:ascii="Arial" w:hAnsi="Arial" w:cs="Arial"/>
          <w:color w:val="000000" w:themeColor="text1"/>
          <w:sz w:val="20"/>
          <w:szCs w:val="20"/>
        </w:rPr>
        <w:t>eneration of employment and their respective costs (per firm per day)</w:t>
      </w:r>
      <w:r w:rsidRPr="003800DB">
        <w:rPr>
          <w:rFonts w:ascii="Arial" w:hAnsi="Arial" w:cs="Arial"/>
          <w:b/>
          <w:bCs/>
          <w:color w:val="000000" w:themeColor="text1"/>
          <w:sz w:val="20"/>
          <w:szCs w:val="20"/>
        </w:rPr>
        <w:t xml:space="preserve"> </w:t>
      </w:r>
    </w:p>
    <w:tbl>
      <w:tblPr>
        <w:tblStyle w:val="TableGrid"/>
        <w:tblpPr w:leftFromText="180" w:rightFromText="180" w:vertAnchor="text" w:horzAnchor="margin" w:tblpY="144"/>
        <w:tblW w:w="10014" w:type="dxa"/>
        <w:tblLayout w:type="fixed"/>
        <w:tblLook w:val="01E0" w:firstRow="1" w:lastRow="1" w:firstColumn="1" w:lastColumn="1" w:noHBand="0" w:noVBand="0"/>
      </w:tblPr>
      <w:tblGrid>
        <w:gridCol w:w="1121"/>
        <w:gridCol w:w="1046"/>
        <w:gridCol w:w="1121"/>
        <w:gridCol w:w="1046"/>
        <w:gridCol w:w="1046"/>
        <w:gridCol w:w="1121"/>
        <w:gridCol w:w="1046"/>
        <w:gridCol w:w="1271"/>
        <w:gridCol w:w="1196"/>
      </w:tblGrid>
      <w:tr w:rsidR="0016759E" w:rsidRPr="007E37EC" w14:paraId="283F8AB6" w14:textId="77777777" w:rsidTr="00251A1B">
        <w:trPr>
          <w:trHeight w:val="891"/>
        </w:trPr>
        <w:tc>
          <w:tcPr>
            <w:tcW w:w="1121" w:type="dxa"/>
            <w:vMerge w:val="restart"/>
            <w:vAlign w:val="center"/>
          </w:tcPr>
          <w:p w14:paraId="01D105C3" w14:textId="77777777" w:rsidR="0016759E" w:rsidRPr="007E37EC" w:rsidRDefault="0016759E" w:rsidP="00171EC2">
            <w:pPr>
              <w:pStyle w:val="TableParagraph"/>
              <w:spacing w:before="151" w:line="360" w:lineRule="auto"/>
              <w:ind w:left="0"/>
              <w:jc w:val="both"/>
              <w:rPr>
                <w:rFonts w:ascii="Arial" w:hAnsi="Arial" w:cs="Arial"/>
                <w:b/>
                <w:bCs/>
                <w:color w:val="000000" w:themeColor="text1"/>
                <w:sz w:val="20"/>
                <w:szCs w:val="20"/>
              </w:rPr>
            </w:pPr>
          </w:p>
          <w:p w14:paraId="6529F0FF" w14:textId="4AD6BFDD" w:rsidR="0016759E" w:rsidRPr="007E37EC" w:rsidRDefault="0016759E" w:rsidP="00171EC2">
            <w:pPr>
              <w:pStyle w:val="TableParagraph"/>
              <w:spacing w:before="1" w:line="360" w:lineRule="auto"/>
              <w:jc w:val="both"/>
              <w:rPr>
                <w:rFonts w:ascii="Arial" w:hAnsi="Arial" w:cs="Arial"/>
                <w:b/>
                <w:bCs/>
                <w:color w:val="000000" w:themeColor="text1"/>
                <w:sz w:val="20"/>
                <w:szCs w:val="20"/>
              </w:rPr>
            </w:pPr>
            <w:r w:rsidRPr="007E37EC">
              <w:rPr>
                <w:rFonts w:ascii="Arial" w:hAnsi="Arial" w:cs="Arial"/>
                <w:b/>
                <w:bCs/>
                <w:color w:val="000000" w:themeColor="text1"/>
                <w:spacing w:val="-2"/>
                <w:sz w:val="20"/>
                <w:szCs w:val="20"/>
              </w:rPr>
              <w:t>Blocks</w:t>
            </w:r>
          </w:p>
        </w:tc>
        <w:tc>
          <w:tcPr>
            <w:tcW w:w="3213" w:type="dxa"/>
            <w:gridSpan w:val="3"/>
            <w:vAlign w:val="center"/>
          </w:tcPr>
          <w:p w14:paraId="4126BC3E" w14:textId="42639E78" w:rsidR="0016759E" w:rsidRPr="007E37EC" w:rsidRDefault="0016759E" w:rsidP="00171EC2">
            <w:pPr>
              <w:pStyle w:val="TableParagraph"/>
              <w:spacing w:before="31" w:line="360" w:lineRule="auto"/>
              <w:ind w:left="0"/>
              <w:jc w:val="both"/>
              <w:rPr>
                <w:rFonts w:ascii="Arial" w:hAnsi="Arial" w:cs="Arial"/>
                <w:b/>
                <w:bCs/>
                <w:color w:val="000000" w:themeColor="text1"/>
                <w:sz w:val="20"/>
                <w:szCs w:val="20"/>
              </w:rPr>
            </w:pPr>
            <w:r w:rsidRPr="007E37EC">
              <w:rPr>
                <w:rFonts w:ascii="Arial" w:hAnsi="Arial" w:cs="Arial"/>
                <w:b/>
                <w:bCs/>
                <w:color w:val="000000" w:themeColor="text1"/>
                <w:spacing w:val="-2"/>
                <w:sz w:val="20"/>
                <w:szCs w:val="20"/>
              </w:rPr>
              <w:t>Imputed</w:t>
            </w:r>
            <w:r w:rsidRPr="007E37EC">
              <w:rPr>
                <w:rFonts w:ascii="Arial" w:hAnsi="Arial" w:cs="Arial"/>
                <w:b/>
                <w:bCs/>
                <w:color w:val="000000" w:themeColor="text1"/>
                <w:sz w:val="20"/>
                <w:szCs w:val="20"/>
              </w:rPr>
              <w:t xml:space="preserve"> </w:t>
            </w:r>
            <w:proofErr w:type="spellStart"/>
            <w:r w:rsidRPr="007E37EC">
              <w:rPr>
                <w:rFonts w:ascii="Arial" w:hAnsi="Arial" w:cs="Arial"/>
                <w:b/>
                <w:bCs/>
                <w:color w:val="000000" w:themeColor="text1"/>
                <w:sz w:val="20"/>
                <w:szCs w:val="20"/>
              </w:rPr>
              <w:t>labour</w:t>
            </w:r>
            <w:proofErr w:type="spellEnd"/>
          </w:p>
        </w:tc>
        <w:tc>
          <w:tcPr>
            <w:tcW w:w="3213" w:type="dxa"/>
            <w:gridSpan w:val="3"/>
            <w:vAlign w:val="center"/>
          </w:tcPr>
          <w:p w14:paraId="17BDA5A7" w14:textId="2CE22D8B" w:rsidR="0016759E" w:rsidRPr="007E37EC" w:rsidRDefault="0016759E" w:rsidP="00171EC2">
            <w:pPr>
              <w:pStyle w:val="TableParagraph"/>
              <w:spacing w:before="31" w:line="360" w:lineRule="auto"/>
              <w:ind w:left="0"/>
              <w:jc w:val="both"/>
              <w:rPr>
                <w:rFonts w:ascii="Arial" w:hAnsi="Arial" w:cs="Arial"/>
                <w:b/>
                <w:bCs/>
                <w:color w:val="000000" w:themeColor="text1"/>
                <w:sz w:val="20"/>
                <w:szCs w:val="20"/>
              </w:rPr>
            </w:pPr>
            <w:r w:rsidRPr="007E37EC">
              <w:rPr>
                <w:rFonts w:ascii="Arial" w:hAnsi="Arial" w:cs="Arial"/>
                <w:b/>
                <w:bCs/>
                <w:color w:val="000000" w:themeColor="text1"/>
                <w:spacing w:val="-2"/>
                <w:sz w:val="20"/>
                <w:szCs w:val="20"/>
              </w:rPr>
              <w:t>Hired</w:t>
            </w:r>
            <w:r w:rsidRPr="007E37EC">
              <w:rPr>
                <w:rFonts w:ascii="Arial" w:hAnsi="Arial" w:cs="Arial"/>
                <w:b/>
                <w:bCs/>
                <w:color w:val="000000" w:themeColor="text1"/>
                <w:sz w:val="20"/>
                <w:szCs w:val="20"/>
              </w:rPr>
              <w:t xml:space="preserve"> </w:t>
            </w:r>
            <w:proofErr w:type="spellStart"/>
            <w:r w:rsidRPr="007E37EC">
              <w:rPr>
                <w:rFonts w:ascii="Arial" w:hAnsi="Arial" w:cs="Arial"/>
                <w:b/>
                <w:bCs/>
                <w:color w:val="000000" w:themeColor="text1"/>
                <w:sz w:val="20"/>
                <w:szCs w:val="20"/>
              </w:rPr>
              <w:t>labour</w:t>
            </w:r>
            <w:proofErr w:type="spellEnd"/>
          </w:p>
        </w:tc>
        <w:tc>
          <w:tcPr>
            <w:tcW w:w="1271" w:type="dxa"/>
            <w:vMerge w:val="restart"/>
            <w:vAlign w:val="center"/>
          </w:tcPr>
          <w:p w14:paraId="289964C9" w14:textId="77777777" w:rsidR="0016759E" w:rsidRPr="007E37EC" w:rsidRDefault="0016759E" w:rsidP="00171EC2">
            <w:pPr>
              <w:pStyle w:val="TableParagraph"/>
              <w:spacing w:before="31" w:line="360" w:lineRule="auto"/>
              <w:ind w:left="0"/>
              <w:jc w:val="both"/>
              <w:rPr>
                <w:rFonts w:ascii="Arial" w:hAnsi="Arial" w:cs="Arial"/>
                <w:b/>
                <w:bCs/>
                <w:color w:val="000000" w:themeColor="text1"/>
                <w:sz w:val="20"/>
                <w:szCs w:val="20"/>
              </w:rPr>
            </w:pPr>
          </w:p>
          <w:p w14:paraId="6188B016" w14:textId="3F5FCB7B" w:rsidR="0016759E" w:rsidRPr="007E37EC" w:rsidRDefault="0016759E" w:rsidP="00171EC2">
            <w:pPr>
              <w:pStyle w:val="TableParagraph"/>
              <w:spacing w:before="1" w:line="360" w:lineRule="auto"/>
              <w:ind w:left="0" w:right="185"/>
              <w:jc w:val="both"/>
              <w:rPr>
                <w:rFonts w:ascii="Arial" w:hAnsi="Arial" w:cs="Arial"/>
                <w:b/>
                <w:bCs/>
                <w:color w:val="000000" w:themeColor="text1"/>
                <w:sz w:val="20"/>
                <w:szCs w:val="20"/>
              </w:rPr>
            </w:pPr>
            <w:r w:rsidRPr="007E37EC">
              <w:rPr>
                <w:rFonts w:ascii="Arial" w:hAnsi="Arial" w:cs="Arial"/>
                <w:b/>
                <w:bCs/>
                <w:color w:val="000000" w:themeColor="text1"/>
                <w:sz w:val="20"/>
                <w:szCs w:val="20"/>
              </w:rPr>
              <w:t>Total</w:t>
            </w:r>
            <w:r w:rsidRPr="007E37EC">
              <w:rPr>
                <w:rFonts w:ascii="Arial" w:hAnsi="Arial" w:cs="Arial"/>
                <w:b/>
                <w:bCs/>
                <w:color w:val="000000" w:themeColor="text1"/>
                <w:spacing w:val="-11"/>
                <w:sz w:val="20"/>
                <w:szCs w:val="20"/>
              </w:rPr>
              <w:t xml:space="preserve"> </w:t>
            </w:r>
            <w:proofErr w:type="spellStart"/>
            <w:r w:rsidRPr="007E37EC">
              <w:rPr>
                <w:rFonts w:ascii="Arial" w:hAnsi="Arial" w:cs="Arial"/>
                <w:b/>
                <w:bCs/>
                <w:color w:val="000000" w:themeColor="text1"/>
                <w:sz w:val="20"/>
                <w:szCs w:val="20"/>
              </w:rPr>
              <w:t>labour</w:t>
            </w:r>
            <w:proofErr w:type="spellEnd"/>
            <w:r w:rsidRPr="007E37EC">
              <w:rPr>
                <w:rFonts w:ascii="Arial" w:hAnsi="Arial" w:cs="Arial"/>
                <w:b/>
                <w:bCs/>
                <w:color w:val="000000" w:themeColor="text1"/>
                <w:sz w:val="20"/>
                <w:szCs w:val="20"/>
              </w:rPr>
              <w:t xml:space="preserve"> cost (Rs)</w:t>
            </w:r>
          </w:p>
        </w:tc>
        <w:tc>
          <w:tcPr>
            <w:tcW w:w="1196" w:type="dxa"/>
            <w:vMerge w:val="restart"/>
            <w:vAlign w:val="center"/>
          </w:tcPr>
          <w:p w14:paraId="46CD9627" w14:textId="77777777" w:rsidR="0016759E" w:rsidRPr="007E37EC" w:rsidRDefault="0016759E" w:rsidP="00171EC2">
            <w:pPr>
              <w:pStyle w:val="TableParagraph"/>
              <w:spacing w:before="31" w:line="360" w:lineRule="auto"/>
              <w:ind w:left="0"/>
              <w:jc w:val="both"/>
              <w:rPr>
                <w:rFonts w:ascii="Arial" w:hAnsi="Arial" w:cs="Arial"/>
                <w:b/>
                <w:bCs/>
                <w:color w:val="000000" w:themeColor="text1"/>
                <w:sz w:val="20"/>
                <w:szCs w:val="20"/>
              </w:rPr>
            </w:pPr>
          </w:p>
          <w:p w14:paraId="53D83394" w14:textId="2A9157CD" w:rsidR="0016759E" w:rsidRPr="007E37EC" w:rsidRDefault="0016759E" w:rsidP="00171EC2">
            <w:pPr>
              <w:pStyle w:val="TableParagraph"/>
              <w:spacing w:before="1" w:line="360" w:lineRule="auto"/>
              <w:ind w:right="160"/>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Labour</w:t>
            </w:r>
            <w:proofErr w:type="spellEnd"/>
            <w:r w:rsidRPr="007E37EC">
              <w:rPr>
                <w:rFonts w:ascii="Arial" w:hAnsi="Arial" w:cs="Arial"/>
                <w:b/>
                <w:bCs/>
                <w:color w:val="000000" w:themeColor="text1"/>
                <w:spacing w:val="-11"/>
                <w:sz w:val="20"/>
                <w:szCs w:val="20"/>
              </w:rPr>
              <w:t xml:space="preserve"> </w:t>
            </w:r>
            <w:r w:rsidRPr="007E37EC">
              <w:rPr>
                <w:rFonts w:ascii="Arial" w:hAnsi="Arial" w:cs="Arial"/>
                <w:b/>
                <w:bCs/>
                <w:color w:val="000000" w:themeColor="text1"/>
                <w:sz w:val="20"/>
                <w:szCs w:val="20"/>
              </w:rPr>
              <w:t xml:space="preserve">Cost per Kg of </w:t>
            </w:r>
            <w:proofErr w:type="gramStart"/>
            <w:r w:rsidRPr="007E37EC">
              <w:rPr>
                <w:rFonts w:ascii="Arial" w:hAnsi="Arial" w:cs="Arial"/>
                <w:b/>
                <w:bCs/>
                <w:color w:val="000000" w:themeColor="text1"/>
                <w:sz w:val="20"/>
                <w:szCs w:val="20"/>
              </w:rPr>
              <w:t>output</w:t>
            </w:r>
            <w:r w:rsidRPr="007E37EC">
              <w:rPr>
                <w:rFonts w:ascii="Arial" w:hAnsi="Arial" w:cs="Arial"/>
                <w:b/>
                <w:bCs/>
                <w:color w:val="000000" w:themeColor="text1"/>
                <w:spacing w:val="-5"/>
                <w:sz w:val="20"/>
                <w:szCs w:val="20"/>
              </w:rPr>
              <w:t>(</w:t>
            </w:r>
            <w:proofErr w:type="gramEnd"/>
            <w:r w:rsidRPr="007E37EC">
              <w:rPr>
                <w:rFonts w:ascii="Arial" w:hAnsi="Arial" w:cs="Arial"/>
                <w:b/>
                <w:bCs/>
                <w:color w:val="000000" w:themeColor="text1"/>
                <w:spacing w:val="-5"/>
                <w:sz w:val="20"/>
                <w:szCs w:val="20"/>
              </w:rPr>
              <w:t>Rs)</w:t>
            </w:r>
          </w:p>
        </w:tc>
      </w:tr>
      <w:tr w:rsidR="0016759E" w:rsidRPr="007E37EC" w14:paraId="6AB837F2" w14:textId="77777777" w:rsidTr="00251DEB">
        <w:trPr>
          <w:trHeight w:val="891"/>
        </w:trPr>
        <w:tc>
          <w:tcPr>
            <w:tcW w:w="1121" w:type="dxa"/>
            <w:vMerge/>
            <w:vAlign w:val="center"/>
          </w:tcPr>
          <w:p w14:paraId="17E11954" w14:textId="7F768B75" w:rsidR="0016759E" w:rsidRPr="007E37EC" w:rsidRDefault="0016759E" w:rsidP="00171EC2">
            <w:pPr>
              <w:pStyle w:val="TableParagraph"/>
              <w:spacing w:before="1" w:line="360" w:lineRule="auto"/>
              <w:jc w:val="both"/>
              <w:rPr>
                <w:rFonts w:ascii="Arial" w:hAnsi="Arial" w:cs="Arial"/>
                <w:b/>
                <w:bCs/>
                <w:color w:val="000000" w:themeColor="text1"/>
                <w:sz w:val="20"/>
                <w:szCs w:val="20"/>
              </w:rPr>
            </w:pPr>
          </w:p>
        </w:tc>
        <w:tc>
          <w:tcPr>
            <w:tcW w:w="1046" w:type="dxa"/>
            <w:vAlign w:val="center"/>
          </w:tcPr>
          <w:p w14:paraId="4B7B1BA9" w14:textId="2066E12A" w:rsidR="0016759E" w:rsidRPr="007E37EC" w:rsidRDefault="0016759E" w:rsidP="00171EC2">
            <w:pPr>
              <w:pStyle w:val="TableParagraph"/>
              <w:spacing w:before="1" w:line="360" w:lineRule="auto"/>
              <w:ind w:left="0" w:right="85"/>
              <w:jc w:val="both"/>
              <w:rPr>
                <w:rFonts w:ascii="Arial" w:hAnsi="Arial" w:cs="Arial"/>
                <w:b/>
                <w:bCs/>
                <w:color w:val="000000" w:themeColor="text1"/>
                <w:sz w:val="20"/>
                <w:szCs w:val="20"/>
              </w:rPr>
            </w:pPr>
            <w:r w:rsidRPr="007E37EC">
              <w:rPr>
                <w:rFonts w:ascii="Arial" w:hAnsi="Arial" w:cs="Arial"/>
                <w:b/>
                <w:bCs/>
                <w:color w:val="000000" w:themeColor="text1"/>
                <w:spacing w:val="-11"/>
                <w:sz w:val="20"/>
                <w:szCs w:val="20"/>
              </w:rPr>
              <w:t>N</w:t>
            </w:r>
            <w:r w:rsidRPr="007E37EC">
              <w:rPr>
                <w:rFonts w:ascii="Arial" w:hAnsi="Arial" w:cs="Arial"/>
                <w:b/>
                <w:bCs/>
                <w:color w:val="000000" w:themeColor="text1"/>
                <w:sz w:val="20"/>
                <w:szCs w:val="20"/>
              </w:rPr>
              <w:t>umber</w:t>
            </w:r>
          </w:p>
        </w:tc>
        <w:tc>
          <w:tcPr>
            <w:tcW w:w="1121" w:type="dxa"/>
            <w:vAlign w:val="center"/>
          </w:tcPr>
          <w:p w14:paraId="4CE0F3EB" w14:textId="48EF69EF" w:rsidR="0016759E" w:rsidRPr="007E37EC" w:rsidRDefault="0016759E" w:rsidP="00171EC2">
            <w:pPr>
              <w:pStyle w:val="TableParagraph"/>
              <w:spacing w:before="1" w:line="360" w:lineRule="auto"/>
              <w:ind w:left="0"/>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Labour</w:t>
            </w:r>
            <w:proofErr w:type="spellEnd"/>
          </w:p>
          <w:p w14:paraId="6CFA49D2" w14:textId="7039E90F" w:rsidR="0016759E" w:rsidRPr="007E37EC" w:rsidRDefault="0016759E" w:rsidP="00171EC2">
            <w:pPr>
              <w:pStyle w:val="TableParagraph"/>
              <w:spacing w:before="1" w:line="360" w:lineRule="auto"/>
              <w:ind w:left="0"/>
              <w:jc w:val="both"/>
              <w:rPr>
                <w:rFonts w:ascii="Arial" w:hAnsi="Arial" w:cs="Arial"/>
                <w:b/>
                <w:bCs/>
                <w:color w:val="000000" w:themeColor="text1"/>
                <w:sz w:val="20"/>
                <w:szCs w:val="20"/>
              </w:rPr>
            </w:pPr>
            <w:r w:rsidRPr="007E37EC">
              <w:rPr>
                <w:rFonts w:ascii="Arial" w:hAnsi="Arial" w:cs="Arial"/>
                <w:b/>
                <w:bCs/>
                <w:color w:val="000000" w:themeColor="text1"/>
                <w:spacing w:val="-2"/>
                <w:sz w:val="20"/>
                <w:szCs w:val="20"/>
              </w:rPr>
              <w:t>hours</w:t>
            </w:r>
          </w:p>
        </w:tc>
        <w:tc>
          <w:tcPr>
            <w:tcW w:w="1046" w:type="dxa"/>
            <w:vAlign w:val="center"/>
          </w:tcPr>
          <w:p w14:paraId="58EEFA1E" w14:textId="77777777" w:rsidR="0016759E" w:rsidRPr="007E37EC" w:rsidRDefault="0016759E" w:rsidP="00171EC2">
            <w:pPr>
              <w:pStyle w:val="TableParagraph"/>
              <w:spacing w:before="31" w:line="360" w:lineRule="auto"/>
              <w:ind w:left="0"/>
              <w:jc w:val="both"/>
              <w:rPr>
                <w:rFonts w:ascii="Arial" w:hAnsi="Arial" w:cs="Arial"/>
                <w:b/>
                <w:bCs/>
                <w:color w:val="000000" w:themeColor="text1"/>
                <w:sz w:val="20"/>
                <w:szCs w:val="20"/>
              </w:rPr>
            </w:pPr>
          </w:p>
          <w:p w14:paraId="62FE426A" w14:textId="16DB245E" w:rsidR="0016759E" w:rsidRPr="007E37EC" w:rsidRDefault="0016759E" w:rsidP="00171EC2">
            <w:pPr>
              <w:pStyle w:val="TableParagraph"/>
              <w:spacing w:before="1" w:line="360" w:lineRule="auto"/>
              <w:ind w:left="0" w:right="159"/>
              <w:jc w:val="both"/>
              <w:rPr>
                <w:rFonts w:ascii="Arial" w:hAnsi="Arial" w:cs="Arial"/>
                <w:b/>
                <w:bCs/>
                <w:color w:val="000000" w:themeColor="text1"/>
                <w:sz w:val="20"/>
                <w:szCs w:val="20"/>
              </w:rPr>
            </w:pPr>
            <w:r w:rsidRPr="007E37EC">
              <w:rPr>
                <w:rFonts w:ascii="Arial" w:hAnsi="Arial" w:cs="Arial"/>
                <w:b/>
                <w:bCs/>
                <w:color w:val="000000" w:themeColor="text1"/>
                <w:sz w:val="20"/>
                <w:szCs w:val="20"/>
              </w:rPr>
              <w:t xml:space="preserve">Cost </w:t>
            </w:r>
            <w:r w:rsidRPr="007E37EC">
              <w:rPr>
                <w:rFonts w:ascii="Arial" w:hAnsi="Arial" w:cs="Arial"/>
                <w:b/>
                <w:bCs/>
                <w:color w:val="000000" w:themeColor="text1"/>
                <w:spacing w:val="-5"/>
                <w:sz w:val="20"/>
                <w:szCs w:val="20"/>
              </w:rPr>
              <w:t>(Rs)</w:t>
            </w:r>
          </w:p>
        </w:tc>
        <w:tc>
          <w:tcPr>
            <w:tcW w:w="1046" w:type="dxa"/>
            <w:vAlign w:val="center"/>
          </w:tcPr>
          <w:p w14:paraId="4F46BD77" w14:textId="77777777" w:rsidR="0016759E" w:rsidRPr="007E37EC" w:rsidRDefault="0016759E" w:rsidP="00171EC2">
            <w:pPr>
              <w:pStyle w:val="TableParagraph"/>
              <w:spacing w:before="31" w:line="360" w:lineRule="auto"/>
              <w:ind w:left="0"/>
              <w:jc w:val="both"/>
              <w:rPr>
                <w:rFonts w:ascii="Arial" w:hAnsi="Arial" w:cs="Arial"/>
                <w:b/>
                <w:bCs/>
                <w:color w:val="000000" w:themeColor="text1"/>
                <w:sz w:val="20"/>
                <w:szCs w:val="20"/>
              </w:rPr>
            </w:pPr>
          </w:p>
          <w:p w14:paraId="67DF59B7" w14:textId="7BD09E63" w:rsidR="0016759E" w:rsidRPr="007E37EC" w:rsidRDefault="0016759E" w:rsidP="00171EC2">
            <w:pPr>
              <w:pStyle w:val="TableParagraph"/>
              <w:spacing w:before="1" w:line="360" w:lineRule="auto"/>
              <w:ind w:right="85"/>
              <w:jc w:val="both"/>
              <w:rPr>
                <w:rFonts w:ascii="Arial" w:hAnsi="Arial" w:cs="Arial"/>
                <w:b/>
                <w:bCs/>
                <w:color w:val="000000" w:themeColor="text1"/>
                <w:sz w:val="20"/>
                <w:szCs w:val="20"/>
              </w:rPr>
            </w:pPr>
            <w:r w:rsidRPr="007E37EC">
              <w:rPr>
                <w:rFonts w:ascii="Arial" w:hAnsi="Arial" w:cs="Arial"/>
                <w:b/>
                <w:bCs/>
                <w:color w:val="000000" w:themeColor="text1"/>
                <w:spacing w:val="-11"/>
                <w:sz w:val="20"/>
                <w:szCs w:val="20"/>
              </w:rPr>
              <w:t xml:space="preserve"> </w:t>
            </w:r>
            <w:r w:rsidRPr="007E37EC">
              <w:rPr>
                <w:rFonts w:ascii="Arial" w:hAnsi="Arial" w:cs="Arial"/>
                <w:b/>
                <w:bCs/>
                <w:color w:val="000000" w:themeColor="text1"/>
                <w:sz w:val="20"/>
                <w:szCs w:val="20"/>
              </w:rPr>
              <w:t>Number</w:t>
            </w:r>
          </w:p>
        </w:tc>
        <w:tc>
          <w:tcPr>
            <w:tcW w:w="1121" w:type="dxa"/>
            <w:vAlign w:val="center"/>
          </w:tcPr>
          <w:p w14:paraId="58EF2E81" w14:textId="2910B5D7" w:rsidR="0016759E" w:rsidRPr="007E37EC" w:rsidRDefault="0016759E" w:rsidP="00171EC2">
            <w:pPr>
              <w:pStyle w:val="TableParagraph"/>
              <w:spacing w:before="1" w:line="360" w:lineRule="auto"/>
              <w:ind w:left="0"/>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Labour</w:t>
            </w:r>
            <w:proofErr w:type="spellEnd"/>
          </w:p>
          <w:p w14:paraId="7E81B95D" w14:textId="77777777" w:rsidR="0016759E" w:rsidRPr="007E37EC" w:rsidRDefault="0016759E" w:rsidP="00171EC2">
            <w:pPr>
              <w:pStyle w:val="TableParagraph"/>
              <w:spacing w:before="31" w:line="360" w:lineRule="auto"/>
              <w:ind w:left="0"/>
              <w:jc w:val="both"/>
              <w:rPr>
                <w:rFonts w:ascii="Arial" w:hAnsi="Arial" w:cs="Arial"/>
                <w:b/>
                <w:bCs/>
                <w:color w:val="000000" w:themeColor="text1"/>
                <w:sz w:val="20"/>
                <w:szCs w:val="20"/>
              </w:rPr>
            </w:pPr>
          </w:p>
          <w:p w14:paraId="51B1169A" w14:textId="66A0E258" w:rsidR="0016759E" w:rsidRPr="007E37EC" w:rsidRDefault="0016759E" w:rsidP="00171EC2">
            <w:pPr>
              <w:pStyle w:val="TableParagraph"/>
              <w:spacing w:before="1" w:line="360" w:lineRule="auto"/>
              <w:jc w:val="both"/>
              <w:rPr>
                <w:rFonts w:ascii="Arial" w:hAnsi="Arial" w:cs="Arial"/>
                <w:b/>
                <w:bCs/>
                <w:color w:val="000000" w:themeColor="text1"/>
                <w:sz w:val="20"/>
                <w:szCs w:val="20"/>
              </w:rPr>
            </w:pPr>
            <w:r w:rsidRPr="007E37EC">
              <w:rPr>
                <w:rFonts w:ascii="Arial" w:hAnsi="Arial" w:cs="Arial"/>
                <w:b/>
                <w:bCs/>
                <w:color w:val="000000" w:themeColor="text1"/>
                <w:spacing w:val="-2"/>
                <w:sz w:val="20"/>
                <w:szCs w:val="20"/>
              </w:rPr>
              <w:t>hours</w:t>
            </w:r>
          </w:p>
        </w:tc>
        <w:tc>
          <w:tcPr>
            <w:tcW w:w="1046" w:type="dxa"/>
            <w:vAlign w:val="center"/>
          </w:tcPr>
          <w:p w14:paraId="11BCE87E" w14:textId="77777777" w:rsidR="0016759E" w:rsidRPr="007E37EC" w:rsidRDefault="0016759E" w:rsidP="00171EC2">
            <w:pPr>
              <w:pStyle w:val="TableParagraph"/>
              <w:spacing w:before="31" w:line="360" w:lineRule="auto"/>
              <w:ind w:left="0"/>
              <w:jc w:val="both"/>
              <w:rPr>
                <w:rFonts w:ascii="Arial" w:hAnsi="Arial" w:cs="Arial"/>
                <w:b/>
                <w:bCs/>
                <w:color w:val="000000" w:themeColor="text1"/>
                <w:sz w:val="20"/>
                <w:szCs w:val="20"/>
              </w:rPr>
            </w:pPr>
          </w:p>
          <w:p w14:paraId="172FD562" w14:textId="305552C0" w:rsidR="0016759E" w:rsidRPr="007E37EC" w:rsidRDefault="0016759E" w:rsidP="00171EC2">
            <w:pPr>
              <w:pStyle w:val="TableParagraph"/>
              <w:spacing w:before="1" w:line="360" w:lineRule="auto"/>
              <w:ind w:right="155"/>
              <w:jc w:val="both"/>
              <w:rPr>
                <w:rFonts w:ascii="Arial" w:hAnsi="Arial" w:cs="Arial"/>
                <w:b/>
                <w:bCs/>
                <w:color w:val="000000" w:themeColor="text1"/>
                <w:sz w:val="20"/>
                <w:szCs w:val="20"/>
              </w:rPr>
            </w:pPr>
            <w:r w:rsidRPr="007E37EC">
              <w:rPr>
                <w:rFonts w:ascii="Arial" w:hAnsi="Arial" w:cs="Arial"/>
                <w:b/>
                <w:bCs/>
                <w:color w:val="000000" w:themeColor="text1"/>
                <w:sz w:val="20"/>
                <w:szCs w:val="20"/>
              </w:rPr>
              <w:t>Cost</w:t>
            </w:r>
            <w:r w:rsidRPr="007E37EC">
              <w:rPr>
                <w:rFonts w:ascii="Arial" w:hAnsi="Arial" w:cs="Arial"/>
                <w:b/>
                <w:bCs/>
                <w:color w:val="000000" w:themeColor="text1"/>
                <w:spacing w:val="-11"/>
                <w:sz w:val="20"/>
                <w:szCs w:val="20"/>
              </w:rPr>
              <w:t xml:space="preserve"> </w:t>
            </w:r>
            <w:r w:rsidRPr="007E37EC">
              <w:rPr>
                <w:rFonts w:ascii="Arial" w:hAnsi="Arial" w:cs="Arial"/>
                <w:b/>
                <w:bCs/>
                <w:color w:val="000000" w:themeColor="text1"/>
                <w:sz w:val="20"/>
                <w:szCs w:val="20"/>
              </w:rPr>
              <w:t>(Rs)</w:t>
            </w:r>
          </w:p>
        </w:tc>
        <w:tc>
          <w:tcPr>
            <w:tcW w:w="1271" w:type="dxa"/>
            <w:vMerge/>
            <w:vAlign w:val="center"/>
          </w:tcPr>
          <w:p w14:paraId="78A0159A" w14:textId="253620EA" w:rsidR="0016759E" w:rsidRPr="007E37EC" w:rsidRDefault="0016759E" w:rsidP="00171EC2">
            <w:pPr>
              <w:pStyle w:val="TableParagraph"/>
              <w:spacing w:before="1" w:line="360" w:lineRule="auto"/>
              <w:ind w:left="0" w:right="185"/>
              <w:jc w:val="both"/>
              <w:rPr>
                <w:rFonts w:ascii="Arial" w:hAnsi="Arial" w:cs="Arial"/>
                <w:b/>
                <w:bCs/>
                <w:color w:val="000000" w:themeColor="text1"/>
                <w:sz w:val="20"/>
                <w:szCs w:val="20"/>
              </w:rPr>
            </w:pPr>
          </w:p>
        </w:tc>
        <w:tc>
          <w:tcPr>
            <w:tcW w:w="1196" w:type="dxa"/>
            <w:vMerge/>
            <w:vAlign w:val="center"/>
          </w:tcPr>
          <w:p w14:paraId="60745A47" w14:textId="71E3AF6B" w:rsidR="0016759E" w:rsidRPr="007E37EC" w:rsidRDefault="0016759E" w:rsidP="00171EC2">
            <w:pPr>
              <w:pStyle w:val="TableParagraph"/>
              <w:spacing w:before="1" w:line="360" w:lineRule="auto"/>
              <w:ind w:right="160"/>
              <w:jc w:val="both"/>
              <w:rPr>
                <w:rFonts w:ascii="Arial" w:hAnsi="Arial" w:cs="Arial"/>
                <w:b/>
                <w:bCs/>
                <w:color w:val="000000" w:themeColor="text1"/>
                <w:sz w:val="20"/>
                <w:szCs w:val="20"/>
              </w:rPr>
            </w:pPr>
          </w:p>
        </w:tc>
      </w:tr>
      <w:tr w:rsidR="00DC09BF" w:rsidRPr="007E37EC" w14:paraId="7B1F9BDA" w14:textId="77777777" w:rsidTr="00251DEB">
        <w:trPr>
          <w:trHeight w:val="358"/>
        </w:trPr>
        <w:tc>
          <w:tcPr>
            <w:tcW w:w="1121" w:type="dxa"/>
            <w:vAlign w:val="center"/>
          </w:tcPr>
          <w:p w14:paraId="38473D2B" w14:textId="77777777" w:rsidR="00DC09BF" w:rsidRPr="007E37EC" w:rsidRDefault="00DC09BF" w:rsidP="00171EC2">
            <w:pPr>
              <w:pStyle w:val="TableParagraph"/>
              <w:spacing w:before="64" w:line="360" w:lineRule="auto"/>
              <w:ind w:right="1"/>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Coochbehar</w:t>
            </w:r>
            <w:proofErr w:type="spellEnd"/>
            <w:r w:rsidRPr="007E37EC">
              <w:rPr>
                <w:rFonts w:ascii="Arial" w:hAnsi="Arial" w:cs="Arial"/>
                <w:b/>
                <w:bCs/>
                <w:color w:val="000000" w:themeColor="text1"/>
                <w:sz w:val="20"/>
                <w:szCs w:val="20"/>
              </w:rPr>
              <w:t xml:space="preserve"> II</w:t>
            </w:r>
          </w:p>
        </w:tc>
        <w:tc>
          <w:tcPr>
            <w:tcW w:w="1046" w:type="dxa"/>
            <w:vAlign w:val="center"/>
          </w:tcPr>
          <w:p w14:paraId="200276EF"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1.29</w:t>
            </w:r>
          </w:p>
        </w:tc>
        <w:tc>
          <w:tcPr>
            <w:tcW w:w="1121" w:type="dxa"/>
            <w:vAlign w:val="center"/>
          </w:tcPr>
          <w:p w14:paraId="19998046"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6.29</w:t>
            </w:r>
          </w:p>
        </w:tc>
        <w:tc>
          <w:tcPr>
            <w:tcW w:w="1046" w:type="dxa"/>
            <w:vAlign w:val="center"/>
          </w:tcPr>
          <w:p w14:paraId="30DAC1EA"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314.29</w:t>
            </w:r>
          </w:p>
        </w:tc>
        <w:tc>
          <w:tcPr>
            <w:tcW w:w="1046" w:type="dxa"/>
            <w:vAlign w:val="center"/>
          </w:tcPr>
          <w:p w14:paraId="534E0898"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2.00</w:t>
            </w:r>
          </w:p>
        </w:tc>
        <w:tc>
          <w:tcPr>
            <w:tcW w:w="1121" w:type="dxa"/>
            <w:vAlign w:val="center"/>
          </w:tcPr>
          <w:p w14:paraId="73ACA035"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15.11</w:t>
            </w:r>
          </w:p>
        </w:tc>
        <w:tc>
          <w:tcPr>
            <w:tcW w:w="1046" w:type="dxa"/>
            <w:vAlign w:val="center"/>
          </w:tcPr>
          <w:p w14:paraId="408B0E29"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566.67</w:t>
            </w:r>
          </w:p>
        </w:tc>
        <w:tc>
          <w:tcPr>
            <w:tcW w:w="1271" w:type="dxa"/>
            <w:vAlign w:val="center"/>
          </w:tcPr>
          <w:p w14:paraId="31AB0CF1"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880.96</w:t>
            </w:r>
          </w:p>
        </w:tc>
        <w:tc>
          <w:tcPr>
            <w:tcW w:w="1196" w:type="dxa"/>
            <w:vAlign w:val="center"/>
          </w:tcPr>
          <w:p w14:paraId="0A1C4F6C"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6.28</w:t>
            </w:r>
          </w:p>
        </w:tc>
      </w:tr>
      <w:tr w:rsidR="00DC09BF" w:rsidRPr="007E37EC" w14:paraId="6435F6FD" w14:textId="77777777" w:rsidTr="00251DEB">
        <w:trPr>
          <w:trHeight w:val="358"/>
        </w:trPr>
        <w:tc>
          <w:tcPr>
            <w:tcW w:w="1121" w:type="dxa"/>
            <w:vAlign w:val="center"/>
          </w:tcPr>
          <w:p w14:paraId="06AAEE30" w14:textId="77777777" w:rsidR="00DC09BF" w:rsidRPr="007E37EC" w:rsidRDefault="00DC09BF" w:rsidP="00171EC2">
            <w:pPr>
              <w:pStyle w:val="TableParagraph"/>
              <w:spacing w:before="64" w:line="360" w:lineRule="auto"/>
              <w:jc w:val="both"/>
              <w:rPr>
                <w:rFonts w:ascii="Arial" w:hAnsi="Arial" w:cs="Arial"/>
                <w:b/>
                <w:bCs/>
                <w:color w:val="000000" w:themeColor="text1"/>
                <w:spacing w:val="-2"/>
                <w:sz w:val="20"/>
                <w:szCs w:val="20"/>
              </w:rPr>
            </w:pPr>
            <w:proofErr w:type="spellStart"/>
            <w:r w:rsidRPr="007E37EC">
              <w:rPr>
                <w:rFonts w:ascii="Arial" w:hAnsi="Arial" w:cs="Arial"/>
                <w:b/>
                <w:bCs/>
                <w:color w:val="000000" w:themeColor="text1"/>
                <w:spacing w:val="-2"/>
                <w:sz w:val="20"/>
                <w:szCs w:val="20"/>
              </w:rPr>
              <w:t>Tufanganj</w:t>
            </w:r>
            <w:proofErr w:type="spellEnd"/>
            <w:r w:rsidRPr="007E37EC">
              <w:rPr>
                <w:rFonts w:ascii="Arial" w:hAnsi="Arial" w:cs="Arial"/>
                <w:b/>
                <w:bCs/>
                <w:color w:val="000000" w:themeColor="text1"/>
                <w:spacing w:val="-2"/>
                <w:sz w:val="20"/>
                <w:szCs w:val="20"/>
              </w:rPr>
              <w:t xml:space="preserve"> I</w:t>
            </w:r>
          </w:p>
        </w:tc>
        <w:tc>
          <w:tcPr>
            <w:tcW w:w="1046" w:type="dxa"/>
            <w:vAlign w:val="center"/>
          </w:tcPr>
          <w:p w14:paraId="668061CE"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1.44</w:t>
            </w:r>
          </w:p>
        </w:tc>
        <w:tc>
          <w:tcPr>
            <w:tcW w:w="1121" w:type="dxa"/>
            <w:vAlign w:val="center"/>
          </w:tcPr>
          <w:p w14:paraId="663508C8"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7.67</w:t>
            </w:r>
          </w:p>
        </w:tc>
        <w:tc>
          <w:tcPr>
            <w:tcW w:w="1046" w:type="dxa"/>
            <w:vAlign w:val="center"/>
          </w:tcPr>
          <w:p w14:paraId="1B9EBE8B"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383.33</w:t>
            </w:r>
          </w:p>
        </w:tc>
        <w:tc>
          <w:tcPr>
            <w:tcW w:w="1046" w:type="dxa"/>
            <w:vAlign w:val="center"/>
          </w:tcPr>
          <w:p w14:paraId="3400A4D3"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2.00</w:t>
            </w:r>
          </w:p>
        </w:tc>
        <w:tc>
          <w:tcPr>
            <w:tcW w:w="1121" w:type="dxa"/>
            <w:vAlign w:val="center"/>
          </w:tcPr>
          <w:p w14:paraId="17C013B0"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14.00</w:t>
            </w:r>
          </w:p>
        </w:tc>
        <w:tc>
          <w:tcPr>
            <w:tcW w:w="1046" w:type="dxa"/>
            <w:vAlign w:val="center"/>
          </w:tcPr>
          <w:p w14:paraId="3EC00308"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525.00</w:t>
            </w:r>
          </w:p>
        </w:tc>
        <w:tc>
          <w:tcPr>
            <w:tcW w:w="1271" w:type="dxa"/>
            <w:vAlign w:val="center"/>
          </w:tcPr>
          <w:p w14:paraId="6741174E"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908.33</w:t>
            </w:r>
          </w:p>
        </w:tc>
        <w:tc>
          <w:tcPr>
            <w:tcW w:w="1196" w:type="dxa"/>
            <w:vAlign w:val="center"/>
          </w:tcPr>
          <w:p w14:paraId="4727FD87"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7.74</w:t>
            </w:r>
          </w:p>
        </w:tc>
      </w:tr>
      <w:tr w:rsidR="00DC09BF" w:rsidRPr="007E37EC" w14:paraId="6C81F5F7" w14:textId="77777777" w:rsidTr="00251DEB">
        <w:trPr>
          <w:trHeight w:val="358"/>
        </w:trPr>
        <w:tc>
          <w:tcPr>
            <w:tcW w:w="1121" w:type="dxa"/>
            <w:vAlign w:val="center"/>
          </w:tcPr>
          <w:p w14:paraId="055124AD" w14:textId="77777777" w:rsidR="00DC09BF" w:rsidRPr="007E37EC" w:rsidRDefault="00DC09BF" w:rsidP="00171EC2">
            <w:pPr>
              <w:pStyle w:val="TableParagraph"/>
              <w:spacing w:before="64" w:line="360" w:lineRule="auto"/>
              <w:ind w:right="1"/>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Alipurduar</w:t>
            </w:r>
            <w:proofErr w:type="spellEnd"/>
            <w:r w:rsidRPr="007E37EC">
              <w:rPr>
                <w:rFonts w:ascii="Arial" w:hAnsi="Arial" w:cs="Arial"/>
                <w:b/>
                <w:bCs/>
                <w:color w:val="000000" w:themeColor="text1"/>
                <w:sz w:val="20"/>
                <w:szCs w:val="20"/>
              </w:rPr>
              <w:t xml:space="preserve"> </w:t>
            </w:r>
            <w:r w:rsidRPr="007E37EC">
              <w:rPr>
                <w:rFonts w:ascii="Arial" w:hAnsi="Arial" w:cs="Arial"/>
                <w:b/>
                <w:bCs/>
                <w:color w:val="000000" w:themeColor="text1"/>
                <w:spacing w:val="-10"/>
                <w:sz w:val="20"/>
                <w:szCs w:val="20"/>
              </w:rPr>
              <w:t>I</w:t>
            </w:r>
          </w:p>
        </w:tc>
        <w:tc>
          <w:tcPr>
            <w:tcW w:w="1046" w:type="dxa"/>
            <w:vAlign w:val="center"/>
          </w:tcPr>
          <w:p w14:paraId="14F8AF62"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1.67</w:t>
            </w:r>
          </w:p>
        </w:tc>
        <w:tc>
          <w:tcPr>
            <w:tcW w:w="1121" w:type="dxa"/>
            <w:vAlign w:val="center"/>
          </w:tcPr>
          <w:p w14:paraId="236CEE5D"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11.00</w:t>
            </w:r>
          </w:p>
        </w:tc>
        <w:tc>
          <w:tcPr>
            <w:tcW w:w="1046" w:type="dxa"/>
            <w:vAlign w:val="center"/>
          </w:tcPr>
          <w:p w14:paraId="25011C43"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550.00</w:t>
            </w:r>
          </w:p>
        </w:tc>
        <w:tc>
          <w:tcPr>
            <w:tcW w:w="1046" w:type="dxa"/>
            <w:vAlign w:val="center"/>
          </w:tcPr>
          <w:p w14:paraId="36A5EBD7"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1.50</w:t>
            </w:r>
          </w:p>
        </w:tc>
        <w:tc>
          <w:tcPr>
            <w:tcW w:w="1121" w:type="dxa"/>
            <w:vAlign w:val="center"/>
          </w:tcPr>
          <w:p w14:paraId="1655651C"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13.00</w:t>
            </w:r>
          </w:p>
        </w:tc>
        <w:tc>
          <w:tcPr>
            <w:tcW w:w="1046" w:type="dxa"/>
            <w:vAlign w:val="center"/>
          </w:tcPr>
          <w:p w14:paraId="65149A04"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487.50</w:t>
            </w:r>
          </w:p>
        </w:tc>
        <w:tc>
          <w:tcPr>
            <w:tcW w:w="1271" w:type="dxa"/>
            <w:vAlign w:val="center"/>
          </w:tcPr>
          <w:p w14:paraId="62658A28"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1037.50</w:t>
            </w:r>
          </w:p>
        </w:tc>
        <w:tc>
          <w:tcPr>
            <w:tcW w:w="1196" w:type="dxa"/>
            <w:vAlign w:val="center"/>
          </w:tcPr>
          <w:p w14:paraId="6C72004A"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9.61</w:t>
            </w:r>
          </w:p>
        </w:tc>
      </w:tr>
      <w:tr w:rsidR="00DC09BF" w:rsidRPr="007E37EC" w14:paraId="5689AA6B" w14:textId="77777777" w:rsidTr="00251DEB">
        <w:trPr>
          <w:trHeight w:val="358"/>
        </w:trPr>
        <w:tc>
          <w:tcPr>
            <w:tcW w:w="1121" w:type="dxa"/>
            <w:vAlign w:val="center"/>
          </w:tcPr>
          <w:p w14:paraId="50C5F1E6" w14:textId="77777777" w:rsidR="00DC09BF" w:rsidRPr="007E37EC" w:rsidRDefault="00DC09BF" w:rsidP="00171EC2">
            <w:pPr>
              <w:pStyle w:val="TableParagraph"/>
              <w:spacing w:before="64" w:line="360" w:lineRule="auto"/>
              <w:ind w:right="1"/>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Alipurdu</w:t>
            </w:r>
            <w:r w:rsidRPr="007E37EC">
              <w:rPr>
                <w:rFonts w:ascii="Arial" w:hAnsi="Arial" w:cs="Arial"/>
                <w:b/>
                <w:bCs/>
                <w:color w:val="000000" w:themeColor="text1"/>
                <w:sz w:val="20"/>
                <w:szCs w:val="20"/>
              </w:rPr>
              <w:lastRenderedPageBreak/>
              <w:t>ar</w:t>
            </w:r>
            <w:proofErr w:type="spellEnd"/>
            <w:r w:rsidRPr="007E37EC">
              <w:rPr>
                <w:rFonts w:ascii="Arial" w:hAnsi="Arial" w:cs="Arial"/>
                <w:b/>
                <w:bCs/>
                <w:color w:val="000000" w:themeColor="text1"/>
                <w:sz w:val="20"/>
                <w:szCs w:val="20"/>
              </w:rPr>
              <w:t xml:space="preserve"> </w:t>
            </w:r>
            <w:r w:rsidRPr="007E37EC">
              <w:rPr>
                <w:rFonts w:ascii="Arial" w:hAnsi="Arial" w:cs="Arial"/>
                <w:b/>
                <w:bCs/>
                <w:color w:val="000000" w:themeColor="text1"/>
                <w:spacing w:val="-5"/>
                <w:sz w:val="20"/>
                <w:szCs w:val="20"/>
              </w:rPr>
              <w:t>II</w:t>
            </w:r>
          </w:p>
        </w:tc>
        <w:tc>
          <w:tcPr>
            <w:tcW w:w="1046" w:type="dxa"/>
            <w:vAlign w:val="center"/>
          </w:tcPr>
          <w:p w14:paraId="54DDF76B"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lastRenderedPageBreak/>
              <w:t>1.17</w:t>
            </w:r>
          </w:p>
        </w:tc>
        <w:tc>
          <w:tcPr>
            <w:tcW w:w="1121" w:type="dxa"/>
            <w:vAlign w:val="center"/>
          </w:tcPr>
          <w:p w14:paraId="6269AF2B"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5.83</w:t>
            </w:r>
          </w:p>
        </w:tc>
        <w:tc>
          <w:tcPr>
            <w:tcW w:w="1046" w:type="dxa"/>
            <w:vAlign w:val="center"/>
          </w:tcPr>
          <w:p w14:paraId="0B71E2A9"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291.67</w:t>
            </w:r>
          </w:p>
        </w:tc>
        <w:tc>
          <w:tcPr>
            <w:tcW w:w="1046" w:type="dxa"/>
            <w:vAlign w:val="center"/>
          </w:tcPr>
          <w:p w14:paraId="2B111F4C"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1.80</w:t>
            </w:r>
          </w:p>
        </w:tc>
        <w:tc>
          <w:tcPr>
            <w:tcW w:w="1121" w:type="dxa"/>
            <w:vAlign w:val="center"/>
          </w:tcPr>
          <w:p w14:paraId="4AEA7F66"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12.40</w:t>
            </w:r>
          </w:p>
        </w:tc>
        <w:tc>
          <w:tcPr>
            <w:tcW w:w="1046" w:type="dxa"/>
            <w:vAlign w:val="center"/>
          </w:tcPr>
          <w:p w14:paraId="21264F43"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465.00</w:t>
            </w:r>
          </w:p>
        </w:tc>
        <w:tc>
          <w:tcPr>
            <w:tcW w:w="1271" w:type="dxa"/>
            <w:vAlign w:val="center"/>
          </w:tcPr>
          <w:p w14:paraId="55BB83B2"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756.67</w:t>
            </w:r>
          </w:p>
        </w:tc>
        <w:tc>
          <w:tcPr>
            <w:tcW w:w="1196" w:type="dxa"/>
            <w:vAlign w:val="center"/>
          </w:tcPr>
          <w:p w14:paraId="15B83303" w14:textId="77777777" w:rsidR="00DC09BF" w:rsidRPr="007E37EC" w:rsidRDefault="00DC09BF" w:rsidP="00171EC2">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6.35</w:t>
            </w:r>
          </w:p>
        </w:tc>
      </w:tr>
      <w:tr w:rsidR="00DC09BF" w:rsidRPr="007E37EC" w14:paraId="1C9730FA" w14:textId="77777777" w:rsidTr="00251DEB">
        <w:trPr>
          <w:trHeight w:val="358"/>
        </w:trPr>
        <w:tc>
          <w:tcPr>
            <w:tcW w:w="1121" w:type="dxa"/>
            <w:vAlign w:val="center"/>
          </w:tcPr>
          <w:p w14:paraId="7A5BAAC7" w14:textId="77777777" w:rsidR="00DC09BF" w:rsidRPr="007E37EC" w:rsidRDefault="00DC09BF" w:rsidP="00171EC2">
            <w:pPr>
              <w:pStyle w:val="TableParagraph"/>
              <w:spacing w:before="64" w:line="360" w:lineRule="auto"/>
              <w:ind w:right="1"/>
              <w:jc w:val="both"/>
              <w:rPr>
                <w:rFonts w:ascii="Arial" w:hAnsi="Arial" w:cs="Arial"/>
                <w:b/>
                <w:bCs/>
                <w:color w:val="000000" w:themeColor="text1"/>
                <w:sz w:val="20"/>
                <w:szCs w:val="20"/>
              </w:rPr>
            </w:pPr>
            <w:r w:rsidRPr="007E37EC">
              <w:rPr>
                <w:rFonts w:ascii="Arial" w:hAnsi="Arial" w:cs="Arial"/>
                <w:b/>
                <w:bCs/>
                <w:color w:val="000000" w:themeColor="text1"/>
                <w:sz w:val="20"/>
                <w:szCs w:val="20"/>
              </w:rPr>
              <w:t>Total</w:t>
            </w:r>
          </w:p>
        </w:tc>
        <w:tc>
          <w:tcPr>
            <w:tcW w:w="1046" w:type="dxa"/>
            <w:vAlign w:val="bottom"/>
          </w:tcPr>
          <w:p w14:paraId="29B38151" w14:textId="77777777" w:rsidR="00DC09BF" w:rsidRPr="007E37EC" w:rsidRDefault="00DC09BF" w:rsidP="00171EC2">
            <w:pPr>
              <w:pStyle w:val="TableParagraph"/>
              <w:spacing w:before="64" w:line="360" w:lineRule="auto"/>
              <w:jc w:val="both"/>
              <w:rPr>
                <w:rFonts w:ascii="Arial" w:hAnsi="Arial" w:cs="Arial"/>
                <w:b/>
                <w:bCs/>
                <w:color w:val="000000" w:themeColor="text1"/>
                <w:spacing w:val="-4"/>
                <w:sz w:val="20"/>
                <w:szCs w:val="20"/>
              </w:rPr>
            </w:pPr>
            <w:r w:rsidRPr="007E37EC">
              <w:rPr>
                <w:rFonts w:ascii="Arial" w:hAnsi="Arial" w:cs="Arial"/>
                <w:b/>
                <w:bCs/>
                <w:color w:val="000000"/>
                <w:sz w:val="20"/>
                <w:szCs w:val="20"/>
              </w:rPr>
              <w:t>1.36</w:t>
            </w:r>
          </w:p>
        </w:tc>
        <w:tc>
          <w:tcPr>
            <w:tcW w:w="1121" w:type="dxa"/>
            <w:vAlign w:val="bottom"/>
          </w:tcPr>
          <w:p w14:paraId="6674BEFD" w14:textId="77777777" w:rsidR="00DC09BF" w:rsidRPr="007E37EC" w:rsidRDefault="00DC09BF" w:rsidP="00171EC2">
            <w:pPr>
              <w:pStyle w:val="TableParagraph"/>
              <w:spacing w:before="64" w:line="360" w:lineRule="auto"/>
              <w:jc w:val="both"/>
              <w:rPr>
                <w:rFonts w:ascii="Arial" w:hAnsi="Arial" w:cs="Arial"/>
                <w:b/>
                <w:bCs/>
                <w:color w:val="000000" w:themeColor="text1"/>
                <w:spacing w:val="-4"/>
                <w:sz w:val="20"/>
                <w:szCs w:val="20"/>
              </w:rPr>
            </w:pPr>
            <w:r w:rsidRPr="007E37EC">
              <w:rPr>
                <w:rFonts w:ascii="Arial" w:hAnsi="Arial" w:cs="Arial"/>
                <w:b/>
                <w:bCs/>
                <w:color w:val="000000"/>
                <w:sz w:val="20"/>
                <w:szCs w:val="20"/>
              </w:rPr>
              <w:t>7.25</w:t>
            </w:r>
          </w:p>
        </w:tc>
        <w:tc>
          <w:tcPr>
            <w:tcW w:w="1046" w:type="dxa"/>
            <w:vAlign w:val="bottom"/>
          </w:tcPr>
          <w:p w14:paraId="27CFE374" w14:textId="77777777" w:rsidR="00DC09BF" w:rsidRPr="007E37EC" w:rsidRDefault="00DC09BF" w:rsidP="00171EC2">
            <w:pPr>
              <w:pStyle w:val="TableParagraph"/>
              <w:spacing w:before="64" w:line="360" w:lineRule="auto"/>
              <w:jc w:val="both"/>
              <w:rPr>
                <w:rFonts w:ascii="Arial" w:hAnsi="Arial" w:cs="Arial"/>
                <w:b/>
                <w:bCs/>
                <w:color w:val="000000" w:themeColor="text1"/>
                <w:spacing w:val="-2"/>
                <w:sz w:val="20"/>
                <w:szCs w:val="20"/>
              </w:rPr>
            </w:pPr>
            <w:r w:rsidRPr="007E37EC">
              <w:rPr>
                <w:rFonts w:ascii="Arial" w:hAnsi="Arial" w:cs="Arial"/>
                <w:b/>
                <w:bCs/>
                <w:color w:val="000000"/>
                <w:sz w:val="20"/>
                <w:szCs w:val="20"/>
              </w:rPr>
              <w:t>362.6</w:t>
            </w:r>
          </w:p>
        </w:tc>
        <w:tc>
          <w:tcPr>
            <w:tcW w:w="1046" w:type="dxa"/>
            <w:vAlign w:val="bottom"/>
          </w:tcPr>
          <w:p w14:paraId="6D559010" w14:textId="77777777" w:rsidR="00DC09BF" w:rsidRPr="007E37EC" w:rsidRDefault="00DC09BF" w:rsidP="00171EC2">
            <w:pPr>
              <w:pStyle w:val="TableParagraph"/>
              <w:spacing w:before="64" w:line="360" w:lineRule="auto"/>
              <w:jc w:val="both"/>
              <w:rPr>
                <w:rFonts w:ascii="Arial" w:hAnsi="Arial" w:cs="Arial"/>
                <w:b/>
                <w:bCs/>
                <w:color w:val="000000" w:themeColor="text1"/>
                <w:spacing w:val="-4"/>
                <w:sz w:val="20"/>
                <w:szCs w:val="20"/>
              </w:rPr>
            </w:pPr>
            <w:r w:rsidRPr="007E37EC">
              <w:rPr>
                <w:rFonts w:ascii="Arial" w:hAnsi="Arial" w:cs="Arial"/>
                <w:b/>
                <w:bCs/>
                <w:color w:val="000000"/>
                <w:sz w:val="20"/>
                <w:szCs w:val="20"/>
              </w:rPr>
              <w:t>1.90</w:t>
            </w:r>
          </w:p>
        </w:tc>
        <w:tc>
          <w:tcPr>
            <w:tcW w:w="1121" w:type="dxa"/>
            <w:vAlign w:val="bottom"/>
          </w:tcPr>
          <w:p w14:paraId="06849520" w14:textId="77777777" w:rsidR="00DC09BF" w:rsidRPr="007E37EC" w:rsidRDefault="00DC09BF" w:rsidP="00171EC2">
            <w:pPr>
              <w:pStyle w:val="TableParagraph"/>
              <w:spacing w:before="64" w:line="360" w:lineRule="auto"/>
              <w:jc w:val="both"/>
              <w:rPr>
                <w:rFonts w:ascii="Arial" w:hAnsi="Arial" w:cs="Arial"/>
                <w:b/>
                <w:bCs/>
                <w:color w:val="000000" w:themeColor="text1"/>
                <w:spacing w:val="-2"/>
                <w:sz w:val="20"/>
                <w:szCs w:val="20"/>
              </w:rPr>
            </w:pPr>
            <w:r w:rsidRPr="007E37EC">
              <w:rPr>
                <w:rFonts w:ascii="Arial" w:hAnsi="Arial" w:cs="Arial"/>
                <w:b/>
                <w:bCs/>
                <w:color w:val="000000"/>
                <w:sz w:val="20"/>
                <w:szCs w:val="20"/>
              </w:rPr>
              <w:t>13.95</w:t>
            </w:r>
          </w:p>
        </w:tc>
        <w:tc>
          <w:tcPr>
            <w:tcW w:w="1046" w:type="dxa"/>
            <w:vAlign w:val="bottom"/>
          </w:tcPr>
          <w:p w14:paraId="2759A1E7" w14:textId="77777777" w:rsidR="00DC09BF" w:rsidRPr="007E37EC" w:rsidRDefault="00DC09BF" w:rsidP="00171EC2">
            <w:pPr>
              <w:pStyle w:val="TableParagraph"/>
              <w:spacing w:before="64" w:line="360" w:lineRule="auto"/>
              <w:jc w:val="both"/>
              <w:rPr>
                <w:rFonts w:ascii="Arial" w:hAnsi="Arial" w:cs="Arial"/>
                <w:b/>
                <w:bCs/>
                <w:color w:val="000000" w:themeColor="text1"/>
                <w:spacing w:val="-2"/>
                <w:sz w:val="20"/>
                <w:szCs w:val="20"/>
              </w:rPr>
            </w:pPr>
            <w:r w:rsidRPr="007E37EC">
              <w:rPr>
                <w:rFonts w:ascii="Arial" w:hAnsi="Arial" w:cs="Arial"/>
                <w:b/>
                <w:bCs/>
                <w:color w:val="000000"/>
                <w:sz w:val="20"/>
                <w:szCs w:val="20"/>
              </w:rPr>
              <w:t>523.33</w:t>
            </w:r>
          </w:p>
        </w:tc>
        <w:tc>
          <w:tcPr>
            <w:tcW w:w="1271" w:type="dxa"/>
            <w:vAlign w:val="bottom"/>
          </w:tcPr>
          <w:p w14:paraId="34A4D404" w14:textId="77777777" w:rsidR="00DC09BF" w:rsidRPr="007E37EC" w:rsidRDefault="00DC09BF" w:rsidP="00171EC2">
            <w:pPr>
              <w:pStyle w:val="TableParagraph"/>
              <w:spacing w:before="64" w:line="360" w:lineRule="auto"/>
              <w:jc w:val="both"/>
              <w:rPr>
                <w:rFonts w:ascii="Arial" w:hAnsi="Arial" w:cs="Arial"/>
                <w:b/>
                <w:bCs/>
                <w:color w:val="000000" w:themeColor="text1"/>
                <w:spacing w:val="-2"/>
                <w:sz w:val="20"/>
                <w:szCs w:val="20"/>
              </w:rPr>
            </w:pPr>
            <w:r w:rsidRPr="007E37EC">
              <w:rPr>
                <w:rFonts w:ascii="Arial" w:hAnsi="Arial" w:cs="Arial"/>
                <w:b/>
                <w:bCs/>
                <w:color w:val="000000"/>
                <w:sz w:val="20"/>
                <w:szCs w:val="20"/>
              </w:rPr>
              <w:t>885.93</w:t>
            </w:r>
          </w:p>
        </w:tc>
        <w:tc>
          <w:tcPr>
            <w:tcW w:w="1196" w:type="dxa"/>
            <w:vAlign w:val="bottom"/>
          </w:tcPr>
          <w:p w14:paraId="326660AA" w14:textId="77777777" w:rsidR="00DC09BF" w:rsidRPr="007E37EC" w:rsidRDefault="00DC09BF" w:rsidP="00171EC2">
            <w:pPr>
              <w:pStyle w:val="TableParagraph"/>
              <w:spacing w:before="64" w:line="360" w:lineRule="auto"/>
              <w:jc w:val="both"/>
              <w:rPr>
                <w:rFonts w:ascii="Arial" w:hAnsi="Arial" w:cs="Arial"/>
                <w:b/>
                <w:bCs/>
                <w:color w:val="000000" w:themeColor="text1"/>
                <w:spacing w:val="-4"/>
                <w:sz w:val="20"/>
                <w:szCs w:val="20"/>
              </w:rPr>
            </w:pPr>
            <w:r w:rsidRPr="007E37EC">
              <w:rPr>
                <w:rFonts w:ascii="Arial" w:hAnsi="Arial" w:cs="Arial"/>
                <w:b/>
                <w:bCs/>
                <w:color w:val="000000"/>
                <w:sz w:val="20"/>
                <w:szCs w:val="20"/>
              </w:rPr>
              <w:t>7.19</w:t>
            </w:r>
          </w:p>
        </w:tc>
      </w:tr>
    </w:tbl>
    <w:p w14:paraId="5790E6FE" w14:textId="77777777" w:rsidR="005D25FA" w:rsidRDefault="005D25FA" w:rsidP="00171EC2">
      <w:pPr>
        <w:spacing w:after="0" w:line="360" w:lineRule="auto"/>
        <w:jc w:val="both"/>
        <w:rPr>
          <w:rFonts w:ascii="Arial" w:hAnsi="Arial" w:cs="Arial"/>
          <w:sz w:val="20"/>
          <w:szCs w:val="20"/>
        </w:rPr>
      </w:pPr>
    </w:p>
    <w:p w14:paraId="451CCEA4" w14:textId="319FB935" w:rsidR="00DC09BF" w:rsidRPr="007E37EC" w:rsidRDefault="00A5721A" w:rsidP="00171EC2">
      <w:pPr>
        <w:spacing w:after="0" w:line="360" w:lineRule="auto"/>
        <w:jc w:val="both"/>
        <w:rPr>
          <w:rFonts w:ascii="Arial" w:eastAsia="Times New Roman" w:hAnsi="Arial" w:cs="Arial"/>
          <w:kern w:val="0"/>
          <w:sz w:val="20"/>
          <w:szCs w:val="20"/>
          <w:lang w:eastAsia="en-IN"/>
          <w14:ligatures w14:val="none"/>
        </w:rPr>
      </w:pPr>
      <w:r w:rsidRPr="007E37EC">
        <w:rPr>
          <w:rFonts w:ascii="Arial" w:eastAsia="Times New Roman" w:hAnsi="Arial" w:cs="Arial"/>
          <w:kern w:val="0"/>
          <w:sz w:val="20"/>
          <w:szCs w:val="20"/>
          <w:lang w:eastAsia="en-IN"/>
          <w14:ligatures w14:val="none"/>
        </w:rPr>
        <w:t>This table shows t</w:t>
      </w:r>
      <w:r w:rsidR="00DC09BF" w:rsidRPr="007E37EC">
        <w:rPr>
          <w:rFonts w:ascii="Arial" w:eastAsia="Times New Roman" w:hAnsi="Arial" w:cs="Arial"/>
          <w:kern w:val="0"/>
          <w:sz w:val="20"/>
          <w:szCs w:val="20"/>
          <w:lang w:eastAsia="en-IN"/>
          <w14:ligatures w14:val="none"/>
        </w:rPr>
        <w:t>he dynamics between</w:t>
      </w:r>
      <w:r w:rsidR="0016759E" w:rsidRPr="007E37EC">
        <w:rPr>
          <w:rFonts w:ascii="Arial" w:eastAsia="Times New Roman" w:hAnsi="Arial" w:cs="Arial"/>
          <w:kern w:val="0"/>
          <w:sz w:val="20"/>
          <w:szCs w:val="20"/>
          <w:lang w:eastAsia="en-IN"/>
          <w14:ligatures w14:val="none"/>
        </w:rPr>
        <w:t xml:space="preserve"> imputed family</w:t>
      </w:r>
      <w:r w:rsidR="00DC09BF" w:rsidRPr="007E37EC">
        <w:rPr>
          <w:rFonts w:ascii="Arial" w:eastAsia="Times New Roman" w:hAnsi="Arial" w:cs="Arial"/>
          <w:kern w:val="0"/>
          <w:sz w:val="20"/>
          <w:szCs w:val="20"/>
          <w:lang w:eastAsia="en-IN"/>
          <w14:ligatures w14:val="none"/>
        </w:rPr>
        <w:t xml:space="preserve"> </w:t>
      </w:r>
      <w:r w:rsidR="0016759E" w:rsidRPr="007E37EC">
        <w:rPr>
          <w:rFonts w:ascii="Arial" w:eastAsia="Times New Roman" w:hAnsi="Arial" w:cs="Arial"/>
          <w:kern w:val="0"/>
          <w:sz w:val="20"/>
          <w:szCs w:val="20"/>
          <w:lang w:eastAsia="en-IN"/>
          <w14:ligatures w14:val="none"/>
        </w:rPr>
        <w:t>l</w:t>
      </w:r>
      <w:r w:rsidR="00F75CDA" w:rsidRPr="007E37EC">
        <w:rPr>
          <w:rFonts w:ascii="Arial" w:eastAsia="Times New Roman" w:hAnsi="Arial" w:cs="Arial"/>
          <w:kern w:val="0"/>
          <w:sz w:val="20"/>
          <w:szCs w:val="20"/>
          <w:lang w:eastAsia="en-IN"/>
          <w14:ligatures w14:val="none"/>
        </w:rPr>
        <w:t>abo</w:t>
      </w:r>
      <w:r w:rsidR="0016759E" w:rsidRPr="007E37EC">
        <w:rPr>
          <w:rFonts w:ascii="Arial" w:eastAsia="Times New Roman" w:hAnsi="Arial" w:cs="Arial"/>
          <w:kern w:val="0"/>
          <w:sz w:val="20"/>
          <w:szCs w:val="20"/>
          <w:lang w:eastAsia="en-IN"/>
          <w14:ligatures w14:val="none"/>
        </w:rPr>
        <w:t>u</w:t>
      </w:r>
      <w:r w:rsidR="00F75CDA" w:rsidRPr="007E37EC">
        <w:rPr>
          <w:rFonts w:ascii="Arial" w:eastAsia="Times New Roman" w:hAnsi="Arial" w:cs="Arial"/>
          <w:kern w:val="0"/>
          <w:sz w:val="20"/>
          <w:szCs w:val="20"/>
          <w:lang w:eastAsia="en-IN"/>
          <w14:ligatures w14:val="none"/>
        </w:rPr>
        <w:t>r</w:t>
      </w:r>
      <w:r w:rsidR="00DC09BF" w:rsidRPr="007E37EC">
        <w:rPr>
          <w:rFonts w:ascii="Arial" w:eastAsia="Times New Roman" w:hAnsi="Arial" w:cs="Arial"/>
          <w:kern w:val="0"/>
          <w:sz w:val="20"/>
          <w:szCs w:val="20"/>
          <w:lang w:eastAsia="en-IN"/>
          <w14:ligatures w14:val="none"/>
        </w:rPr>
        <w:t xml:space="preserve"> and hired </w:t>
      </w:r>
      <w:r w:rsidR="0016759E" w:rsidRPr="007E37EC">
        <w:rPr>
          <w:rFonts w:ascii="Arial" w:eastAsia="Times New Roman" w:hAnsi="Arial" w:cs="Arial"/>
          <w:kern w:val="0"/>
          <w:sz w:val="20"/>
          <w:szCs w:val="20"/>
          <w:lang w:eastAsia="en-IN"/>
          <w14:ligatures w14:val="none"/>
        </w:rPr>
        <w:t>l</w:t>
      </w:r>
      <w:r w:rsidR="00F75CDA" w:rsidRPr="007E37EC">
        <w:rPr>
          <w:rFonts w:ascii="Arial" w:eastAsia="Times New Roman" w:hAnsi="Arial" w:cs="Arial"/>
          <w:kern w:val="0"/>
          <w:sz w:val="20"/>
          <w:szCs w:val="20"/>
          <w:lang w:eastAsia="en-IN"/>
          <w14:ligatures w14:val="none"/>
        </w:rPr>
        <w:t>abo</w:t>
      </w:r>
      <w:r w:rsidR="0016759E" w:rsidRPr="007E37EC">
        <w:rPr>
          <w:rFonts w:ascii="Arial" w:eastAsia="Times New Roman" w:hAnsi="Arial" w:cs="Arial"/>
          <w:kern w:val="0"/>
          <w:sz w:val="20"/>
          <w:szCs w:val="20"/>
          <w:lang w:eastAsia="en-IN"/>
          <w14:ligatures w14:val="none"/>
        </w:rPr>
        <w:t>u</w:t>
      </w:r>
      <w:r w:rsidR="00F75CDA" w:rsidRPr="007E37EC">
        <w:rPr>
          <w:rFonts w:ascii="Arial" w:eastAsia="Times New Roman" w:hAnsi="Arial" w:cs="Arial"/>
          <w:kern w:val="0"/>
          <w:sz w:val="20"/>
          <w:szCs w:val="20"/>
          <w:lang w:eastAsia="en-IN"/>
          <w14:ligatures w14:val="none"/>
        </w:rPr>
        <w:t>r</w:t>
      </w:r>
      <w:r w:rsidR="00DC09BF" w:rsidRPr="007E37EC">
        <w:rPr>
          <w:rFonts w:ascii="Arial" w:eastAsia="Times New Roman" w:hAnsi="Arial" w:cs="Arial"/>
          <w:kern w:val="0"/>
          <w:sz w:val="20"/>
          <w:szCs w:val="20"/>
          <w:lang w:eastAsia="en-IN"/>
          <w14:ligatures w14:val="none"/>
        </w:rPr>
        <w:t xml:space="preserve"> in </w:t>
      </w:r>
      <w:r w:rsidR="0016759E" w:rsidRPr="007E37EC">
        <w:rPr>
          <w:rFonts w:ascii="Arial" w:eastAsia="Times New Roman" w:hAnsi="Arial" w:cs="Arial"/>
          <w:kern w:val="0"/>
          <w:sz w:val="20"/>
          <w:szCs w:val="20"/>
          <w:lang w:eastAsia="en-IN"/>
          <w14:ligatures w14:val="none"/>
        </w:rPr>
        <w:t>small scale</w:t>
      </w:r>
      <w:r w:rsidR="00DC09BF" w:rsidRPr="007E37EC">
        <w:rPr>
          <w:rFonts w:ascii="Arial" w:eastAsia="Times New Roman" w:hAnsi="Arial" w:cs="Arial"/>
          <w:kern w:val="0"/>
          <w:sz w:val="20"/>
          <w:szCs w:val="20"/>
          <w:lang w:eastAsia="en-IN"/>
          <w14:ligatures w14:val="none"/>
        </w:rPr>
        <w:t xml:space="preserve"> dairy processing industry. </w:t>
      </w:r>
      <w:r w:rsidR="00726B0F" w:rsidRPr="007E37EC">
        <w:rPr>
          <w:rFonts w:ascii="Arial" w:eastAsia="Times New Roman" w:hAnsi="Arial" w:cs="Arial"/>
          <w:kern w:val="0"/>
          <w:sz w:val="20"/>
          <w:szCs w:val="20"/>
          <w:lang w:eastAsia="en-IN"/>
          <w14:ligatures w14:val="none"/>
        </w:rPr>
        <w:t>Firms</w:t>
      </w:r>
      <w:r w:rsidR="00DC09BF" w:rsidRPr="007E37EC">
        <w:rPr>
          <w:rFonts w:ascii="Arial" w:eastAsia="Times New Roman" w:hAnsi="Arial" w:cs="Arial"/>
          <w:kern w:val="0"/>
          <w:sz w:val="20"/>
          <w:szCs w:val="20"/>
          <w:lang w:eastAsia="en-IN"/>
          <w14:ligatures w14:val="none"/>
        </w:rPr>
        <w:t xml:space="preserve"> typically </w:t>
      </w:r>
      <w:r w:rsidR="00726B0F" w:rsidRPr="007E37EC">
        <w:rPr>
          <w:rFonts w:ascii="Arial" w:eastAsia="Times New Roman" w:hAnsi="Arial" w:cs="Arial"/>
          <w:kern w:val="0"/>
          <w:sz w:val="20"/>
          <w:szCs w:val="20"/>
          <w:lang w:eastAsia="en-IN"/>
          <w14:ligatures w14:val="none"/>
        </w:rPr>
        <w:t>engage</w:t>
      </w:r>
      <w:r w:rsidR="00DC09BF" w:rsidRPr="007E37EC">
        <w:rPr>
          <w:rFonts w:ascii="Arial" w:eastAsia="Times New Roman" w:hAnsi="Arial" w:cs="Arial"/>
          <w:kern w:val="0"/>
          <w:sz w:val="20"/>
          <w:szCs w:val="20"/>
          <w:lang w:eastAsia="en-IN"/>
          <w14:ligatures w14:val="none"/>
        </w:rPr>
        <w:t xml:space="preserve"> 1.9 </w:t>
      </w:r>
      <w:r w:rsidR="00726B0F" w:rsidRPr="007E37EC">
        <w:rPr>
          <w:rFonts w:ascii="Arial" w:eastAsia="Times New Roman" w:hAnsi="Arial" w:cs="Arial"/>
          <w:kern w:val="0"/>
          <w:sz w:val="20"/>
          <w:szCs w:val="20"/>
          <w:lang w:eastAsia="en-IN"/>
          <w14:ligatures w14:val="none"/>
        </w:rPr>
        <w:t xml:space="preserve">numbers of </w:t>
      </w:r>
      <w:r w:rsidR="00DC09BF" w:rsidRPr="007E37EC">
        <w:rPr>
          <w:rFonts w:ascii="Arial" w:eastAsia="Times New Roman" w:hAnsi="Arial" w:cs="Arial"/>
          <w:kern w:val="0"/>
          <w:sz w:val="20"/>
          <w:szCs w:val="20"/>
          <w:lang w:eastAsia="en-IN"/>
          <w14:ligatures w14:val="none"/>
        </w:rPr>
        <w:t xml:space="preserve">hired workers (13.95 </w:t>
      </w:r>
      <w:r w:rsidR="00726B0F" w:rsidRPr="007E37EC">
        <w:rPr>
          <w:rFonts w:ascii="Arial" w:eastAsia="Times New Roman" w:hAnsi="Arial" w:cs="Arial"/>
          <w:kern w:val="0"/>
          <w:sz w:val="20"/>
          <w:szCs w:val="20"/>
          <w:lang w:eastAsia="en-IN"/>
          <w14:ligatures w14:val="none"/>
        </w:rPr>
        <w:t xml:space="preserve">labour </w:t>
      </w:r>
      <w:r w:rsidR="0016759E" w:rsidRPr="007E37EC">
        <w:rPr>
          <w:rFonts w:ascii="Arial" w:eastAsia="Times New Roman" w:hAnsi="Arial" w:cs="Arial"/>
          <w:kern w:val="0"/>
          <w:sz w:val="20"/>
          <w:szCs w:val="20"/>
          <w:lang w:eastAsia="en-IN"/>
          <w14:ligatures w14:val="none"/>
        </w:rPr>
        <w:t xml:space="preserve">working </w:t>
      </w:r>
      <w:r w:rsidR="00DC09BF" w:rsidRPr="007E37EC">
        <w:rPr>
          <w:rFonts w:ascii="Arial" w:eastAsia="Times New Roman" w:hAnsi="Arial" w:cs="Arial"/>
          <w:kern w:val="0"/>
          <w:sz w:val="20"/>
          <w:szCs w:val="20"/>
          <w:lang w:eastAsia="en-IN"/>
          <w14:ligatures w14:val="none"/>
        </w:rPr>
        <w:t xml:space="preserve">hours, Rs. 523.33 wages) and 1.36 </w:t>
      </w:r>
      <w:r w:rsidR="00726B0F" w:rsidRPr="007E37EC">
        <w:rPr>
          <w:rFonts w:ascii="Arial" w:eastAsia="Times New Roman" w:hAnsi="Arial" w:cs="Arial"/>
          <w:kern w:val="0"/>
          <w:sz w:val="20"/>
          <w:szCs w:val="20"/>
          <w:lang w:eastAsia="en-IN"/>
          <w14:ligatures w14:val="none"/>
        </w:rPr>
        <w:t xml:space="preserve">numbers of </w:t>
      </w:r>
      <w:r w:rsidR="00DC09BF" w:rsidRPr="007E37EC">
        <w:rPr>
          <w:rFonts w:ascii="Arial" w:eastAsia="Times New Roman" w:hAnsi="Arial" w:cs="Arial"/>
          <w:kern w:val="0"/>
          <w:sz w:val="20"/>
          <w:szCs w:val="20"/>
          <w:lang w:eastAsia="en-IN"/>
          <w14:ligatures w14:val="none"/>
        </w:rPr>
        <w:t xml:space="preserve">family </w:t>
      </w:r>
      <w:r w:rsidR="00726B0F" w:rsidRPr="007E37EC">
        <w:rPr>
          <w:rFonts w:ascii="Arial" w:eastAsia="Times New Roman" w:hAnsi="Arial" w:cs="Arial"/>
          <w:kern w:val="0"/>
          <w:sz w:val="20"/>
          <w:szCs w:val="20"/>
          <w:lang w:eastAsia="en-IN"/>
          <w14:ligatures w14:val="none"/>
        </w:rPr>
        <w:t>workers (</w:t>
      </w:r>
      <w:r w:rsidR="00DC09BF" w:rsidRPr="007E37EC">
        <w:rPr>
          <w:rFonts w:ascii="Arial" w:eastAsia="Times New Roman" w:hAnsi="Arial" w:cs="Arial"/>
          <w:kern w:val="0"/>
          <w:sz w:val="20"/>
          <w:szCs w:val="20"/>
          <w:lang w:eastAsia="en-IN"/>
          <w14:ligatures w14:val="none"/>
        </w:rPr>
        <w:t>7.25</w:t>
      </w:r>
      <w:r w:rsidR="00726B0F" w:rsidRPr="007E37EC">
        <w:rPr>
          <w:rFonts w:ascii="Arial" w:eastAsia="Times New Roman" w:hAnsi="Arial" w:cs="Arial"/>
          <w:kern w:val="0"/>
          <w:sz w:val="20"/>
          <w:szCs w:val="20"/>
          <w:lang w:eastAsia="en-IN"/>
          <w14:ligatures w14:val="none"/>
        </w:rPr>
        <w:t>labour working hours</w:t>
      </w:r>
      <w:r w:rsidR="00DC09BF" w:rsidRPr="007E37EC">
        <w:rPr>
          <w:rFonts w:ascii="Arial" w:eastAsia="Times New Roman" w:hAnsi="Arial" w:cs="Arial"/>
          <w:kern w:val="0"/>
          <w:sz w:val="20"/>
          <w:szCs w:val="20"/>
          <w:lang w:eastAsia="en-IN"/>
          <w14:ligatures w14:val="none"/>
        </w:rPr>
        <w:t xml:space="preserve"> daily, Rs. 362.60 cost)</w:t>
      </w:r>
      <w:r w:rsidR="00726B0F" w:rsidRPr="007E37EC">
        <w:rPr>
          <w:rFonts w:ascii="Arial" w:eastAsia="Times New Roman" w:hAnsi="Arial" w:cs="Arial"/>
          <w:kern w:val="0"/>
          <w:sz w:val="20"/>
          <w:szCs w:val="20"/>
          <w:lang w:eastAsia="en-IN"/>
          <w14:ligatures w14:val="none"/>
        </w:rPr>
        <w:t xml:space="preserve"> daily</w:t>
      </w:r>
      <w:r w:rsidR="00DC09BF" w:rsidRPr="007E37EC">
        <w:rPr>
          <w:rFonts w:ascii="Arial" w:eastAsia="Times New Roman" w:hAnsi="Arial" w:cs="Arial"/>
          <w:kern w:val="0"/>
          <w:sz w:val="20"/>
          <w:szCs w:val="20"/>
          <w:lang w:eastAsia="en-IN"/>
          <w14:ligatures w14:val="none"/>
        </w:rPr>
        <w:t xml:space="preserve">. With the highest imputed cost and the greatest reliance on family </w:t>
      </w:r>
      <w:r w:rsidR="00726B0F" w:rsidRPr="007E37EC">
        <w:rPr>
          <w:rFonts w:ascii="Arial" w:eastAsia="Times New Roman" w:hAnsi="Arial" w:cs="Arial"/>
          <w:kern w:val="0"/>
          <w:sz w:val="20"/>
          <w:szCs w:val="20"/>
          <w:lang w:eastAsia="en-IN"/>
          <w14:ligatures w14:val="none"/>
        </w:rPr>
        <w:t>l</w:t>
      </w:r>
      <w:r w:rsidR="00F75CDA" w:rsidRPr="007E37EC">
        <w:rPr>
          <w:rFonts w:ascii="Arial" w:eastAsia="Times New Roman" w:hAnsi="Arial" w:cs="Arial"/>
          <w:kern w:val="0"/>
          <w:sz w:val="20"/>
          <w:szCs w:val="20"/>
          <w:lang w:eastAsia="en-IN"/>
          <w14:ligatures w14:val="none"/>
        </w:rPr>
        <w:t>abo</w:t>
      </w:r>
      <w:r w:rsidR="00726B0F" w:rsidRPr="007E37EC">
        <w:rPr>
          <w:rFonts w:ascii="Arial" w:eastAsia="Times New Roman" w:hAnsi="Arial" w:cs="Arial"/>
          <w:kern w:val="0"/>
          <w:sz w:val="20"/>
          <w:szCs w:val="20"/>
          <w:lang w:eastAsia="en-IN"/>
          <w14:ligatures w14:val="none"/>
        </w:rPr>
        <w:t>u</w:t>
      </w:r>
      <w:r w:rsidR="00F75CDA" w:rsidRPr="007E37EC">
        <w:rPr>
          <w:rFonts w:ascii="Arial" w:eastAsia="Times New Roman" w:hAnsi="Arial" w:cs="Arial"/>
          <w:kern w:val="0"/>
          <w:sz w:val="20"/>
          <w:szCs w:val="20"/>
          <w:lang w:eastAsia="en-IN"/>
          <w14:ligatures w14:val="none"/>
        </w:rPr>
        <w:t>r</w:t>
      </w:r>
      <w:r w:rsidR="00DC09BF" w:rsidRPr="007E37EC">
        <w:rPr>
          <w:rFonts w:ascii="Arial" w:eastAsia="Times New Roman" w:hAnsi="Arial" w:cs="Arial"/>
          <w:kern w:val="0"/>
          <w:sz w:val="20"/>
          <w:szCs w:val="20"/>
          <w:lang w:eastAsia="en-IN"/>
          <w14:ligatures w14:val="none"/>
        </w:rPr>
        <w:t xml:space="preserve">, </w:t>
      </w:r>
      <w:proofErr w:type="spellStart"/>
      <w:r w:rsidR="00DC09BF" w:rsidRPr="007E37EC">
        <w:rPr>
          <w:rFonts w:ascii="Arial" w:eastAsia="Times New Roman" w:hAnsi="Arial" w:cs="Arial"/>
          <w:kern w:val="0"/>
          <w:sz w:val="20"/>
          <w:szCs w:val="20"/>
          <w:lang w:eastAsia="en-IN"/>
          <w14:ligatures w14:val="none"/>
        </w:rPr>
        <w:t>Alipurduar</w:t>
      </w:r>
      <w:proofErr w:type="spellEnd"/>
      <w:r w:rsidR="00DC09BF" w:rsidRPr="007E37EC">
        <w:rPr>
          <w:rFonts w:ascii="Arial" w:eastAsia="Times New Roman" w:hAnsi="Arial" w:cs="Arial"/>
          <w:kern w:val="0"/>
          <w:sz w:val="20"/>
          <w:szCs w:val="20"/>
          <w:lang w:eastAsia="en-IN"/>
          <w14:ligatures w14:val="none"/>
        </w:rPr>
        <w:t xml:space="preserve"> </w:t>
      </w:r>
      <w:r w:rsidR="00726B0F" w:rsidRPr="007E37EC">
        <w:rPr>
          <w:rFonts w:ascii="Arial" w:eastAsia="Times New Roman" w:hAnsi="Arial" w:cs="Arial"/>
          <w:kern w:val="0"/>
          <w:sz w:val="20"/>
          <w:szCs w:val="20"/>
          <w:lang w:eastAsia="en-IN"/>
          <w14:ligatures w14:val="none"/>
        </w:rPr>
        <w:t>-</w:t>
      </w:r>
      <w:r w:rsidR="00DC09BF" w:rsidRPr="007E37EC">
        <w:rPr>
          <w:rFonts w:ascii="Arial" w:eastAsia="Times New Roman" w:hAnsi="Arial" w:cs="Arial"/>
          <w:kern w:val="0"/>
          <w:sz w:val="20"/>
          <w:szCs w:val="20"/>
          <w:lang w:eastAsia="en-IN"/>
          <w14:ligatures w14:val="none"/>
        </w:rPr>
        <w:t xml:space="preserve">I </w:t>
      </w:r>
      <w:r w:rsidR="00726B0F" w:rsidRPr="007E37EC">
        <w:rPr>
          <w:rFonts w:ascii="Arial" w:eastAsia="Times New Roman" w:hAnsi="Arial" w:cs="Arial"/>
          <w:kern w:val="0"/>
          <w:sz w:val="20"/>
          <w:szCs w:val="20"/>
          <w:lang w:eastAsia="en-IN"/>
          <w14:ligatures w14:val="none"/>
        </w:rPr>
        <w:t xml:space="preserve">represent more inclination to  </w:t>
      </w:r>
      <w:r w:rsidR="00DC09BF" w:rsidRPr="007E37EC">
        <w:rPr>
          <w:rFonts w:ascii="Arial" w:eastAsia="Times New Roman" w:hAnsi="Arial" w:cs="Arial"/>
          <w:kern w:val="0"/>
          <w:sz w:val="20"/>
          <w:szCs w:val="20"/>
          <w:lang w:eastAsia="en-IN"/>
          <w14:ligatures w14:val="none"/>
        </w:rPr>
        <w:t xml:space="preserve"> family-run businesses. The range of </w:t>
      </w:r>
      <w:r w:rsidR="00726B0F" w:rsidRPr="007E37EC">
        <w:rPr>
          <w:rFonts w:ascii="Arial" w:eastAsia="Times New Roman" w:hAnsi="Arial" w:cs="Arial"/>
          <w:kern w:val="0"/>
          <w:sz w:val="20"/>
          <w:szCs w:val="20"/>
          <w:lang w:eastAsia="en-IN"/>
          <w14:ligatures w14:val="none"/>
        </w:rPr>
        <w:t>l</w:t>
      </w:r>
      <w:r w:rsidR="00F75CDA" w:rsidRPr="007E37EC">
        <w:rPr>
          <w:rFonts w:ascii="Arial" w:eastAsia="Times New Roman" w:hAnsi="Arial" w:cs="Arial"/>
          <w:kern w:val="0"/>
          <w:sz w:val="20"/>
          <w:szCs w:val="20"/>
          <w:lang w:eastAsia="en-IN"/>
          <w14:ligatures w14:val="none"/>
        </w:rPr>
        <w:t>abo</w:t>
      </w:r>
      <w:r w:rsidR="00726B0F" w:rsidRPr="007E37EC">
        <w:rPr>
          <w:rFonts w:ascii="Arial" w:eastAsia="Times New Roman" w:hAnsi="Arial" w:cs="Arial"/>
          <w:kern w:val="0"/>
          <w:sz w:val="20"/>
          <w:szCs w:val="20"/>
          <w:lang w:eastAsia="en-IN"/>
          <w14:ligatures w14:val="none"/>
        </w:rPr>
        <w:t>u</w:t>
      </w:r>
      <w:r w:rsidR="00F75CDA" w:rsidRPr="007E37EC">
        <w:rPr>
          <w:rFonts w:ascii="Arial" w:eastAsia="Times New Roman" w:hAnsi="Arial" w:cs="Arial"/>
          <w:kern w:val="0"/>
          <w:sz w:val="20"/>
          <w:szCs w:val="20"/>
          <w:lang w:eastAsia="en-IN"/>
          <w14:ligatures w14:val="none"/>
        </w:rPr>
        <w:t>r</w:t>
      </w:r>
      <w:r w:rsidR="00DC09BF" w:rsidRPr="007E37EC">
        <w:rPr>
          <w:rFonts w:ascii="Arial" w:eastAsia="Times New Roman" w:hAnsi="Arial" w:cs="Arial"/>
          <w:kern w:val="0"/>
          <w:sz w:val="20"/>
          <w:szCs w:val="20"/>
          <w:lang w:eastAsia="en-IN"/>
          <w14:ligatures w14:val="none"/>
        </w:rPr>
        <w:t xml:space="preserve"> costs per kilogram of curd, which reflects the relationship between costs, production efficiency, and scale economies, is Rs. 6.28 to Rs. 9.61. The average daily cost of </w:t>
      </w:r>
      <w:r w:rsidR="00726B0F" w:rsidRPr="007E37EC">
        <w:rPr>
          <w:rFonts w:ascii="Arial" w:eastAsia="Times New Roman" w:hAnsi="Arial" w:cs="Arial"/>
          <w:kern w:val="0"/>
          <w:sz w:val="20"/>
          <w:szCs w:val="20"/>
          <w:lang w:eastAsia="en-IN"/>
          <w14:ligatures w14:val="none"/>
        </w:rPr>
        <w:t>l</w:t>
      </w:r>
      <w:r w:rsidR="00F75CDA" w:rsidRPr="007E37EC">
        <w:rPr>
          <w:rFonts w:ascii="Arial" w:eastAsia="Times New Roman" w:hAnsi="Arial" w:cs="Arial"/>
          <w:kern w:val="0"/>
          <w:sz w:val="20"/>
          <w:szCs w:val="20"/>
          <w:lang w:eastAsia="en-IN"/>
          <w14:ligatures w14:val="none"/>
        </w:rPr>
        <w:t>abo</w:t>
      </w:r>
      <w:r w:rsidR="00726B0F" w:rsidRPr="007E37EC">
        <w:rPr>
          <w:rFonts w:ascii="Arial" w:eastAsia="Times New Roman" w:hAnsi="Arial" w:cs="Arial"/>
          <w:kern w:val="0"/>
          <w:sz w:val="20"/>
          <w:szCs w:val="20"/>
          <w:lang w:eastAsia="en-IN"/>
          <w14:ligatures w14:val="none"/>
        </w:rPr>
        <w:t>u</w:t>
      </w:r>
      <w:r w:rsidR="00F75CDA" w:rsidRPr="007E37EC">
        <w:rPr>
          <w:rFonts w:ascii="Arial" w:eastAsia="Times New Roman" w:hAnsi="Arial" w:cs="Arial"/>
          <w:kern w:val="0"/>
          <w:sz w:val="20"/>
          <w:szCs w:val="20"/>
          <w:lang w:eastAsia="en-IN"/>
          <w14:ligatures w14:val="none"/>
        </w:rPr>
        <w:t>r</w:t>
      </w:r>
      <w:r w:rsidR="00DC09BF" w:rsidRPr="007E37EC">
        <w:rPr>
          <w:rFonts w:ascii="Arial" w:eastAsia="Times New Roman" w:hAnsi="Arial" w:cs="Arial"/>
          <w:kern w:val="0"/>
          <w:sz w:val="20"/>
          <w:szCs w:val="20"/>
          <w:lang w:eastAsia="en-IN"/>
          <w14:ligatures w14:val="none"/>
        </w:rPr>
        <w:t xml:space="preserve"> is Rs. 885.93, or roughly 5.76% of total revenue. The results highlight the productivity advantages of larger operations and point to an efficient combination of family knowledge and hired </w:t>
      </w:r>
      <w:r w:rsidR="00726B0F" w:rsidRPr="007E37EC">
        <w:rPr>
          <w:rFonts w:ascii="Arial" w:eastAsia="Times New Roman" w:hAnsi="Arial" w:cs="Arial"/>
          <w:kern w:val="0"/>
          <w:sz w:val="20"/>
          <w:szCs w:val="20"/>
          <w:lang w:eastAsia="en-IN"/>
          <w14:ligatures w14:val="none"/>
        </w:rPr>
        <w:t>l</w:t>
      </w:r>
      <w:r w:rsidR="00F75CDA" w:rsidRPr="007E37EC">
        <w:rPr>
          <w:rFonts w:ascii="Arial" w:eastAsia="Times New Roman" w:hAnsi="Arial" w:cs="Arial"/>
          <w:kern w:val="0"/>
          <w:sz w:val="20"/>
          <w:szCs w:val="20"/>
          <w:lang w:eastAsia="en-IN"/>
          <w14:ligatures w14:val="none"/>
        </w:rPr>
        <w:t>abo</w:t>
      </w:r>
      <w:r w:rsidR="00726B0F" w:rsidRPr="007E37EC">
        <w:rPr>
          <w:rFonts w:ascii="Arial" w:eastAsia="Times New Roman" w:hAnsi="Arial" w:cs="Arial"/>
          <w:kern w:val="0"/>
          <w:sz w:val="20"/>
          <w:szCs w:val="20"/>
          <w:lang w:eastAsia="en-IN"/>
          <w14:ligatures w14:val="none"/>
        </w:rPr>
        <w:t>u</w:t>
      </w:r>
      <w:r w:rsidR="00F75CDA" w:rsidRPr="007E37EC">
        <w:rPr>
          <w:rFonts w:ascii="Arial" w:eastAsia="Times New Roman" w:hAnsi="Arial" w:cs="Arial"/>
          <w:kern w:val="0"/>
          <w:sz w:val="20"/>
          <w:szCs w:val="20"/>
          <w:lang w:eastAsia="en-IN"/>
          <w14:ligatures w14:val="none"/>
        </w:rPr>
        <w:t>r</w:t>
      </w:r>
      <w:r w:rsidR="00DC09BF" w:rsidRPr="007E37EC">
        <w:rPr>
          <w:rFonts w:ascii="Arial" w:eastAsia="Times New Roman" w:hAnsi="Arial" w:cs="Arial"/>
          <w:kern w:val="0"/>
          <w:sz w:val="20"/>
          <w:szCs w:val="20"/>
          <w:lang w:eastAsia="en-IN"/>
          <w14:ligatures w14:val="none"/>
        </w:rPr>
        <w:t xml:space="preserve"> that improves flexibility and cost effectiveness (Katoch et al., 2024). </w:t>
      </w:r>
    </w:p>
    <w:p w14:paraId="50A2030F" w14:textId="77777777" w:rsidR="00480638" w:rsidRPr="007E37EC" w:rsidRDefault="00480638" w:rsidP="00171EC2">
      <w:pPr>
        <w:spacing w:after="0" w:line="360" w:lineRule="auto"/>
        <w:jc w:val="both"/>
        <w:rPr>
          <w:rFonts w:ascii="Arial" w:eastAsia="Times New Roman" w:hAnsi="Arial" w:cs="Arial"/>
          <w:kern w:val="0"/>
          <w:sz w:val="20"/>
          <w:szCs w:val="20"/>
          <w:lang w:eastAsia="en-IN"/>
          <w14:ligatures w14:val="none"/>
        </w:rPr>
      </w:pPr>
    </w:p>
    <w:p w14:paraId="497BE789" w14:textId="375D40F4" w:rsidR="00B46AAA" w:rsidRPr="007E37EC" w:rsidRDefault="00B46AAA" w:rsidP="00171EC2">
      <w:pPr>
        <w:spacing w:line="360" w:lineRule="auto"/>
        <w:jc w:val="both"/>
        <w:rPr>
          <w:rFonts w:ascii="Arial" w:hAnsi="Arial" w:cs="Arial"/>
        </w:rPr>
      </w:pPr>
      <w:r w:rsidRPr="007E37EC">
        <w:rPr>
          <w:rFonts w:ascii="Arial" w:hAnsi="Arial" w:cs="Arial"/>
          <w:b/>
          <w:bCs/>
        </w:rPr>
        <w:t>3.5</w:t>
      </w:r>
      <w:r w:rsidR="00726B0F" w:rsidRPr="007E37EC">
        <w:rPr>
          <w:rFonts w:ascii="Arial" w:hAnsi="Arial" w:cs="Arial"/>
          <w:b/>
          <w:bCs/>
        </w:rPr>
        <w:t xml:space="preserve"> </w:t>
      </w:r>
      <w:r w:rsidRPr="007E37EC">
        <w:rPr>
          <w:rFonts w:ascii="Arial" w:hAnsi="Arial" w:cs="Arial"/>
          <w:b/>
          <w:bCs/>
        </w:rPr>
        <w:t>Production output and revenue generation</w:t>
      </w:r>
    </w:p>
    <w:p w14:paraId="316E450B" w14:textId="17B32779" w:rsidR="00B46AAA" w:rsidRPr="005D25FA" w:rsidRDefault="00B46AAA" w:rsidP="00171EC2">
      <w:pPr>
        <w:spacing w:line="360" w:lineRule="auto"/>
        <w:ind w:right="866"/>
        <w:jc w:val="both"/>
        <w:rPr>
          <w:rFonts w:ascii="Arial" w:hAnsi="Arial" w:cs="Arial"/>
          <w:color w:val="000000" w:themeColor="text1"/>
          <w:sz w:val="20"/>
          <w:szCs w:val="20"/>
        </w:rPr>
      </w:pPr>
      <w:r w:rsidRPr="005D25FA">
        <w:rPr>
          <w:rFonts w:ascii="Arial" w:hAnsi="Arial" w:cs="Arial"/>
          <w:b/>
          <w:bCs/>
          <w:color w:val="000000" w:themeColor="text1"/>
          <w:sz w:val="20"/>
          <w:szCs w:val="20"/>
        </w:rPr>
        <w:t xml:space="preserve">Table 5: </w:t>
      </w:r>
      <w:r w:rsidR="00454D3A" w:rsidRPr="005D25FA">
        <w:rPr>
          <w:rFonts w:ascii="Arial" w:hAnsi="Arial" w:cs="Arial"/>
          <w:bCs/>
          <w:color w:val="000000" w:themeColor="text1"/>
          <w:sz w:val="20"/>
          <w:szCs w:val="20"/>
        </w:rPr>
        <w:t>Accounts of</w:t>
      </w:r>
      <w:r w:rsidR="00454D3A" w:rsidRPr="005D25FA">
        <w:rPr>
          <w:rFonts w:ascii="Arial" w:hAnsi="Arial" w:cs="Arial"/>
          <w:b/>
          <w:bCs/>
          <w:color w:val="000000" w:themeColor="text1"/>
          <w:sz w:val="20"/>
          <w:szCs w:val="20"/>
        </w:rPr>
        <w:t xml:space="preserve"> </w:t>
      </w:r>
      <w:r w:rsidR="00454D3A" w:rsidRPr="005D25FA">
        <w:rPr>
          <w:rFonts w:ascii="Arial" w:hAnsi="Arial" w:cs="Arial"/>
          <w:color w:val="000000" w:themeColor="text1"/>
          <w:sz w:val="20"/>
          <w:szCs w:val="20"/>
        </w:rPr>
        <w:t>Daily p</w:t>
      </w:r>
      <w:r w:rsidRPr="005D25FA">
        <w:rPr>
          <w:rFonts w:ascii="Arial" w:hAnsi="Arial" w:cs="Arial"/>
          <w:color w:val="000000" w:themeColor="text1"/>
          <w:sz w:val="20"/>
          <w:szCs w:val="20"/>
        </w:rPr>
        <w:t xml:space="preserve">roduction and Revenue </w:t>
      </w:r>
      <w:r w:rsidR="00454D3A" w:rsidRPr="005D25FA">
        <w:rPr>
          <w:rFonts w:ascii="Arial" w:hAnsi="Arial" w:cs="Arial"/>
          <w:color w:val="000000" w:themeColor="text1"/>
          <w:spacing w:val="-2"/>
          <w:sz w:val="20"/>
          <w:szCs w:val="20"/>
        </w:rPr>
        <w:t>generation</w:t>
      </w:r>
    </w:p>
    <w:tbl>
      <w:tblPr>
        <w:tblStyle w:val="TableGrid"/>
        <w:tblW w:w="9690" w:type="dxa"/>
        <w:tblLayout w:type="fixed"/>
        <w:tblLook w:val="01E0" w:firstRow="1" w:lastRow="1" w:firstColumn="1" w:lastColumn="1" w:noHBand="0" w:noVBand="0"/>
      </w:tblPr>
      <w:tblGrid>
        <w:gridCol w:w="1598"/>
        <w:gridCol w:w="2175"/>
        <w:gridCol w:w="1559"/>
        <w:gridCol w:w="2169"/>
        <w:gridCol w:w="2189"/>
      </w:tblGrid>
      <w:tr w:rsidR="00B46AAA" w:rsidRPr="007E37EC" w14:paraId="386244BA" w14:textId="77777777" w:rsidTr="00FD593E">
        <w:trPr>
          <w:trHeight w:val="898"/>
        </w:trPr>
        <w:tc>
          <w:tcPr>
            <w:tcW w:w="1598" w:type="dxa"/>
            <w:vAlign w:val="center"/>
          </w:tcPr>
          <w:p w14:paraId="6E5B7B67" w14:textId="77777777" w:rsidR="00B46AAA" w:rsidRPr="007E37EC" w:rsidRDefault="00B46AAA" w:rsidP="00171EC2">
            <w:pPr>
              <w:pStyle w:val="TableParagraph"/>
              <w:spacing w:before="140" w:line="360" w:lineRule="auto"/>
              <w:ind w:left="0"/>
              <w:jc w:val="both"/>
              <w:rPr>
                <w:rFonts w:ascii="Arial" w:hAnsi="Arial" w:cs="Arial"/>
                <w:b/>
                <w:bCs/>
                <w:color w:val="000000" w:themeColor="text1"/>
                <w:sz w:val="20"/>
                <w:szCs w:val="20"/>
              </w:rPr>
            </w:pPr>
          </w:p>
          <w:p w14:paraId="469A1867" w14:textId="55FF572C" w:rsidR="00B46AAA" w:rsidRPr="007E37EC" w:rsidRDefault="00582E57" w:rsidP="00171EC2">
            <w:pPr>
              <w:pStyle w:val="TableParagraph"/>
              <w:spacing w:before="1" w:line="360" w:lineRule="auto"/>
              <w:jc w:val="both"/>
              <w:rPr>
                <w:rFonts w:ascii="Arial" w:hAnsi="Arial" w:cs="Arial"/>
                <w:b/>
                <w:bCs/>
                <w:color w:val="000000" w:themeColor="text1"/>
                <w:sz w:val="20"/>
                <w:szCs w:val="20"/>
              </w:rPr>
            </w:pPr>
            <w:r w:rsidRPr="007E37EC">
              <w:rPr>
                <w:rFonts w:ascii="Arial" w:hAnsi="Arial" w:cs="Arial"/>
                <w:b/>
                <w:bCs/>
                <w:color w:val="000000" w:themeColor="text1"/>
                <w:spacing w:val="-2"/>
                <w:sz w:val="20"/>
                <w:szCs w:val="20"/>
              </w:rPr>
              <w:t>Blocks</w:t>
            </w:r>
          </w:p>
        </w:tc>
        <w:tc>
          <w:tcPr>
            <w:tcW w:w="2175" w:type="dxa"/>
            <w:vAlign w:val="center"/>
          </w:tcPr>
          <w:p w14:paraId="20A6F62B" w14:textId="77777777" w:rsidR="00B46AAA" w:rsidRPr="007E37EC" w:rsidRDefault="00B46AAA" w:rsidP="00171EC2">
            <w:pPr>
              <w:pStyle w:val="TableParagraph"/>
              <w:spacing w:before="20" w:line="360" w:lineRule="auto"/>
              <w:ind w:left="0"/>
              <w:jc w:val="both"/>
              <w:rPr>
                <w:rFonts w:ascii="Arial" w:hAnsi="Arial" w:cs="Arial"/>
                <w:b/>
                <w:bCs/>
                <w:color w:val="000000" w:themeColor="text1"/>
                <w:sz w:val="20"/>
                <w:szCs w:val="20"/>
              </w:rPr>
            </w:pPr>
          </w:p>
          <w:p w14:paraId="403EA5CA" w14:textId="18A4A344" w:rsidR="00B46AAA" w:rsidRPr="007E37EC" w:rsidRDefault="00B46AAA" w:rsidP="00171EC2">
            <w:pPr>
              <w:pStyle w:val="TableParagraph"/>
              <w:spacing w:before="1" w:line="360" w:lineRule="auto"/>
              <w:ind w:left="0" w:right="244"/>
              <w:jc w:val="both"/>
              <w:rPr>
                <w:rFonts w:ascii="Arial" w:hAnsi="Arial" w:cs="Arial"/>
                <w:b/>
                <w:bCs/>
                <w:color w:val="000000" w:themeColor="text1"/>
                <w:sz w:val="20"/>
                <w:szCs w:val="20"/>
              </w:rPr>
            </w:pPr>
            <w:r w:rsidRPr="007E37EC">
              <w:rPr>
                <w:rFonts w:ascii="Arial" w:hAnsi="Arial" w:cs="Arial"/>
                <w:b/>
                <w:bCs/>
                <w:color w:val="000000" w:themeColor="text1"/>
                <w:spacing w:val="-2"/>
                <w:sz w:val="20"/>
                <w:szCs w:val="20"/>
              </w:rPr>
              <w:t xml:space="preserve">Production </w:t>
            </w:r>
            <w:r w:rsidRPr="007E37EC">
              <w:rPr>
                <w:rFonts w:ascii="Arial" w:hAnsi="Arial" w:cs="Arial"/>
                <w:b/>
                <w:bCs/>
                <w:color w:val="000000" w:themeColor="text1"/>
                <w:sz w:val="20"/>
                <w:szCs w:val="20"/>
              </w:rPr>
              <w:t xml:space="preserve">Qty </w:t>
            </w:r>
            <w:r w:rsidR="00454D3A" w:rsidRPr="007E37EC">
              <w:rPr>
                <w:rFonts w:ascii="Arial" w:hAnsi="Arial" w:cs="Arial"/>
                <w:b/>
                <w:bCs/>
                <w:color w:val="000000" w:themeColor="text1"/>
                <w:spacing w:val="-2"/>
                <w:sz w:val="20"/>
                <w:szCs w:val="20"/>
              </w:rPr>
              <w:t>(kg</w:t>
            </w:r>
            <w:r w:rsidRPr="007E37EC">
              <w:rPr>
                <w:rFonts w:ascii="Arial" w:hAnsi="Arial" w:cs="Arial"/>
                <w:b/>
                <w:bCs/>
                <w:color w:val="000000" w:themeColor="text1"/>
                <w:spacing w:val="-2"/>
                <w:sz w:val="20"/>
                <w:szCs w:val="20"/>
              </w:rPr>
              <w:t>)</w:t>
            </w:r>
          </w:p>
        </w:tc>
        <w:tc>
          <w:tcPr>
            <w:tcW w:w="1559" w:type="dxa"/>
            <w:vAlign w:val="center"/>
          </w:tcPr>
          <w:p w14:paraId="3E6B0BE0" w14:textId="77777777" w:rsidR="00B46AAA" w:rsidRPr="007E37EC" w:rsidRDefault="00B46AAA" w:rsidP="00171EC2">
            <w:pPr>
              <w:pStyle w:val="TableParagraph"/>
              <w:spacing w:before="1" w:line="360" w:lineRule="auto"/>
              <w:ind w:left="0" w:right="229"/>
              <w:jc w:val="both"/>
              <w:rPr>
                <w:rFonts w:ascii="Arial" w:hAnsi="Arial" w:cs="Arial"/>
                <w:b/>
                <w:bCs/>
                <w:color w:val="000000" w:themeColor="text1"/>
                <w:sz w:val="20"/>
                <w:szCs w:val="20"/>
              </w:rPr>
            </w:pPr>
          </w:p>
          <w:p w14:paraId="2BB373E2" w14:textId="77777777" w:rsidR="00B46AAA" w:rsidRPr="007E37EC" w:rsidRDefault="00B46AAA" w:rsidP="00171EC2">
            <w:pPr>
              <w:pStyle w:val="TableParagraph"/>
              <w:spacing w:before="1" w:line="360" w:lineRule="auto"/>
              <w:ind w:left="0" w:right="229"/>
              <w:jc w:val="both"/>
              <w:rPr>
                <w:rFonts w:ascii="Arial" w:hAnsi="Arial" w:cs="Arial"/>
                <w:b/>
                <w:bCs/>
                <w:color w:val="000000" w:themeColor="text1"/>
                <w:sz w:val="20"/>
                <w:szCs w:val="20"/>
              </w:rPr>
            </w:pPr>
            <w:r w:rsidRPr="007E37EC">
              <w:rPr>
                <w:rFonts w:ascii="Arial" w:hAnsi="Arial" w:cs="Arial"/>
                <w:b/>
                <w:bCs/>
                <w:color w:val="000000" w:themeColor="text1"/>
                <w:spacing w:val="-2"/>
                <w:sz w:val="20"/>
                <w:szCs w:val="20"/>
              </w:rPr>
              <w:t xml:space="preserve">Spoilage </w:t>
            </w:r>
            <w:r w:rsidRPr="007E37EC">
              <w:rPr>
                <w:rFonts w:ascii="Arial" w:hAnsi="Arial" w:cs="Arial"/>
                <w:b/>
                <w:bCs/>
                <w:color w:val="000000" w:themeColor="text1"/>
                <w:spacing w:val="-4"/>
                <w:sz w:val="20"/>
                <w:szCs w:val="20"/>
              </w:rPr>
              <w:t>(kg)</w:t>
            </w:r>
          </w:p>
        </w:tc>
        <w:tc>
          <w:tcPr>
            <w:tcW w:w="2169" w:type="dxa"/>
            <w:vAlign w:val="center"/>
          </w:tcPr>
          <w:p w14:paraId="1E7160F9" w14:textId="77777777" w:rsidR="00B46AAA" w:rsidRPr="007E37EC" w:rsidRDefault="00B46AAA" w:rsidP="00171EC2">
            <w:pPr>
              <w:pStyle w:val="TableParagraph"/>
              <w:spacing w:before="20" w:line="360" w:lineRule="auto"/>
              <w:ind w:left="0"/>
              <w:jc w:val="both"/>
              <w:rPr>
                <w:rFonts w:ascii="Arial" w:hAnsi="Arial" w:cs="Arial"/>
                <w:b/>
                <w:bCs/>
                <w:color w:val="000000" w:themeColor="text1"/>
                <w:sz w:val="20"/>
                <w:szCs w:val="20"/>
              </w:rPr>
            </w:pPr>
          </w:p>
          <w:p w14:paraId="7EA1E8F3" w14:textId="77777777" w:rsidR="00B46AAA" w:rsidRPr="007E37EC" w:rsidRDefault="00B46AAA" w:rsidP="00171EC2">
            <w:pPr>
              <w:pStyle w:val="TableParagraph"/>
              <w:spacing w:before="1" w:line="360" w:lineRule="auto"/>
              <w:ind w:left="0" w:right="275"/>
              <w:jc w:val="both"/>
              <w:rPr>
                <w:rFonts w:ascii="Arial" w:hAnsi="Arial" w:cs="Arial"/>
                <w:b/>
                <w:bCs/>
                <w:color w:val="000000" w:themeColor="text1"/>
                <w:sz w:val="20"/>
                <w:szCs w:val="20"/>
              </w:rPr>
            </w:pPr>
            <w:r w:rsidRPr="007E37EC">
              <w:rPr>
                <w:rFonts w:ascii="Arial" w:hAnsi="Arial" w:cs="Arial"/>
                <w:b/>
                <w:bCs/>
                <w:color w:val="000000" w:themeColor="text1"/>
                <w:spacing w:val="-2"/>
                <w:sz w:val="20"/>
                <w:szCs w:val="20"/>
              </w:rPr>
              <w:t xml:space="preserve">Disposable </w:t>
            </w:r>
            <w:r w:rsidRPr="007E37EC">
              <w:rPr>
                <w:rFonts w:ascii="Arial" w:hAnsi="Arial" w:cs="Arial"/>
                <w:b/>
                <w:bCs/>
                <w:color w:val="000000" w:themeColor="text1"/>
                <w:sz w:val="20"/>
                <w:szCs w:val="20"/>
              </w:rPr>
              <w:t xml:space="preserve">Qty </w:t>
            </w:r>
            <w:r w:rsidRPr="007E37EC">
              <w:rPr>
                <w:rFonts w:ascii="Arial" w:hAnsi="Arial" w:cs="Arial"/>
                <w:b/>
                <w:bCs/>
                <w:color w:val="000000" w:themeColor="text1"/>
                <w:spacing w:val="-4"/>
                <w:sz w:val="20"/>
                <w:szCs w:val="20"/>
              </w:rPr>
              <w:t>(kg)</w:t>
            </w:r>
          </w:p>
        </w:tc>
        <w:tc>
          <w:tcPr>
            <w:tcW w:w="2189" w:type="dxa"/>
            <w:vAlign w:val="center"/>
          </w:tcPr>
          <w:p w14:paraId="2472B0D5" w14:textId="77777777" w:rsidR="00B46AAA" w:rsidRPr="007E37EC" w:rsidRDefault="00B46AAA" w:rsidP="00171EC2">
            <w:pPr>
              <w:pStyle w:val="TableParagraph"/>
              <w:spacing w:before="20" w:line="360" w:lineRule="auto"/>
              <w:ind w:left="0"/>
              <w:jc w:val="both"/>
              <w:rPr>
                <w:rFonts w:ascii="Arial" w:hAnsi="Arial" w:cs="Arial"/>
                <w:b/>
                <w:bCs/>
                <w:color w:val="000000" w:themeColor="text1"/>
                <w:sz w:val="20"/>
                <w:szCs w:val="20"/>
              </w:rPr>
            </w:pPr>
          </w:p>
          <w:p w14:paraId="5EF6AD46" w14:textId="02B7564B" w:rsidR="00B46AAA" w:rsidRPr="007E37EC" w:rsidRDefault="00B46AAA" w:rsidP="00171EC2">
            <w:pPr>
              <w:pStyle w:val="TableParagraph"/>
              <w:spacing w:before="1" w:line="360" w:lineRule="auto"/>
              <w:ind w:left="0" w:right="233"/>
              <w:jc w:val="both"/>
              <w:rPr>
                <w:rFonts w:ascii="Arial" w:hAnsi="Arial" w:cs="Arial"/>
                <w:b/>
                <w:bCs/>
                <w:color w:val="000000" w:themeColor="text1"/>
                <w:sz w:val="20"/>
                <w:szCs w:val="20"/>
              </w:rPr>
            </w:pPr>
            <w:r w:rsidRPr="007E37EC">
              <w:rPr>
                <w:rFonts w:ascii="Arial" w:hAnsi="Arial" w:cs="Arial"/>
                <w:b/>
                <w:bCs/>
                <w:color w:val="000000" w:themeColor="text1"/>
                <w:sz w:val="20"/>
                <w:szCs w:val="20"/>
              </w:rPr>
              <w:t>Total</w:t>
            </w:r>
            <w:r w:rsidRPr="007E37EC">
              <w:rPr>
                <w:rFonts w:ascii="Arial" w:hAnsi="Arial" w:cs="Arial"/>
                <w:b/>
                <w:bCs/>
                <w:color w:val="000000" w:themeColor="text1"/>
                <w:spacing w:val="-12"/>
                <w:sz w:val="20"/>
                <w:szCs w:val="20"/>
              </w:rPr>
              <w:t xml:space="preserve"> </w:t>
            </w:r>
            <w:r w:rsidRPr="007E37EC">
              <w:rPr>
                <w:rFonts w:ascii="Arial" w:hAnsi="Arial" w:cs="Arial"/>
                <w:b/>
                <w:bCs/>
                <w:color w:val="000000" w:themeColor="text1"/>
                <w:sz w:val="20"/>
                <w:szCs w:val="20"/>
              </w:rPr>
              <w:t xml:space="preserve">Revenue </w:t>
            </w:r>
            <w:r w:rsidR="00454D3A" w:rsidRPr="007E37EC">
              <w:rPr>
                <w:rFonts w:ascii="Arial" w:hAnsi="Arial" w:cs="Arial"/>
                <w:b/>
                <w:bCs/>
                <w:color w:val="000000" w:themeColor="text1"/>
                <w:spacing w:val="-2"/>
                <w:sz w:val="20"/>
                <w:szCs w:val="20"/>
              </w:rPr>
              <w:t>(Rs</w:t>
            </w:r>
            <w:r w:rsidRPr="007E37EC">
              <w:rPr>
                <w:rFonts w:ascii="Arial" w:hAnsi="Arial" w:cs="Arial"/>
                <w:b/>
                <w:bCs/>
                <w:color w:val="000000" w:themeColor="text1"/>
                <w:spacing w:val="-2"/>
                <w:sz w:val="20"/>
                <w:szCs w:val="20"/>
              </w:rPr>
              <w:t>)</w:t>
            </w:r>
          </w:p>
        </w:tc>
      </w:tr>
      <w:tr w:rsidR="00B46AAA" w:rsidRPr="007E37EC" w14:paraId="459BB927" w14:textId="77777777" w:rsidTr="00FD593E">
        <w:trPr>
          <w:trHeight w:val="360"/>
        </w:trPr>
        <w:tc>
          <w:tcPr>
            <w:tcW w:w="1598" w:type="dxa"/>
            <w:vAlign w:val="center"/>
          </w:tcPr>
          <w:p w14:paraId="2CF3556F" w14:textId="77777777" w:rsidR="00B46AAA" w:rsidRPr="007E37EC" w:rsidRDefault="00B46AAA" w:rsidP="00171EC2">
            <w:pPr>
              <w:pStyle w:val="TableParagraph"/>
              <w:spacing w:line="360" w:lineRule="auto"/>
              <w:ind w:right="1"/>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Coochbehar</w:t>
            </w:r>
            <w:proofErr w:type="spellEnd"/>
            <w:r w:rsidRPr="007E37EC">
              <w:rPr>
                <w:rFonts w:ascii="Arial" w:hAnsi="Arial" w:cs="Arial"/>
                <w:b/>
                <w:bCs/>
                <w:color w:val="000000" w:themeColor="text1"/>
                <w:sz w:val="20"/>
                <w:szCs w:val="20"/>
              </w:rPr>
              <w:t xml:space="preserve"> II</w:t>
            </w:r>
          </w:p>
        </w:tc>
        <w:tc>
          <w:tcPr>
            <w:tcW w:w="2175" w:type="dxa"/>
            <w:vAlign w:val="center"/>
          </w:tcPr>
          <w:p w14:paraId="0E215034" w14:textId="77777777" w:rsidR="00B46AAA" w:rsidRPr="007E37EC" w:rsidRDefault="00B46AAA" w:rsidP="00171EC2">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140.39</w:t>
            </w:r>
          </w:p>
        </w:tc>
        <w:tc>
          <w:tcPr>
            <w:tcW w:w="1559" w:type="dxa"/>
            <w:vAlign w:val="center"/>
          </w:tcPr>
          <w:p w14:paraId="2F0E9C4E" w14:textId="77777777" w:rsidR="00B46AAA" w:rsidRPr="007E37EC" w:rsidRDefault="00B46AAA" w:rsidP="00171EC2">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0.64</w:t>
            </w:r>
          </w:p>
        </w:tc>
        <w:tc>
          <w:tcPr>
            <w:tcW w:w="2169" w:type="dxa"/>
            <w:vAlign w:val="center"/>
          </w:tcPr>
          <w:p w14:paraId="5E8F25C4" w14:textId="77777777" w:rsidR="00B46AAA" w:rsidRPr="007E37EC" w:rsidRDefault="00B46AAA" w:rsidP="00171EC2">
            <w:pPr>
              <w:pStyle w:val="TableParagraph"/>
              <w:spacing w:line="360" w:lineRule="auto"/>
              <w:ind w:left="218" w:right="208"/>
              <w:jc w:val="both"/>
              <w:rPr>
                <w:rFonts w:ascii="Arial" w:hAnsi="Arial" w:cs="Arial"/>
                <w:color w:val="000000" w:themeColor="text1"/>
                <w:sz w:val="20"/>
                <w:szCs w:val="20"/>
              </w:rPr>
            </w:pPr>
            <w:r w:rsidRPr="007E37EC">
              <w:rPr>
                <w:rFonts w:ascii="Arial" w:hAnsi="Arial" w:cs="Arial"/>
                <w:color w:val="000000" w:themeColor="text1"/>
                <w:spacing w:val="-2"/>
                <w:sz w:val="20"/>
                <w:szCs w:val="20"/>
              </w:rPr>
              <w:t>139.76</w:t>
            </w:r>
          </w:p>
        </w:tc>
        <w:tc>
          <w:tcPr>
            <w:tcW w:w="2189" w:type="dxa"/>
            <w:vAlign w:val="center"/>
          </w:tcPr>
          <w:p w14:paraId="34A8AA58" w14:textId="77777777" w:rsidR="00B46AAA" w:rsidRPr="007E37EC" w:rsidRDefault="00B46AAA" w:rsidP="00171EC2">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17,263.15</w:t>
            </w:r>
          </w:p>
        </w:tc>
      </w:tr>
      <w:tr w:rsidR="00B46AAA" w:rsidRPr="007E37EC" w14:paraId="2461C2C9" w14:textId="77777777" w:rsidTr="00FD593E">
        <w:trPr>
          <w:trHeight w:val="360"/>
        </w:trPr>
        <w:tc>
          <w:tcPr>
            <w:tcW w:w="1598" w:type="dxa"/>
            <w:vAlign w:val="center"/>
          </w:tcPr>
          <w:p w14:paraId="021AD614" w14:textId="77777777" w:rsidR="00B46AAA" w:rsidRPr="007E37EC" w:rsidRDefault="00B46AAA" w:rsidP="00171EC2">
            <w:pPr>
              <w:pStyle w:val="TableParagraph"/>
              <w:spacing w:line="360" w:lineRule="auto"/>
              <w:jc w:val="both"/>
              <w:rPr>
                <w:rFonts w:ascii="Arial" w:hAnsi="Arial" w:cs="Arial"/>
                <w:b/>
                <w:bCs/>
                <w:color w:val="000000" w:themeColor="text1"/>
                <w:spacing w:val="-2"/>
                <w:sz w:val="20"/>
                <w:szCs w:val="20"/>
              </w:rPr>
            </w:pPr>
            <w:proofErr w:type="spellStart"/>
            <w:r w:rsidRPr="007E37EC">
              <w:rPr>
                <w:rFonts w:ascii="Arial" w:hAnsi="Arial" w:cs="Arial"/>
                <w:b/>
                <w:bCs/>
                <w:color w:val="000000" w:themeColor="text1"/>
                <w:spacing w:val="-2"/>
                <w:sz w:val="20"/>
                <w:szCs w:val="20"/>
              </w:rPr>
              <w:t>Tufanganj</w:t>
            </w:r>
            <w:proofErr w:type="spellEnd"/>
            <w:r w:rsidRPr="007E37EC">
              <w:rPr>
                <w:rFonts w:ascii="Arial" w:hAnsi="Arial" w:cs="Arial"/>
                <w:b/>
                <w:bCs/>
                <w:color w:val="000000" w:themeColor="text1"/>
                <w:spacing w:val="-2"/>
                <w:sz w:val="20"/>
                <w:szCs w:val="20"/>
              </w:rPr>
              <w:t xml:space="preserve"> I</w:t>
            </w:r>
          </w:p>
          <w:p w14:paraId="5A9366A0" w14:textId="77777777" w:rsidR="00B46AAA" w:rsidRPr="007E37EC" w:rsidRDefault="00B46AAA" w:rsidP="00171EC2">
            <w:pPr>
              <w:pStyle w:val="TableParagraph"/>
              <w:spacing w:line="360" w:lineRule="auto"/>
              <w:ind w:left="0"/>
              <w:jc w:val="both"/>
              <w:rPr>
                <w:rFonts w:ascii="Arial" w:hAnsi="Arial" w:cs="Arial"/>
                <w:b/>
                <w:bCs/>
                <w:color w:val="000000" w:themeColor="text1"/>
                <w:sz w:val="20"/>
                <w:szCs w:val="20"/>
              </w:rPr>
            </w:pPr>
          </w:p>
        </w:tc>
        <w:tc>
          <w:tcPr>
            <w:tcW w:w="2175" w:type="dxa"/>
            <w:vAlign w:val="center"/>
          </w:tcPr>
          <w:p w14:paraId="63D4EC28" w14:textId="77777777" w:rsidR="00B46AAA" w:rsidRPr="007E37EC" w:rsidRDefault="00B46AAA" w:rsidP="00171EC2">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117.38</w:t>
            </w:r>
          </w:p>
        </w:tc>
        <w:tc>
          <w:tcPr>
            <w:tcW w:w="1559" w:type="dxa"/>
            <w:vAlign w:val="center"/>
          </w:tcPr>
          <w:p w14:paraId="7A7497D0" w14:textId="77777777" w:rsidR="00B46AAA" w:rsidRPr="007E37EC" w:rsidRDefault="00B46AAA" w:rsidP="00171EC2">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0.29</w:t>
            </w:r>
          </w:p>
        </w:tc>
        <w:tc>
          <w:tcPr>
            <w:tcW w:w="2169" w:type="dxa"/>
            <w:vAlign w:val="center"/>
          </w:tcPr>
          <w:p w14:paraId="65F10C3C" w14:textId="77777777" w:rsidR="00B46AAA" w:rsidRPr="007E37EC" w:rsidRDefault="00B46AAA" w:rsidP="00171EC2">
            <w:pPr>
              <w:pStyle w:val="TableParagraph"/>
              <w:spacing w:line="360" w:lineRule="auto"/>
              <w:ind w:left="218" w:right="208"/>
              <w:jc w:val="both"/>
              <w:rPr>
                <w:rFonts w:ascii="Arial" w:hAnsi="Arial" w:cs="Arial"/>
                <w:color w:val="000000" w:themeColor="text1"/>
                <w:sz w:val="20"/>
                <w:szCs w:val="20"/>
              </w:rPr>
            </w:pPr>
            <w:r w:rsidRPr="007E37EC">
              <w:rPr>
                <w:rFonts w:ascii="Arial" w:hAnsi="Arial" w:cs="Arial"/>
                <w:color w:val="000000" w:themeColor="text1"/>
                <w:spacing w:val="-2"/>
                <w:sz w:val="20"/>
                <w:szCs w:val="20"/>
              </w:rPr>
              <w:t>117.10</w:t>
            </w:r>
          </w:p>
        </w:tc>
        <w:tc>
          <w:tcPr>
            <w:tcW w:w="2189" w:type="dxa"/>
            <w:vAlign w:val="center"/>
          </w:tcPr>
          <w:p w14:paraId="6B6F356F" w14:textId="77777777" w:rsidR="00B46AAA" w:rsidRPr="007E37EC" w:rsidRDefault="00B46AAA" w:rsidP="00171EC2">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14,520.4</w:t>
            </w:r>
          </w:p>
        </w:tc>
      </w:tr>
      <w:tr w:rsidR="00B46AAA" w:rsidRPr="007E37EC" w14:paraId="01C372C0" w14:textId="77777777" w:rsidTr="00FD593E">
        <w:trPr>
          <w:trHeight w:val="360"/>
        </w:trPr>
        <w:tc>
          <w:tcPr>
            <w:tcW w:w="1598" w:type="dxa"/>
            <w:vAlign w:val="center"/>
          </w:tcPr>
          <w:p w14:paraId="557A5C61" w14:textId="77777777" w:rsidR="00B46AAA" w:rsidRPr="007E37EC" w:rsidRDefault="00B46AAA" w:rsidP="00171EC2">
            <w:pPr>
              <w:pStyle w:val="TableParagraph"/>
              <w:spacing w:line="360" w:lineRule="auto"/>
              <w:ind w:right="1"/>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Alipurduar</w:t>
            </w:r>
            <w:proofErr w:type="spellEnd"/>
            <w:r w:rsidRPr="007E37EC">
              <w:rPr>
                <w:rFonts w:ascii="Arial" w:hAnsi="Arial" w:cs="Arial"/>
                <w:b/>
                <w:bCs/>
                <w:color w:val="000000" w:themeColor="text1"/>
                <w:sz w:val="20"/>
                <w:szCs w:val="20"/>
              </w:rPr>
              <w:t xml:space="preserve"> </w:t>
            </w:r>
            <w:r w:rsidRPr="007E37EC">
              <w:rPr>
                <w:rFonts w:ascii="Arial" w:hAnsi="Arial" w:cs="Arial"/>
                <w:b/>
                <w:bCs/>
                <w:color w:val="000000" w:themeColor="text1"/>
                <w:spacing w:val="-10"/>
                <w:sz w:val="20"/>
                <w:szCs w:val="20"/>
              </w:rPr>
              <w:t>I</w:t>
            </w:r>
          </w:p>
        </w:tc>
        <w:tc>
          <w:tcPr>
            <w:tcW w:w="2175" w:type="dxa"/>
            <w:vAlign w:val="center"/>
          </w:tcPr>
          <w:p w14:paraId="5236DA64" w14:textId="77777777" w:rsidR="00B46AAA" w:rsidRPr="007E37EC" w:rsidRDefault="00B46AAA" w:rsidP="00171EC2">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107.91</w:t>
            </w:r>
          </w:p>
        </w:tc>
        <w:tc>
          <w:tcPr>
            <w:tcW w:w="1559" w:type="dxa"/>
            <w:vAlign w:val="center"/>
          </w:tcPr>
          <w:p w14:paraId="1D651069" w14:textId="77777777" w:rsidR="00B46AAA" w:rsidRPr="007E37EC" w:rsidRDefault="00B46AAA" w:rsidP="00171EC2">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0.53</w:t>
            </w:r>
          </w:p>
        </w:tc>
        <w:tc>
          <w:tcPr>
            <w:tcW w:w="2169" w:type="dxa"/>
            <w:vAlign w:val="center"/>
          </w:tcPr>
          <w:p w14:paraId="49335D11" w14:textId="77777777" w:rsidR="00B46AAA" w:rsidRPr="007E37EC" w:rsidRDefault="00B46AAA" w:rsidP="00171EC2">
            <w:pPr>
              <w:pStyle w:val="TableParagraph"/>
              <w:spacing w:line="360" w:lineRule="auto"/>
              <w:ind w:left="218" w:right="208"/>
              <w:jc w:val="both"/>
              <w:rPr>
                <w:rFonts w:ascii="Arial" w:hAnsi="Arial" w:cs="Arial"/>
                <w:color w:val="000000" w:themeColor="text1"/>
                <w:sz w:val="20"/>
                <w:szCs w:val="20"/>
              </w:rPr>
            </w:pPr>
            <w:r w:rsidRPr="007E37EC">
              <w:rPr>
                <w:rFonts w:ascii="Arial" w:hAnsi="Arial" w:cs="Arial"/>
                <w:color w:val="000000" w:themeColor="text1"/>
                <w:spacing w:val="-2"/>
                <w:sz w:val="20"/>
                <w:szCs w:val="20"/>
              </w:rPr>
              <w:t>107.38</w:t>
            </w:r>
          </w:p>
        </w:tc>
        <w:tc>
          <w:tcPr>
            <w:tcW w:w="2189" w:type="dxa"/>
            <w:vAlign w:val="center"/>
          </w:tcPr>
          <w:p w14:paraId="5286359C" w14:textId="77777777" w:rsidR="00B46AAA" w:rsidRPr="007E37EC" w:rsidRDefault="00B46AAA" w:rsidP="00171EC2">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13,683.43</w:t>
            </w:r>
          </w:p>
        </w:tc>
      </w:tr>
      <w:tr w:rsidR="00B46AAA" w:rsidRPr="007E37EC" w14:paraId="6F5BE437" w14:textId="77777777" w:rsidTr="00FD593E">
        <w:trPr>
          <w:trHeight w:val="360"/>
        </w:trPr>
        <w:tc>
          <w:tcPr>
            <w:tcW w:w="1598" w:type="dxa"/>
            <w:vAlign w:val="center"/>
          </w:tcPr>
          <w:p w14:paraId="4215D165" w14:textId="77777777" w:rsidR="00B46AAA" w:rsidRPr="007E37EC" w:rsidRDefault="00B46AAA" w:rsidP="00171EC2">
            <w:pPr>
              <w:pStyle w:val="TableParagraph"/>
              <w:spacing w:line="360" w:lineRule="auto"/>
              <w:ind w:right="1"/>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Alipurduar</w:t>
            </w:r>
            <w:proofErr w:type="spellEnd"/>
            <w:r w:rsidRPr="007E37EC">
              <w:rPr>
                <w:rFonts w:ascii="Arial" w:hAnsi="Arial" w:cs="Arial"/>
                <w:b/>
                <w:bCs/>
                <w:color w:val="000000" w:themeColor="text1"/>
                <w:sz w:val="20"/>
                <w:szCs w:val="20"/>
              </w:rPr>
              <w:t xml:space="preserve"> </w:t>
            </w:r>
            <w:r w:rsidRPr="007E37EC">
              <w:rPr>
                <w:rFonts w:ascii="Arial" w:hAnsi="Arial" w:cs="Arial"/>
                <w:b/>
                <w:bCs/>
                <w:color w:val="000000" w:themeColor="text1"/>
                <w:spacing w:val="-5"/>
                <w:sz w:val="20"/>
                <w:szCs w:val="20"/>
              </w:rPr>
              <w:t>II</w:t>
            </w:r>
          </w:p>
        </w:tc>
        <w:tc>
          <w:tcPr>
            <w:tcW w:w="2175" w:type="dxa"/>
            <w:vAlign w:val="center"/>
          </w:tcPr>
          <w:p w14:paraId="5A0ED886" w14:textId="77777777" w:rsidR="00B46AAA" w:rsidRPr="007E37EC" w:rsidRDefault="00B46AAA" w:rsidP="00171EC2">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119.15</w:t>
            </w:r>
          </w:p>
        </w:tc>
        <w:tc>
          <w:tcPr>
            <w:tcW w:w="1559" w:type="dxa"/>
            <w:vAlign w:val="center"/>
          </w:tcPr>
          <w:p w14:paraId="06956C71" w14:textId="77777777" w:rsidR="00B46AAA" w:rsidRPr="007E37EC" w:rsidRDefault="00B46AAA" w:rsidP="00171EC2">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0.54</w:t>
            </w:r>
          </w:p>
        </w:tc>
        <w:tc>
          <w:tcPr>
            <w:tcW w:w="2169" w:type="dxa"/>
            <w:vAlign w:val="center"/>
          </w:tcPr>
          <w:p w14:paraId="2D6DE3C6" w14:textId="77777777" w:rsidR="00B46AAA" w:rsidRPr="007E37EC" w:rsidRDefault="00B46AAA" w:rsidP="00171EC2">
            <w:pPr>
              <w:pStyle w:val="TableParagraph"/>
              <w:spacing w:line="360" w:lineRule="auto"/>
              <w:ind w:left="218" w:right="208"/>
              <w:jc w:val="both"/>
              <w:rPr>
                <w:rFonts w:ascii="Arial" w:hAnsi="Arial" w:cs="Arial"/>
                <w:color w:val="000000" w:themeColor="text1"/>
                <w:sz w:val="20"/>
                <w:szCs w:val="20"/>
              </w:rPr>
            </w:pPr>
            <w:r w:rsidRPr="007E37EC">
              <w:rPr>
                <w:rFonts w:ascii="Arial" w:hAnsi="Arial" w:cs="Arial"/>
                <w:color w:val="000000" w:themeColor="text1"/>
                <w:spacing w:val="-2"/>
                <w:sz w:val="20"/>
                <w:szCs w:val="20"/>
              </w:rPr>
              <w:t>118.61</w:t>
            </w:r>
          </w:p>
        </w:tc>
        <w:tc>
          <w:tcPr>
            <w:tcW w:w="2189" w:type="dxa"/>
            <w:vAlign w:val="center"/>
          </w:tcPr>
          <w:p w14:paraId="6BC7E9A9" w14:textId="77777777" w:rsidR="00B46AAA" w:rsidRPr="007E37EC" w:rsidRDefault="00B46AAA" w:rsidP="00171EC2">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14,434.87</w:t>
            </w:r>
          </w:p>
        </w:tc>
      </w:tr>
      <w:tr w:rsidR="00B46AAA" w:rsidRPr="007E37EC" w14:paraId="3ECF633B" w14:textId="77777777" w:rsidTr="00FD593E">
        <w:trPr>
          <w:trHeight w:val="360"/>
        </w:trPr>
        <w:tc>
          <w:tcPr>
            <w:tcW w:w="1598" w:type="dxa"/>
            <w:vAlign w:val="center"/>
          </w:tcPr>
          <w:p w14:paraId="334EFA82" w14:textId="77777777" w:rsidR="00B46AAA" w:rsidRPr="007E37EC" w:rsidRDefault="00B46AAA" w:rsidP="00171EC2">
            <w:pPr>
              <w:pStyle w:val="TableParagraph"/>
              <w:spacing w:line="360" w:lineRule="auto"/>
              <w:ind w:right="1"/>
              <w:jc w:val="both"/>
              <w:rPr>
                <w:rFonts w:ascii="Arial" w:hAnsi="Arial" w:cs="Arial"/>
                <w:b/>
                <w:bCs/>
                <w:color w:val="000000" w:themeColor="text1"/>
                <w:sz w:val="20"/>
                <w:szCs w:val="20"/>
              </w:rPr>
            </w:pPr>
            <w:r w:rsidRPr="007E37EC">
              <w:rPr>
                <w:rFonts w:ascii="Arial" w:hAnsi="Arial" w:cs="Arial"/>
                <w:b/>
                <w:bCs/>
                <w:color w:val="000000" w:themeColor="text1"/>
                <w:sz w:val="20"/>
                <w:szCs w:val="20"/>
              </w:rPr>
              <w:t>Total</w:t>
            </w:r>
          </w:p>
        </w:tc>
        <w:tc>
          <w:tcPr>
            <w:tcW w:w="2175" w:type="dxa"/>
            <w:vAlign w:val="bottom"/>
          </w:tcPr>
          <w:p w14:paraId="77ED0FAF" w14:textId="77777777" w:rsidR="00B46AAA" w:rsidRPr="007E37EC" w:rsidRDefault="00B46AAA" w:rsidP="00171EC2">
            <w:pPr>
              <w:pStyle w:val="TableParagraph"/>
              <w:spacing w:line="360" w:lineRule="auto"/>
              <w:jc w:val="both"/>
              <w:rPr>
                <w:rFonts w:ascii="Arial" w:hAnsi="Arial" w:cs="Arial"/>
                <w:b/>
                <w:bCs/>
                <w:color w:val="000000" w:themeColor="text1"/>
                <w:spacing w:val="-2"/>
                <w:sz w:val="20"/>
                <w:szCs w:val="20"/>
              </w:rPr>
            </w:pPr>
            <w:r w:rsidRPr="007E37EC">
              <w:rPr>
                <w:rFonts w:ascii="Arial" w:hAnsi="Arial" w:cs="Arial"/>
                <w:b/>
                <w:bCs/>
                <w:color w:val="000000" w:themeColor="text1"/>
                <w:spacing w:val="-2"/>
                <w:sz w:val="20"/>
                <w:szCs w:val="20"/>
              </w:rPr>
              <w:t>124.66</w:t>
            </w:r>
          </w:p>
        </w:tc>
        <w:tc>
          <w:tcPr>
            <w:tcW w:w="1559" w:type="dxa"/>
            <w:vAlign w:val="bottom"/>
          </w:tcPr>
          <w:p w14:paraId="5C7FB132" w14:textId="77777777" w:rsidR="00B46AAA" w:rsidRPr="007E37EC" w:rsidRDefault="00B46AAA" w:rsidP="00171EC2">
            <w:pPr>
              <w:pStyle w:val="TableParagraph"/>
              <w:spacing w:line="360" w:lineRule="auto"/>
              <w:jc w:val="both"/>
              <w:rPr>
                <w:rFonts w:ascii="Arial" w:hAnsi="Arial" w:cs="Arial"/>
                <w:b/>
                <w:bCs/>
                <w:color w:val="000000" w:themeColor="text1"/>
                <w:spacing w:val="-4"/>
                <w:sz w:val="20"/>
                <w:szCs w:val="20"/>
              </w:rPr>
            </w:pPr>
            <w:r w:rsidRPr="007E37EC">
              <w:rPr>
                <w:rFonts w:ascii="Arial" w:hAnsi="Arial" w:cs="Arial"/>
                <w:b/>
                <w:bCs/>
                <w:color w:val="000000" w:themeColor="text1"/>
                <w:spacing w:val="-4"/>
                <w:sz w:val="20"/>
                <w:szCs w:val="20"/>
              </w:rPr>
              <w:t>0.49</w:t>
            </w:r>
          </w:p>
        </w:tc>
        <w:tc>
          <w:tcPr>
            <w:tcW w:w="2169" w:type="dxa"/>
            <w:vAlign w:val="bottom"/>
          </w:tcPr>
          <w:p w14:paraId="29BDB87C" w14:textId="77777777" w:rsidR="00B46AAA" w:rsidRPr="007E37EC" w:rsidRDefault="00B46AAA" w:rsidP="00171EC2">
            <w:pPr>
              <w:pStyle w:val="TableParagraph"/>
              <w:spacing w:line="360" w:lineRule="auto"/>
              <w:ind w:left="218" w:right="208"/>
              <w:jc w:val="both"/>
              <w:rPr>
                <w:rFonts w:ascii="Arial" w:hAnsi="Arial" w:cs="Arial"/>
                <w:b/>
                <w:bCs/>
                <w:color w:val="000000" w:themeColor="text1"/>
                <w:spacing w:val="-2"/>
                <w:sz w:val="20"/>
                <w:szCs w:val="20"/>
              </w:rPr>
            </w:pPr>
            <w:r w:rsidRPr="007E37EC">
              <w:rPr>
                <w:rFonts w:ascii="Arial" w:hAnsi="Arial" w:cs="Arial"/>
                <w:b/>
                <w:bCs/>
                <w:color w:val="000000" w:themeColor="text1"/>
                <w:spacing w:val="-2"/>
                <w:sz w:val="20"/>
                <w:szCs w:val="20"/>
              </w:rPr>
              <w:t>124.18</w:t>
            </w:r>
          </w:p>
        </w:tc>
        <w:tc>
          <w:tcPr>
            <w:tcW w:w="2189" w:type="dxa"/>
            <w:vAlign w:val="bottom"/>
          </w:tcPr>
          <w:p w14:paraId="6E5B4768" w14:textId="77777777" w:rsidR="00B46AAA" w:rsidRPr="007E37EC" w:rsidRDefault="00B46AAA" w:rsidP="00171EC2">
            <w:pPr>
              <w:pStyle w:val="TableParagraph"/>
              <w:spacing w:line="360" w:lineRule="auto"/>
              <w:jc w:val="both"/>
              <w:rPr>
                <w:rFonts w:ascii="Arial" w:hAnsi="Arial" w:cs="Arial"/>
                <w:b/>
                <w:bCs/>
                <w:color w:val="000000" w:themeColor="text1"/>
                <w:spacing w:val="-2"/>
                <w:sz w:val="20"/>
                <w:szCs w:val="20"/>
              </w:rPr>
            </w:pPr>
            <w:r w:rsidRPr="007E37EC">
              <w:rPr>
                <w:rFonts w:ascii="Arial" w:hAnsi="Arial" w:cs="Arial"/>
                <w:b/>
                <w:bCs/>
                <w:color w:val="000000" w:themeColor="text1"/>
                <w:spacing w:val="-2"/>
                <w:sz w:val="20"/>
                <w:szCs w:val="20"/>
              </w:rPr>
              <w:t>15,369.08</w:t>
            </w:r>
          </w:p>
        </w:tc>
      </w:tr>
    </w:tbl>
    <w:p w14:paraId="75890752" w14:textId="77777777" w:rsidR="00B46AAA" w:rsidRPr="007E37EC" w:rsidRDefault="00B46AAA" w:rsidP="00171EC2">
      <w:pPr>
        <w:pStyle w:val="BodyText"/>
        <w:spacing w:line="360" w:lineRule="auto"/>
        <w:jc w:val="both"/>
        <w:rPr>
          <w:rFonts w:ascii="Arial" w:hAnsi="Arial" w:cs="Arial"/>
          <w:color w:val="000000" w:themeColor="text1"/>
          <w:sz w:val="22"/>
          <w:szCs w:val="22"/>
        </w:rPr>
      </w:pPr>
    </w:p>
    <w:p w14:paraId="24EAD07F" w14:textId="71FE06F9" w:rsidR="00B46AAA" w:rsidRPr="007E37EC" w:rsidRDefault="00B46AAA" w:rsidP="00171EC2">
      <w:pPr>
        <w:pStyle w:val="BodyText"/>
        <w:spacing w:line="360" w:lineRule="auto"/>
        <w:jc w:val="both"/>
        <w:rPr>
          <w:rFonts w:ascii="Arial" w:hAnsi="Arial" w:cs="Arial"/>
          <w:color w:val="000000" w:themeColor="text1"/>
        </w:rPr>
      </w:pPr>
      <w:r w:rsidRPr="007E37EC">
        <w:rPr>
          <w:rFonts w:ascii="Arial" w:hAnsi="Arial" w:cs="Arial"/>
          <w:color w:val="000000" w:themeColor="text1"/>
        </w:rPr>
        <w:t xml:space="preserve">The table shows curd </w:t>
      </w:r>
      <w:r w:rsidR="008516FB" w:rsidRPr="007E37EC">
        <w:rPr>
          <w:rFonts w:ascii="Arial" w:hAnsi="Arial" w:cs="Arial"/>
          <w:color w:val="000000" w:themeColor="text1"/>
        </w:rPr>
        <w:t>production,</w:t>
      </w:r>
      <w:r w:rsidRPr="007E37EC">
        <w:rPr>
          <w:rFonts w:ascii="Arial" w:hAnsi="Arial" w:cs="Arial"/>
          <w:color w:val="000000" w:themeColor="text1"/>
        </w:rPr>
        <w:t xml:space="preserve"> spoilage</w:t>
      </w:r>
      <w:r w:rsidR="00842AFB" w:rsidRPr="007E37EC">
        <w:rPr>
          <w:rFonts w:ascii="Arial" w:hAnsi="Arial" w:cs="Arial"/>
          <w:color w:val="000000" w:themeColor="text1"/>
        </w:rPr>
        <w:t xml:space="preserve"> and generation of revenue per </w:t>
      </w:r>
      <w:r w:rsidR="00480638" w:rsidRPr="007E37EC">
        <w:rPr>
          <w:rFonts w:ascii="Arial" w:hAnsi="Arial" w:cs="Arial"/>
          <w:color w:val="000000" w:themeColor="text1"/>
        </w:rPr>
        <w:t>day for</w:t>
      </w:r>
      <w:r w:rsidRPr="007E37EC">
        <w:rPr>
          <w:rFonts w:ascii="Arial" w:hAnsi="Arial" w:cs="Arial"/>
          <w:color w:val="000000" w:themeColor="text1"/>
        </w:rPr>
        <w:t xml:space="preserve"> different blocks. On average, each firm produces 124.66 kg of curd with a spoilage rate of 0.39%. </w:t>
      </w:r>
      <w:proofErr w:type="spellStart"/>
      <w:r w:rsidRPr="007E37EC">
        <w:rPr>
          <w:rFonts w:ascii="Arial" w:hAnsi="Arial" w:cs="Arial"/>
          <w:color w:val="000000" w:themeColor="text1"/>
        </w:rPr>
        <w:t>Coochbehar</w:t>
      </w:r>
      <w:proofErr w:type="spellEnd"/>
      <w:r w:rsidRPr="007E37EC">
        <w:rPr>
          <w:rFonts w:ascii="Arial" w:hAnsi="Arial" w:cs="Arial"/>
          <w:color w:val="000000" w:themeColor="text1"/>
        </w:rPr>
        <w:t xml:space="preserve"> II has the highest production at 14</w:t>
      </w:r>
      <w:r w:rsidR="00842AFB" w:rsidRPr="007E37EC">
        <w:rPr>
          <w:rFonts w:ascii="Arial" w:hAnsi="Arial" w:cs="Arial"/>
          <w:color w:val="000000" w:themeColor="text1"/>
        </w:rPr>
        <w:t>0.39 kg and earns Rs. 17,263.15.</w:t>
      </w:r>
      <w:r w:rsidRPr="007E37EC">
        <w:rPr>
          <w:rFonts w:ascii="Arial" w:hAnsi="Arial" w:cs="Arial"/>
          <w:color w:val="000000" w:themeColor="text1"/>
        </w:rPr>
        <w:t xml:space="preserve"> </w:t>
      </w:r>
      <w:proofErr w:type="spellStart"/>
      <w:r w:rsidRPr="007E37EC">
        <w:rPr>
          <w:rFonts w:ascii="Arial" w:hAnsi="Arial" w:cs="Arial"/>
          <w:color w:val="000000" w:themeColor="text1"/>
        </w:rPr>
        <w:t>Tufanganj</w:t>
      </w:r>
      <w:proofErr w:type="spellEnd"/>
      <w:r w:rsidRPr="007E37EC">
        <w:rPr>
          <w:rFonts w:ascii="Arial" w:hAnsi="Arial" w:cs="Arial"/>
          <w:color w:val="000000" w:themeColor="text1"/>
        </w:rPr>
        <w:t xml:space="preserve"> I </w:t>
      </w:r>
      <w:r w:rsidR="00480638" w:rsidRPr="007E37EC">
        <w:rPr>
          <w:rFonts w:ascii="Arial" w:hAnsi="Arial" w:cs="Arial"/>
          <w:color w:val="000000" w:themeColor="text1"/>
        </w:rPr>
        <w:t>have</w:t>
      </w:r>
      <w:r w:rsidRPr="007E37EC">
        <w:rPr>
          <w:rFonts w:ascii="Arial" w:hAnsi="Arial" w:cs="Arial"/>
          <w:color w:val="000000" w:themeColor="text1"/>
        </w:rPr>
        <w:t xml:space="preserve"> the lowest spoilage rate at 0.25%, producing 117.38 kg and earning Rs. 14,520.40, which </w:t>
      </w:r>
      <w:r w:rsidR="00842AFB" w:rsidRPr="007E37EC">
        <w:rPr>
          <w:rFonts w:ascii="Arial" w:hAnsi="Arial" w:cs="Arial"/>
          <w:color w:val="000000" w:themeColor="text1"/>
        </w:rPr>
        <w:t xml:space="preserve">also </w:t>
      </w:r>
      <w:r w:rsidRPr="007E37EC">
        <w:rPr>
          <w:rFonts w:ascii="Arial" w:hAnsi="Arial" w:cs="Arial"/>
          <w:color w:val="000000" w:themeColor="text1"/>
        </w:rPr>
        <w:t>suggests strong</w:t>
      </w:r>
      <w:r w:rsidR="00842AFB" w:rsidRPr="007E37EC">
        <w:rPr>
          <w:rFonts w:ascii="Arial" w:hAnsi="Arial" w:cs="Arial"/>
          <w:color w:val="000000" w:themeColor="text1"/>
        </w:rPr>
        <w:t>er</w:t>
      </w:r>
      <w:r w:rsidRPr="007E37EC">
        <w:rPr>
          <w:rFonts w:ascii="Arial" w:hAnsi="Arial" w:cs="Arial"/>
          <w:color w:val="000000" w:themeColor="text1"/>
        </w:rPr>
        <w:t xml:space="preserve"> quality control. </w:t>
      </w:r>
      <w:proofErr w:type="spellStart"/>
      <w:r w:rsidRPr="007E37EC">
        <w:rPr>
          <w:rFonts w:ascii="Arial" w:hAnsi="Arial" w:cs="Arial"/>
          <w:color w:val="000000" w:themeColor="text1"/>
        </w:rPr>
        <w:t>Alipurduar</w:t>
      </w:r>
      <w:proofErr w:type="spellEnd"/>
      <w:r w:rsidRPr="007E37EC">
        <w:rPr>
          <w:rFonts w:ascii="Arial" w:hAnsi="Arial" w:cs="Arial"/>
          <w:color w:val="000000" w:themeColor="text1"/>
        </w:rPr>
        <w:t xml:space="preserve">, I produce the least curd at 107.91 kg, earns Rs. 13,683.43, and has a spoilage of 0.53 kg. </w:t>
      </w:r>
      <w:proofErr w:type="spellStart"/>
      <w:r w:rsidRPr="007E37EC">
        <w:rPr>
          <w:rFonts w:ascii="Arial" w:hAnsi="Arial" w:cs="Arial"/>
          <w:color w:val="000000" w:themeColor="text1"/>
        </w:rPr>
        <w:t>Alipurduar</w:t>
      </w:r>
      <w:proofErr w:type="spellEnd"/>
      <w:r w:rsidRPr="007E37EC">
        <w:rPr>
          <w:rFonts w:ascii="Arial" w:hAnsi="Arial" w:cs="Arial"/>
          <w:color w:val="000000" w:themeColor="text1"/>
        </w:rPr>
        <w:t xml:space="preserve"> II falls in the middle with 119.15 kg produced, Rs. 14,434.87 in revenue, and 0.54 kg of spoilage. In general, spoilage is well managed, and changes in revenue are mostly due to differences in production, not quality problems </w:t>
      </w:r>
      <w:r w:rsidRPr="007E37EC">
        <w:rPr>
          <w:rFonts w:ascii="Arial" w:hAnsi="Arial" w:cs="Arial"/>
          <w:color w:val="000000" w:themeColor="text1"/>
          <w:lang w:val="en-IN"/>
        </w:rPr>
        <w:t>(Marchi et al., 2022).</w:t>
      </w:r>
    </w:p>
    <w:p w14:paraId="7A3F50B1" w14:textId="77777777" w:rsidR="00842AFB" w:rsidRPr="007E37EC" w:rsidRDefault="00842AFB" w:rsidP="00171EC2">
      <w:pPr>
        <w:pStyle w:val="BodyText"/>
        <w:spacing w:line="360" w:lineRule="auto"/>
        <w:jc w:val="both"/>
        <w:rPr>
          <w:rFonts w:ascii="Arial" w:hAnsi="Arial" w:cs="Arial"/>
          <w:b/>
          <w:bCs/>
          <w:color w:val="000000" w:themeColor="text1"/>
          <w:sz w:val="22"/>
          <w:szCs w:val="22"/>
        </w:rPr>
      </w:pPr>
    </w:p>
    <w:p w14:paraId="507AD523" w14:textId="1CAA61CE" w:rsidR="00B46AAA" w:rsidRPr="007E37EC" w:rsidRDefault="00B46AAA" w:rsidP="00171EC2">
      <w:pPr>
        <w:pStyle w:val="BodyText"/>
        <w:spacing w:line="360" w:lineRule="auto"/>
        <w:jc w:val="both"/>
        <w:rPr>
          <w:rFonts w:ascii="Arial" w:hAnsi="Arial" w:cs="Arial"/>
          <w:b/>
          <w:color w:val="000000" w:themeColor="text1"/>
          <w:sz w:val="22"/>
          <w:szCs w:val="22"/>
        </w:rPr>
      </w:pPr>
      <w:r w:rsidRPr="007E37EC">
        <w:rPr>
          <w:rFonts w:ascii="Arial" w:hAnsi="Arial" w:cs="Arial"/>
          <w:b/>
          <w:bCs/>
          <w:color w:val="000000" w:themeColor="text1"/>
          <w:sz w:val="22"/>
          <w:szCs w:val="22"/>
        </w:rPr>
        <w:t>3.6</w:t>
      </w:r>
      <w:r w:rsidRPr="007E37EC">
        <w:rPr>
          <w:rFonts w:ascii="Arial" w:hAnsi="Arial" w:cs="Arial"/>
          <w:color w:val="000000" w:themeColor="text1"/>
          <w:sz w:val="22"/>
          <w:szCs w:val="22"/>
        </w:rPr>
        <w:t xml:space="preserve"> </w:t>
      </w:r>
      <w:r w:rsidRPr="007E37EC">
        <w:rPr>
          <w:rFonts w:ascii="Arial" w:hAnsi="Arial" w:cs="Arial"/>
          <w:b/>
          <w:bCs/>
          <w:color w:val="000000" w:themeColor="text1"/>
          <w:sz w:val="22"/>
          <w:szCs w:val="22"/>
        </w:rPr>
        <w:t>Analysis of</w:t>
      </w:r>
      <w:r w:rsidRPr="007E37EC">
        <w:rPr>
          <w:rFonts w:ascii="Arial" w:hAnsi="Arial" w:cs="Arial"/>
          <w:color w:val="000000" w:themeColor="text1"/>
          <w:sz w:val="22"/>
          <w:szCs w:val="22"/>
        </w:rPr>
        <w:t xml:space="preserve"> </w:t>
      </w:r>
      <w:r w:rsidRPr="007E37EC">
        <w:rPr>
          <w:rFonts w:ascii="Arial" w:hAnsi="Arial" w:cs="Arial"/>
          <w:b/>
          <w:color w:val="000000" w:themeColor="text1"/>
          <w:sz w:val="22"/>
          <w:szCs w:val="22"/>
        </w:rPr>
        <w:t xml:space="preserve">Cost of production and </w:t>
      </w:r>
      <w:r w:rsidR="00B238DE" w:rsidRPr="007E37EC">
        <w:rPr>
          <w:rFonts w:ascii="Arial" w:hAnsi="Arial" w:cs="Arial"/>
          <w:b/>
          <w:color w:val="000000" w:themeColor="text1"/>
          <w:sz w:val="22"/>
          <w:szCs w:val="22"/>
        </w:rPr>
        <w:t>net profit</w:t>
      </w:r>
      <w:r w:rsidRPr="007E37EC">
        <w:rPr>
          <w:rFonts w:ascii="Arial" w:hAnsi="Arial" w:cs="Arial"/>
          <w:b/>
          <w:color w:val="000000" w:themeColor="text1"/>
          <w:sz w:val="22"/>
          <w:szCs w:val="22"/>
        </w:rPr>
        <w:t xml:space="preserve"> of per kg of sweet curd </w:t>
      </w:r>
    </w:p>
    <w:p w14:paraId="7DBD4E8D" w14:textId="4D0A1761" w:rsidR="00C63C30" w:rsidRPr="005D25FA" w:rsidRDefault="00B46AAA" w:rsidP="00171EC2">
      <w:pPr>
        <w:spacing w:after="0" w:line="360" w:lineRule="auto"/>
        <w:jc w:val="both"/>
        <w:rPr>
          <w:rFonts w:ascii="Arial" w:hAnsi="Arial" w:cs="Arial"/>
          <w:bCs/>
          <w:color w:val="000000" w:themeColor="text1"/>
          <w:sz w:val="20"/>
          <w:szCs w:val="20"/>
        </w:rPr>
      </w:pPr>
      <w:r w:rsidRPr="005D25FA">
        <w:rPr>
          <w:rFonts w:ascii="Arial" w:hAnsi="Arial" w:cs="Arial"/>
          <w:b/>
          <w:color w:val="000000" w:themeColor="text1"/>
          <w:sz w:val="20"/>
          <w:szCs w:val="20"/>
        </w:rPr>
        <w:t xml:space="preserve">Table 6: </w:t>
      </w:r>
      <w:r w:rsidRPr="005D25FA">
        <w:rPr>
          <w:rFonts w:ascii="Arial" w:hAnsi="Arial" w:cs="Arial"/>
          <w:bCs/>
          <w:color w:val="000000" w:themeColor="text1"/>
          <w:sz w:val="20"/>
          <w:szCs w:val="20"/>
        </w:rPr>
        <w:t>Cost Structure analysis per Kg of Sweet curd</w:t>
      </w:r>
      <w:r w:rsidR="00B238DE" w:rsidRPr="005D25FA">
        <w:rPr>
          <w:rFonts w:ascii="Arial" w:hAnsi="Arial" w:cs="Arial"/>
          <w:bCs/>
          <w:color w:val="000000" w:themeColor="text1"/>
          <w:sz w:val="20"/>
          <w:szCs w:val="20"/>
        </w:rPr>
        <w:t xml:space="preserve"> and net profit</w:t>
      </w:r>
    </w:p>
    <w:p w14:paraId="65C4B11F" w14:textId="77777777" w:rsidR="00B46AAA" w:rsidRPr="007E37EC" w:rsidRDefault="00B46AAA" w:rsidP="00171EC2">
      <w:pPr>
        <w:spacing w:after="0" w:line="360" w:lineRule="auto"/>
        <w:jc w:val="both"/>
        <w:rPr>
          <w:rFonts w:ascii="Arial" w:eastAsia="Times New Roman" w:hAnsi="Arial" w:cs="Arial"/>
          <w:kern w:val="0"/>
          <w:lang w:eastAsia="en-IN"/>
          <w14:ligatures w14:val="none"/>
        </w:rPr>
      </w:pPr>
    </w:p>
    <w:tbl>
      <w:tblPr>
        <w:tblStyle w:val="TableGrid"/>
        <w:tblW w:w="9786" w:type="dxa"/>
        <w:tblLook w:val="04A0" w:firstRow="1" w:lastRow="0" w:firstColumn="1" w:lastColumn="0" w:noHBand="0" w:noVBand="1"/>
      </w:tblPr>
      <w:tblGrid>
        <w:gridCol w:w="1807"/>
        <w:gridCol w:w="1775"/>
        <w:gridCol w:w="1563"/>
        <w:gridCol w:w="1678"/>
        <w:gridCol w:w="1678"/>
        <w:gridCol w:w="1285"/>
      </w:tblGrid>
      <w:tr w:rsidR="00B46AAA" w:rsidRPr="007E37EC" w14:paraId="3AA7FC5A" w14:textId="77777777" w:rsidTr="00251DEB">
        <w:trPr>
          <w:trHeight w:val="1970"/>
        </w:trPr>
        <w:tc>
          <w:tcPr>
            <w:tcW w:w="1807" w:type="dxa"/>
            <w:vAlign w:val="center"/>
          </w:tcPr>
          <w:p w14:paraId="40D0783C"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Cost component</w:t>
            </w:r>
          </w:p>
        </w:tc>
        <w:tc>
          <w:tcPr>
            <w:tcW w:w="1775" w:type="dxa"/>
            <w:vAlign w:val="center"/>
          </w:tcPr>
          <w:p w14:paraId="18A17329" w14:textId="77777777" w:rsidR="00B46AAA" w:rsidRPr="007E37EC" w:rsidRDefault="00B46AAA" w:rsidP="00171EC2">
            <w:pPr>
              <w:pStyle w:val="BodyText"/>
              <w:spacing w:line="360" w:lineRule="auto"/>
              <w:jc w:val="center"/>
              <w:rPr>
                <w:rFonts w:ascii="Arial" w:hAnsi="Arial" w:cs="Arial"/>
                <w:b/>
                <w:color w:val="000000" w:themeColor="text1"/>
              </w:rPr>
            </w:pPr>
            <w:proofErr w:type="spellStart"/>
            <w:r w:rsidRPr="007E37EC">
              <w:rPr>
                <w:rFonts w:ascii="Arial" w:hAnsi="Arial" w:cs="Arial"/>
                <w:b/>
                <w:color w:val="000000" w:themeColor="text1"/>
              </w:rPr>
              <w:t>Coochbehar</w:t>
            </w:r>
            <w:proofErr w:type="spellEnd"/>
            <w:r w:rsidRPr="007E37EC">
              <w:rPr>
                <w:rFonts w:ascii="Arial" w:hAnsi="Arial" w:cs="Arial"/>
                <w:b/>
                <w:color w:val="000000" w:themeColor="text1"/>
              </w:rPr>
              <w:t xml:space="preserve"> II</w:t>
            </w:r>
          </w:p>
          <w:p w14:paraId="04CBABD0"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(Rs/kg)</w:t>
            </w:r>
          </w:p>
        </w:tc>
        <w:tc>
          <w:tcPr>
            <w:tcW w:w="1563" w:type="dxa"/>
            <w:vAlign w:val="center"/>
          </w:tcPr>
          <w:p w14:paraId="148AFBB8" w14:textId="77777777" w:rsidR="00B46AAA" w:rsidRPr="007E37EC" w:rsidRDefault="00B46AAA" w:rsidP="00171EC2">
            <w:pPr>
              <w:pStyle w:val="BodyText"/>
              <w:spacing w:line="360" w:lineRule="auto"/>
              <w:jc w:val="center"/>
              <w:rPr>
                <w:rFonts w:ascii="Arial" w:hAnsi="Arial" w:cs="Arial"/>
                <w:b/>
                <w:color w:val="000000" w:themeColor="text1"/>
              </w:rPr>
            </w:pPr>
            <w:proofErr w:type="spellStart"/>
            <w:r w:rsidRPr="007E37EC">
              <w:rPr>
                <w:rFonts w:ascii="Arial" w:hAnsi="Arial" w:cs="Arial"/>
                <w:b/>
                <w:color w:val="000000" w:themeColor="text1"/>
              </w:rPr>
              <w:t>Tufanganj</w:t>
            </w:r>
            <w:proofErr w:type="spellEnd"/>
            <w:r w:rsidRPr="007E37EC">
              <w:rPr>
                <w:rFonts w:ascii="Arial" w:hAnsi="Arial" w:cs="Arial"/>
                <w:b/>
                <w:color w:val="000000" w:themeColor="text1"/>
              </w:rPr>
              <w:t xml:space="preserve"> I</w:t>
            </w:r>
          </w:p>
          <w:p w14:paraId="32E77B51"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(Rs/kg)</w:t>
            </w:r>
          </w:p>
        </w:tc>
        <w:tc>
          <w:tcPr>
            <w:tcW w:w="1678" w:type="dxa"/>
            <w:vAlign w:val="center"/>
          </w:tcPr>
          <w:p w14:paraId="7572921D" w14:textId="77777777" w:rsidR="00B46AAA" w:rsidRPr="007E37EC" w:rsidRDefault="00B46AAA" w:rsidP="00171EC2">
            <w:pPr>
              <w:pStyle w:val="BodyText"/>
              <w:spacing w:line="360" w:lineRule="auto"/>
              <w:jc w:val="center"/>
              <w:rPr>
                <w:rFonts w:ascii="Arial" w:hAnsi="Arial" w:cs="Arial"/>
                <w:b/>
                <w:color w:val="000000" w:themeColor="text1"/>
              </w:rPr>
            </w:pPr>
            <w:proofErr w:type="spellStart"/>
            <w:r w:rsidRPr="007E37EC">
              <w:rPr>
                <w:rFonts w:ascii="Arial" w:hAnsi="Arial" w:cs="Arial"/>
                <w:b/>
                <w:color w:val="000000" w:themeColor="text1"/>
              </w:rPr>
              <w:t>Alipurduar</w:t>
            </w:r>
            <w:proofErr w:type="spellEnd"/>
            <w:r w:rsidRPr="007E37EC">
              <w:rPr>
                <w:rFonts w:ascii="Arial" w:hAnsi="Arial" w:cs="Arial"/>
                <w:b/>
                <w:color w:val="000000" w:themeColor="text1"/>
              </w:rPr>
              <w:t xml:space="preserve"> I</w:t>
            </w:r>
          </w:p>
          <w:p w14:paraId="475C4B82"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(Rs/kg)</w:t>
            </w:r>
          </w:p>
        </w:tc>
        <w:tc>
          <w:tcPr>
            <w:tcW w:w="1678" w:type="dxa"/>
            <w:vAlign w:val="center"/>
          </w:tcPr>
          <w:p w14:paraId="3AC9A680" w14:textId="77777777" w:rsidR="00B46AAA" w:rsidRPr="007E37EC" w:rsidRDefault="00B46AAA" w:rsidP="00171EC2">
            <w:pPr>
              <w:pStyle w:val="BodyText"/>
              <w:spacing w:line="360" w:lineRule="auto"/>
              <w:jc w:val="center"/>
              <w:rPr>
                <w:rFonts w:ascii="Arial" w:hAnsi="Arial" w:cs="Arial"/>
                <w:b/>
                <w:color w:val="000000" w:themeColor="text1"/>
              </w:rPr>
            </w:pPr>
            <w:proofErr w:type="spellStart"/>
            <w:r w:rsidRPr="007E37EC">
              <w:rPr>
                <w:rFonts w:ascii="Arial" w:hAnsi="Arial" w:cs="Arial"/>
                <w:b/>
                <w:color w:val="000000" w:themeColor="text1"/>
              </w:rPr>
              <w:t>Alipurduar</w:t>
            </w:r>
            <w:proofErr w:type="spellEnd"/>
            <w:r w:rsidRPr="007E37EC">
              <w:rPr>
                <w:rFonts w:ascii="Arial" w:hAnsi="Arial" w:cs="Arial"/>
                <w:b/>
                <w:color w:val="000000" w:themeColor="text1"/>
              </w:rPr>
              <w:t xml:space="preserve"> II</w:t>
            </w:r>
          </w:p>
          <w:p w14:paraId="65054208"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(Rs/kg)</w:t>
            </w:r>
          </w:p>
        </w:tc>
        <w:tc>
          <w:tcPr>
            <w:tcW w:w="1285" w:type="dxa"/>
            <w:vAlign w:val="center"/>
          </w:tcPr>
          <w:p w14:paraId="15C31C54"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Average</w:t>
            </w:r>
          </w:p>
          <w:p w14:paraId="792279CF"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(Rs/kg)</w:t>
            </w:r>
          </w:p>
        </w:tc>
      </w:tr>
      <w:tr w:rsidR="00B46AAA" w:rsidRPr="007E37EC" w14:paraId="7098D3C5" w14:textId="77777777" w:rsidTr="00251DEB">
        <w:trPr>
          <w:trHeight w:val="487"/>
        </w:trPr>
        <w:tc>
          <w:tcPr>
            <w:tcW w:w="9786" w:type="dxa"/>
            <w:gridSpan w:val="6"/>
            <w:vAlign w:val="center"/>
          </w:tcPr>
          <w:p w14:paraId="5988CFCD"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A. Variable costs</w:t>
            </w:r>
          </w:p>
        </w:tc>
      </w:tr>
      <w:tr w:rsidR="00B46AAA" w:rsidRPr="007E37EC" w14:paraId="2ED6560C" w14:textId="77777777" w:rsidTr="00251DEB">
        <w:trPr>
          <w:trHeight w:val="469"/>
        </w:trPr>
        <w:tc>
          <w:tcPr>
            <w:tcW w:w="1807" w:type="dxa"/>
            <w:vAlign w:val="center"/>
          </w:tcPr>
          <w:p w14:paraId="320126C7"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Fluid Milk</w:t>
            </w:r>
          </w:p>
        </w:tc>
        <w:tc>
          <w:tcPr>
            <w:tcW w:w="1775" w:type="dxa"/>
            <w:vAlign w:val="center"/>
          </w:tcPr>
          <w:p w14:paraId="71395DA8"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44.08</w:t>
            </w:r>
          </w:p>
          <w:p w14:paraId="40CAED2B"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(61.35)</w:t>
            </w:r>
          </w:p>
        </w:tc>
        <w:tc>
          <w:tcPr>
            <w:tcW w:w="1563" w:type="dxa"/>
            <w:vAlign w:val="center"/>
          </w:tcPr>
          <w:p w14:paraId="43F95D44"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44.06</w:t>
            </w:r>
          </w:p>
          <w:p w14:paraId="507BE0F4"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(57.74)</w:t>
            </w:r>
          </w:p>
        </w:tc>
        <w:tc>
          <w:tcPr>
            <w:tcW w:w="1678" w:type="dxa"/>
            <w:vAlign w:val="center"/>
          </w:tcPr>
          <w:p w14:paraId="3B71D605"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51.36</w:t>
            </w:r>
          </w:p>
          <w:p w14:paraId="192C4E71"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(59.25)</w:t>
            </w:r>
          </w:p>
        </w:tc>
        <w:tc>
          <w:tcPr>
            <w:tcW w:w="1678" w:type="dxa"/>
            <w:vAlign w:val="center"/>
          </w:tcPr>
          <w:p w14:paraId="53CA099C"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50.79</w:t>
            </w:r>
          </w:p>
          <w:p w14:paraId="08DF873B"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(59.68)</w:t>
            </w:r>
          </w:p>
        </w:tc>
        <w:tc>
          <w:tcPr>
            <w:tcW w:w="1285" w:type="dxa"/>
            <w:vAlign w:val="center"/>
          </w:tcPr>
          <w:p w14:paraId="0253A8F2"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46.31</w:t>
            </w:r>
          </w:p>
          <w:p w14:paraId="5E84FC77" w14:textId="2C31E28E"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(59.</w:t>
            </w:r>
            <w:r w:rsidR="005F6765" w:rsidRPr="007E37EC">
              <w:rPr>
                <w:rFonts w:ascii="Arial" w:hAnsi="Arial" w:cs="Arial"/>
                <w:bCs/>
                <w:color w:val="000000" w:themeColor="text1"/>
              </w:rPr>
              <w:t>65</w:t>
            </w:r>
            <w:r w:rsidRPr="007E37EC">
              <w:rPr>
                <w:rFonts w:ascii="Arial" w:hAnsi="Arial" w:cs="Arial"/>
                <w:bCs/>
                <w:color w:val="000000" w:themeColor="text1"/>
              </w:rPr>
              <w:t>)</w:t>
            </w:r>
          </w:p>
        </w:tc>
      </w:tr>
      <w:tr w:rsidR="00B46AAA" w:rsidRPr="007E37EC" w14:paraId="517371B5" w14:textId="77777777" w:rsidTr="00251DEB">
        <w:trPr>
          <w:trHeight w:val="487"/>
        </w:trPr>
        <w:tc>
          <w:tcPr>
            <w:tcW w:w="1807" w:type="dxa"/>
            <w:vAlign w:val="center"/>
          </w:tcPr>
          <w:p w14:paraId="6FAFDBA7"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Sugar</w:t>
            </w:r>
          </w:p>
        </w:tc>
        <w:tc>
          <w:tcPr>
            <w:tcW w:w="1775" w:type="dxa"/>
            <w:vAlign w:val="center"/>
          </w:tcPr>
          <w:p w14:paraId="488A98F1"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11.99</w:t>
            </w:r>
          </w:p>
          <w:p w14:paraId="081A3863"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(16.69)</w:t>
            </w:r>
          </w:p>
        </w:tc>
        <w:tc>
          <w:tcPr>
            <w:tcW w:w="1563" w:type="dxa"/>
            <w:vAlign w:val="center"/>
          </w:tcPr>
          <w:p w14:paraId="70F1D17A"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15.02</w:t>
            </w:r>
          </w:p>
          <w:p w14:paraId="07FE3946"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(19.69)</w:t>
            </w:r>
          </w:p>
        </w:tc>
        <w:tc>
          <w:tcPr>
            <w:tcW w:w="1678" w:type="dxa"/>
            <w:vAlign w:val="center"/>
          </w:tcPr>
          <w:p w14:paraId="3EE7E0F6"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14.90</w:t>
            </w:r>
          </w:p>
          <w:p w14:paraId="60AE0F7D"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(17.32)</w:t>
            </w:r>
          </w:p>
        </w:tc>
        <w:tc>
          <w:tcPr>
            <w:tcW w:w="1678" w:type="dxa"/>
            <w:vAlign w:val="center"/>
          </w:tcPr>
          <w:p w14:paraId="10950B40"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17.66</w:t>
            </w:r>
          </w:p>
          <w:p w14:paraId="40DD4BC0"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(20.62)</w:t>
            </w:r>
          </w:p>
        </w:tc>
        <w:tc>
          <w:tcPr>
            <w:tcW w:w="1285" w:type="dxa"/>
            <w:vAlign w:val="center"/>
          </w:tcPr>
          <w:p w14:paraId="04AFD2C1"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14.44</w:t>
            </w:r>
          </w:p>
          <w:p w14:paraId="6834ECF5" w14:textId="73575329"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(18.</w:t>
            </w:r>
            <w:r w:rsidR="005F6765" w:rsidRPr="007E37EC">
              <w:rPr>
                <w:rFonts w:ascii="Arial" w:hAnsi="Arial" w:cs="Arial"/>
                <w:bCs/>
                <w:color w:val="000000" w:themeColor="text1"/>
              </w:rPr>
              <w:t>60</w:t>
            </w:r>
            <w:r w:rsidRPr="007E37EC">
              <w:rPr>
                <w:rFonts w:ascii="Arial" w:hAnsi="Arial" w:cs="Arial"/>
                <w:bCs/>
                <w:color w:val="000000" w:themeColor="text1"/>
              </w:rPr>
              <w:t>)</w:t>
            </w:r>
          </w:p>
        </w:tc>
      </w:tr>
      <w:tr w:rsidR="00B46AAA" w:rsidRPr="007E37EC" w14:paraId="2BB56763" w14:textId="77777777" w:rsidTr="00251DEB">
        <w:trPr>
          <w:trHeight w:val="487"/>
        </w:trPr>
        <w:tc>
          <w:tcPr>
            <w:tcW w:w="1807" w:type="dxa"/>
            <w:vAlign w:val="center"/>
          </w:tcPr>
          <w:p w14:paraId="54DE0C83"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Fuel</w:t>
            </w:r>
          </w:p>
        </w:tc>
        <w:tc>
          <w:tcPr>
            <w:tcW w:w="1775" w:type="dxa"/>
            <w:vAlign w:val="center"/>
          </w:tcPr>
          <w:p w14:paraId="6592DCAC"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1.86</w:t>
            </w:r>
          </w:p>
          <w:p w14:paraId="4E289F94"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(2.59)</w:t>
            </w:r>
          </w:p>
        </w:tc>
        <w:tc>
          <w:tcPr>
            <w:tcW w:w="1563" w:type="dxa"/>
            <w:vAlign w:val="center"/>
          </w:tcPr>
          <w:p w14:paraId="077EDC97"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2.05</w:t>
            </w:r>
          </w:p>
          <w:p w14:paraId="28E14EF2"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(2.69)</w:t>
            </w:r>
          </w:p>
        </w:tc>
        <w:tc>
          <w:tcPr>
            <w:tcW w:w="1678" w:type="dxa"/>
            <w:vAlign w:val="center"/>
          </w:tcPr>
          <w:p w14:paraId="669E5555"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2.22</w:t>
            </w:r>
          </w:p>
          <w:p w14:paraId="633C794A"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(2.58)</w:t>
            </w:r>
          </w:p>
        </w:tc>
        <w:tc>
          <w:tcPr>
            <w:tcW w:w="1678" w:type="dxa"/>
            <w:vAlign w:val="center"/>
          </w:tcPr>
          <w:p w14:paraId="2205FCCD"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2.02</w:t>
            </w:r>
          </w:p>
          <w:p w14:paraId="5AC0140C"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(2.36)</w:t>
            </w:r>
          </w:p>
        </w:tc>
        <w:tc>
          <w:tcPr>
            <w:tcW w:w="1285" w:type="dxa"/>
            <w:vAlign w:val="center"/>
          </w:tcPr>
          <w:p w14:paraId="15CDE674"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2.00</w:t>
            </w:r>
          </w:p>
          <w:p w14:paraId="170EBEAB"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(2.57)</w:t>
            </w:r>
          </w:p>
        </w:tc>
      </w:tr>
      <w:tr w:rsidR="00B46AAA" w:rsidRPr="007E37EC" w14:paraId="688037A1" w14:textId="77777777" w:rsidTr="00251DEB">
        <w:trPr>
          <w:trHeight w:val="487"/>
        </w:trPr>
        <w:tc>
          <w:tcPr>
            <w:tcW w:w="1807" w:type="dxa"/>
            <w:vAlign w:val="center"/>
          </w:tcPr>
          <w:p w14:paraId="694BFC75"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Container</w:t>
            </w:r>
          </w:p>
        </w:tc>
        <w:tc>
          <w:tcPr>
            <w:tcW w:w="1775" w:type="dxa"/>
            <w:vAlign w:val="center"/>
          </w:tcPr>
          <w:p w14:paraId="2320F6E3"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6.71</w:t>
            </w:r>
          </w:p>
          <w:p w14:paraId="42AC28E6"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(9.34)</w:t>
            </w:r>
          </w:p>
        </w:tc>
        <w:tc>
          <w:tcPr>
            <w:tcW w:w="1563" w:type="dxa"/>
            <w:vAlign w:val="center"/>
          </w:tcPr>
          <w:p w14:paraId="61A9CF80"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6.24</w:t>
            </w:r>
          </w:p>
          <w:p w14:paraId="4A8A5A6F"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(8.18)</w:t>
            </w:r>
          </w:p>
        </w:tc>
        <w:tc>
          <w:tcPr>
            <w:tcW w:w="1678" w:type="dxa"/>
            <w:vAlign w:val="center"/>
          </w:tcPr>
          <w:p w14:paraId="38BC349C"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7.05</w:t>
            </w:r>
          </w:p>
          <w:p w14:paraId="273B07CF"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(8.20)</w:t>
            </w:r>
          </w:p>
        </w:tc>
        <w:tc>
          <w:tcPr>
            <w:tcW w:w="1678" w:type="dxa"/>
            <w:vAlign w:val="center"/>
          </w:tcPr>
          <w:p w14:paraId="1EA76073"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6.67</w:t>
            </w:r>
          </w:p>
          <w:p w14:paraId="162BE3DC"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(7.79)</w:t>
            </w:r>
          </w:p>
        </w:tc>
        <w:tc>
          <w:tcPr>
            <w:tcW w:w="1285" w:type="dxa"/>
            <w:vAlign w:val="center"/>
          </w:tcPr>
          <w:p w14:paraId="2CD13EB9"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6.59</w:t>
            </w:r>
          </w:p>
          <w:p w14:paraId="726003D7" w14:textId="3A32713F"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(8.4</w:t>
            </w:r>
            <w:r w:rsidR="005F6765" w:rsidRPr="007E37EC">
              <w:rPr>
                <w:rFonts w:ascii="Arial" w:hAnsi="Arial" w:cs="Arial"/>
                <w:bCs/>
                <w:color w:val="000000" w:themeColor="text1"/>
              </w:rPr>
              <w:t>9</w:t>
            </w:r>
            <w:r w:rsidRPr="007E37EC">
              <w:rPr>
                <w:rFonts w:ascii="Arial" w:hAnsi="Arial" w:cs="Arial"/>
                <w:bCs/>
                <w:color w:val="000000" w:themeColor="text1"/>
              </w:rPr>
              <w:t>)</w:t>
            </w:r>
          </w:p>
        </w:tc>
      </w:tr>
      <w:tr w:rsidR="00B46AAA" w:rsidRPr="007E37EC" w14:paraId="107651C3" w14:textId="77777777" w:rsidTr="00251DEB">
        <w:trPr>
          <w:trHeight w:val="469"/>
        </w:trPr>
        <w:tc>
          <w:tcPr>
            <w:tcW w:w="1807" w:type="dxa"/>
            <w:vAlign w:val="center"/>
          </w:tcPr>
          <w:p w14:paraId="19E30451" w14:textId="17F27363" w:rsidR="00B46AAA" w:rsidRPr="007E37EC" w:rsidRDefault="00B46AAA" w:rsidP="00171EC2">
            <w:pPr>
              <w:pStyle w:val="BodyText"/>
              <w:spacing w:line="360" w:lineRule="auto"/>
              <w:jc w:val="center"/>
              <w:rPr>
                <w:rFonts w:ascii="Arial" w:hAnsi="Arial" w:cs="Arial"/>
                <w:b/>
                <w:color w:val="000000" w:themeColor="text1"/>
              </w:rPr>
            </w:pPr>
            <w:proofErr w:type="spellStart"/>
            <w:r w:rsidRPr="007E37EC">
              <w:rPr>
                <w:rFonts w:ascii="Arial" w:hAnsi="Arial" w:cs="Arial"/>
                <w:b/>
                <w:color w:val="000000" w:themeColor="text1"/>
              </w:rPr>
              <w:t>Lab</w:t>
            </w:r>
            <w:r w:rsidR="009908C4" w:rsidRPr="007E37EC">
              <w:rPr>
                <w:rFonts w:ascii="Arial" w:hAnsi="Arial" w:cs="Arial"/>
                <w:b/>
                <w:color w:val="000000" w:themeColor="text1"/>
              </w:rPr>
              <w:t>our</w:t>
            </w:r>
            <w:proofErr w:type="spellEnd"/>
          </w:p>
        </w:tc>
        <w:tc>
          <w:tcPr>
            <w:tcW w:w="1775" w:type="dxa"/>
            <w:vAlign w:val="center"/>
          </w:tcPr>
          <w:p w14:paraId="35294F53"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6.27</w:t>
            </w:r>
          </w:p>
          <w:p w14:paraId="0CD4E9F7"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(8.73)</w:t>
            </w:r>
          </w:p>
        </w:tc>
        <w:tc>
          <w:tcPr>
            <w:tcW w:w="1563" w:type="dxa"/>
            <w:vAlign w:val="center"/>
          </w:tcPr>
          <w:p w14:paraId="5F204ECB"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7.74</w:t>
            </w:r>
          </w:p>
          <w:p w14:paraId="757BA612"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(10.14)</w:t>
            </w:r>
          </w:p>
        </w:tc>
        <w:tc>
          <w:tcPr>
            <w:tcW w:w="1678" w:type="dxa"/>
            <w:vAlign w:val="center"/>
          </w:tcPr>
          <w:p w14:paraId="239F090F"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9.61</w:t>
            </w:r>
          </w:p>
          <w:p w14:paraId="272B5C7E"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(11.17)</w:t>
            </w:r>
          </w:p>
        </w:tc>
        <w:tc>
          <w:tcPr>
            <w:tcW w:w="1678" w:type="dxa"/>
            <w:vAlign w:val="center"/>
          </w:tcPr>
          <w:p w14:paraId="458811A9"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6.35</w:t>
            </w:r>
          </w:p>
          <w:p w14:paraId="101A499A"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(7.41)</w:t>
            </w:r>
          </w:p>
        </w:tc>
        <w:tc>
          <w:tcPr>
            <w:tcW w:w="1285" w:type="dxa"/>
            <w:vAlign w:val="center"/>
          </w:tcPr>
          <w:p w14:paraId="5B865E2D"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7.19</w:t>
            </w:r>
          </w:p>
          <w:p w14:paraId="4CD7DE41" w14:textId="7C9EEAC2"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(9.2</w:t>
            </w:r>
            <w:r w:rsidR="005F6765" w:rsidRPr="007E37EC">
              <w:rPr>
                <w:rFonts w:ascii="Arial" w:hAnsi="Arial" w:cs="Arial"/>
                <w:bCs/>
                <w:color w:val="000000" w:themeColor="text1"/>
              </w:rPr>
              <w:t>6</w:t>
            </w:r>
            <w:r w:rsidRPr="007E37EC">
              <w:rPr>
                <w:rFonts w:ascii="Arial" w:hAnsi="Arial" w:cs="Arial"/>
                <w:bCs/>
                <w:color w:val="000000" w:themeColor="text1"/>
              </w:rPr>
              <w:t>)</w:t>
            </w:r>
          </w:p>
        </w:tc>
      </w:tr>
      <w:tr w:rsidR="00B46AAA" w:rsidRPr="007E37EC" w14:paraId="0D97668C" w14:textId="77777777" w:rsidTr="00251DEB">
        <w:trPr>
          <w:trHeight w:val="1478"/>
        </w:trPr>
        <w:tc>
          <w:tcPr>
            <w:tcW w:w="1807" w:type="dxa"/>
            <w:vAlign w:val="center"/>
          </w:tcPr>
          <w:p w14:paraId="262B59C4"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Total Variable Cost</w:t>
            </w:r>
          </w:p>
        </w:tc>
        <w:tc>
          <w:tcPr>
            <w:tcW w:w="1775" w:type="dxa"/>
            <w:vAlign w:val="center"/>
          </w:tcPr>
          <w:p w14:paraId="681F8952" w14:textId="77777777" w:rsidR="00B46AAA" w:rsidRPr="007E37EC" w:rsidRDefault="00B46AAA" w:rsidP="00171EC2">
            <w:pPr>
              <w:pStyle w:val="BodyText"/>
              <w:spacing w:line="360" w:lineRule="auto"/>
              <w:jc w:val="center"/>
              <w:rPr>
                <w:rFonts w:ascii="Arial" w:hAnsi="Arial" w:cs="Arial"/>
                <w:bCs/>
              </w:rPr>
            </w:pPr>
            <w:r w:rsidRPr="007E37EC">
              <w:rPr>
                <w:rFonts w:ascii="Arial" w:hAnsi="Arial" w:cs="Arial"/>
                <w:bCs/>
              </w:rPr>
              <w:t>70.91</w:t>
            </w:r>
          </w:p>
          <w:p w14:paraId="1CE3F5D1"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(98.70)</w:t>
            </w:r>
          </w:p>
        </w:tc>
        <w:tc>
          <w:tcPr>
            <w:tcW w:w="1563" w:type="dxa"/>
            <w:vAlign w:val="center"/>
          </w:tcPr>
          <w:p w14:paraId="705A2365" w14:textId="77777777" w:rsidR="00B46AAA" w:rsidRPr="007E37EC" w:rsidRDefault="00B46AAA" w:rsidP="00171EC2">
            <w:pPr>
              <w:pStyle w:val="BodyText"/>
              <w:spacing w:line="360" w:lineRule="auto"/>
              <w:jc w:val="center"/>
              <w:rPr>
                <w:rFonts w:ascii="Arial" w:hAnsi="Arial" w:cs="Arial"/>
                <w:bCs/>
              </w:rPr>
            </w:pPr>
            <w:r w:rsidRPr="007E37EC">
              <w:rPr>
                <w:rFonts w:ascii="Arial" w:hAnsi="Arial" w:cs="Arial"/>
                <w:bCs/>
              </w:rPr>
              <w:t>75.11</w:t>
            </w:r>
          </w:p>
          <w:p w14:paraId="4D0CDD0A"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(98.44)</w:t>
            </w:r>
          </w:p>
        </w:tc>
        <w:tc>
          <w:tcPr>
            <w:tcW w:w="1678" w:type="dxa"/>
            <w:vAlign w:val="center"/>
          </w:tcPr>
          <w:p w14:paraId="0188B283" w14:textId="77777777" w:rsidR="00B46AAA" w:rsidRPr="007E37EC" w:rsidRDefault="00B46AAA" w:rsidP="00171EC2">
            <w:pPr>
              <w:pStyle w:val="BodyText"/>
              <w:spacing w:line="360" w:lineRule="auto"/>
              <w:jc w:val="center"/>
              <w:rPr>
                <w:rFonts w:ascii="Arial" w:hAnsi="Arial" w:cs="Arial"/>
                <w:bCs/>
              </w:rPr>
            </w:pPr>
            <w:r w:rsidRPr="007E37EC">
              <w:rPr>
                <w:rFonts w:ascii="Arial" w:hAnsi="Arial" w:cs="Arial"/>
                <w:bCs/>
              </w:rPr>
              <w:t>85.14</w:t>
            </w:r>
          </w:p>
          <w:p w14:paraId="7434F1F3"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(98.6)</w:t>
            </w:r>
          </w:p>
        </w:tc>
        <w:tc>
          <w:tcPr>
            <w:tcW w:w="1678" w:type="dxa"/>
            <w:vAlign w:val="center"/>
          </w:tcPr>
          <w:p w14:paraId="2E32F77B" w14:textId="77777777" w:rsidR="00B46AAA" w:rsidRPr="007E37EC" w:rsidRDefault="00B46AAA" w:rsidP="00171EC2">
            <w:pPr>
              <w:pStyle w:val="BodyText"/>
              <w:spacing w:line="360" w:lineRule="auto"/>
              <w:jc w:val="center"/>
              <w:rPr>
                <w:rFonts w:ascii="Arial" w:hAnsi="Arial" w:cs="Arial"/>
                <w:bCs/>
              </w:rPr>
            </w:pPr>
            <w:r w:rsidRPr="007E37EC">
              <w:rPr>
                <w:rFonts w:ascii="Arial" w:hAnsi="Arial" w:cs="Arial"/>
                <w:bCs/>
              </w:rPr>
              <w:t>83.49</w:t>
            </w:r>
          </w:p>
          <w:p w14:paraId="744D06F7"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(98.61)</w:t>
            </w:r>
          </w:p>
        </w:tc>
        <w:tc>
          <w:tcPr>
            <w:tcW w:w="1285" w:type="dxa"/>
            <w:vAlign w:val="center"/>
          </w:tcPr>
          <w:p w14:paraId="4A113767" w14:textId="77777777" w:rsidR="00B46AAA" w:rsidRPr="007E37EC" w:rsidRDefault="00B46AAA" w:rsidP="00171EC2">
            <w:pPr>
              <w:pStyle w:val="BodyText"/>
              <w:spacing w:line="360" w:lineRule="auto"/>
              <w:jc w:val="center"/>
              <w:rPr>
                <w:rFonts w:ascii="Arial" w:hAnsi="Arial" w:cs="Arial"/>
                <w:bCs/>
              </w:rPr>
            </w:pPr>
            <w:r w:rsidRPr="007E37EC">
              <w:rPr>
                <w:rFonts w:ascii="Arial" w:hAnsi="Arial" w:cs="Arial"/>
                <w:bCs/>
              </w:rPr>
              <w:t>76.53</w:t>
            </w:r>
          </w:p>
          <w:p w14:paraId="1187460F" w14:textId="7B975274"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(98.5</w:t>
            </w:r>
            <w:r w:rsidR="005F6765" w:rsidRPr="007E37EC">
              <w:rPr>
                <w:rFonts w:ascii="Arial" w:hAnsi="Arial" w:cs="Arial"/>
                <w:bCs/>
                <w:color w:val="000000" w:themeColor="text1"/>
              </w:rPr>
              <w:t>7</w:t>
            </w:r>
            <w:r w:rsidRPr="007E37EC">
              <w:rPr>
                <w:rFonts w:ascii="Arial" w:hAnsi="Arial" w:cs="Arial"/>
                <w:bCs/>
                <w:color w:val="000000" w:themeColor="text1"/>
              </w:rPr>
              <w:t>)</w:t>
            </w:r>
          </w:p>
        </w:tc>
      </w:tr>
      <w:tr w:rsidR="00B46AAA" w:rsidRPr="007E37EC" w14:paraId="04B2A5C2" w14:textId="77777777" w:rsidTr="00251DEB">
        <w:trPr>
          <w:trHeight w:val="469"/>
        </w:trPr>
        <w:tc>
          <w:tcPr>
            <w:tcW w:w="9786" w:type="dxa"/>
            <w:gridSpan w:val="6"/>
            <w:vAlign w:val="center"/>
          </w:tcPr>
          <w:p w14:paraId="0445CC13"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B. Fixed Costs</w:t>
            </w:r>
          </w:p>
        </w:tc>
      </w:tr>
      <w:tr w:rsidR="00B46AAA" w:rsidRPr="007E37EC" w14:paraId="1D2C026B" w14:textId="77777777" w:rsidTr="00251DEB">
        <w:trPr>
          <w:trHeight w:val="2452"/>
        </w:trPr>
        <w:tc>
          <w:tcPr>
            <w:tcW w:w="1807" w:type="dxa"/>
            <w:vAlign w:val="center"/>
          </w:tcPr>
          <w:p w14:paraId="548DC770"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Equipment and building depreciation</w:t>
            </w:r>
          </w:p>
        </w:tc>
        <w:tc>
          <w:tcPr>
            <w:tcW w:w="1775" w:type="dxa"/>
            <w:vAlign w:val="center"/>
          </w:tcPr>
          <w:p w14:paraId="5E28E3DC"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0.93</w:t>
            </w:r>
          </w:p>
          <w:p w14:paraId="61BA5665"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(1.29)</w:t>
            </w:r>
          </w:p>
        </w:tc>
        <w:tc>
          <w:tcPr>
            <w:tcW w:w="1563" w:type="dxa"/>
            <w:vAlign w:val="center"/>
          </w:tcPr>
          <w:p w14:paraId="44915AF9"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1.19</w:t>
            </w:r>
          </w:p>
          <w:p w14:paraId="175BED15"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(1.56)</w:t>
            </w:r>
          </w:p>
        </w:tc>
        <w:tc>
          <w:tcPr>
            <w:tcW w:w="1678" w:type="dxa"/>
            <w:vAlign w:val="center"/>
          </w:tcPr>
          <w:p w14:paraId="3CA30450"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1.21</w:t>
            </w:r>
          </w:p>
          <w:p w14:paraId="54E9480E"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(1.40)</w:t>
            </w:r>
          </w:p>
        </w:tc>
        <w:tc>
          <w:tcPr>
            <w:tcW w:w="1678" w:type="dxa"/>
            <w:vAlign w:val="center"/>
          </w:tcPr>
          <w:p w14:paraId="147E1682"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1.17</w:t>
            </w:r>
          </w:p>
          <w:p w14:paraId="44322F66"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(1.38)</w:t>
            </w:r>
          </w:p>
        </w:tc>
        <w:tc>
          <w:tcPr>
            <w:tcW w:w="1285" w:type="dxa"/>
            <w:vAlign w:val="center"/>
          </w:tcPr>
          <w:p w14:paraId="54514268" w14:textId="77777777"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1.10</w:t>
            </w:r>
          </w:p>
          <w:p w14:paraId="4C6D6E44" w14:textId="640C601D" w:rsidR="00B46AAA" w:rsidRPr="007E37EC" w:rsidRDefault="00B46AAA" w:rsidP="00171EC2">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(1.4</w:t>
            </w:r>
            <w:r w:rsidR="005F6765" w:rsidRPr="007E37EC">
              <w:rPr>
                <w:rFonts w:ascii="Arial" w:hAnsi="Arial" w:cs="Arial"/>
                <w:bCs/>
                <w:color w:val="000000" w:themeColor="text1"/>
              </w:rPr>
              <w:t>2</w:t>
            </w:r>
            <w:r w:rsidRPr="007E37EC">
              <w:rPr>
                <w:rFonts w:ascii="Arial" w:hAnsi="Arial" w:cs="Arial"/>
                <w:bCs/>
                <w:color w:val="000000" w:themeColor="text1"/>
              </w:rPr>
              <w:t>)</w:t>
            </w:r>
          </w:p>
        </w:tc>
      </w:tr>
      <w:tr w:rsidR="00B46AAA" w:rsidRPr="007E37EC" w14:paraId="2C9DDC54" w14:textId="77777777" w:rsidTr="00251DEB">
        <w:trPr>
          <w:trHeight w:val="1461"/>
        </w:trPr>
        <w:tc>
          <w:tcPr>
            <w:tcW w:w="1807" w:type="dxa"/>
            <w:vAlign w:val="center"/>
          </w:tcPr>
          <w:p w14:paraId="3C6582EF"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Total costs per kg (A+B)</w:t>
            </w:r>
          </w:p>
        </w:tc>
        <w:tc>
          <w:tcPr>
            <w:tcW w:w="1775" w:type="dxa"/>
            <w:vAlign w:val="center"/>
          </w:tcPr>
          <w:p w14:paraId="1D5CF048" w14:textId="77777777" w:rsidR="00B46AAA" w:rsidRPr="007E37EC" w:rsidRDefault="00B46AAA" w:rsidP="00171EC2">
            <w:pPr>
              <w:pStyle w:val="BodyText"/>
              <w:spacing w:line="360" w:lineRule="auto"/>
              <w:jc w:val="center"/>
              <w:rPr>
                <w:rFonts w:ascii="Arial" w:hAnsi="Arial" w:cs="Arial"/>
              </w:rPr>
            </w:pPr>
            <w:r w:rsidRPr="007E37EC">
              <w:rPr>
                <w:rFonts w:ascii="Arial" w:hAnsi="Arial" w:cs="Arial"/>
              </w:rPr>
              <w:t>71.84</w:t>
            </w:r>
          </w:p>
          <w:p w14:paraId="117AAB63"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(100)</w:t>
            </w:r>
          </w:p>
        </w:tc>
        <w:tc>
          <w:tcPr>
            <w:tcW w:w="1563" w:type="dxa"/>
            <w:vAlign w:val="center"/>
          </w:tcPr>
          <w:p w14:paraId="2A0DB568" w14:textId="77777777" w:rsidR="00B46AAA" w:rsidRPr="007E37EC" w:rsidRDefault="00B46AAA" w:rsidP="00171EC2">
            <w:pPr>
              <w:pStyle w:val="BodyText"/>
              <w:spacing w:line="360" w:lineRule="auto"/>
              <w:jc w:val="center"/>
              <w:rPr>
                <w:rFonts w:ascii="Arial" w:hAnsi="Arial" w:cs="Arial"/>
              </w:rPr>
            </w:pPr>
            <w:r w:rsidRPr="007E37EC">
              <w:rPr>
                <w:rFonts w:ascii="Arial" w:hAnsi="Arial" w:cs="Arial"/>
              </w:rPr>
              <w:t>76.30</w:t>
            </w:r>
          </w:p>
          <w:p w14:paraId="6AF51259"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(100)</w:t>
            </w:r>
          </w:p>
        </w:tc>
        <w:tc>
          <w:tcPr>
            <w:tcW w:w="1678" w:type="dxa"/>
            <w:vAlign w:val="center"/>
          </w:tcPr>
          <w:p w14:paraId="56CDC9AE" w14:textId="77777777" w:rsidR="00B46AAA" w:rsidRPr="007E37EC" w:rsidRDefault="00B46AAA" w:rsidP="00171EC2">
            <w:pPr>
              <w:pStyle w:val="BodyText"/>
              <w:spacing w:line="360" w:lineRule="auto"/>
              <w:jc w:val="center"/>
              <w:rPr>
                <w:rFonts w:ascii="Arial" w:hAnsi="Arial" w:cs="Arial"/>
              </w:rPr>
            </w:pPr>
            <w:r w:rsidRPr="007E37EC">
              <w:rPr>
                <w:rFonts w:ascii="Arial" w:hAnsi="Arial" w:cs="Arial"/>
              </w:rPr>
              <w:t>86.35</w:t>
            </w:r>
          </w:p>
          <w:p w14:paraId="2FBF0109"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(100)</w:t>
            </w:r>
          </w:p>
        </w:tc>
        <w:tc>
          <w:tcPr>
            <w:tcW w:w="1678" w:type="dxa"/>
            <w:vAlign w:val="center"/>
          </w:tcPr>
          <w:p w14:paraId="4D979487" w14:textId="77777777" w:rsidR="00B46AAA" w:rsidRPr="007E37EC" w:rsidRDefault="00B46AAA" w:rsidP="00171EC2">
            <w:pPr>
              <w:pStyle w:val="BodyText"/>
              <w:spacing w:line="360" w:lineRule="auto"/>
              <w:jc w:val="center"/>
              <w:rPr>
                <w:rFonts w:ascii="Arial" w:hAnsi="Arial" w:cs="Arial"/>
              </w:rPr>
            </w:pPr>
            <w:r w:rsidRPr="007E37EC">
              <w:rPr>
                <w:rFonts w:ascii="Arial" w:hAnsi="Arial" w:cs="Arial"/>
              </w:rPr>
              <w:t>84.66</w:t>
            </w:r>
          </w:p>
          <w:p w14:paraId="4B29EC37"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(100)</w:t>
            </w:r>
          </w:p>
        </w:tc>
        <w:tc>
          <w:tcPr>
            <w:tcW w:w="1285" w:type="dxa"/>
            <w:vAlign w:val="center"/>
          </w:tcPr>
          <w:p w14:paraId="2257C669" w14:textId="77777777" w:rsidR="00B46AAA" w:rsidRPr="007E37EC" w:rsidRDefault="00B46AAA" w:rsidP="00171EC2">
            <w:pPr>
              <w:pStyle w:val="BodyText"/>
              <w:spacing w:line="360" w:lineRule="auto"/>
              <w:jc w:val="center"/>
              <w:rPr>
                <w:rFonts w:ascii="Arial" w:hAnsi="Arial" w:cs="Arial"/>
              </w:rPr>
            </w:pPr>
            <w:r w:rsidRPr="007E37EC">
              <w:rPr>
                <w:rFonts w:ascii="Arial" w:hAnsi="Arial" w:cs="Arial"/>
              </w:rPr>
              <w:t>77.63</w:t>
            </w:r>
          </w:p>
          <w:p w14:paraId="1C63681D"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(100)</w:t>
            </w:r>
          </w:p>
        </w:tc>
      </w:tr>
      <w:tr w:rsidR="00B46AAA" w:rsidRPr="007E37EC" w14:paraId="42E7C952" w14:textId="77777777" w:rsidTr="00251DEB">
        <w:trPr>
          <w:trHeight w:val="974"/>
        </w:trPr>
        <w:tc>
          <w:tcPr>
            <w:tcW w:w="1807" w:type="dxa"/>
            <w:vAlign w:val="center"/>
          </w:tcPr>
          <w:p w14:paraId="3F1A5A68"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t>Selling Price per kg</w:t>
            </w:r>
          </w:p>
        </w:tc>
        <w:tc>
          <w:tcPr>
            <w:tcW w:w="1775" w:type="dxa"/>
            <w:vAlign w:val="center"/>
          </w:tcPr>
          <w:p w14:paraId="710B2417"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rPr>
              <w:t>123.52</w:t>
            </w:r>
          </w:p>
        </w:tc>
        <w:tc>
          <w:tcPr>
            <w:tcW w:w="1563" w:type="dxa"/>
            <w:vAlign w:val="center"/>
          </w:tcPr>
          <w:p w14:paraId="53747E2A"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rPr>
              <w:t>124.00</w:t>
            </w:r>
          </w:p>
        </w:tc>
        <w:tc>
          <w:tcPr>
            <w:tcW w:w="1678" w:type="dxa"/>
            <w:vAlign w:val="center"/>
          </w:tcPr>
          <w:p w14:paraId="3718FC2E"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rPr>
              <w:t>127.43</w:t>
            </w:r>
          </w:p>
        </w:tc>
        <w:tc>
          <w:tcPr>
            <w:tcW w:w="1678" w:type="dxa"/>
            <w:vAlign w:val="center"/>
          </w:tcPr>
          <w:p w14:paraId="548F5244"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rPr>
              <w:t>121.70</w:t>
            </w:r>
          </w:p>
        </w:tc>
        <w:tc>
          <w:tcPr>
            <w:tcW w:w="1285" w:type="dxa"/>
            <w:vAlign w:val="center"/>
          </w:tcPr>
          <w:p w14:paraId="1953E794"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rPr>
              <w:t>123.82</w:t>
            </w:r>
          </w:p>
        </w:tc>
      </w:tr>
      <w:tr w:rsidR="00B46AAA" w:rsidRPr="007E37EC" w14:paraId="7C9A985C" w14:textId="77777777" w:rsidTr="00251DEB">
        <w:trPr>
          <w:trHeight w:val="956"/>
        </w:trPr>
        <w:tc>
          <w:tcPr>
            <w:tcW w:w="1807" w:type="dxa"/>
            <w:vAlign w:val="center"/>
          </w:tcPr>
          <w:p w14:paraId="51231D3D" w14:textId="77777777" w:rsidR="00B46AAA" w:rsidRPr="007E37EC" w:rsidRDefault="00B46AAA" w:rsidP="00171EC2">
            <w:pPr>
              <w:pStyle w:val="BodyText"/>
              <w:spacing w:line="360" w:lineRule="auto"/>
              <w:jc w:val="center"/>
              <w:rPr>
                <w:rFonts w:ascii="Arial" w:hAnsi="Arial" w:cs="Arial"/>
                <w:b/>
                <w:color w:val="000000" w:themeColor="text1"/>
              </w:rPr>
            </w:pPr>
            <w:r w:rsidRPr="007E37EC">
              <w:rPr>
                <w:rFonts w:ascii="Arial" w:hAnsi="Arial" w:cs="Arial"/>
                <w:b/>
                <w:color w:val="000000" w:themeColor="text1"/>
              </w:rPr>
              <w:lastRenderedPageBreak/>
              <w:t>Net Profit per kg</w:t>
            </w:r>
          </w:p>
        </w:tc>
        <w:tc>
          <w:tcPr>
            <w:tcW w:w="1775" w:type="dxa"/>
            <w:vAlign w:val="center"/>
          </w:tcPr>
          <w:p w14:paraId="4B258DD1" w14:textId="77777777" w:rsidR="00B46AAA" w:rsidRPr="007E37EC" w:rsidRDefault="00B46AAA" w:rsidP="00171EC2">
            <w:pPr>
              <w:pStyle w:val="BodyText"/>
              <w:spacing w:line="360" w:lineRule="auto"/>
              <w:jc w:val="center"/>
              <w:rPr>
                <w:rFonts w:ascii="Arial" w:hAnsi="Arial" w:cs="Arial"/>
                <w:b/>
                <w:bCs/>
                <w:color w:val="000000" w:themeColor="text1"/>
              </w:rPr>
            </w:pPr>
            <w:r w:rsidRPr="007E37EC">
              <w:rPr>
                <w:rFonts w:ascii="Arial" w:hAnsi="Arial" w:cs="Arial"/>
                <w:b/>
                <w:bCs/>
              </w:rPr>
              <w:t>51.68</w:t>
            </w:r>
          </w:p>
        </w:tc>
        <w:tc>
          <w:tcPr>
            <w:tcW w:w="1563" w:type="dxa"/>
            <w:vAlign w:val="center"/>
          </w:tcPr>
          <w:p w14:paraId="7ABE70E6" w14:textId="77777777" w:rsidR="00B46AAA" w:rsidRPr="007E37EC" w:rsidRDefault="00B46AAA" w:rsidP="00171EC2">
            <w:pPr>
              <w:pStyle w:val="BodyText"/>
              <w:spacing w:line="360" w:lineRule="auto"/>
              <w:jc w:val="center"/>
              <w:rPr>
                <w:rFonts w:ascii="Arial" w:hAnsi="Arial" w:cs="Arial"/>
                <w:b/>
                <w:bCs/>
                <w:color w:val="000000" w:themeColor="text1"/>
              </w:rPr>
            </w:pPr>
            <w:r w:rsidRPr="007E37EC">
              <w:rPr>
                <w:rFonts w:ascii="Arial" w:hAnsi="Arial" w:cs="Arial"/>
                <w:b/>
                <w:bCs/>
              </w:rPr>
              <w:t>47.70</w:t>
            </w:r>
          </w:p>
        </w:tc>
        <w:tc>
          <w:tcPr>
            <w:tcW w:w="1678" w:type="dxa"/>
            <w:vAlign w:val="center"/>
          </w:tcPr>
          <w:p w14:paraId="76FE2FEC" w14:textId="77777777" w:rsidR="00B46AAA" w:rsidRPr="007E37EC" w:rsidRDefault="00B46AAA" w:rsidP="00171EC2">
            <w:pPr>
              <w:pStyle w:val="BodyText"/>
              <w:spacing w:line="360" w:lineRule="auto"/>
              <w:jc w:val="center"/>
              <w:rPr>
                <w:rFonts w:ascii="Arial" w:hAnsi="Arial" w:cs="Arial"/>
                <w:b/>
                <w:bCs/>
                <w:color w:val="000000" w:themeColor="text1"/>
              </w:rPr>
            </w:pPr>
            <w:r w:rsidRPr="007E37EC">
              <w:rPr>
                <w:rFonts w:ascii="Arial" w:hAnsi="Arial" w:cs="Arial"/>
                <w:b/>
                <w:bCs/>
              </w:rPr>
              <w:t>41.08</w:t>
            </w:r>
          </w:p>
        </w:tc>
        <w:tc>
          <w:tcPr>
            <w:tcW w:w="1678" w:type="dxa"/>
            <w:vAlign w:val="center"/>
          </w:tcPr>
          <w:p w14:paraId="1081610E" w14:textId="0744B802" w:rsidR="00B46AAA" w:rsidRPr="007E37EC" w:rsidRDefault="00B46AAA" w:rsidP="00171EC2">
            <w:pPr>
              <w:pStyle w:val="BodyText"/>
              <w:spacing w:line="360" w:lineRule="auto"/>
              <w:jc w:val="center"/>
              <w:rPr>
                <w:rFonts w:ascii="Arial" w:hAnsi="Arial" w:cs="Arial"/>
                <w:b/>
                <w:bCs/>
                <w:color w:val="000000" w:themeColor="text1"/>
              </w:rPr>
            </w:pPr>
            <w:r w:rsidRPr="007E37EC">
              <w:rPr>
                <w:rFonts w:ascii="Arial" w:hAnsi="Arial" w:cs="Arial"/>
                <w:b/>
                <w:bCs/>
              </w:rPr>
              <w:t>3</w:t>
            </w:r>
            <w:r w:rsidR="007150C9" w:rsidRPr="007E37EC">
              <w:rPr>
                <w:rFonts w:ascii="Arial" w:hAnsi="Arial" w:cs="Arial"/>
                <w:b/>
                <w:bCs/>
              </w:rPr>
              <w:t>7</w:t>
            </w:r>
            <w:r w:rsidRPr="007E37EC">
              <w:rPr>
                <w:rFonts w:ascii="Arial" w:hAnsi="Arial" w:cs="Arial"/>
                <w:b/>
                <w:bCs/>
              </w:rPr>
              <w:t>.04</w:t>
            </w:r>
          </w:p>
        </w:tc>
        <w:tc>
          <w:tcPr>
            <w:tcW w:w="1285" w:type="dxa"/>
            <w:vAlign w:val="center"/>
          </w:tcPr>
          <w:p w14:paraId="4E75145A" w14:textId="37BB6B29" w:rsidR="00B46AAA" w:rsidRPr="007E37EC" w:rsidRDefault="00B46AAA" w:rsidP="00171EC2">
            <w:pPr>
              <w:pStyle w:val="BodyText"/>
              <w:spacing w:line="360" w:lineRule="auto"/>
              <w:jc w:val="center"/>
              <w:rPr>
                <w:rFonts w:ascii="Arial" w:hAnsi="Arial" w:cs="Arial"/>
                <w:b/>
                <w:bCs/>
                <w:color w:val="000000" w:themeColor="text1"/>
              </w:rPr>
            </w:pPr>
            <w:r w:rsidRPr="007E37EC">
              <w:rPr>
                <w:rFonts w:ascii="Arial" w:hAnsi="Arial" w:cs="Arial"/>
                <w:b/>
                <w:bCs/>
                <w:color w:val="000000" w:themeColor="text1"/>
              </w:rPr>
              <w:t>46.</w:t>
            </w:r>
            <w:r w:rsidR="00E92F10" w:rsidRPr="007E37EC">
              <w:rPr>
                <w:rFonts w:ascii="Arial" w:hAnsi="Arial" w:cs="Arial"/>
                <w:b/>
                <w:bCs/>
                <w:color w:val="000000" w:themeColor="text1"/>
              </w:rPr>
              <w:t>19</w:t>
            </w:r>
          </w:p>
        </w:tc>
      </w:tr>
    </w:tbl>
    <w:p w14:paraId="2A679BBD" w14:textId="6CFA75B6" w:rsidR="00B46AAA" w:rsidRPr="007E37EC" w:rsidRDefault="00EA7B50" w:rsidP="00171EC2">
      <w:pPr>
        <w:spacing w:line="360" w:lineRule="auto"/>
        <w:jc w:val="both"/>
        <w:rPr>
          <w:rFonts w:ascii="Arial" w:hAnsi="Arial" w:cs="Arial"/>
          <w:bCs/>
          <w:color w:val="000000" w:themeColor="text1"/>
          <w:sz w:val="20"/>
          <w:szCs w:val="20"/>
        </w:rPr>
      </w:pPr>
      <w:r w:rsidRPr="007E37EC">
        <w:rPr>
          <w:rFonts w:ascii="Arial" w:hAnsi="Arial" w:cs="Arial"/>
          <w:sz w:val="20"/>
          <w:szCs w:val="20"/>
        </w:rPr>
        <w:t xml:space="preserve"> (</w:t>
      </w:r>
      <w:r w:rsidR="00B46AAA" w:rsidRPr="007E37EC">
        <w:rPr>
          <w:rFonts w:ascii="Arial" w:hAnsi="Arial" w:cs="Arial"/>
          <w:bCs/>
          <w:color w:val="000000" w:themeColor="text1"/>
          <w:sz w:val="20"/>
          <w:szCs w:val="20"/>
        </w:rPr>
        <w:t>Figures within parentheses indicate percentage to the grand total of respective column)</w:t>
      </w:r>
    </w:p>
    <w:p w14:paraId="46F52B3B" w14:textId="5D1788DF" w:rsidR="00D30881" w:rsidRPr="007E37EC" w:rsidRDefault="00D30881" w:rsidP="00171EC2">
      <w:pPr>
        <w:spacing w:line="360" w:lineRule="auto"/>
        <w:jc w:val="both"/>
        <w:rPr>
          <w:rFonts w:ascii="Arial" w:hAnsi="Arial" w:cs="Arial"/>
          <w:sz w:val="20"/>
          <w:szCs w:val="20"/>
        </w:rPr>
      </w:pPr>
      <w:r w:rsidRPr="007E37EC">
        <w:rPr>
          <w:rFonts w:ascii="Arial" w:hAnsi="Arial" w:cs="Arial"/>
          <w:sz w:val="20"/>
          <w:szCs w:val="20"/>
        </w:rPr>
        <w:t>This comprehensive cost-benefit analysis table breaks down the per-kilogram economics of sweet curd (Mishti Doi) production across four</w:t>
      </w:r>
      <w:r w:rsidR="006E1574" w:rsidRPr="007E37EC">
        <w:rPr>
          <w:rFonts w:ascii="Arial" w:hAnsi="Arial" w:cs="Arial"/>
          <w:sz w:val="20"/>
          <w:szCs w:val="20"/>
        </w:rPr>
        <w:t xml:space="preserve"> production regions. The cost structure is dominated </w:t>
      </w:r>
      <w:r w:rsidR="008516FB" w:rsidRPr="007E37EC">
        <w:rPr>
          <w:rFonts w:ascii="Arial" w:hAnsi="Arial" w:cs="Arial"/>
          <w:sz w:val="20"/>
          <w:szCs w:val="20"/>
        </w:rPr>
        <w:t>by Variable</w:t>
      </w:r>
      <w:r w:rsidRPr="007E37EC">
        <w:rPr>
          <w:rFonts w:ascii="Arial" w:hAnsi="Arial" w:cs="Arial"/>
          <w:sz w:val="20"/>
          <w:szCs w:val="20"/>
        </w:rPr>
        <w:t xml:space="preserve"> costs making up an average of 98.57% of total production expenses, while fixed costs are a mere 1.42%. The primary cost driver is fluid milk, which accounts for 59-62% of total costs in these regions (ranging from Rs 44.06 to 51.36 per kg). Following closely is sugar, the second largest expense, costing between Rs 14.44 and 17.66 per kg (17-21% of total costs). Other costs include labo</w:t>
      </w:r>
      <w:r w:rsidR="006E1574" w:rsidRPr="007E37EC">
        <w:rPr>
          <w:rFonts w:ascii="Arial" w:hAnsi="Arial" w:cs="Arial"/>
          <w:sz w:val="20"/>
          <w:szCs w:val="20"/>
        </w:rPr>
        <w:t>u</w:t>
      </w:r>
      <w:r w:rsidRPr="007E37EC">
        <w:rPr>
          <w:rFonts w:ascii="Arial" w:hAnsi="Arial" w:cs="Arial"/>
          <w:sz w:val="20"/>
          <w:szCs w:val="20"/>
        </w:rPr>
        <w:t xml:space="preserve">r (Rs 6.27-9.61/kg), containers (Rs 6.24-7.05/kg), and fuel (Rs 1.86-2.22/kg). Notably, the </w:t>
      </w:r>
      <w:proofErr w:type="spellStart"/>
      <w:r w:rsidRPr="007E37EC">
        <w:rPr>
          <w:rFonts w:ascii="Arial" w:hAnsi="Arial" w:cs="Arial"/>
          <w:sz w:val="20"/>
          <w:szCs w:val="20"/>
        </w:rPr>
        <w:t>Alipurduar</w:t>
      </w:r>
      <w:proofErr w:type="spellEnd"/>
      <w:r w:rsidRPr="007E37EC">
        <w:rPr>
          <w:rFonts w:ascii="Arial" w:hAnsi="Arial" w:cs="Arial"/>
          <w:sz w:val="20"/>
          <w:szCs w:val="20"/>
        </w:rPr>
        <w:t xml:space="preserve"> region has higher production costs (Rs 84.66-86.35/kg) compared to </w:t>
      </w:r>
      <w:proofErr w:type="spellStart"/>
      <w:r w:rsidRPr="007E37EC">
        <w:rPr>
          <w:rFonts w:ascii="Arial" w:hAnsi="Arial" w:cs="Arial"/>
          <w:sz w:val="20"/>
          <w:szCs w:val="20"/>
        </w:rPr>
        <w:t>Coochbehar</w:t>
      </w:r>
      <w:proofErr w:type="spellEnd"/>
      <w:r w:rsidRPr="007E37EC">
        <w:rPr>
          <w:rFonts w:ascii="Arial" w:hAnsi="Arial" w:cs="Arial"/>
          <w:sz w:val="20"/>
          <w:szCs w:val="20"/>
        </w:rPr>
        <w:t xml:space="preserve"> II and </w:t>
      </w:r>
      <w:proofErr w:type="spellStart"/>
      <w:r w:rsidRPr="007E37EC">
        <w:rPr>
          <w:rFonts w:ascii="Arial" w:hAnsi="Arial" w:cs="Arial"/>
          <w:sz w:val="20"/>
          <w:szCs w:val="20"/>
        </w:rPr>
        <w:t>Tufanganj</w:t>
      </w:r>
      <w:proofErr w:type="spellEnd"/>
      <w:r w:rsidRPr="007E37EC">
        <w:rPr>
          <w:rFonts w:ascii="Arial" w:hAnsi="Arial" w:cs="Arial"/>
          <w:sz w:val="20"/>
          <w:szCs w:val="20"/>
        </w:rPr>
        <w:t xml:space="preserve"> I (Rs 71.84-76.30/kg), due to higher milk procurement prices. Labo</w:t>
      </w:r>
      <w:r w:rsidR="006E1574" w:rsidRPr="007E37EC">
        <w:rPr>
          <w:rFonts w:ascii="Arial" w:hAnsi="Arial" w:cs="Arial"/>
          <w:sz w:val="20"/>
          <w:szCs w:val="20"/>
        </w:rPr>
        <w:t>u</w:t>
      </w:r>
      <w:r w:rsidRPr="007E37EC">
        <w:rPr>
          <w:rFonts w:ascii="Arial" w:hAnsi="Arial" w:cs="Arial"/>
          <w:sz w:val="20"/>
          <w:szCs w:val="20"/>
        </w:rPr>
        <w:t xml:space="preserve">r costs vary significantly, from Rs 6.27/kg in </w:t>
      </w:r>
      <w:proofErr w:type="spellStart"/>
      <w:r w:rsidRPr="007E37EC">
        <w:rPr>
          <w:rFonts w:ascii="Arial" w:hAnsi="Arial" w:cs="Arial"/>
          <w:sz w:val="20"/>
          <w:szCs w:val="20"/>
        </w:rPr>
        <w:t>Coochbehar</w:t>
      </w:r>
      <w:proofErr w:type="spellEnd"/>
      <w:r w:rsidRPr="007E37EC">
        <w:rPr>
          <w:rFonts w:ascii="Arial" w:hAnsi="Arial" w:cs="Arial"/>
          <w:sz w:val="20"/>
          <w:szCs w:val="20"/>
        </w:rPr>
        <w:t xml:space="preserve"> II to Rs 9.61/kg in </w:t>
      </w:r>
      <w:proofErr w:type="spellStart"/>
      <w:r w:rsidRPr="007E37EC">
        <w:rPr>
          <w:rFonts w:ascii="Arial" w:hAnsi="Arial" w:cs="Arial"/>
          <w:sz w:val="20"/>
          <w:szCs w:val="20"/>
        </w:rPr>
        <w:t>Alipurduar</w:t>
      </w:r>
      <w:proofErr w:type="spellEnd"/>
      <w:r w:rsidRPr="007E37EC">
        <w:rPr>
          <w:rFonts w:ascii="Arial" w:hAnsi="Arial" w:cs="Arial"/>
          <w:sz w:val="20"/>
          <w:szCs w:val="20"/>
        </w:rPr>
        <w:t xml:space="preserve"> I, reflecting differences in regional wages and operational efficiency. While selling prices remain fairly stable (Rs 121.70-127.43/kg), profit margins differ widely. </w:t>
      </w:r>
      <w:proofErr w:type="spellStart"/>
      <w:r w:rsidRPr="007E37EC">
        <w:rPr>
          <w:rFonts w:ascii="Arial" w:hAnsi="Arial" w:cs="Arial"/>
          <w:sz w:val="20"/>
          <w:szCs w:val="20"/>
        </w:rPr>
        <w:t>Coochbehar</w:t>
      </w:r>
      <w:proofErr w:type="spellEnd"/>
      <w:r w:rsidRPr="007E37EC">
        <w:rPr>
          <w:rFonts w:ascii="Arial" w:hAnsi="Arial" w:cs="Arial"/>
          <w:sz w:val="20"/>
          <w:szCs w:val="20"/>
        </w:rPr>
        <w:t xml:space="preserve"> II boasts the highest net profit at Rs 51.68/kg (a 71.9% margin), while </w:t>
      </w:r>
      <w:proofErr w:type="spellStart"/>
      <w:r w:rsidRPr="007E37EC">
        <w:rPr>
          <w:rFonts w:ascii="Arial" w:hAnsi="Arial" w:cs="Arial"/>
          <w:sz w:val="20"/>
          <w:szCs w:val="20"/>
        </w:rPr>
        <w:t>Alipurduar</w:t>
      </w:r>
      <w:proofErr w:type="spellEnd"/>
      <w:r w:rsidRPr="007E37EC">
        <w:rPr>
          <w:rFonts w:ascii="Arial" w:hAnsi="Arial" w:cs="Arial"/>
          <w:sz w:val="20"/>
          <w:szCs w:val="20"/>
        </w:rPr>
        <w:t xml:space="preserve"> II has the lowest at Rs 37.04/kg (43.8% margin). On average, net profit across all regions stands at Rs 46.19/kg, indicating strong profitability despite limited opportunities for cutting costs in fuel, containers, and depreciation.</w:t>
      </w:r>
    </w:p>
    <w:p w14:paraId="38E7EEED" w14:textId="77777777" w:rsidR="00494C8C" w:rsidRPr="007E37EC" w:rsidRDefault="00494C8C" w:rsidP="00171EC2">
      <w:pPr>
        <w:spacing w:line="360" w:lineRule="auto"/>
        <w:jc w:val="both"/>
        <w:rPr>
          <w:rFonts w:ascii="Arial" w:hAnsi="Arial" w:cs="Arial"/>
          <w:b/>
          <w:bCs/>
          <w:color w:val="000000" w:themeColor="text1"/>
        </w:rPr>
      </w:pPr>
      <w:r w:rsidRPr="007E37EC">
        <w:rPr>
          <w:rFonts w:ascii="Arial" w:hAnsi="Arial" w:cs="Arial"/>
          <w:b/>
          <w:bCs/>
          <w:color w:val="000000" w:themeColor="text1"/>
        </w:rPr>
        <w:t>3.7 Comprehensive economic viability: Benefit-cost Analysis</w:t>
      </w:r>
    </w:p>
    <w:p w14:paraId="34C5BE22" w14:textId="77777777" w:rsidR="00494C8C" w:rsidRPr="005D25FA" w:rsidRDefault="00494C8C" w:rsidP="00171EC2">
      <w:pPr>
        <w:spacing w:line="360" w:lineRule="auto"/>
        <w:ind w:right="866"/>
        <w:jc w:val="both"/>
        <w:rPr>
          <w:rFonts w:ascii="Arial" w:hAnsi="Arial" w:cs="Arial"/>
          <w:b/>
          <w:bCs/>
          <w:color w:val="000000" w:themeColor="text1"/>
          <w:spacing w:val="-2"/>
          <w:sz w:val="20"/>
          <w:szCs w:val="20"/>
        </w:rPr>
      </w:pPr>
      <w:r w:rsidRPr="005D25FA">
        <w:rPr>
          <w:rFonts w:ascii="Arial" w:hAnsi="Arial" w:cs="Arial"/>
          <w:b/>
          <w:bCs/>
          <w:color w:val="000000" w:themeColor="text1"/>
          <w:sz w:val="20"/>
          <w:szCs w:val="20"/>
        </w:rPr>
        <w:t xml:space="preserve">Table 7: </w:t>
      </w:r>
      <w:r w:rsidRPr="005D25FA">
        <w:rPr>
          <w:rFonts w:ascii="Arial" w:hAnsi="Arial" w:cs="Arial"/>
          <w:color w:val="000000" w:themeColor="text1"/>
          <w:sz w:val="20"/>
          <w:szCs w:val="20"/>
        </w:rPr>
        <w:t xml:space="preserve">Comprehensive Benefit- Cost Analysis and Profitability </w:t>
      </w:r>
      <w:r w:rsidRPr="005D25FA">
        <w:rPr>
          <w:rFonts w:ascii="Arial" w:hAnsi="Arial" w:cs="Arial"/>
          <w:color w:val="000000" w:themeColor="text1"/>
          <w:spacing w:val="-2"/>
          <w:sz w:val="20"/>
          <w:szCs w:val="20"/>
        </w:rPr>
        <w:t>Metrics</w:t>
      </w:r>
      <w:r w:rsidRPr="005D25FA">
        <w:rPr>
          <w:rFonts w:ascii="Arial" w:hAnsi="Arial" w:cs="Arial"/>
          <w:b/>
          <w:bCs/>
          <w:color w:val="000000" w:themeColor="text1"/>
          <w:spacing w:val="-2"/>
          <w:sz w:val="20"/>
          <w:szCs w:val="20"/>
        </w:rPr>
        <w:t xml:space="preserve"> </w:t>
      </w:r>
    </w:p>
    <w:tbl>
      <w:tblPr>
        <w:tblStyle w:val="TableGrid"/>
        <w:tblW w:w="10728" w:type="dxa"/>
        <w:tblInd w:w="-592" w:type="dxa"/>
        <w:tblLayout w:type="fixed"/>
        <w:tblLook w:val="04A0" w:firstRow="1" w:lastRow="0" w:firstColumn="1" w:lastColumn="0" w:noHBand="0" w:noVBand="1"/>
      </w:tblPr>
      <w:tblGrid>
        <w:gridCol w:w="1136"/>
        <w:gridCol w:w="1000"/>
        <w:gridCol w:w="1003"/>
        <w:gridCol w:w="1140"/>
        <w:gridCol w:w="1128"/>
        <w:gridCol w:w="872"/>
        <w:gridCol w:w="1143"/>
        <w:gridCol w:w="859"/>
        <w:gridCol w:w="811"/>
        <w:gridCol w:w="898"/>
        <w:gridCol w:w="738"/>
      </w:tblGrid>
      <w:tr w:rsidR="00494C8C" w:rsidRPr="007E37EC" w14:paraId="7F40ECF3" w14:textId="77777777" w:rsidTr="00251DEB">
        <w:trPr>
          <w:trHeight w:val="1844"/>
        </w:trPr>
        <w:tc>
          <w:tcPr>
            <w:tcW w:w="1136" w:type="dxa"/>
            <w:vMerge w:val="restart"/>
            <w:vAlign w:val="center"/>
            <w:hideMark/>
          </w:tcPr>
          <w:p w14:paraId="34A2892E" w14:textId="6DEA48B8" w:rsidR="00494C8C" w:rsidRPr="007E37EC" w:rsidRDefault="006E1574" w:rsidP="00171EC2">
            <w:pPr>
              <w:spacing w:line="360" w:lineRule="auto"/>
              <w:jc w:val="both"/>
              <w:rPr>
                <w:rFonts w:ascii="Arial" w:hAnsi="Arial" w:cs="Arial"/>
                <w:b/>
                <w:bCs/>
                <w:color w:val="000000"/>
                <w:sz w:val="20"/>
                <w:szCs w:val="20"/>
              </w:rPr>
            </w:pPr>
            <w:r w:rsidRPr="007E37EC">
              <w:rPr>
                <w:rFonts w:ascii="Arial" w:hAnsi="Arial" w:cs="Arial"/>
                <w:b/>
                <w:bCs/>
                <w:color w:val="000000"/>
                <w:sz w:val="20"/>
                <w:szCs w:val="20"/>
                <w:lang w:val="en-US"/>
              </w:rPr>
              <w:t>Blocks</w:t>
            </w:r>
          </w:p>
        </w:tc>
        <w:tc>
          <w:tcPr>
            <w:tcW w:w="1000" w:type="dxa"/>
            <w:vMerge w:val="restart"/>
            <w:vAlign w:val="center"/>
            <w:hideMark/>
          </w:tcPr>
          <w:p w14:paraId="5A7581C0" w14:textId="50ACF4EE" w:rsidR="00494C8C" w:rsidRPr="007E37EC" w:rsidRDefault="006E1574" w:rsidP="00171EC2">
            <w:pPr>
              <w:spacing w:line="360" w:lineRule="auto"/>
              <w:jc w:val="both"/>
              <w:rPr>
                <w:rFonts w:ascii="Arial" w:hAnsi="Arial" w:cs="Arial"/>
                <w:b/>
                <w:bCs/>
                <w:color w:val="000000"/>
                <w:sz w:val="20"/>
                <w:szCs w:val="20"/>
              </w:rPr>
            </w:pPr>
            <w:r w:rsidRPr="007E37EC">
              <w:rPr>
                <w:rFonts w:ascii="Arial" w:hAnsi="Arial" w:cs="Arial"/>
                <w:b/>
                <w:bCs/>
                <w:color w:val="000000"/>
                <w:sz w:val="20"/>
                <w:szCs w:val="20"/>
                <w:lang w:val="en-US"/>
              </w:rPr>
              <w:t>Total Variable c</w:t>
            </w:r>
            <w:r w:rsidR="00494C8C" w:rsidRPr="007E37EC">
              <w:rPr>
                <w:rFonts w:ascii="Arial" w:hAnsi="Arial" w:cs="Arial"/>
                <w:b/>
                <w:bCs/>
                <w:color w:val="000000"/>
                <w:sz w:val="20"/>
                <w:szCs w:val="20"/>
                <w:lang w:val="en-US"/>
              </w:rPr>
              <w:t>osts</w:t>
            </w:r>
            <w:r w:rsidRPr="007E37EC">
              <w:rPr>
                <w:rFonts w:ascii="Arial" w:hAnsi="Arial" w:cs="Arial"/>
                <w:b/>
                <w:bCs/>
                <w:color w:val="000000"/>
                <w:sz w:val="20"/>
                <w:szCs w:val="20"/>
                <w:lang w:val="en-US"/>
              </w:rPr>
              <w:t xml:space="preserve"> (TVC)</w:t>
            </w:r>
            <w:r w:rsidR="00494C8C" w:rsidRPr="007E37EC">
              <w:rPr>
                <w:rFonts w:ascii="Arial" w:hAnsi="Arial" w:cs="Arial"/>
                <w:b/>
                <w:bCs/>
                <w:color w:val="000000"/>
                <w:sz w:val="20"/>
                <w:szCs w:val="20"/>
                <w:lang w:val="en-US"/>
              </w:rPr>
              <w:t xml:space="preserve"> (Rs)</w:t>
            </w:r>
          </w:p>
        </w:tc>
        <w:tc>
          <w:tcPr>
            <w:tcW w:w="1003" w:type="dxa"/>
            <w:vMerge w:val="restart"/>
            <w:vAlign w:val="center"/>
            <w:hideMark/>
          </w:tcPr>
          <w:p w14:paraId="68FF8CFF" w14:textId="6ECAFD73" w:rsidR="00494C8C" w:rsidRPr="007E37EC" w:rsidRDefault="006E1574" w:rsidP="00171EC2">
            <w:pPr>
              <w:spacing w:line="360" w:lineRule="auto"/>
              <w:jc w:val="both"/>
              <w:rPr>
                <w:rFonts w:ascii="Arial" w:hAnsi="Arial" w:cs="Arial"/>
                <w:b/>
                <w:bCs/>
                <w:color w:val="000000"/>
                <w:sz w:val="20"/>
                <w:szCs w:val="20"/>
              </w:rPr>
            </w:pPr>
            <w:r w:rsidRPr="007E37EC">
              <w:rPr>
                <w:rFonts w:ascii="Arial" w:hAnsi="Arial" w:cs="Arial"/>
                <w:b/>
                <w:bCs/>
                <w:color w:val="000000"/>
                <w:sz w:val="20"/>
                <w:szCs w:val="20"/>
                <w:lang w:val="en-US"/>
              </w:rPr>
              <w:t>Total Fixed c</w:t>
            </w:r>
            <w:r w:rsidR="00494C8C" w:rsidRPr="007E37EC">
              <w:rPr>
                <w:rFonts w:ascii="Arial" w:hAnsi="Arial" w:cs="Arial"/>
                <w:b/>
                <w:bCs/>
                <w:color w:val="000000"/>
                <w:sz w:val="20"/>
                <w:szCs w:val="20"/>
                <w:lang w:val="en-US"/>
              </w:rPr>
              <w:t>osts</w:t>
            </w:r>
            <w:r w:rsidRPr="007E37EC">
              <w:rPr>
                <w:rFonts w:ascii="Arial" w:hAnsi="Arial" w:cs="Arial"/>
                <w:b/>
                <w:bCs/>
                <w:color w:val="000000"/>
                <w:sz w:val="20"/>
                <w:szCs w:val="20"/>
                <w:lang w:val="en-US"/>
              </w:rPr>
              <w:t xml:space="preserve"> </w:t>
            </w:r>
            <w:r w:rsidR="00494C8C" w:rsidRPr="007E37EC">
              <w:rPr>
                <w:rFonts w:ascii="Arial" w:hAnsi="Arial" w:cs="Arial"/>
                <w:b/>
                <w:bCs/>
                <w:color w:val="000000"/>
                <w:sz w:val="20"/>
                <w:szCs w:val="20"/>
                <w:lang w:val="en-US"/>
              </w:rPr>
              <w:t>(Rs)</w:t>
            </w:r>
          </w:p>
        </w:tc>
        <w:tc>
          <w:tcPr>
            <w:tcW w:w="1140" w:type="dxa"/>
            <w:vMerge w:val="restart"/>
            <w:vAlign w:val="center"/>
            <w:hideMark/>
          </w:tcPr>
          <w:p w14:paraId="17F2978F" w14:textId="77777777" w:rsidR="006E1574" w:rsidRPr="007E37EC" w:rsidRDefault="006E1574" w:rsidP="00171EC2">
            <w:pPr>
              <w:spacing w:line="360" w:lineRule="auto"/>
              <w:jc w:val="both"/>
              <w:rPr>
                <w:rFonts w:ascii="Arial" w:hAnsi="Arial" w:cs="Arial"/>
                <w:b/>
                <w:bCs/>
                <w:color w:val="000000"/>
                <w:sz w:val="20"/>
                <w:szCs w:val="20"/>
                <w:lang w:val="en-US"/>
              </w:rPr>
            </w:pPr>
          </w:p>
          <w:p w14:paraId="2ED10235" w14:textId="46D4DA64" w:rsidR="00494C8C" w:rsidRPr="007E37EC" w:rsidRDefault="006E1574" w:rsidP="00171EC2">
            <w:pPr>
              <w:spacing w:line="360" w:lineRule="auto"/>
              <w:jc w:val="both"/>
              <w:rPr>
                <w:rFonts w:ascii="Arial" w:hAnsi="Arial" w:cs="Arial"/>
                <w:b/>
                <w:bCs/>
                <w:color w:val="000000"/>
                <w:sz w:val="20"/>
                <w:szCs w:val="20"/>
              </w:rPr>
            </w:pPr>
            <w:r w:rsidRPr="007E37EC">
              <w:rPr>
                <w:rFonts w:ascii="Arial" w:hAnsi="Arial" w:cs="Arial"/>
                <w:b/>
                <w:bCs/>
                <w:color w:val="000000"/>
                <w:sz w:val="20"/>
                <w:szCs w:val="20"/>
                <w:lang w:val="en-US"/>
              </w:rPr>
              <w:t>Total c</w:t>
            </w:r>
            <w:r w:rsidR="00494C8C" w:rsidRPr="007E37EC">
              <w:rPr>
                <w:rFonts w:ascii="Arial" w:hAnsi="Arial" w:cs="Arial"/>
                <w:b/>
                <w:bCs/>
                <w:color w:val="000000"/>
                <w:sz w:val="20"/>
                <w:szCs w:val="20"/>
                <w:lang w:val="en-US"/>
              </w:rPr>
              <w:t xml:space="preserve">osts </w:t>
            </w:r>
            <w:r w:rsidRPr="007E37EC">
              <w:rPr>
                <w:rFonts w:ascii="Arial" w:hAnsi="Arial" w:cs="Arial"/>
                <w:b/>
                <w:bCs/>
                <w:color w:val="000000"/>
                <w:sz w:val="20"/>
                <w:szCs w:val="20"/>
                <w:lang w:val="en-US"/>
              </w:rPr>
              <w:t xml:space="preserve">(TC) </w:t>
            </w:r>
            <w:r w:rsidR="00494C8C" w:rsidRPr="007E37EC">
              <w:rPr>
                <w:rFonts w:ascii="Arial" w:hAnsi="Arial" w:cs="Arial"/>
                <w:b/>
                <w:bCs/>
                <w:color w:val="000000"/>
                <w:sz w:val="20"/>
                <w:szCs w:val="20"/>
                <w:lang w:val="en-US"/>
              </w:rPr>
              <w:t>(Rs)</w:t>
            </w:r>
          </w:p>
        </w:tc>
        <w:tc>
          <w:tcPr>
            <w:tcW w:w="1128" w:type="dxa"/>
            <w:vMerge w:val="restart"/>
            <w:vAlign w:val="center"/>
            <w:hideMark/>
          </w:tcPr>
          <w:p w14:paraId="234E707D" w14:textId="77777777" w:rsidR="00494C8C" w:rsidRPr="007E37EC" w:rsidRDefault="00494C8C" w:rsidP="00171EC2">
            <w:pPr>
              <w:spacing w:line="360" w:lineRule="auto"/>
              <w:jc w:val="both"/>
              <w:rPr>
                <w:rFonts w:ascii="Arial" w:hAnsi="Arial" w:cs="Arial"/>
                <w:b/>
                <w:bCs/>
                <w:color w:val="000000"/>
                <w:sz w:val="20"/>
                <w:szCs w:val="20"/>
              </w:rPr>
            </w:pPr>
            <w:r w:rsidRPr="007E37EC">
              <w:rPr>
                <w:rFonts w:ascii="Arial" w:hAnsi="Arial" w:cs="Arial"/>
                <w:b/>
                <w:bCs/>
                <w:color w:val="000000"/>
                <w:sz w:val="20"/>
                <w:szCs w:val="20"/>
                <w:lang w:val="en-US"/>
              </w:rPr>
              <w:t>Total Revenue (Rs)</w:t>
            </w:r>
          </w:p>
        </w:tc>
        <w:tc>
          <w:tcPr>
            <w:tcW w:w="872" w:type="dxa"/>
            <w:vMerge w:val="restart"/>
            <w:vAlign w:val="center"/>
            <w:hideMark/>
          </w:tcPr>
          <w:p w14:paraId="133E3EF5" w14:textId="77777777" w:rsidR="00494C8C" w:rsidRPr="007E37EC" w:rsidRDefault="00494C8C" w:rsidP="00171EC2">
            <w:pPr>
              <w:spacing w:line="360" w:lineRule="auto"/>
              <w:jc w:val="both"/>
              <w:rPr>
                <w:rFonts w:ascii="Arial" w:hAnsi="Arial" w:cs="Arial"/>
                <w:b/>
                <w:bCs/>
                <w:color w:val="000000"/>
                <w:sz w:val="20"/>
                <w:szCs w:val="20"/>
              </w:rPr>
            </w:pPr>
            <w:r w:rsidRPr="007E37EC">
              <w:rPr>
                <w:rFonts w:ascii="Arial" w:hAnsi="Arial" w:cs="Arial"/>
                <w:b/>
                <w:bCs/>
                <w:color w:val="000000"/>
                <w:sz w:val="20"/>
                <w:szCs w:val="20"/>
                <w:lang w:val="en-US"/>
              </w:rPr>
              <w:t>Profit over TVC (Rs)</w:t>
            </w:r>
          </w:p>
        </w:tc>
        <w:tc>
          <w:tcPr>
            <w:tcW w:w="1143" w:type="dxa"/>
            <w:vMerge w:val="restart"/>
            <w:vAlign w:val="center"/>
            <w:hideMark/>
          </w:tcPr>
          <w:p w14:paraId="560204C9" w14:textId="77777777" w:rsidR="00494C8C" w:rsidRPr="007E37EC" w:rsidRDefault="00494C8C" w:rsidP="00171EC2">
            <w:pPr>
              <w:spacing w:line="360" w:lineRule="auto"/>
              <w:jc w:val="both"/>
              <w:rPr>
                <w:rFonts w:ascii="Arial" w:hAnsi="Arial" w:cs="Arial"/>
                <w:b/>
                <w:bCs/>
                <w:color w:val="000000"/>
                <w:sz w:val="20"/>
                <w:szCs w:val="20"/>
              </w:rPr>
            </w:pPr>
            <w:r w:rsidRPr="007E37EC">
              <w:rPr>
                <w:rFonts w:ascii="Arial" w:hAnsi="Arial" w:cs="Arial"/>
                <w:b/>
                <w:bCs/>
                <w:color w:val="000000"/>
                <w:sz w:val="20"/>
                <w:szCs w:val="20"/>
                <w:lang w:val="en-US"/>
              </w:rPr>
              <w:t xml:space="preserve"> Profit over TC (Rs)</w:t>
            </w:r>
          </w:p>
        </w:tc>
        <w:tc>
          <w:tcPr>
            <w:tcW w:w="1670" w:type="dxa"/>
            <w:gridSpan w:val="2"/>
            <w:vAlign w:val="center"/>
            <w:hideMark/>
          </w:tcPr>
          <w:p w14:paraId="267E6D4F" w14:textId="77777777" w:rsidR="00494C8C" w:rsidRPr="007E37EC" w:rsidRDefault="00494C8C" w:rsidP="00171EC2">
            <w:pPr>
              <w:spacing w:line="360" w:lineRule="auto"/>
              <w:jc w:val="both"/>
              <w:rPr>
                <w:rFonts w:ascii="Arial" w:hAnsi="Arial" w:cs="Arial"/>
                <w:b/>
                <w:bCs/>
                <w:color w:val="000000"/>
                <w:sz w:val="20"/>
                <w:szCs w:val="20"/>
              </w:rPr>
            </w:pPr>
            <w:r w:rsidRPr="007E37EC">
              <w:rPr>
                <w:rFonts w:ascii="Arial" w:hAnsi="Arial" w:cs="Arial"/>
                <w:b/>
                <w:bCs/>
                <w:color w:val="000000"/>
                <w:sz w:val="20"/>
                <w:szCs w:val="20"/>
                <w:lang w:val="en-US"/>
              </w:rPr>
              <w:t>Profit Margin (%)</w:t>
            </w:r>
          </w:p>
        </w:tc>
        <w:tc>
          <w:tcPr>
            <w:tcW w:w="1636" w:type="dxa"/>
            <w:gridSpan w:val="2"/>
            <w:vAlign w:val="center"/>
            <w:hideMark/>
          </w:tcPr>
          <w:p w14:paraId="5B3444D1" w14:textId="77777777" w:rsidR="00494C8C" w:rsidRPr="007E37EC" w:rsidRDefault="00494C8C" w:rsidP="00171EC2">
            <w:pPr>
              <w:spacing w:line="360" w:lineRule="auto"/>
              <w:jc w:val="both"/>
              <w:rPr>
                <w:rFonts w:ascii="Arial" w:hAnsi="Arial" w:cs="Arial"/>
                <w:b/>
                <w:bCs/>
                <w:color w:val="000000"/>
                <w:sz w:val="20"/>
                <w:szCs w:val="20"/>
              </w:rPr>
            </w:pPr>
            <w:r w:rsidRPr="007E37EC">
              <w:rPr>
                <w:rFonts w:ascii="Arial" w:hAnsi="Arial" w:cs="Arial"/>
                <w:b/>
                <w:bCs/>
                <w:color w:val="000000"/>
                <w:sz w:val="20"/>
                <w:szCs w:val="20"/>
                <w:lang w:val="en-US"/>
              </w:rPr>
              <w:t>Benefit-cost Ratio</w:t>
            </w:r>
          </w:p>
        </w:tc>
      </w:tr>
      <w:tr w:rsidR="00494C8C" w:rsidRPr="007E37EC" w14:paraId="47183553" w14:textId="77777777" w:rsidTr="00251DEB">
        <w:trPr>
          <w:trHeight w:val="654"/>
        </w:trPr>
        <w:tc>
          <w:tcPr>
            <w:tcW w:w="1136" w:type="dxa"/>
            <w:vMerge/>
            <w:vAlign w:val="center"/>
          </w:tcPr>
          <w:p w14:paraId="78CF1D1C" w14:textId="77777777" w:rsidR="00494C8C" w:rsidRPr="007E37EC" w:rsidRDefault="00494C8C" w:rsidP="00171EC2">
            <w:pPr>
              <w:spacing w:line="360" w:lineRule="auto"/>
              <w:jc w:val="both"/>
              <w:rPr>
                <w:rFonts w:ascii="Arial" w:hAnsi="Arial" w:cs="Arial"/>
                <w:b/>
                <w:bCs/>
                <w:color w:val="000000"/>
                <w:sz w:val="20"/>
                <w:szCs w:val="20"/>
                <w:lang w:val="en-US"/>
              </w:rPr>
            </w:pPr>
          </w:p>
        </w:tc>
        <w:tc>
          <w:tcPr>
            <w:tcW w:w="1000" w:type="dxa"/>
            <w:vMerge/>
            <w:vAlign w:val="center"/>
          </w:tcPr>
          <w:p w14:paraId="3C9CBEAC" w14:textId="77777777" w:rsidR="00494C8C" w:rsidRPr="007E37EC" w:rsidRDefault="00494C8C" w:rsidP="00171EC2">
            <w:pPr>
              <w:spacing w:line="360" w:lineRule="auto"/>
              <w:jc w:val="both"/>
              <w:rPr>
                <w:rFonts w:ascii="Arial" w:hAnsi="Arial" w:cs="Arial"/>
                <w:b/>
                <w:bCs/>
                <w:color w:val="000000"/>
                <w:sz w:val="20"/>
                <w:szCs w:val="20"/>
                <w:lang w:val="en-US"/>
              </w:rPr>
            </w:pPr>
          </w:p>
        </w:tc>
        <w:tc>
          <w:tcPr>
            <w:tcW w:w="1003" w:type="dxa"/>
            <w:vMerge/>
            <w:vAlign w:val="center"/>
          </w:tcPr>
          <w:p w14:paraId="644B9DEE" w14:textId="77777777" w:rsidR="00494C8C" w:rsidRPr="007E37EC" w:rsidRDefault="00494C8C" w:rsidP="00171EC2">
            <w:pPr>
              <w:spacing w:line="360" w:lineRule="auto"/>
              <w:jc w:val="both"/>
              <w:rPr>
                <w:rFonts w:ascii="Arial" w:hAnsi="Arial" w:cs="Arial"/>
                <w:b/>
                <w:bCs/>
                <w:color w:val="000000"/>
                <w:sz w:val="20"/>
                <w:szCs w:val="20"/>
                <w:lang w:val="en-US"/>
              </w:rPr>
            </w:pPr>
          </w:p>
        </w:tc>
        <w:tc>
          <w:tcPr>
            <w:tcW w:w="1140" w:type="dxa"/>
            <w:vMerge/>
            <w:vAlign w:val="center"/>
          </w:tcPr>
          <w:p w14:paraId="43F69E4F" w14:textId="77777777" w:rsidR="00494C8C" w:rsidRPr="007E37EC" w:rsidRDefault="00494C8C" w:rsidP="00171EC2">
            <w:pPr>
              <w:spacing w:line="360" w:lineRule="auto"/>
              <w:jc w:val="both"/>
              <w:rPr>
                <w:rFonts w:ascii="Arial" w:hAnsi="Arial" w:cs="Arial"/>
                <w:b/>
                <w:bCs/>
                <w:color w:val="000000"/>
                <w:sz w:val="20"/>
                <w:szCs w:val="20"/>
                <w:lang w:val="en-US"/>
              </w:rPr>
            </w:pPr>
          </w:p>
        </w:tc>
        <w:tc>
          <w:tcPr>
            <w:tcW w:w="1128" w:type="dxa"/>
            <w:vMerge/>
            <w:vAlign w:val="center"/>
          </w:tcPr>
          <w:p w14:paraId="67241749" w14:textId="77777777" w:rsidR="00494C8C" w:rsidRPr="007E37EC" w:rsidRDefault="00494C8C" w:rsidP="00171EC2">
            <w:pPr>
              <w:spacing w:line="360" w:lineRule="auto"/>
              <w:jc w:val="both"/>
              <w:rPr>
                <w:rFonts w:ascii="Arial" w:hAnsi="Arial" w:cs="Arial"/>
                <w:b/>
                <w:bCs/>
                <w:color w:val="000000"/>
                <w:sz w:val="20"/>
                <w:szCs w:val="20"/>
                <w:lang w:val="en-US"/>
              </w:rPr>
            </w:pPr>
          </w:p>
        </w:tc>
        <w:tc>
          <w:tcPr>
            <w:tcW w:w="872" w:type="dxa"/>
            <w:vMerge/>
            <w:vAlign w:val="center"/>
          </w:tcPr>
          <w:p w14:paraId="6E9E3C82" w14:textId="77777777" w:rsidR="00494C8C" w:rsidRPr="007E37EC" w:rsidRDefault="00494C8C" w:rsidP="00171EC2">
            <w:pPr>
              <w:spacing w:line="360" w:lineRule="auto"/>
              <w:jc w:val="both"/>
              <w:rPr>
                <w:rFonts w:ascii="Arial" w:hAnsi="Arial" w:cs="Arial"/>
                <w:b/>
                <w:bCs/>
                <w:color w:val="000000"/>
                <w:sz w:val="20"/>
                <w:szCs w:val="20"/>
                <w:lang w:val="en-US"/>
              </w:rPr>
            </w:pPr>
          </w:p>
        </w:tc>
        <w:tc>
          <w:tcPr>
            <w:tcW w:w="1143" w:type="dxa"/>
            <w:vMerge/>
            <w:vAlign w:val="center"/>
          </w:tcPr>
          <w:p w14:paraId="47844422" w14:textId="77777777" w:rsidR="00494C8C" w:rsidRPr="007E37EC" w:rsidRDefault="00494C8C" w:rsidP="00171EC2">
            <w:pPr>
              <w:spacing w:line="360" w:lineRule="auto"/>
              <w:jc w:val="both"/>
              <w:rPr>
                <w:rFonts w:ascii="Arial" w:hAnsi="Arial" w:cs="Arial"/>
                <w:b/>
                <w:bCs/>
                <w:color w:val="000000"/>
                <w:sz w:val="20"/>
                <w:szCs w:val="20"/>
                <w:lang w:val="en-US"/>
              </w:rPr>
            </w:pPr>
          </w:p>
        </w:tc>
        <w:tc>
          <w:tcPr>
            <w:tcW w:w="859" w:type="dxa"/>
            <w:vAlign w:val="center"/>
          </w:tcPr>
          <w:p w14:paraId="38369E66" w14:textId="77777777" w:rsidR="00494C8C" w:rsidRPr="007E37EC" w:rsidRDefault="00494C8C" w:rsidP="00171EC2">
            <w:pPr>
              <w:spacing w:line="360" w:lineRule="auto"/>
              <w:jc w:val="both"/>
              <w:rPr>
                <w:rFonts w:ascii="Arial" w:hAnsi="Arial" w:cs="Arial"/>
                <w:b/>
                <w:bCs/>
                <w:color w:val="000000"/>
                <w:sz w:val="20"/>
                <w:szCs w:val="20"/>
                <w:lang w:val="en-US"/>
              </w:rPr>
            </w:pPr>
            <w:r w:rsidRPr="007E37EC">
              <w:rPr>
                <w:rFonts w:ascii="Arial" w:hAnsi="Arial" w:cs="Arial"/>
                <w:b/>
                <w:bCs/>
                <w:color w:val="000000"/>
                <w:sz w:val="20"/>
                <w:szCs w:val="20"/>
                <w:lang w:val="en-US"/>
              </w:rPr>
              <w:t>Over TVC</w:t>
            </w:r>
          </w:p>
        </w:tc>
        <w:tc>
          <w:tcPr>
            <w:tcW w:w="811" w:type="dxa"/>
            <w:vAlign w:val="center"/>
          </w:tcPr>
          <w:p w14:paraId="226784ED" w14:textId="77777777" w:rsidR="00494C8C" w:rsidRPr="007E37EC" w:rsidRDefault="00494C8C" w:rsidP="00171EC2">
            <w:pPr>
              <w:spacing w:line="360" w:lineRule="auto"/>
              <w:jc w:val="both"/>
              <w:rPr>
                <w:rFonts w:ascii="Arial" w:hAnsi="Arial" w:cs="Arial"/>
                <w:b/>
                <w:bCs/>
                <w:color w:val="000000"/>
                <w:sz w:val="20"/>
                <w:szCs w:val="20"/>
                <w:lang w:val="en-US"/>
              </w:rPr>
            </w:pPr>
            <w:r w:rsidRPr="007E37EC">
              <w:rPr>
                <w:rFonts w:ascii="Arial" w:hAnsi="Arial" w:cs="Arial"/>
                <w:b/>
                <w:bCs/>
                <w:color w:val="000000"/>
                <w:sz w:val="20"/>
                <w:szCs w:val="20"/>
                <w:lang w:val="en-US"/>
              </w:rPr>
              <w:t>Over TC</w:t>
            </w:r>
          </w:p>
        </w:tc>
        <w:tc>
          <w:tcPr>
            <w:tcW w:w="898" w:type="dxa"/>
            <w:vAlign w:val="center"/>
          </w:tcPr>
          <w:p w14:paraId="786331B7" w14:textId="77777777" w:rsidR="00494C8C" w:rsidRPr="007E37EC" w:rsidRDefault="00494C8C" w:rsidP="00171EC2">
            <w:pPr>
              <w:spacing w:line="360" w:lineRule="auto"/>
              <w:jc w:val="both"/>
              <w:rPr>
                <w:rFonts w:ascii="Arial" w:hAnsi="Arial" w:cs="Arial"/>
                <w:b/>
                <w:bCs/>
                <w:color w:val="000000"/>
                <w:sz w:val="20"/>
                <w:szCs w:val="20"/>
                <w:lang w:val="en-US"/>
              </w:rPr>
            </w:pPr>
            <w:r w:rsidRPr="007E37EC">
              <w:rPr>
                <w:rFonts w:ascii="Arial" w:hAnsi="Arial" w:cs="Arial"/>
                <w:b/>
                <w:bCs/>
                <w:color w:val="000000"/>
                <w:sz w:val="20"/>
                <w:szCs w:val="20"/>
                <w:lang w:val="en-US"/>
              </w:rPr>
              <w:t>Over TVC</w:t>
            </w:r>
          </w:p>
        </w:tc>
        <w:tc>
          <w:tcPr>
            <w:tcW w:w="738" w:type="dxa"/>
            <w:vAlign w:val="center"/>
          </w:tcPr>
          <w:p w14:paraId="10772D79" w14:textId="77777777" w:rsidR="00494C8C" w:rsidRPr="007E37EC" w:rsidRDefault="00494C8C" w:rsidP="00171EC2">
            <w:pPr>
              <w:spacing w:line="360" w:lineRule="auto"/>
              <w:jc w:val="both"/>
              <w:rPr>
                <w:rFonts w:ascii="Arial" w:hAnsi="Arial" w:cs="Arial"/>
                <w:b/>
                <w:bCs/>
                <w:color w:val="000000"/>
                <w:sz w:val="20"/>
                <w:szCs w:val="20"/>
                <w:lang w:val="en-US"/>
              </w:rPr>
            </w:pPr>
            <w:r w:rsidRPr="007E37EC">
              <w:rPr>
                <w:rFonts w:ascii="Arial" w:hAnsi="Arial" w:cs="Arial"/>
                <w:b/>
                <w:bCs/>
                <w:color w:val="000000"/>
                <w:sz w:val="20"/>
                <w:szCs w:val="20"/>
                <w:lang w:val="en-US"/>
              </w:rPr>
              <w:t>Over TC</w:t>
            </w:r>
          </w:p>
        </w:tc>
      </w:tr>
      <w:tr w:rsidR="00494C8C" w:rsidRPr="007E37EC" w14:paraId="1A89A3F8" w14:textId="77777777" w:rsidTr="00251DEB">
        <w:trPr>
          <w:trHeight w:val="326"/>
        </w:trPr>
        <w:tc>
          <w:tcPr>
            <w:tcW w:w="1136" w:type="dxa"/>
            <w:vAlign w:val="center"/>
            <w:hideMark/>
          </w:tcPr>
          <w:p w14:paraId="06C29E1A" w14:textId="77777777" w:rsidR="00494C8C" w:rsidRPr="007E37EC" w:rsidRDefault="00494C8C" w:rsidP="00171EC2">
            <w:pPr>
              <w:spacing w:line="360" w:lineRule="auto"/>
              <w:jc w:val="both"/>
              <w:rPr>
                <w:rFonts w:ascii="Arial" w:hAnsi="Arial" w:cs="Arial"/>
                <w:b/>
                <w:bCs/>
                <w:color w:val="000000"/>
                <w:sz w:val="20"/>
                <w:szCs w:val="20"/>
              </w:rPr>
            </w:pPr>
            <w:proofErr w:type="spellStart"/>
            <w:r w:rsidRPr="007E37EC">
              <w:rPr>
                <w:rFonts w:ascii="Arial" w:hAnsi="Arial" w:cs="Arial"/>
                <w:b/>
                <w:bCs/>
                <w:color w:val="000000" w:themeColor="text1"/>
                <w:sz w:val="20"/>
                <w:szCs w:val="20"/>
              </w:rPr>
              <w:t>Coochbehar</w:t>
            </w:r>
            <w:proofErr w:type="spellEnd"/>
            <w:r w:rsidRPr="007E37EC">
              <w:rPr>
                <w:rFonts w:ascii="Arial" w:hAnsi="Arial" w:cs="Arial"/>
                <w:b/>
                <w:bCs/>
                <w:color w:val="000000" w:themeColor="text1"/>
                <w:sz w:val="20"/>
                <w:szCs w:val="20"/>
              </w:rPr>
              <w:t xml:space="preserve"> II</w:t>
            </w:r>
          </w:p>
        </w:tc>
        <w:tc>
          <w:tcPr>
            <w:tcW w:w="1000" w:type="dxa"/>
            <w:vAlign w:val="center"/>
          </w:tcPr>
          <w:p w14:paraId="733802F7"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9956.12</w:t>
            </w:r>
          </w:p>
        </w:tc>
        <w:tc>
          <w:tcPr>
            <w:tcW w:w="1003" w:type="dxa"/>
            <w:vAlign w:val="center"/>
          </w:tcPr>
          <w:p w14:paraId="46D6AE6C"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sz w:val="20"/>
                <w:szCs w:val="20"/>
                <w:lang w:val="en-US"/>
              </w:rPr>
              <w:t>131.07</w:t>
            </w:r>
          </w:p>
        </w:tc>
        <w:tc>
          <w:tcPr>
            <w:tcW w:w="1140" w:type="dxa"/>
            <w:vAlign w:val="center"/>
          </w:tcPr>
          <w:p w14:paraId="34EE4644"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10087.19</w:t>
            </w:r>
          </w:p>
        </w:tc>
        <w:tc>
          <w:tcPr>
            <w:tcW w:w="1128" w:type="dxa"/>
            <w:vAlign w:val="center"/>
            <w:hideMark/>
          </w:tcPr>
          <w:p w14:paraId="340A8129"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lang w:val="en-US"/>
              </w:rPr>
              <w:t>17,263.15</w:t>
            </w:r>
          </w:p>
        </w:tc>
        <w:tc>
          <w:tcPr>
            <w:tcW w:w="872" w:type="dxa"/>
            <w:noWrap/>
            <w:vAlign w:val="center"/>
          </w:tcPr>
          <w:p w14:paraId="1209CF4C"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7307.03</w:t>
            </w:r>
          </w:p>
        </w:tc>
        <w:tc>
          <w:tcPr>
            <w:tcW w:w="1143" w:type="dxa"/>
            <w:vAlign w:val="center"/>
          </w:tcPr>
          <w:p w14:paraId="1D626270"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7175.96</w:t>
            </w:r>
          </w:p>
        </w:tc>
        <w:tc>
          <w:tcPr>
            <w:tcW w:w="859" w:type="dxa"/>
            <w:noWrap/>
            <w:vAlign w:val="center"/>
          </w:tcPr>
          <w:p w14:paraId="626735A2"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42.33</w:t>
            </w:r>
          </w:p>
        </w:tc>
        <w:tc>
          <w:tcPr>
            <w:tcW w:w="811" w:type="dxa"/>
            <w:vAlign w:val="center"/>
          </w:tcPr>
          <w:p w14:paraId="2C81649D"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41.57</w:t>
            </w:r>
          </w:p>
        </w:tc>
        <w:tc>
          <w:tcPr>
            <w:tcW w:w="898" w:type="dxa"/>
            <w:vAlign w:val="center"/>
          </w:tcPr>
          <w:p w14:paraId="7AFDAFED"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1.72</w:t>
            </w:r>
          </w:p>
        </w:tc>
        <w:tc>
          <w:tcPr>
            <w:tcW w:w="738" w:type="dxa"/>
            <w:vAlign w:val="center"/>
          </w:tcPr>
          <w:p w14:paraId="71530F94"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1.71</w:t>
            </w:r>
          </w:p>
        </w:tc>
      </w:tr>
      <w:tr w:rsidR="00494C8C" w:rsidRPr="007E37EC" w14:paraId="78989D68" w14:textId="77777777" w:rsidTr="00251DEB">
        <w:trPr>
          <w:trHeight w:val="326"/>
        </w:trPr>
        <w:tc>
          <w:tcPr>
            <w:tcW w:w="1136" w:type="dxa"/>
            <w:vAlign w:val="center"/>
            <w:hideMark/>
          </w:tcPr>
          <w:p w14:paraId="2D6416AB" w14:textId="77777777" w:rsidR="00494C8C" w:rsidRPr="007E37EC" w:rsidRDefault="00494C8C" w:rsidP="00171EC2">
            <w:pPr>
              <w:spacing w:line="360" w:lineRule="auto"/>
              <w:jc w:val="both"/>
              <w:rPr>
                <w:rFonts w:ascii="Arial" w:hAnsi="Arial" w:cs="Arial"/>
                <w:b/>
                <w:bCs/>
                <w:color w:val="000000"/>
                <w:sz w:val="20"/>
                <w:szCs w:val="20"/>
              </w:rPr>
            </w:pPr>
            <w:proofErr w:type="spellStart"/>
            <w:r w:rsidRPr="007E37EC">
              <w:rPr>
                <w:rFonts w:ascii="Arial" w:hAnsi="Arial" w:cs="Arial"/>
                <w:b/>
                <w:bCs/>
                <w:color w:val="000000" w:themeColor="text1"/>
                <w:spacing w:val="-2"/>
                <w:sz w:val="20"/>
                <w:szCs w:val="20"/>
              </w:rPr>
              <w:t>Tufanganj</w:t>
            </w:r>
            <w:proofErr w:type="spellEnd"/>
            <w:r w:rsidRPr="007E37EC">
              <w:rPr>
                <w:rFonts w:ascii="Arial" w:hAnsi="Arial" w:cs="Arial"/>
                <w:b/>
                <w:bCs/>
                <w:color w:val="000000" w:themeColor="text1"/>
                <w:spacing w:val="-2"/>
                <w:sz w:val="20"/>
                <w:szCs w:val="20"/>
              </w:rPr>
              <w:t xml:space="preserve"> I</w:t>
            </w:r>
          </w:p>
        </w:tc>
        <w:tc>
          <w:tcPr>
            <w:tcW w:w="1000" w:type="dxa"/>
            <w:vAlign w:val="center"/>
          </w:tcPr>
          <w:p w14:paraId="73C67316"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8817.95</w:t>
            </w:r>
          </w:p>
        </w:tc>
        <w:tc>
          <w:tcPr>
            <w:tcW w:w="1003" w:type="dxa"/>
            <w:vAlign w:val="center"/>
          </w:tcPr>
          <w:p w14:paraId="1F3A1273"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sz w:val="20"/>
                <w:szCs w:val="20"/>
                <w:lang w:val="en-US"/>
              </w:rPr>
              <w:t>139.95</w:t>
            </w:r>
          </w:p>
        </w:tc>
        <w:tc>
          <w:tcPr>
            <w:tcW w:w="1140" w:type="dxa"/>
            <w:vAlign w:val="center"/>
          </w:tcPr>
          <w:p w14:paraId="11E27835"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8953.90</w:t>
            </w:r>
          </w:p>
        </w:tc>
        <w:tc>
          <w:tcPr>
            <w:tcW w:w="1128" w:type="dxa"/>
            <w:vAlign w:val="center"/>
            <w:hideMark/>
          </w:tcPr>
          <w:p w14:paraId="382A4619"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lang w:val="en-US"/>
              </w:rPr>
              <w:t>14,520.40</w:t>
            </w:r>
          </w:p>
        </w:tc>
        <w:tc>
          <w:tcPr>
            <w:tcW w:w="872" w:type="dxa"/>
            <w:noWrap/>
            <w:vAlign w:val="center"/>
          </w:tcPr>
          <w:p w14:paraId="48CFF371"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5702.45</w:t>
            </w:r>
          </w:p>
        </w:tc>
        <w:tc>
          <w:tcPr>
            <w:tcW w:w="1143" w:type="dxa"/>
            <w:vAlign w:val="center"/>
          </w:tcPr>
          <w:p w14:paraId="6CBAFF07"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5566.50</w:t>
            </w:r>
          </w:p>
        </w:tc>
        <w:tc>
          <w:tcPr>
            <w:tcW w:w="859" w:type="dxa"/>
            <w:noWrap/>
            <w:vAlign w:val="center"/>
          </w:tcPr>
          <w:p w14:paraId="5CD6AC99"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39.27</w:t>
            </w:r>
          </w:p>
        </w:tc>
        <w:tc>
          <w:tcPr>
            <w:tcW w:w="811" w:type="dxa"/>
            <w:vAlign w:val="center"/>
          </w:tcPr>
          <w:p w14:paraId="32A84991"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38.33</w:t>
            </w:r>
          </w:p>
        </w:tc>
        <w:tc>
          <w:tcPr>
            <w:tcW w:w="898" w:type="dxa"/>
            <w:vAlign w:val="center"/>
          </w:tcPr>
          <w:p w14:paraId="7D1B0D4C"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1.64</w:t>
            </w:r>
          </w:p>
        </w:tc>
        <w:tc>
          <w:tcPr>
            <w:tcW w:w="738" w:type="dxa"/>
            <w:vAlign w:val="center"/>
          </w:tcPr>
          <w:p w14:paraId="11DA23B5"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1.62</w:t>
            </w:r>
          </w:p>
        </w:tc>
      </w:tr>
      <w:tr w:rsidR="00494C8C" w:rsidRPr="007E37EC" w14:paraId="71C3250C" w14:textId="77777777" w:rsidTr="00251DEB">
        <w:trPr>
          <w:trHeight w:val="326"/>
        </w:trPr>
        <w:tc>
          <w:tcPr>
            <w:tcW w:w="1136" w:type="dxa"/>
            <w:vAlign w:val="center"/>
            <w:hideMark/>
          </w:tcPr>
          <w:p w14:paraId="11DBAA00" w14:textId="77777777" w:rsidR="00494C8C" w:rsidRPr="007E37EC" w:rsidRDefault="00494C8C" w:rsidP="00171EC2">
            <w:pPr>
              <w:spacing w:line="360" w:lineRule="auto"/>
              <w:jc w:val="both"/>
              <w:rPr>
                <w:rFonts w:ascii="Arial" w:hAnsi="Arial" w:cs="Arial"/>
                <w:b/>
                <w:bCs/>
                <w:color w:val="000000"/>
                <w:sz w:val="20"/>
                <w:szCs w:val="20"/>
              </w:rPr>
            </w:pPr>
            <w:proofErr w:type="spellStart"/>
            <w:r w:rsidRPr="007E37EC">
              <w:rPr>
                <w:rFonts w:ascii="Arial" w:hAnsi="Arial" w:cs="Arial"/>
                <w:b/>
                <w:bCs/>
                <w:color w:val="000000" w:themeColor="text1"/>
                <w:sz w:val="20"/>
                <w:szCs w:val="20"/>
              </w:rPr>
              <w:t>Alipurduar</w:t>
            </w:r>
            <w:proofErr w:type="spellEnd"/>
            <w:r w:rsidRPr="007E37EC">
              <w:rPr>
                <w:rFonts w:ascii="Arial" w:hAnsi="Arial" w:cs="Arial"/>
                <w:b/>
                <w:bCs/>
                <w:color w:val="000000" w:themeColor="text1"/>
                <w:sz w:val="20"/>
                <w:szCs w:val="20"/>
              </w:rPr>
              <w:t xml:space="preserve"> </w:t>
            </w:r>
            <w:r w:rsidRPr="007E37EC">
              <w:rPr>
                <w:rFonts w:ascii="Arial" w:hAnsi="Arial" w:cs="Arial"/>
                <w:b/>
                <w:bCs/>
                <w:color w:val="000000" w:themeColor="text1"/>
                <w:spacing w:val="-10"/>
                <w:sz w:val="20"/>
                <w:szCs w:val="20"/>
              </w:rPr>
              <w:t>I</w:t>
            </w:r>
          </w:p>
        </w:tc>
        <w:tc>
          <w:tcPr>
            <w:tcW w:w="1000" w:type="dxa"/>
            <w:vAlign w:val="center"/>
          </w:tcPr>
          <w:p w14:paraId="3315885C"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9188.18</w:t>
            </w:r>
          </w:p>
        </w:tc>
        <w:tc>
          <w:tcPr>
            <w:tcW w:w="1003" w:type="dxa"/>
            <w:vAlign w:val="center"/>
          </w:tcPr>
          <w:p w14:paraId="5C1CFA67"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sz w:val="20"/>
                <w:szCs w:val="20"/>
                <w:lang w:val="en-US"/>
              </w:rPr>
              <w:t>130.40</w:t>
            </w:r>
          </w:p>
        </w:tc>
        <w:tc>
          <w:tcPr>
            <w:tcW w:w="1140" w:type="dxa"/>
            <w:vAlign w:val="center"/>
          </w:tcPr>
          <w:p w14:paraId="5EBF181C"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9318.58</w:t>
            </w:r>
          </w:p>
        </w:tc>
        <w:tc>
          <w:tcPr>
            <w:tcW w:w="1128" w:type="dxa"/>
            <w:vAlign w:val="center"/>
            <w:hideMark/>
          </w:tcPr>
          <w:p w14:paraId="640CCA14"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lang w:val="en-US"/>
              </w:rPr>
              <w:t>13683.43</w:t>
            </w:r>
          </w:p>
        </w:tc>
        <w:tc>
          <w:tcPr>
            <w:tcW w:w="872" w:type="dxa"/>
            <w:noWrap/>
            <w:vAlign w:val="center"/>
          </w:tcPr>
          <w:p w14:paraId="59B14E49"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4495.25</w:t>
            </w:r>
          </w:p>
        </w:tc>
        <w:tc>
          <w:tcPr>
            <w:tcW w:w="1143" w:type="dxa"/>
            <w:vAlign w:val="center"/>
          </w:tcPr>
          <w:p w14:paraId="02152B61"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4364.85</w:t>
            </w:r>
          </w:p>
        </w:tc>
        <w:tc>
          <w:tcPr>
            <w:tcW w:w="859" w:type="dxa"/>
            <w:noWrap/>
            <w:vAlign w:val="center"/>
          </w:tcPr>
          <w:p w14:paraId="012DC816"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32.85</w:t>
            </w:r>
          </w:p>
        </w:tc>
        <w:tc>
          <w:tcPr>
            <w:tcW w:w="811" w:type="dxa"/>
            <w:vAlign w:val="center"/>
          </w:tcPr>
          <w:p w14:paraId="5461AF09"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31.90</w:t>
            </w:r>
          </w:p>
        </w:tc>
        <w:tc>
          <w:tcPr>
            <w:tcW w:w="898" w:type="dxa"/>
            <w:vAlign w:val="center"/>
          </w:tcPr>
          <w:p w14:paraId="4284E233"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1.48</w:t>
            </w:r>
          </w:p>
        </w:tc>
        <w:tc>
          <w:tcPr>
            <w:tcW w:w="738" w:type="dxa"/>
            <w:vAlign w:val="center"/>
          </w:tcPr>
          <w:p w14:paraId="7EE6A7DF"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1.47</w:t>
            </w:r>
          </w:p>
        </w:tc>
      </w:tr>
      <w:tr w:rsidR="00494C8C" w:rsidRPr="007E37EC" w14:paraId="41D73C32" w14:textId="77777777" w:rsidTr="00251DEB">
        <w:trPr>
          <w:trHeight w:val="326"/>
        </w:trPr>
        <w:tc>
          <w:tcPr>
            <w:tcW w:w="1136" w:type="dxa"/>
            <w:vAlign w:val="center"/>
            <w:hideMark/>
          </w:tcPr>
          <w:p w14:paraId="6671341E" w14:textId="77777777" w:rsidR="00494C8C" w:rsidRPr="007E37EC" w:rsidRDefault="00494C8C" w:rsidP="00171EC2">
            <w:pPr>
              <w:spacing w:line="360" w:lineRule="auto"/>
              <w:jc w:val="both"/>
              <w:rPr>
                <w:rFonts w:ascii="Arial" w:hAnsi="Arial" w:cs="Arial"/>
                <w:b/>
                <w:bCs/>
                <w:color w:val="000000"/>
                <w:sz w:val="20"/>
                <w:szCs w:val="20"/>
              </w:rPr>
            </w:pPr>
            <w:proofErr w:type="spellStart"/>
            <w:r w:rsidRPr="007E37EC">
              <w:rPr>
                <w:rFonts w:ascii="Arial" w:hAnsi="Arial" w:cs="Arial"/>
                <w:b/>
                <w:bCs/>
                <w:color w:val="000000" w:themeColor="text1"/>
                <w:sz w:val="20"/>
                <w:szCs w:val="20"/>
              </w:rPr>
              <w:t>Alipurduar</w:t>
            </w:r>
            <w:proofErr w:type="spellEnd"/>
            <w:r w:rsidRPr="007E37EC">
              <w:rPr>
                <w:rFonts w:ascii="Arial" w:hAnsi="Arial" w:cs="Arial"/>
                <w:b/>
                <w:bCs/>
                <w:color w:val="000000" w:themeColor="text1"/>
                <w:sz w:val="20"/>
                <w:szCs w:val="20"/>
              </w:rPr>
              <w:t xml:space="preserve"> </w:t>
            </w:r>
            <w:r w:rsidRPr="007E37EC">
              <w:rPr>
                <w:rFonts w:ascii="Arial" w:hAnsi="Arial" w:cs="Arial"/>
                <w:b/>
                <w:bCs/>
                <w:color w:val="000000" w:themeColor="text1"/>
                <w:spacing w:val="-5"/>
                <w:sz w:val="20"/>
                <w:szCs w:val="20"/>
              </w:rPr>
              <w:t>II</w:t>
            </w:r>
          </w:p>
        </w:tc>
        <w:tc>
          <w:tcPr>
            <w:tcW w:w="1000" w:type="dxa"/>
            <w:vAlign w:val="center"/>
          </w:tcPr>
          <w:p w14:paraId="1FE95F5B"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9978.54</w:t>
            </w:r>
          </w:p>
        </w:tc>
        <w:tc>
          <w:tcPr>
            <w:tcW w:w="1003" w:type="dxa"/>
            <w:vAlign w:val="center"/>
          </w:tcPr>
          <w:p w14:paraId="56FBF495"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sz w:val="20"/>
                <w:szCs w:val="20"/>
                <w:lang w:val="en-US"/>
              </w:rPr>
              <w:t>139.11</w:t>
            </w:r>
          </w:p>
        </w:tc>
        <w:tc>
          <w:tcPr>
            <w:tcW w:w="1140" w:type="dxa"/>
            <w:vAlign w:val="center"/>
          </w:tcPr>
          <w:p w14:paraId="1AE2DFC2"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10117.65</w:t>
            </w:r>
          </w:p>
        </w:tc>
        <w:tc>
          <w:tcPr>
            <w:tcW w:w="1128" w:type="dxa"/>
            <w:vAlign w:val="center"/>
            <w:hideMark/>
          </w:tcPr>
          <w:p w14:paraId="0CAED0F9"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lang w:val="en-US"/>
              </w:rPr>
              <w:t>14,434.87</w:t>
            </w:r>
          </w:p>
        </w:tc>
        <w:tc>
          <w:tcPr>
            <w:tcW w:w="872" w:type="dxa"/>
            <w:noWrap/>
            <w:vAlign w:val="center"/>
          </w:tcPr>
          <w:p w14:paraId="29939C7A"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4456.33</w:t>
            </w:r>
          </w:p>
        </w:tc>
        <w:tc>
          <w:tcPr>
            <w:tcW w:w="1143" w:type="dxa"/>
            <w:vAlign w:val="center"/>
          </w:tcPr>
          <w:p w14:paraId="1EE6BAC1"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4317.22</w:t>
            </w:r>
          </w:p>
        </w:tc>
        <w:tc>
          <w:tcPr>
            <w:tcW w:w="859" w:type="dxa"/>
            <w:noWrap/>
            <w:vAlign w:val="center"/>
          </w:tcPr>
          <w:p w14:paraId="14974E11"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30.87</w:t>
            </w:r>
          </w:p>
        </w:tc>
        <w:tc>
          <w:tcPr>
            <w:tcW w:w="811" w:type="dxa"/>
            <w:vAlign w:val="center"/>
          </w:tcPr>
          <w:p w14:paraId="0B9A8E63"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29.91</w:t>
            </w:r>
          </w:p>
        </w:tc>
        <w:tc>
          <w:tcPr>
            <w:tcW w:w="898" w:type="dxa"/>
            <w:vAlign w:val="center"/>
          </w:tcPr>
          <w:p w14:paraId="435525E2"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1.44</w:t>
            </w:r>
          </w:p>
        </w:tc>
        <w:tc>
          <w:tcPr>
            <w:tcW w:w="738" w:type="dxa"/>
            <w:vAlign w:val="center"/>
          </w:tcPr>
          <w:p w14:paraId="349B389A" w14:textId="77777777" w:rsidR="00494C8C" w:rsidRPr="007E37EC" w:rsidRDefault="00494C8C" w:rsidP="00171EC2">
            <w:pPr>
              <w:spacing w:line="360" w:lineRule="auto"/>
              <w:jc w:val="both"/>
              <w:rPr>
                <w:rFonts w:ascii="Arial" w:hAnsi="Arial" w:cs="Arial"/>
                <w:color w:val="000000"/>
                <w:sz w:val="20"/>
                <w:szCs w:val="20"/>
              </w:rPr>
            </w:pPr>
            <w:r w:rsidRPr="007E37EC">
              <w:rPr>
                <w:rFonts w:ascii="Arial" w:hAnsi="Arial" w:cs="Arial"/>
                <w:color w:val="000000"/>
                <w:sz w:val="20"/>
                <w:szCs w:val="20"/>
              </w:rPr>
              <w:t>1.43</w:t>
            </w:r>
          </w:p>
        </w:tc>
      </w:tr>
      <w:tr w:rsidR="00494C8C" w:rsidRPr="007E37EC" w14:paraId="23DB4EC8" w14:textId="77777777" w:rsidTr="00251DEB">
        <w:trPr>
          <w:trHeight w:val="326"/>
        </w:trPr>
        <w:tc>
          <w:tcPr>
            <w:tcW w:w="1136" w:type="dxa"/>
            <w:vAlign w:val="center"/>
          </w:tcPr>
          <w:p w14:paraId="792D123E" w14:textId="77777777" w:rsidR="00494C8C" w:rsidRPr="007E37EC" w:rsidRDefault="00494C8C" w:rsidP="00171EC2">
            <w:pPr>
              <w:spacing w:line="360" w:lineRule="auto"/>
              <w:jc w:val="both"/>
              <w:rPr>
                <w:rFonts w:ascii="Arial" w:hAnsi="Arial" w:cs="Arial"/>
                <w:b/>
                <w:bCs/>
                <w:color w:val="000000"/>
                <w:sz w:val="20"/>
                <w:szCs w:val="20"/>
                <w:lang w:val="en-US"/>
              </w:rPr>
            </w:pPr>
            <w:r w:rsidRPr="007E37EC">
              <w:rPr>
                <w:rFonts w:ascii="Arial" w:hAnsi="Arial" w:cs="Arial"/>
                <w:b/>
                <w:bCs/>
                <w:color w:val="000000" w:themeColor="text1"/>
                <w:sz w:val="20"/>
                <w:szCs w:val="20"/>
              </w:rPr>
              <w:t>Total</w:t>
            </w:r>
          </w:p>
        </w:tc>
        <w:tc>
          <w:tcPr>
            <w:tcW w:w="1000" w:type="dxa"/>
            <w:vAlign w:val="bottom"/>
          </w:tcPr>
          <w:p w14:paraId="5121CAAF" w14:textId="77777777" w:rsidR="00494C8C" w:rsidRPr="007E37EC" w:rsidRDefault="00494C8C" w:rsidP="00171EC2">
            <w:pPr>
              <w:spacing w:line="360" w:lineRule="auto"/>
              <w:jc w:val="both"/>
              <w:rPr>
                <w:rFonts w:ascii="Arial" w:hAnsi="Arial" w:cs="Arial"/>
                <w:b/>
                <w:bCs/>
                <w:color w:val="000000"/>
                <w:sz w:val="20"/>
                <w:szCs w:val="20"/>
              </w:rPr>
            </w:pPr>
            <w:r w:rsidRPr="007E37EC">
              <w:rPr>
                <w:rFonts w:ascii="Arial" w:hAnsi="Arial" w:cs="Arial"/>
                <w:b/>
                <w:bCs/>
                <w:color w:val="000000"/>
                <w:sz w:val="20"/>
                <w:szCs w:val="20"/>
              </w:rPr>
              <w:t>9494.21</w:t>
            </w:r>
          </w:p>
        </w:tc>
        <w:tc>
          <w:tcPr>
            <w:tcW w:w="1003" w:type="dxa"/>
            <w:vAlign w:val="bottom"/>
          </w:tcPr>
          <w:p w14:paraId="186986A6" w14:textId="77777777" w:rsidR="00494C8C" w:rsidRPr="007E37EC" w:rsidRDefault="00494C8C" w:rsidP="00171EC2">
            <w:pPr>
              <w:spacing w:line="360" w:lineRule="auto"/>
              <w:jc w:val="both"/>
              <w:rPr>
                <w:rFonts w:ascii="Arial" w:hAnsi="Arial" w:cs="Arial"/>
                <w:b/>
                <w:bCs/>
                <w:sz w:val="20"/>
                <w:szCs w:val="20"/>
                <w:lang w:val="en-US"/>
              </w:rPr>
            </w:pPr>
            <w:r w:rsidRPr="007E37EC">
              <w:rPr>
                <w:rFonts w:ascii="Arial" w:hAnsi="Arial" w:cs="Arial"/>
                <w:b/>
                <w:bCs/>
                <w:sz w:val="20"/>
                <w:szCs w:val="20"/>
                <w:lang w:val="en-US"/>
              </w:rPr>
              <w:t>135.40</w:t>
            </w:r>
          </w:p>
        </w:tc>
        <w:tc>
          <w:tcPr>
            <w:tcW w:w="1140" w:type="dxa"/>
            <w:vAlign w:val="bottom"/>
          </w:tcPr>
          <w:p w14:paraId="235F5770" w14:textId="77777777" w:rsidR="00494C8C" w:rsidRPr="007E37EC" w:rsidRDefault="00494C8C" w:rsidP="00171EC2">
            <w:pPr>
              <w:spacing w:line="360" w:lineRule="auto"/>
              <w:jc w:val="both"/>
              <w:rPr>
                <w:rFonts w:ascii="Arial" w:hAnsi="Arial" w:cs="Arial"/>
                <w:b/>
                <w:bCs/>
                <w:color w:val="000000"/>
                <w:sz w:val="20"/>
                <w:szCs w:val="20"/>
              </w:rPr>
            </w:pPr>
            <w:r w:rsidRPr="007E37EC">
              <w:rPr>
                <w:rFonts w:ascii="Arial" w:hAnsi="Arial" w:cs="Arial"/>
                <w:b/>
                <w:bCs/>
                <w:color w:val="000000"/>
                <w:sz w:val="20"/>
                <w:szCs w:val="20"/>
              </w:rPr>
              <w:t>9628.33</w:t>
            </w:r>
          </w:p>
        </w:tc>
        <w:tc>
          <w:tcPr>
            <w:tcW w:w="1128" w:type="dxa"/>
            <w:vAlign w:val="bottom"/>
          </w:tcPr>
          <w:p w14:paraId="1BAA21F5" w14:textId="77777777" w:rsidR="00494C8C" w:rsidRPr="007E37EC" w:rsidRDefault="00494C8C" w:rsidP="00171EC2">
            <w:pPr>
              <w:spacing w:line="360" w:lineRule="auto"/>
              <w:jc w:val="both"/>
              <w:rPr>
                <w:rFonts w:ascii="Arial" w:hAnsi="Arial" w:cs="Arial"/>
                <w:b/>
                <w:bCs/>
                <w:color w:val="000000"/>
                <w:sz w:val="20"/>
                <w:szCs w:val="20"/>
                <w:lang w:val="en-US"/>
              </w:rPr>
            </w:pPr>
            <w:r w:rsidRPr="007E37EC">
              <w:rPr>
                <w:rFonts w:ascii="Arial" w:hAnsi="Arial" w:cs="Arial"/>
                <w:b/>
                <w:bCs/>
                <w:color w:val="000000"/>
                <w:sz w:val="20"/>
                <w:szCs w:val="20"/>
                <w:lang w:val="en-US"/>
              </w:rPr>
              <w:t>15369.08</w:t>
            </w:r>
          </w:p>
        </w:tc>
        <w:tc>
          <w:tcPr>
            <w:tcW w:w="872" w:type="dxa"/>
            <w:noWrap/>
            <w:vAlign w:val="bottom"/>
          </w:tcPr>
          <w:p w14:paraId="68E5654E" w14:textId="77777777" w:rsidR="00494C8C" w:rsidRPr="007E37EC" w:rsidRDefault="00494C8C" w:rsidP="00171EC2">
            <w:pPr>
              <w:spacing w:line="360" w:lineRule="auto"/>
              <w:jc w:val="both"/>
              <w:rPr>
                <w:rFonts w:ascii="Arial" w:hAnsi="Arial" w:cs="Arial"/>
                <w:b/>
                <w:bCs/>
                <w:color w:val="000000"/>
                <w:sz w:val="20"/>
                <w:szCs w:val="20"/>
              </w:rPr>
            </w:pPr>
            <w:r w:rsidRPr="007E37EC">
              <w:rPr>
                <w:rFonts w:ascii="Arial" w:hAnsi="Arial" w:cs="Arial"/>
                <w:b/>
                <w:bCs/>
                <w:color w:val="000000"/>
                <w:sz w:val="20"/>
                <w:szCs w:val="20"/>
              </w:rPr>
              <w:t>5874.86</w:t>
            </w:r>
          </w:p>
        </w:tc>
        <w:tc>
          <w:tcPr>
            <w:tcW w:w="1143" w:type="dxa"/>
            <w:vAlign w:val="bottom"/>
          </w:tcPr>
          <w:p w14:paraId="436C4F1B" w14:textId="77777777" w:rsidR="00494C8C" w:rsidRPr="007E37EC" w:rsidRDefault="00494C8C" w:rsidP="00171EC2">
            <w:pPr>
              <w:spacing w:line="360" w:lineRule="auto"/>
              <w:jc w:val="both"/>
              <w:rPr>
                <w:rFonts w:ascii="Arial" w:hAnsi="Arial" w:cs="Arial"/>
                <w:b/>
                <w:bCs/>
                <w:color w:val="000000"/>
                <w:sz w:val="20"/>
                <w:szCs w:val="20"/>
              </w:rPr>
            </w:pPr>
            <w:r w:rsidRPr="007E37EC">
              <w:rPr>
                <w:rFonts w:ascii="Arial" w:hAnsi="Arial" w:cs="Arial"/>
                <w:b/>
                <w:bCs/>
                <w:color w:val="000000"/>
                <w:sz w:val="20"/>
                <w:szCs w:val="20"/>
              </w:rPr>
              <w:t>5740.75</w:t>
            </w:r>
          </w:p>
        </w:tc>
        <w:tc>
          <w:tcPr>
            <w:tcW w:w="859" w:type="dxa"/>
            <w:noWrap/>
            <w:vAlign w:val="bottom"/>
          </w:tcPr>
          <w:p w14:paraId="2D239C9F" w14:textId="77777777" w:rsidR="00494C8C" w:rsidRPr="007E37EC" w:rsidRDefault="00494C8C" w:rsidP="00171EC2">
            <w:pPr>
              <w:spacing w:line="360" w:lineRule="auto"/>
              <w:jc w:val="both"/>
              <w:rPr>
                <w:rFonts w:ascii="Arial" w:hAnsi="Arial" w:cs="Arial"/>
                <w:b/>
                <w:bCs/>
                <w:color w:val="000000"/>
                <w:sz w:val="20"/>
                <w:szCs w:val="20"/>
              </w:rPr>
            </w:pPr>
            <w:r w:rsidRPr="007E37EC">
              <w:rPr>
                <w:rFonts w:ascii="Arial" w:hAnsi="Arial" w:cs="Arial"/>
                <w:b/>
                <w:bCs/>
                <w:color w:val="000000"/>
                <w:sz w:val="20"/>
                <w:szCs w:val="20"/>
              </w:rPr>
              <w:t>37.90</w:t>
            </w:r>
          </w:p>
        </w:tc>
        <w:tc>
          <w:tcPr>
            <w:tcW w:w="811" w:type="dxa"/>
            <w:vAlign w:val="bottom"/>
          </w:tcPr>
          <w:p w14:paraId="4A3C431F" w14:textId="77777777" w:rsidR="00494C8C" w:rsidRPr="007E37EC" w:rsidRDefault="00494C8C" w:rsidP="00171EC2">
            <w:pPr>
              <w:spacing w:line="360" w:lineRule="auto"/>
              <w:jc w:val="both"/>
              <w:rPr>
                <w:rFonts w:ascii="Arial" w:hAnsi="Arial" w:cs="Arial"/>
                <w:b/>
                <w:bCs/>
                <w:color w:val="000000"/>
                <w:sz w:val="20"/>
                <w:szCs w:val="20"/>
              </w:rPr>
            </w:pPr>
            <w:r w:rsidRPr="007E37EC">
              <w:rPr>
                <w:rFonts w:ascii="Arial" w:hAnsi="Arial" w:cs="Arial"/>
                <w:b/>
                <w:bCs/>
                <w:color w:val="000000"/>
                <w:sz w:val="20"/>
                <w:szCs w:val="20"/>
              </w:rPr>
              <w:t>37.02</w:t>
            </w:r>
          </w:p>
        </w:tc>
        <w:tc>
          <w:tcPr>
            <w:tcW w:w="898" w:type="dxa"/>
            <w:vAlign w:val="bottom"/>
          </w:tcPr>
          <w:p w14:paraId="04E7E16B" w14:textId="77777777" w:rsidR="00494C8C" w:rsidRPr="007E37EC" w:rsidRDefault="00494C8C" w:rsidP="00171EC2">
            <w:pPr>
              <w:spacing w:line="360" w:lineRule="auto"/>
              <w:jc w:val="both"/>
              <w:rPr>
                <w:rFonts w:ascii="Arial" w:hAnsi="Arial" w:cs="Arial"/>
                <w:b/>
                <w:bCs/>
                <w:color w:val="000000"/>
                <w:sz w:val="20"/>
                <w:szCs w:val="20"/>
              </w:rPr>
            </w:pPr>
            <w:r w:rsidRPr="007E37EC">
              <w:rPr>
                <w:rFonts w:ascii="Arial" w:hAnsi="Arial" w:cs="Arial"/>
                <w:b/>
                <w:bCs/>
                <w:color w:val="000000"/>
                <w:sz w:val="20"/>
                <w:szCs w:val="20"/>
              </w:rPr>
              <w:t>1.61</w:t>
            </w:r>
          </w:p>
        </w:tc>
        <w:tc>
          <w:tcPr>
            <w:tcW w:w="738" w:type="dxa"/>
            <w:vAlign w:val="bottom"/>
          </w:tcPr>
          <w:p w14:paraId="4EBF8197" w14:textId="77777777" w:rsidR="00494C8C" w:rsidRPr="007E37EC" w:rsidRDefault="00494C8C" w:rsidP="00171EC2">
            <w:pPr>
              <w:spacing w:line="360" w:lineRule="auto"/>
              <w:jc w:val="both"/>
              <w:rPr>
                <w:rFonts w:ascii="Arial" w:hAnsi="Arial" w:cs="Arial"/>
                <w:b/>
                <w:bCs/>
                <w:color w:val="000000"/>
                <w:sz w:val="20"/>
                <w:szCs w:val="20"/>
              </w:rPr>
            </w:pPr>
            <w:r w:rsidRPr="007E37EC">
              <w:rPr>
                <w:rFonts w:ascii="Arial" w:hAnsi="Arial" w:cs="Arial"/>
                <w:b/>
                <w:bCs/>
                <w:color w:val="000000"/>
                <w:sz w:val="20"/>
                <w:szCs w:val="20"/>
              </w:rPr>
              <w:t>1.59</w:t>
            </w:r>
          </w:p>
        </w:tc>
      </w:tr>
    </w:tbl>
    <w:p w14:paraId="112B681C" w14:textId="5F82C658" w:rsidR="00494C8C" w:rsidRPr="007E37EC" w:rsidRDefault="00494C8C" w:rsidP="00171EC2">
      <w:pPr>
        <w:spacing w:line="360" w:lineRule="auto"/>
        <w:jc w:val="both"/>
        <w:rPr>
          <w:rFonts w:ascii="Arial" w:hAnsi="Arial" w:cs="Arial"/>
          <w:sz w:val="20"/>
          <w:szCs w:val="20"/>
        </w:rPr>
      </w:pPr>
      <w:r w:rsidRPr="007E37EC">
        <w:rPr>
          <w:rFonts w:ascii="Arial" w:hAnsi="Arial" w:cs="Arial"/>
          <w:sz w:val="20"/>
          <w:szCs w:val="20"/>
        </w:rPr>
        <w:t>*Per Processing unit per day</w:t>
      </w:r>
    </w:p>
    <w:p w14:paraId="5BF7F8F7" w14:textId="59E82814" w:rsidR="00595952" w:rsidRPr="007E37EC" w:rsidRDefault="00595952" w:rsidP="00171EC2">
      <w:pPr>
        <w:spacing w:line="360" w:lineRule="auto"/>
        <w:jc w:val="both"/>
        <w:rPr>
          <w:rFonts w:ascii="Arial" w:hAnsi="Arial" w:cs="Arial"/>
          <w:sz w:val="20"/>
          <w:szCs w:val="20"/>
        </w:rPr>
      </w:pPr>
      <w:r w:rsidRPr="007E37EC">
        <w:rPr>
          <w:rFonts w:ascii="Arial" w:hAnsi="Arial" w:cs="Arial"/>
          <w:sz w:val="20"/>
          <w:szCs w:val="20"/>
        </w:rPr>
        <w:lastRenderedPageBreak/>
        <w:t xml:space="preserve">A financial analysis of sweet curd production in four regions is shown in this table, with an emphasis on profitability metrics in connection to total costs (TC) and total variable costs (TVC). At 98.6% of total expenses, variable costs predominate. </w:t>
      </w:r>
      <w:proofErr w:type="spellStart"/>
      <w:r w:rsidRPr="007E37EC">
        <w:rPr>
          <w:rFonts w:ascii="Arial" w:hAnsi="Arial" w:cs="Arial"/>
          <w:sz w:val="20"/>
          <w:szCs w:val="20"/>
        </w:rPr>
        <w:t>Tufanganj</w:t>
      </w:r>
      <w:proofErr w:type="spellEnd"/>
      <w:r w:rsidRPr="007E37EC">
        <w:rPr>
          <w:rFonts w:ascii="Arial" w:hAnsi="Arial" w:cs="Arial"/>
          <w:sz w:val="20"/>
          <w:szCs w:val="20"/>
        </w:rPr>
        <w:t xml:space="preserve"> I </w:t>
      </w:r>
      <w:r w:rsidR="002C54CA" w:rsidRPr="007E37EC">
        <w:rPr>
          <w:rFonts w:ascii="Arial" w:hAnsi="Arial" w:cs="Arial"/>
          <w:sz w:val="20"/>
          <w:szCs w:val="20"/>
        </w:rPr>
        <w:t>cost</w:t>
      </w:r>
      <w:r w:rsidRPr="007E37EC">
        <w:rPr>
          <w:rFonts w:ascii="Arial" w:hAnsi="Arial" w:cs="Arial"/>
          <w:sz w:val="20"/>
          <w:szCs w:val="20"/>
        </w:rPr>
        <w:t xml:space="preserve"> Rs 8,954, while </w:t>
      </w:r>
      <w:proofErr w:type="spellStart"/>
      <w:r w:rsidRPr="007E37EC">
        <w:rPr>
          <w:rFonts w:ascii="Arial" w:hAnsi="Arial" w:cs="Arial"/>
          <w:sz w:val="20"/>
          <w:szCs w:val="20"/>
        </w:rPr>
        <w:t>Alipurduar</w:t>
      </w:r>
      <w:proofErr w:type="spellEnd"/>
      <w:r w:rsidRPr="007E37EC">
        <w:rPr>
          <w:rFonts w:ascii="Arial" w:hAnsi="Arial" w:cs="Arial"/>
          <w:sz w:val="20"/>
          <w:szCs w:val="20"/>
        </w:rPr>
        <w:t xml:space="preserve"> II costs Rs 10,118. </w:t>
      </w:r>
      <w:proofErr w:type="spellStart"/>
      <w:r w:rsidRPr="007E37EC">
        <w:rPr>
          <w:rFonts w:ascii="Arial" w:hAnsi="Arial" w:cs="Arial"/>
          <w:sz w:val="20"/>
          <w:szCs w:val="20"/>
        </w:rPr>
        <w:t>Alipurduar</w:t>
      </w:r>
      <w:proofErr w:type="spellEnd"/>
      <w:r w:rsidRPr="007E37EC">
        <w:rPr>
          <w:rFonts w:ascii="Arial" w:hAnsi="Arial" w:cs="Arial"/>
          <w:sz w:val="20"/>
          <w:szCs w:val="20"/>
        </w:rPr>
        <w:t xml:space="preserve"> II has the lowest profit margin at 30.87% and makes Rs 4,456 per batch, while </w:t>
      </w:r>
      <w:proofErr w:type="spellStart"/>
      <w:r w:rsidRPr="007E37EC">
        <w:rPr>
          <w:rFonts w:ascii="Arial" w:hAnsi="Arial" w:cs="Arial"/>
          <w:sz w:val="20"/>
          <w:szCs w:val="20"/>
        </w:rPr>
        <w:t>Coochbehar</w:t>
      </w:r>
      <w:proofErr w:type="spellEnd"/>
      <w:r w:rsidRPr="007E37EC">
        <w:rPr>
          <w:rFonts w:ascii="Arial" w:hAnsi="Arial" w:cs="Arial"/>
          <w:sz w:val="20"/>
          <w:szCs w:val="20"/>
        </w:rPr>
        <w:t xml:space="preserve"> II leads with a profit margin of 42.33% over TVC and makes Rs 7,307 per batch. </w:t>
      </w:r>
      <w:proofErr w:type="spellStart"/>
      <w:r w:rsidRPr="007E37EC">
        <w:rPr>
          <w:rFonts w:ascii="Arial" w:hAnsi="Arial" w:cs="Arial"/>
          <w:sz w:val="20"/>
          <w:szCs w:val="20"/>
        </w:rPr>
        <w:t>Coochbehar</w:t>
      </w:r>
      <w:proofErr w:type="spellEnd"/>
      <w:r w:rsidRPr="007E37EC">
        <w:rPr>
          <w:rFonts w:ascii="Arial" w:hAnsi="Arial" w:cs="Arial"/>
          <w:sz w:val="20"/>
          <w:szCs w:val="20"/>
        </w:rPr>
        <w:t xml:space="preserve"> II's benefit-cost ratios of 1.72 (TVC) and 1.71 (TC) demonstrate profitability in every region. Although the overall average benefit-cost ratio of 1.61 indicates strong profitability, regional differences point to areas with lower performance that could use improvement.</w:t>
      </w:r>
    </w:p>
    <w:p w14:paraId="0D9E60D0" w14:textId="77777777" w:rsidR="00595952" w:rsidRPr="007E37EC" w:rsidRDefault="00595952" w:rsidP="00171EC2">
      <w:pPr>
        <w:spacing w:line="360" w:lineRule="auto"/>
        <w:jc w:val="both"/>
        <w:rPr>
          <w:rFonts w:ascii="Arial" w:hAnsi="Arial" w:cs="Arial"/>
          <w:b/>
          <w:bCs/>
          <w:color w:val="000000" w:themeColor="text1"/>
        </w:rPr>
      </w:pPr>
      <w:r w:rsidRPr="007E37EC">
        <w:rPr>
          <w:rFonts w:ascii="Arial" w:hAnsi="Arial" w:cs="Arial"/>
          <w:b/>
          <w:bCs/>
          <w:color w:val="000000" w:themeColor="text1"/>
        </w:rPr>
        <w:t>3.8</w:t>
      </w:r>
      <w:r w:rsidRPr="007E37EC">
        <w:rPr>
          <w:rFonts w:ascii="Arial" w:hAnsi="Arial" w:cs="Arial"/>
          <w:color w:val="000000" w:themeColor="text1"/>
        </w:rPr>
        <w:t xml:space="preserve"> </w:t>
      </w:r>
      <w:r w:rsidRPr="007E37EC">
        <w:rPr>
          <w:rFonts w:ascii="Arial" w:hAnsi="Arial" w:cs="Arial"/>
          <w:b/>
          <w:bCs/>
          <w:color w:val="000000" w:themeColor="text1"/>
        </w:rPr>
        <w:t>Market Concentration and Competitive Dynamics in the Production of Sweet Curd</w:t>
      </w:r>
    </w:p>
    <w:p w14:paraId="0FF4CC9B" w14:textId="7C6A1DC8" w:rsidR="00595952" w:rsidRPr="005D25FA" w:rsidRDefault="00595952" w:rsidP="00171EC2">
      <w:pPr>
        <w:spacing w:line="360" w:lineRule="auto"/>
        <w:jc w:val="both"/>
        <w:rPr>
          <w:rFonts w:ascii="Arial" w:hAnsi="Arial" w:cs="Arial"/>
          <w:b/>
          <w:bCs/>
          <w:color w:val="000000" w:themeColor="text1"/>
          <w:sz w:val="20"/>
          <w:szCs w:val="20"/>
        </w:rPr>
      </w:pPr>
      <w:r w:rsidRPr="005D25FA">
        <w:rPr>
          <w:rFonts w:ascii="Arial" w:hAnsi="Arial" w:cs="Arial"/>
          <w:b/>
          <w:bCs/>
          <w:color w:val="000000" w:themeColor="text1"/>
          <w:sz w:val="20"/>
          <w:szCs w:val="20"/>
        </w:rPr>
        <w:t xml:space="preserve">Table 8: </w:t>
      </w:r>
      <w:r w:rsidRPr="005D25FA">
        <w:rPr>
          <w:rFonts w:ascii="Arial" w:hAnsi="Arial" w:cs="Arial"/>
          <w:color w:val="000000" w:themeColor="text1"/>
          <w:sz w:val="20"/>
          <w:szCs w:val="20"/>
        </w:rPr>
        <w:t>Market concentration, HHI and Gini ratio of sweet curd</w:t>
      </w:r>
      <w:r w:rsidR="006E1574" w:rsidRPr="005D25FA">
        <w:rPr>
          <w:rFonts w:ascii="Arial" w:hAnsi="Arial" w:cs="Arial"/>
          <w:color w:val="000000" w:themeColor="text1"/>
          <w:sz w:val="20"/>
          <w:szCs w:val="20"/>
        </w:rPr>
        <w:t xml:space="preserve"> processing firms</w:t>
      </w:r>
    </w:p>
    <w:tbl>
      <w:tblPr>
        <w:tblStyle w:val="TableGrid"/>
        <w:tblW w:w="9549" w:type="dxa"/>
        <w:tblLook w:val="04A0" w:firstRow="1" w:lastRow="0" w:firstColumn="1" w:lastColumn="0" w:noHBand="0" w:noVBand="1"/>
      </w:tblPr>
      <w:tblGrid>
        <w:gridCol w:w="2365"/>
        <w:gridCol w:w="2365"/>
        <w:gridCol w:w="2454"/>
        <w:gridCol w:w="2365"/>
      </w:tblGrid>
      <w:tr w:rsidR="00595952" w:rsidRPr="007E37EC" w14:paraId="72557753" w14:textId="77777777" w:rsidTr="00FD593E">
        <w:trPr>
          <w:trHeight w:val="282"/>
        </w:trPr>
        <w:tc>
          <w:tcPr>
            <w:tcW w:w="2365" w:type="dxa"/>
            <w:noWrap/>
            <w:hideMark/>
          </w:tcPr>
          <w:p w14:paraId="3D59FCE6" w14:textId="77777777" w:rsidR="00595952" w:rsidRPr="007E37EC" w:rsidRDefault="00595952" w:rsidP="00171EC2">
            <w:pPr>
              <w:spacing w:line="360" w:lineRule="auto"/>
              <w:jc w:val="both"/>
              <w:rPr>
                <w:rFonts w:ascii="Arial" w:hAnsi="Arial" w:cs="Arial"/>
                <w:b/>
                <w:bCs/>
                <w:color w:val="000000" w:themeColor="text1"/>
                <w:sz w:val="20"/>
                <w:szCs w:val="20"/>
              </w:rPr>
            </w:pPr>
            <w:r w:rsidRPr="007E37EC">
              <w:rPr>
                <w:rFonts w:ascii="Arial" w:hAnsi="Arial" w:cs="Arial"/>
                <w:b/>
                <w:bCs/>
                <w:color w:val="000000" w:themeColor="text1"/>
                <w:sz w:val="20"/>
                <w:szCs w:val="20"/>
              </w:rPr>
              <w:t>Market Segment</w:t>
            </w:r>
          </w:p>
        </w:tc>
        <w:tc>
          <w:tcPr>
            <w:tcW w:w="2365" w:type="dxa"/>
            <w:noWrap/>
            <w:hideMark/>
          </w:tcPr>
          <w:p w14:paraId="4047CBF0" w14:textId="77777777" w:rsidR="00595952" w:rsidRPr="007E37EC" w:rsidRDefault="00595952" w:rsidP="00171EC2">
            <w:pPr>
              <w:spacing w:line="360" w:lineRule="auto"/>
              <w:jc w:val="both"/>
              <w:rPr>
                <w:rFonts w:ascii="Arial" w:hAnsi="Arial" w:cs="Arial"/>
                <w:b/>
                <w:bCs/>
                <w:color w:val="000000" w:themeColor="text1"/>
                <w:sz w:val="20"/>
                <w:szCs w:val="20"/>
              </w:rPr>
            </w:pPr>
            <w:r w:rsidRPr="007E37EC">
              <w:rPr>
                <w:rFonts w:ascii="Arial" w:hAnsi="Arial" w:cs="Arial"/>
                <w:b/>
                <w:bCs/>
                <w:color w:val="000000" w:themeColor="text1"/>
                <w:sz w:val="20"/>
                <w:szCs w:val="20"/>
                <w:lang w:val="en-US"/>
              </w:rPr>
              <w:t>CR4 (%)</w:t>
            </w:r>
          </w:p>
        </w:tc>
        <w:tc>
          <w:tcPr>
            <w:tcW w:w="2454" w:type="dxa"/>
            <w:noWrap/>
            <w:hideMark/>
          </w:tcPr>
          <w:p w14:paraId="1D677B80" w14:textId="77777777" w:rsidR="00595952" w:rsidRPr="007E37EC" w:rsidRDefault="00595952" w:rsidP="00171EC2">
            <w:pPr>
              <w:spacing w:line="360" w:lineRule="auto"/>
              <w:jc w:val="both"/>
              <w:rPr>
                <w:rFonts w:ascii="Arial" w:hAnsi="Arial" w:cs="Arial"/>
                <w:b/>
                <w:bCs/>
                <w:color w:val="000000" w:themeColor="text1"/>
                <w:sz w:val="20"/>
                <w:szCs w:val="20"/>
              </w:rPr>
            </w:pPr>
            <w:r w:rsidRPr="007E37EC">
              <w:rPr>
                <w:rFonts w:ascii="Arial" w:hAnsi="Arial" w:cs="Arial"/>
                <w:b/>
                <w:bCs/>
                <w:color w:val="000000" w:themeColor="text1"/>
                <w:sz w:val="20"/>
                <w:szCs w:val="20"/>
                <w:lang w:val="en-US"/>
              </w:rPr>
              <w:t>HHI</w:t>
            </w:r>
          </w:p>
        </w:tc>
        <w:tc>
          <w:tcPr>
            <w:tcW w:w="2365" w:type="dxa"/>
            <w:noWrap/>
            <w:hideMark/>
          </w:tcPr>
          <w:p w14:paraId="25F991A7" w14:textId="77777777" w:rsidR="00595952" w:rsidRPr="007E37EC" w:rsidRDefault="00595952" w:rsidP="00171EC2">
            <w:pPr>
              <w:spacing w:line="360" w:lineRule="auto"/>
              <w:jc w:val="both"/>
              <w:rPr>
                <w:rFonts w:ascii="Arial" w:hAnsi="Arial" w:cs="Arial"/>
                <w:b/>
                <w:bCs/>
                <w:color w:val="000000" w:themeColor="text1"/>
                <w:sz w:val="20"/>
                <w:szCs w:val="20"/>
              </w:rPr>
            </w:pPr>
            <w:r w:rsidRPr="007E37EC">
              <w:rPr>
                <w:rFonts w:ascii="Arial" w:hAnsi="Arial" w:cs="Arial"/>
                <w:b/>
                <w:bCs/>
                <w:color w:val="000000" w:themeColor="text1"/>
                <w:sz w:val="20"/>
                <w:szCs w:val="20"/>
                <w:lang w:val="en-US"/>
              </w:rPr>
              <w:t>Gini</w:t>
            </w:r>
          </w:p>
        </w:tc>
      </w:tr>
      <w:tr w:rsidR="00595952" w:rsidRPr="007E37EC" w14:paraId="0B32B275" w14:textId="77777777" w:rsidTr="00FD593E">
        <w:trPr>
          <w:trHeight w:val="282"/>
        </w:trPr>
        <w:tc>
          <w:tcPr>
            <w:tcW w:w="2365" w:type="dxa"/>
            <w:noWrap/>
            <w:vAlign w:val="center"/>
            <w:hideMark/>
          </w:tcPr>
          <w:p w14:paraId="53CFAC2E" w14:textId="77777777" w:rsidR="00595952" w:rsidRPr="007E37EC" w:rsidRDefault="00595952" w:rsidP="00171EC2">
            <w:pPr>
              <w:spacing w:line="360" w:lineRule="auto"/>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Coochbehar</w:t>
            </w:r>
            <w:proofErr w:type="spellEnd"/>
            <w:r w:rsidRPr="007E37EC">
              <w:rPr>
                <w:rFonts w:ascii="Arial" w:hAnsi="Arial" w:cs="Arial"/>
                <w:b/>
                <w:bCs/>
                <w:color w:val="000000" w:themeColor="text1"/>
                <w:sz w:val="20"/>
                <w:szCs w:val="20"/>
              </w:rPr>
              <w:t xml:space="preserve"> II</w:t>
            </w:r>
          </w:p>
        </w:tc>
        <w:tc>
          <w:tcPr>
            <w:tcW w:w="2365" w:type="dxa"/>
            <w:noWrap/>
            <w:hideMark/>
          </w:tcPr>
          <w:p w14:paraId="610D3275" w14:textId="77777777" w:rsidR="00595952" w:rsidRPr="007E37EC" w:rsidRDefault="00595952" w:rsidP="00171EC2">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47.35</w:t>
            </w:r>
          </w:p>
        </w:tc>
        <w:tc>
          <w:tcPr>
            <w:tcW w:w="2454" w:type="dxa"/>
            <w:noWrap/>
            <w:hideMark/>
          </w:tcPr>
          <w:p w14:paraId="525592DC" w14:textId="77777777" w:rsidR="00595952" w:rsidRPr="007E37EC" w:rsidRDefault="00595952" w:rsidP="00171EC2">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982.97</w:t>
            </w:r>
          </w:p>
        </w:tc>
        <w:tc>
          <w:tcPr>
            <w:tcW w:w="2365" w:type="dxa"/>
            <w:noWrap/>
            <w:hideMark/>
          </w:tcPr>
          <w:p w14:paraId="37EFF264" w14:textId="77777777" w:rsidR="00595952" w:rsidRPr="007E37EC" w:rsidRDefault="00595952" w:rsidP="00171EC2">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0.15</w:t>
            </w:r>
          </w:p>
        </w:tc>
      </w:tr>
      <w:tr w:rsidR="00595952" w:rsidRPr="007E37EC" w14:paraId="479A7CCE" w14:textId="77777777" w:rsidTr="00FD593E">
        <w:trPr>
          <w:trHeight w:val="282"/>
        </w:trPr>
        <w:tc>
          <w:tcPr>
            <w:tcW w:w="2365" w:type="dxa"/>
            <w:noWrap/>
            <w:vAlign w:val="center"/>
            <w:hideMark/>
          </w:tcPr>
          <w:p w14:paraId="32F4FAF6" w14:textId="77777777" w:rsidR="00595952" w:rsidRPr="007E37EC" w:rsidRDefault="00595952" w:rsidP="00171EC2">
            <w:pPr>
              <w:spacing w:line="360" w:lineRule="auto"/>
              <w:jc w:val="both"/>
              <w:rPr>
                <w:rFonts w:ascii="Arial" w:hAnsi="Arial" w:cs="Arial"/>
                <w:b/>
                <w:bCs/>
                <w:color w:val="000000" w:themeColor="text1"/>
                <w:sz w:val="20"/>
                <w:szCs w:val="20"/>
              </w:rPr>
            </w:pPr>
            <w:proofErr w:type="spellStart"/>
            <w:r w:rsidRPr="007E37EC">
              <w:rPr>
                <w:rFonts w:ascii="Arial" w:hAnsi="Arial" w:cs="Arial"/>
                <w:b/>
                <w:bCs/>
                <w:color w:val="000000" w:themeColor="text1"/>
                <w:spacing w:val="-2"/>
                <w:sz w:val="20"/>
                <w:szCs w:val="20"/>
              </w:rPr>
              <w:t>Tufanganj</w:t>
            </w:r>
            <w:proofErr w:type="spellEnd"/>
            <w:r w:rsidRPr="007E37EC">
              <w:rPr>
                <w:rFonts w:ascii="Arial" w:hAnsi="Arial" w:cs="Arial"/>
                <w:b/>
                <w:bCs/>
                <w:color w:val="000000" w:themeColor="text1"/>
                <w:spacing w:val="-2"/>
                <w:sz w:val="20"/>
                <w:szCs w:val="20"/>
              </w:rPr>
              <w:t xml:space="preserve"> I</w:t>
            </w:r>
          </w:p>
        </w:tc>
        <w:tc>
          <w:tcPr>
            <w:tcW w:w="2365" w:type="dxa"/>
            <w:noWrap/>
            <w:hideMark/>
          </w:tcPr>
          <w:p w14:paraId="7B4C7BA4" w14:textId="77777777" w:rsidR="00595952" w:rsidRPr="007E37EC" w:rsidRDefault="00595952" w:rsidP="00171EC2">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49.80</w:t>
            </w:r>
          </w:p>
        </w:tc>
        <w:tc>
          <w:tcPr>
            <w:tcW w:w="2454" w:type="dxa"/>
            <w:noWrap/>
            <w:hideMark/>
          </w:tcPr>
          <w:p w14:paraId="40303F56" w14:textId="77777777" w:rsidR="00595952" w:rsidRPr="007E37EC" w:rsidRDefault="00595952" w:rsidP="00171EC2">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1071.97</w:t>
            </w:r>
          </w:p>
        </w:tc>
        <w:tc>
          <w:tcPr>
            <w:tcW w:w="2365" w:type="dxa"/>
            <w:noWrap/>
            <w:hideMark/>
          </w:tcPr>
          <w:p w14:paraId="15FA8A5B" w14:textId="77777777" w:rsidR="00595952" w:rsidRPr="007E37EC" w:rsidRDefault="00595952" w:rsidP="00171EC2">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0.12</w:t>
            </w:r>
          </w:p>
        </w:tc>
      </w:tr>
      <w:tr w:rsidR="00595952" w:rsidRPr="007E37EC" w14:paraId="6CC50D80" w14:textId="77777777" w:rsidTr="00FD593E">
        <w:trPr>
          <w:trHeight w:val="282"/>
        </w:trPr>
        <w:tc>
          <w:tcPr>
            <w:tcW w:w="2365" w:type="dxa"/>
            <w:noWrap/>
            <w:vAlign w:val="center"/>
            <w:hideMark/>
          </w:tcPr>
          <w:p w14:paraId="0CB2CA13" w14:textId="77777777" w:rsidR="00595952" w:rsidRPr="007E37EC" w:rsidRDefault="00595952" w:rsidP="00171EC2">
            <w:pPr>
              <w:spacing w:line="360" w:lineRule="auto"/>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Alipurduar</w:t>
            </w:r>
            <w:proofErr w:type="spellEnd"/>
            <w:r w:rsidRPr="007E37EC">
              <w:rPr>
                <w:rFonts w:ascii="Arial" w:hAnsi="Arial" w:cs="Arial"/>
                <w:b/>
                <w:bCs/>
                <w:color w:val="000000" w:themeColor="text1"/>
                <w:sz w:val="20"/>
                <w:szCs w:val="20"/>
              </w:rPr>
              <w:t xml:space="preserve"> </w:t>
            </w:r>
            <w:r w:rsidRPr="007E37EC">
              <w:rPr>
                <w:rFonts w:ascii="Arial" w:hAnsi="Arial" w:cs="Arial"/>
                <w:b/>
                <w:bCs/>
                <w:color w:val="000000" w:themeColor="text1"/>
                <w:spacing w:val="-10"/>
                <w:sz w:val="20"/>
                <w:szCs w:val="20"/>
              </w:rPr>
              <w:t>I</w:t>
            </w:r>
          </w:p>
        </w:tc>
        <w:tc>
          <w:tcPr>
            <w:tcW w:w="2365" w:type="dxa"/>
            <w:noWrap/>
            <w:hideMark/>
          </w:tcPr>
          <w:p w14:paraId="41FEE935" w14:textId="77777777" w:rsidR="00595952" w:rsidRPr="007E37EC" w:rsidRDefault="00595952" w:rsidP="00171EC2">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100.00</w:t>
            </w:r>
          </w:p>
        </w:tc>
        <w:tc>
          <w:tcPr>
            <w:tcW w:w="2454" w:type="dxa"/>
            <w:noWrap/>
            <w:hideMark/>
          </w:tcPr>
          <w:p w14:paraId="6B4579D5" w14:textId="77777777" w:rsidR="00595952" w:rsidRPr="007E37EC" w:rsidRDefault="00595952" w:rsidP="00171EC2">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2548.72</w:t>
            </w:r>
          </w:p>
        </w:tc>
        <w:tc>
          <w:tcPr>
            <w:tcW w:w="2365" w:type="dxa"/>
            <w:noWrap/>
            <w:hideMark/>
          </w:tcPr>
          <w:p w14:paraId="635FC994" w14:textId="77777777" w:rsidR="00595952" w:rsidRPr="007E37EC" w:rsidRDefault="00595952" w:rsidP="00171EC2">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0.08</w:t>
            </w:r>
          </w:p>
        </w:tc>
      </w:tr>
      <w:tr w:rsidR="00595952" w:rsidRPr="007E37EC" w14:paraId="1CC837C9" w14:textId="77777777" w:rsidTr="00FD593E">
        <w:trPr>
          <w:trHeight w:val="282"/>
        </w:trPr>
        <w:tc>
          <w:tcPr>
            <w:tcW w:w="2365" w:type="dxa"/>
            <w:noWrap/>
            <w:vAlign w:val="center"/>
            <w:hideMark/>
          </w:tcPr>
          <w:p w14:paraId="5EA3E66D" w14:textId="77777777" w:rsidR="00595952" w:rsidRPr="007E37EC" w:rsidRDefault="00595952" w:rsidP="00171EC2">
            <w:pPr>
              <w:spacing w:line="360" w:lineRule="auto"/>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Alipurduar</w:t>
            </w:r>
            <w:proofErr w:type="spellEnd"/>
            <w:r w:rsidRPr="007E37EC">
              <w:rPr>
                <w:rFonts w:ascii="Arial" w:hAnsi="Arial" w:cs="Arial"/>
                <w:b/>
                <w:bCs/>
                <w:color w:val="000000" w:themeColor="text1"/>
                <w:sz w:val="20"/>
                <w:szCs w:val="20"/>
              </w:rPr>
              <w:t xml:space="preserve"> </w:t>
            </w:r>
            <w:r w:rsidRPr="007E37EC">
              <w:rPr>
                <w:rFonts w:ascii="Arial" w:hAnsi="Arial" w:cs="Arial"/>
                <w:b/>
                <w:bCs/>
                <w:color w:val="000000" w:themeColor="text1"/>
                <w:spacing w:val="-5"/>
                <w:sz w:val="20"/>
                <w:szCs w:val="20"/>
              </w:rPr>
              <w:t>II</w:t>
            </w:r>
          </w:p>
        </w:tc>
        <w:tc>
          <w:tcPr>
            <w:tcW w:w="2365" w:type="dxa"/>
            <w:noWrap/>
            <w:hideMark/>
          </w:tcPr>
          <w:p w14:paraId="50CBD869" w14:textId="77777777" w:rsidR="00595952" w:rsidRPr="007E37EC" w:rsidRDefault="00595952" w:rsidP="00171EC2">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72.46</w:t>
            </w:r>
          </w:p>
        </w:tc>
        <w:tc>
          <w:tcPr>
            <w:tcW w:w="2454" w:type="dxa"/>
            <w:noWrap/>
            <w:hideMark/>
          </w:tcPr>
          <w:p w14:paraId="373A14CE" w14:textId="77777777" w:rsidR="00595952" w:rsidRPr="007E37EC" w:rsidRDefault="00595952" w:rsidP="00171EC2">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1694.19</w:t>
            </w:r>
          </w:p>
        </w:tc>
        <w:tc>
          <w:tcPr>
            <w:tcW w:w="2365" w:type="dxa"/>
            <w:noWrap/>
            <w:hideMark/>
          </w:tcPr>
          <w:p w14:paraId="4A3CE273" w14:textId="77777777" w:rsidR="00595952" w:rsidRPr="007E37EC" w:rsidRDefault="00595952" w:rsidP="00171EC2">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0.07</w:t>
            </w:r>
          </w:p>
        </w:tc>
      </w:tr>
      <w:tr w:rsidR="00595952" w:rsidRPr="007E37EC" w14:paraId="54968F14" w14:textId="77777777" w:rsidTr="00FD593E">
        <w:trPr>
          <w:trHeight w:val="282"/>
        </w:trPr>
        <w:tc>
          <w:tcPr>
            <w:tcW w:w="2365" w:type="dxa"/>
            <w:noWrap/>
          </w:tcPr>
          <w:p w14:paraId="4810E3F9" w14:textId="77777777" w:rsidR="00595952" w:rsidRPr="007E37EC" w:rsidRDefault="00595952" w:rsidP="00171EC2">
            <w:pPr>
              <w:spacing w:line="360" w:lineRule="auto"/>
              <w:jc w:val="both"/>
              <w:rPr>
                <w:rFonts w:ascii="Arial" w:hAnsi="Arial" w:cs="Arial"/>
                <w:b/>
                <w:bCs/>
                <w:color w:val="000000" w:themeColor="text1"/>
                <w:sz w:val="20"/>
                <w:szCs w:val="20"/>
                <w:lang w:val="en-US"/>
              </w:rPr>
            </w:pPr>
            <w:r w:rsidRPr="007E37EC">
              <w:rPr>
                <w:rFonts w:ascii="Arial" w:hAnsi="Arial" w:cs="Arial"/>
                <w:b/>
                <w:bCs/>
                <w:color w:val="000000" w:themeColor="text1"/>
                <w:sz w:val="20"/>
                <w:szCs w:val="20"/>
                <w:lang w:val="en-US"/>
              </w:rPr>
              <w:t>Overall</w:t>
            </w:r>
          </w:p>
        </w:tc>
        <w:tc>
          <w:tcPr>
            <w:tcW w:w="2365" w:type="dxa"/>
            <w:noWrap/>
          </w:tcPr>
          <w:p w14:paraId="4B06AC03" w14:textId="77777777" w:rsidR="00595952" w:rsidRPr="007E37EC" w:rsidRDefault="00595952" w:rsidP="00171EC2">
            <w:pPr>
              <w:spacing w:line="360" w:lineRule="auto"/>
              <w:jc w:val="both"/>
              <w:rPr>
                <w:rFonts w:ascii="Arial" w:hAnsi="Arial" w:cs="Arial"/>
                <w:b/>
                <w:bCs/>
                <w:color w:val="000000" w:themeColor="text1"/>
                <w:sz w:val="20"/>
                <w:szCs w:val="20"/>
                <w:lang w:val="en-US"/>
              </w:rPr>
            </w:pPr>
            <w:r w:rsidRPr="007E37EC">
              <w:rPr>
                <w:rFonts w:ascii="Arial" w:hAnsi="Arial" w:cs="Arial"/>
                <w:b/>
                <w:bCs/>
                <w:color w:val="000000" w:themeColor="text1"/>
                <w:sz w:val="20"/>
                <w:szCs w:val="20"/>
                <w:lang w:val="en-US"/>
              </w:rPr>
              <w:t>59.79</w:t>
            </w:r>
          </w:p>
        </w:tc>
        <w:tc>
          <w:tcPr>
            <w:tcW w:w="2454" w:type="dxa"/>
            <w:noWrap/>
          </w:tcPr>
          <w:p w14:paraId="5A01BFC9" w14:textId="77777777" w:rsidR="00595952" w:rsidRPr="007E37EC" w:rsidRDefault="00595952" w:rsidP="00171EC2">
            <w:pPr>
              <w:spacing w:line="360" w:lineRule="auto"/>
              <w:jc w:val="both"/>
              <w:rPr>
                <w:rFonts w:ascii="Arial" w:hAnsi="Arial" w:cs="Arial"/>
                <w:b/>
                <w:bCs/>
                <w:color w:val="000000" w:themeColor="text1"/>
                <w:sz w:val="20"/>
                <w:szCs w:val="20"/>
                <w:lang w:val="en-US"/>
              </w:rPr>
            </w:pPr>
            <w:r w:rsidRPr="007E37EC">
              <w:rPr>
                <w:rFonts w:ascii="Arial" w:hAnsi="Arial" w:cs="Arial"/>
                <w:b/>
                <w:bCs/>
                <w:color w:val="000000" w:themeColor="text1"/>
                <w:sz w:val="20"/>
                <w:szCs w:val="20"/>
                <w:lang w:val="en-US"/>
              </w:rPr>
              <w:t>1351.37</w:t>
            </w:r>
          </w:p>
        </w:tc>
        <w:tc>
          <w:tcPr>
            <w:tcW w:w="2365" w:type="dxa"/>
            <w:noWrap/>
          </w:tcPr>
          <w:p w14:paraId="102773EA" w14:textId="77777777" w:rsidR="00595952" w:rsidRPr="007E37EC" w:rsidRDefault="00595952" w:rsidP="00171EC2">
            <w:pPr>
              <w:spacing w:line="360" w:lineRule="auto"/>
              <w:jc w:val="both"/>
              <w:rPr>
                <w:rFonts w:ascii="Arial" w:hAnsi="Arial" w:cs="Arial"/>
                <w:b/>
                <w:bCs/>
                <w:color w:val="000000" w:themeColor="text1"/>
                <w:sz w:val="20"/>
                <w:szCs w:val="20"/>
                <w:lang w:val="en-US"/>
              </w:rPr>
            </w:pPr>
            <w:r w:rsidRPr="007E37EC">
              <w:rPr>
                <w:rFonts w:ascii="Arial" w:hAnsi="Arial" w:cs="Arial"/>
                <w:b/>
                <w:bCs/>
                <w:color w:val="000000" w:themeColor="text1"/>
                <w:sz w:val="20"/>
                <w:szCs w:val="20"/>
                <w:lang w:val="en-US"/>
              </w:rPr>
              <w:t>0.11</w:t>
            </w:r>
          </w:p>
        </w:tc>
      </w:tr>
    </w:tbl>
    <w:p w14:paraId="174AF56C" w14:textId="77777777" w:rsidR="005D25FA" w:rsidRDefault="005D25FA" w:rsidP="00171EC2">
      <w:pPr>
        <w:pStyle w:val="BodyText"/>
        <w:spacing w:line="360" w:lineRule="auto"/>
        <w:jc w:val="both"/>
        <w:rPr>
          <w:rFonts w:ascii="Arial" w:hAnsi="Arial" w:cs="Arial"/>
          <w:color w:val="000000" w:themeColor="text1"/>
          <w:lang w:val="en-IN"/>
        </w:rPr>
      </w:pPr>
    </w:p>
    <w:p w14:paraId="7F99DEC0" w14:textId="3700084B" w:rsidR="00595952" w:rsidRPr="007E37EC" w:rsidRDefault="00595952" w:rsidP="00171EC2">
      <w:pPr>
        <w:pStyle w:val="BodyText"/>
        <w:spacing w:line="360" w:lineRule="auto"/>
        <w:jc w:val="both"/>
        <w:rPr>
          <w:rFonts w:ascii="Arial" w:hAnsi="Arial" w:cs="Arial"/>
          <w:color w:val="000000" w:themeColor="text1"/>
          <w:lang w:val="en-IN"/>
        </w:rPr>
      </w:pPr>
      <w:r w:rsidRPr="007E37EC">
        <w:rPr>
          <w:rFonts w:ascii="Arial" w:hAnsi="Arial" w:cs="Arial"/>
          <w:color w:val="000000" w:themeColor="text1"/>
          <w:lang w:val="en-IN"/>
        </w:rPr>
        <w:t xml:space="preserve">The table </w:t>
      </w:r>
      <w:r w:rsidR="009217AB" w:rsidRPr="007E37EC">
        <w:rPr>
          <w:rFonts w:ascii="Arial" w:hAnsi="Arial" w:cs="Arial"/>
          <w:color w:val="000000" w:themeColor="text1"/>
          <w:lang w:val="en-IN"/>
        </w:rPr>
        <w:t>analyses</w:t>
      </w:r>
      <w:r w:rsidRPr="007E37EC">
        <w:rPr>
          <w:rFonts w:ascii="Arial" w:hAnsi="Arial" w:cs="Arial"/>
          <w:color w:val="000000" w:themeColor="text1"/>
          <w:lang w:val="en-IN"/>
        </w:rPr>
        <w:t xml:space="preserve"> the intensity of competition using three key metrics: the four-firm concentration ratio (CR4), the Herfindahl-Hirschman Index (HHI), and Gini coefficients. </w:t>
      </w:r>
      <w:proofErr w:type="spellStart"/>
      <w:r w:rsidRPr="007E37EC">
        <w:rPr>
          <w:rFonts w:ascii="Arial" w:hAnsi="Arial" w:cs="Arial"/>
          <w:color w:val="000000" w:themeColor="text1"/>
          <w:lang w:val="en-IN"/>
        </w:rPr>
        <w:t>Alipurduar</w:t>
      </w:r>
      <w:proofErr w:type="spellEnd"/>
      <w:r w:rsidRPr="007E37EC">
        <w:rPr>
          <w:rFonts w:ascii="Arial" w:hAnsi="Arial" w:cs="Arial"/>
          <w:color w:val="000000" w:themeColor="text1"/>
          <w:lang w:val="en-IN"/>
        </w:rPr>
        <w:t xml:space="preserve">-I exhibits a CR4 of 100%, indicating a complete oligopoly, whereas Cooch Behar-II demonstrates the </w:t>
      </w:r>
      <w:r w:rsidR="00637349" w:rsidRPr="007E37EC">
        <w:rPr>
          <w:rFonts w:ascii="Arial" w:hAnsi="Arial" w:cs="Arial"/>
          <w:color w:val="000000" w:themeColor="text1"/>
          <w:lang w:val="en-IN"/>
        </w:rPr>
        <w:t>high</w:t>
      </w:r>
      <w:r w:rsidRPr="007E37EC">
        <w:rPr>
          <w:rFonts w:ascii="Arial" w:hAnsi="Arial" w:cs="Arial"/>
          <w:color w:val="000000" w:themeColor="text1"/>
          <w:lang w:val="en-IN"/>
        </w:rPr>
        <w:t xml:space="preserve"> level of competition with a CR4 of 47.35%. The HHI for </w:t>
      </w:r>
      <w:proofErr w:type="spellStart"/>
      <w:r w:rsidRPr="007E37EC">
        <w:rPr>
          <w:rFonts w:ascii="Arial" w:hAnsi="Arial" w:cs="Arial"/>
          <w:color w:val="000000" w:themeColor="text1"/>
          <w:lang w:val="en-IN"/>
        </w:rPr>
        <w:t>Alipurduar</w:t>
      </w:r>
      <w:proofErr w:type="spellEnd"/>
      <w:r w:rsidRPr="007E37EC">
        <w:rPr>
          <w:rFonts w:ascii="Arial" w:hAnsi="Arial" w:cs="Arial"/>
          <w:color w:val="000000" w:themeColor="text1"/>
          <w:lang w:val="en-IN"/>
        </w:rPr>
        <w:t xml:space="preserve">-I is 2,548.72, reflecting a highly concentrated market. In contrast, Cooch Behar-II and </w:t>
      </w:r>
      <w:proofErr w:type="spellStart"/>
      <w:r w:rsidRPr="007E37EC">
        <w:rPr>
          <w:rFonts w:ascii="Arial" w:hAnsi="Arial" w:cs="Arial"/>
          <w:color w:val="000000" w:themeColor="text1"/>
          <w:lang w:val="en-IN"/>
        </w:rPr>
        <w:t>Tufanganj</w:t>
      </w:r>
      <w:proofErr w:type="spellEnd"/>
      <w:r w:rsidRPr="007E37EC">
        <w:rPr>
          <w:rFonts w:ascii="Arial" w:hAnsi="Arial" w:cs="Arial"/>
          <w:color w:val="000000" w:themeColor="text1"/>
          <w:lang w:val="en-IN"/>
        </w:rPr>
        <w:t xml:space="preserve"> I display </w:t>
      </w:r>
      <w:r w:rsidR="009217AB" w:rsidRPr="007E37EC">
        <w:rPr>
          <w:rFonts w:ascii="Arial" w:hAnsi="Arial" w:cs="Arial"/>
          <w:color w:val="000000" w:themeColor="text1"/>
          <w:lang w:val="en-IN"/>
        </w:rPr>
        <w:t>slightly moderate</w:t>
      </w:r>
      <w:r w:rsidRPr="007E37EC">
        <w:rPr>
          <w:rFonts w:ascii="Arial" w:hAnsi="Arial" w:cs="Arial"/>
          <w:color w:val="000000" w:themeColor="text1"/>
          <w:lang w:val="en-IN"/>
        </w:rPr>
        <w:t xml:space="preserve"> competition, with HHIs of 982.97 and 1,071.97, respectively. Despite these differences in market concentration, the low Gini coefficients (ranging from 0.07 to 0.15) suggest a relatively equitable distribution of market share. These findings indicate that even in structurally concentrated markets, the competitive landscape can remain balanced, with firms exhibiting comparable capabilities and effective strategies. Overall, the market demonstrates moderate concentration, as evidenced by a 59.79% CR4 and an HHI of 1,351.37 (Porter, 2008; Cabral, 2017). </w:t>
      </w:r>
    </w:p>
    <w:p w14:paraId="189EB263" w14:textId="77777777" w:rsidR="00595952" w:rsidRPr="007E37EC" w:rsidRDefault="00595952" w:rsidP="00171EC2">
      <w:pPr>
        <w:pStyle w:val="BodyText"/>
        <w:spacing w:line="360" w:lineRule="auto"/>
        <w:jc w:val="both"/>
        <w:rPr>
          <w:rFonts w:ascii="Arial" w:hAnsi="Arial" w:cs="Arial"/>
          <w:b/>
          <w:bCs/>
          <w:color w:val="000000" w:themeColor="text1"/>
          <w:sz w:val="22"/>
          <w:szCs w:val="22"/>
          <w:lang w:val="en-IN"/>
        </w:rPr>
      </w:pPr>
      <w:r w:rsidRPr="007E37EC">
        <w:rPr>
          <w:rFonts w:ascii="Arial" w:hAnsi="Arial" w:cs="Arial"/>
          <w:b/>
          <w:bCs/>
          <w:color w:val="000000" w:themeColor="text1"/>
          <w:sz w:val="22"/>
          <w:szCs w:val="22"/>
          <w:lang w:val="en-IN"/>
        </w:rPr>
        <w:t>3.9 Analysis of Seasonal variation of sweet curd demand</w:t>
      </w:r>
    </w:p>
    <w:p w14:paraId="1B2E4EA4" w14:textId="77777777" w:rsidR="00595952" w:rsidRPr="005D25FA" w:rsidRDefault="00595952" w:rsidP="00171EC2">
      <w:pPr>
        <w:spacing w:line="360" w:lineRule="auto"/>
        <w:jc w:val="both"/>
        <w:rPr>
          <w:rFonts w:ascii="Arial" w:hAnsi="Arial" w:cs="Arial"/>
          <w:b/>
          <w:bCs/>
          <w:sz w:val="20"/>
          <w:szCs w:val="20"/>
        </w:rPr>
      </w:pPr>
      <w:r w:rsidRPr="005D25FA">
        <w:rPr>
          <w:rFonts w:ascii="Arial" w:hAnsi="Arial" w:cs="Arial"/>
          <w:b/>
          <w:bCs/>
          <w:sz w:val="20"/>
          <w:szCs w:val="20"/>
        </w:rPr>
        <w:t xml:space="preserve">Table 9: </w:t>
      </w:r>
      <w:r w:rsidRPr="005D25FA">
        <w:rPr>
          <w:rFonts w:ascii="Arial" w:hAnsi="Arial" w:cs="Arial"/>
          <w:sz w:val="20"/>
          <w:szCs w:val="20"/>
        </w:rPr>
        <w:t>Seasonality indices of production</w:t>
      </w:r>
    </w:p>
    <w:tbl>
      <w:tblPr>
        <w:tblStyle w:val="TableGrid"/>
        <w:tblW w:w="9859" w:type="dxa"/>
        <w:tblLook w:val="04A0" w:firstRow="1" w:lastRow="0" w:firstColumn="1" w:lastColumn="0" w:noHBand="0" w:noVBand="1"/>
      </w:tblPr>
      <w:tblGrid>
        <w:gridCol w:w="1722"/>
        <w:gridCol w:w="1451"/>
        <w:gridCol w:w="1859"/>
        <w:gridCol w:w="1609"/>
        <w:gridCol w:w="1609"/>
        <w:gridCol w:w="1609"/>
      </w:tblGrid>
      <w:tr w:rsidR="00595952" w:rsidRPr="007E37EC" w14:paraId="175477C4" w14:textId="77777777" w:rsidTr="00A55A9C">
        <w:trPr>
          <w:trHeight w:val="195"/>
        </w:trPr>
        <w:tc>
          <w:tcPr>
            <w:tcW w:w="1722" w:type="dxa"/>
            <w:noWrap/>
            <w:vAlign w:val="center"/>
            <w:hideMark/>
          </w:tcPr>
          <w:p w14:paraId="5A8BB8C7" w14:textId="77777777" w:rsidR="00595952" w:rsidRPr="007E37EC" w:rsidRDefault="00595952" w:rsidP="00171EC2">
            <w:pPr>
              <w:spacing w:after="160" w:line="360" w:lineRule="auto"/>
              <w:jc w:val="both"/>
              <w:rPr>
                <w:rFonts w:ascii="Arial" w:hAnsi="Arial" w:cs="Arial"/>
                <w:b/>
                <w:bCs/>
                <w:sz w:val="20"/>
                <w:szCs w:val="20"/>
              </w:rPr>
            </w:pPr>
            <w:r w:rsidRPr="007E37EC">
              <w:rPr>
                <w:rFonts w:ascii="Arial" w:hAnsi="Arial" w:cs="Arial"/>
                <w:b/>
                <w:bCs/>
                <w:sz w:val="20"/>
                <w:szCs w:val="20"/>
              </w:rPr>
              <w:t>Blocks</w:t>
            </w:r>
          </w:p>
        </w:tc>
        <w:tc>
          <w:tcPr>
            <w:tcW w:w="1451" w:type="dxa"/>
            <w:noWrap/>
            <w:vAlign w:val="center"/>
            <w:hideMark/>
          </w:tcPr>
          <w:p w14:paraId="3D3C83E8" w14:textId="77777777" w:rsidR="00595952" w:rsidRPr="007E37EC" w:rsidRDefault="00595952" w:rsidP="00171EC2">
            <w:pPr>
              <w:spacing w:after="160" w:line="360" w:lineRule="auto"/>
              <w:jc w:val="both"/>
              <w:rPr>
                <w:rFonts w:ascii="Arial" w:hAnsi="Arial" w:cs="Arial"/>
                <w:b/>
                <w:bCs/>
                <w:sz w:val="20"/>
                <w:szCs w:val="20"/>
              </w:rPr>
            </w:pPr>
            <w:r w:rsidRPr="007E37EC">
              <w:rPr>
                <w:rFonts w:ascii="Arial" w:hAnsi="Arial" w:cs="Arial"/>
                <w:b/>
                <w:bCs/>
                <w:sz w:val="20"/>
                <w:szCs w:val="20"/>
              </w:rPr>
              <w:t>Annual Average</w:t>
            </w:r>
          </w:p>
        </w:tc>
        <w:tc>
          <w:tcPr>
            <w:tcW w:w="1859" w:type="dxa"/>
            <w:noWrap/>
            <w:vAlign w:val="center"/>
            <w:hideMark/>
          </w:tcPr>
          <w:p w14:paraId="559D3E69" w14:textId="77777777" w:rsidR="00595952" w:rsidRPr="007E37EC" w:rsidRDefault="00595952" w:rsidP="00171EC2">
            <w:pPr>
              <w:spacing w:after="160" w:line="360" w:lineRule="auto"/>
              <w:jc w:val="both"/>
              <w:rPr>
                <w:rFonts w:ascii="Arial" w:hAnsi="Arial" w:cs="Arial"/>
                <w:b/>
                <w:bCs/>
                <w:sz w:val="20"/>
                <w:szCs w:val="20"/>
              </w:rPr>
            </w:pPr>
            <w:r w:rsidRPr="007E37EC">
              <w:rPr>
                <w:rFonts w:ascii="Arial" w:hAnsi="Arial" w:cs="Arial"/>
                <w:b/>
                <w:bCs/>
                <w:sz w:val="20"/>
                <w:szCs w:val="20"/>
              </w:rPr>
              <w:t>April-June SI (%)</w:t>
            </w:r>
          </w:p>
        </w:tc>
        <w:tc>
          <w:tcPr>
            <w:tcW w:w="1609" w:type="dxa"/>
            <w:noWrap/>
            <w:vAlign w:val="center"/>
            <w:hideMark/>
          </w:tcPr>
          <w:p w14:paraId="0C7027E7" w14:textId="77777777" w:rsidR="00595952" w:rsidRPr="007E37EC" w:rsidRDefault="00595952" w:rsidP="00171EC2">
            <w:pPr>
              <w:spacing w:after="160" w:line="360" w:lineRule="auto"/>
              <w:jc w:val="both"/>
              <w:rPr>
                <w:rFonts w:ascii="Arial" w:hAnsi="Arial" w:cs="Arial"/>
                <w:b/>
                <w:bCs/>
                <w:sz w:val="20"/>
                <w:szCs w:val="20"/>
              </w:rPr>
            </w:pPr>
            <w:r w:rsidRPr="007E37EC">
              <w:rPr>
                <w:rFonts w:ascii="Arial" w:hAnsi="Arial" w:cs="Arial"/>
                <w:b/>
                <w:bCs/>
                <w:sz w:val="20"/>
                <w:szCs w:val="20"/>
              </w:rPr>
              <w:t>July-September SI (%)</w:t>
            </w:r>
          </w:p>
        </w:tc>
        <w:tc>
          <w:tcPr>
            <w:tcW w:w="1609" w:type="dxa"/>
            <w:noWrap/>
            <w:vAlign w:val="center"/>
            <w:hideMark/>
          </w:tcPr>
          <w:p w14:paraId="45B76FA8" w14:textId="77777777" w:rsidR="00595952" w:rsidRPr="007E37EC" w:rsidRDefault="00595952" w:rsidP="00171EC2">
            <w:pPr>
              <w:spacing w:after="160" w:line="360" w:lineRule="auto"/>
              <w:jc w:val="both"/>
              <w:rPr>
                <w:rFonts w:ascii="Arial" w:hAnsi="Arial" w:cs="Arial"/>
                <w:b/>
                <w:bCs/>
                <w:sz w:val="20"/>
                <w:szCs w:val="20"/>
              </w:rPr>
            </w:pPr>
            <w:r w:rsidRPr="007E37EC">
              <w:rPr>
                <w:rFonts w:ascii="Arial" w:hAnsi="Arial" w:cs="Arial"/>
                <w:b/>
                <w:bCs/>
                <w:sz w:val="20"/>
                <w:szCs w:val="20"/>
              </w:rPr>
              <w:t>September-December SI (%)</w:t>
            </w:r>
          </w:p>
        </w:tc>
        <w:tc>
          <w:tcPr>
            <w:tcW w:w="1609" w:type="dxa"/>
            <w:noWrap/>
            <w:vAlign w:val="center"/>
            <w:hideMark/>
          </w:tcPr>
          <w:p w14:paraId="2943565A" w14:textId="77777777" w:rsidR="00595952" w:rsidRPr="007E37EC" w:rsidRDefault="00595952" w:rsidP="00171EC2">
            <w:pPr>
              <w:spacing w:after="160" w:line="360" w:lineRule="auto"/>
              <w:jc w:val="both"/>
              <w:rPr>
                <w:rFonts w:ascii="Arial" w:hAnsi="Arial" w:cs="Arial"/>
                <w:b/>
                <w:bCs/>
                <w:sz w:val="20"/>
                <w:szCs w:val="20"/>
              </w:rPr>
            </w:pPr>
            <w:r w:rsidRPr="007E37EC">
              <w:rPr>
                <w:rFonts w:ascii="Arial" w:hAnsi="Arial" w:cs="Arial"/>
                <w:b/>
                <w:bCs/>
                <w:sz w:val="20"/>
                <w:szCs w:val="20"/>
              </w:rPr>
              <w:t>December-March SI (%)</w:t>
            </w:r>
          </w:p>
        </w:tc>
      </w:tr>
      <w:tr w:rsidR="00595952" w:rsidRPr="007E37EC" w14:paraId="7BB900E9" w14:textId="77777777" w:rsidTr="00A55A9C">
        <w:trPr>
          <w:trHeight w:val="195"/>
        </w:trPr>
        <w:tc>
          <w:tcPr>
            <w:tcW w:w="1722" w:type="dxa"/>
            <w:noWrap/>
            <w:vAlign w:val="center"/>
            <w:hideMark/>
          </w:tcPr>
          <w:p w14:paraId="1E834F1B" w14:textId="77777777" w:rsidR="00595952" w:rsidRPr="007E37EC" w:rsidRDefault="00595952" w:rsidP="00171EC2">
            <w:pPr>
              <w:spacing w:after="160" w:line="360" w:lineRule="auto"/>
              <w:jc w:val="both"/>
              <w:rPr>
                <w:rFonts w:ascii="Arial" w:hAnsi="Arial" w:cs="Arial"/>
                <w:b/>
                <w:bCs/>
                <w:sz w:val="20"/>
                <w:szCs w:val="20"/>
              </w:rPr>
            </w:pPr>
            <w:proofErr w:type="spellStart"/>
            <w:r w:rsidRPr="007E37EC">
              <w:rPr>
                <w:rFonts w:ascii="Arial" w:hAnsi="Arial" w:cs="Arial"/>
                <w:b/>
                <w:bCs/>
                <w:color w:val="000000" w:themeColor="text1"/>
                <w:sz w:val="20"/>
                <w:szCs w:val="20"/>
              </w:rPr>
              <w:t>Coochbehar</w:t>
            </w:r>
            <w:proofErr w:type="spellEnd"/>
            <w:r w:rsidRPr="007E37EC">
              <w:rPr>
                <w:rFonts w:ascii="Arial" w:hAnsi="Arial" w:cs="Arial"/>
                <w:b/>
                <w:bCs/>
                <w:color w:val="000000" w:themeColor="text1"/>
                <w:sz w:val="20"/>
                <w:szCs w:val="20"/>
              </w:rPr>
              <w:t xml:space="preserve"> II</w:t>
            </w:r>
          </w:p>
        </w:tc>
        <w:tc>
          <w:tcPr>
            <w:tcW w:w="1451" w:type="dxa"/>
            <w:noWrap/>
            <w:vAlign w:val="center"/>
            <w:hideMark/>
          </w:tcPr>
          <w:p w14:paraId="2E7E7B6D"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140.23</w:t>
            </w:r>
          </w:p>
        </w:tc>
        <w:tc>
          <w:tcPr>
            <w:tcW w:w="1859" w:type="dxa"/>
            <w:noWrap/>
            <w:vAlign w:val="center"/>
            <w:hideMark/>
          </w:tcPr>
          <w:p w14:paraId="4551DC6A"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91.51</w:t>
            </w:r>
          </w:p>
        </w:tc>
        <w:tc>
          <w:tcPr>
            <w:tcW w:w="1609" w:type="dxa"/>
            <w:noWrap/>
            <w:vAlign w:val="center"/>
            <w:hideMark/>
          </w:tcPr>
          <w:p w14:paraId="7081A3D9"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90.96</w:t>
            </w:r>
          </w:p>
        </w:tc>
        <w:tc>
          <w:tcPr>
            <w:tcW w:w="1609" w:type="dxa"/>
            <w:noWrap/>
            <w:vAlign w:val="center"/>
            <w:hideMark/>
          </w:tcPr>
          <w:p w14:paraId="3877B7C4"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110.99</w:t>
            </w:r>
          </w:p>
        </w:tc>
        <w:tc>
          <w:tcPr>
            <w:tcW w:w="1609" w:type="dxa"/>
            <w:noWrap/>
            <w:vAlign w:val="center"/>
            <w:hideMark/>
          </w:tcPr>
          <w:p w14:paraId="63D19E76"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106.55</w:t>
            </w:r>
          </w:p>
        </w:tc>
      </w:tr>
      <w:tr w:rsidR="00595952" w:rsidRPr="007E37EC" w14:paraId="7192C436" w14:textId="77777777" w:rsidTr="00A55A9C">
        <w:trPr>
          <w:trHeight w:val="195"/>
        </w:trPr>
        <w:tc>
          <w:tcPr>
            <w:tcW w:w="1722" w:type="dxa"/>
            <w:noWrap/>
            <w:vAlign w:val="center"/>
            <w:hideMark/>
          </w:tcPr>
          <w:p w14:paraId="0364E801" w14:textId="77777777" w:rsidR="00595952" w:rsidRPr="007E37EC" w:rsidRDefault="00595952" w:rsidP="00171EC2">
            <w:pPr>
              <w:spacing w:after="160" w:line="360" w:lineRule="auto"/>
              <w:jc w:val="both"/>
              <w:rPr>
                <w:rFonts w:ascii="Arial" w:hAnsi="Arial" w:cs="Arial"/>
                <w:b/>
                <w:bCs/>
                <w:sz w:val="20"/>
                <w:szCs w:val="20"/>
              </w:rPr>
            </w:pPr>
            <w:proofErr w:type="spellStart"/>
            <w:r w:rsidRPr="007E37EC">
              <w:rPr>
                <w:rFonts w:ascii="Arial" w:hAnsi="Arial" w:cs="Arial"/>
                <w:b/>
                <w:bCs/>
                <w:color w:val="000000" w:themeColor="text1"/>
                <w:spacing w:val="-2"/>
                <w:sz w:val="20"/>
                <w:szCs w:val="20"/>
              </w:rPr>
              <w:t>Tufanganj</w:t>
            </w:r>
            <w:proofErr w:type="spellEnd"/>
            <w:r w:rsidRPr="007E37EC">
              <w:rPr>
                <w:rFonts w:ascii="Arial" w:hAnsi="Arial" w:cs="Arial"/>
                <w:b/>
                <w:bCs/>
                <w:color w:val="000000" w:themeColor="text1"/>
                <w:spacing w:val="-2"/>
                <w:sz w:val="20"/>
                <w:szCs w:val="20"/>
              </w:rPr>
              <w:t xml:space="preserve"> I</w:t>
            </w:r>
          </w:p>
        </w:tc>
        <w:tc>
          <w:tcPr>
            <w:tcW w:w="1451" w:type="dxa"/>
            <w:noWrap/>
            <w:vAlign w:val="center"/>
            <w:hideMark/>
          </w:tcPr>
          <w:p w14:paraId="51251D7E"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117.66</w:t>
            </w:r>
          </w:p>
        </w:tc>
        <w:tc>
          <w:tcPr>
            <w:tcW w:w="1859" w:type="dxa"/>
            <w:noWrap/>
            <w:vAlign w:val="center"/>
            <w:hideMark/>
          </w:tcPr>
          <w:p w14:paraId="17E94E48"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91.33</w:t>
            </w:r>
          </w:p>
        </w:tc>
        <w:tc>
          <w:tcPr>
            <w:tcW w:w="1609" w:type="dxa"/>
            <w:noWrap/>
            <w:vAlign w:val="center"/>
            <w:hideMark/>
          </w:tcPr>
          <w:p w14:paraId="6C6CDC06"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89.21</w:t>
            </w:r>
          </w:p>
        </w:tc>
        <w:tc>
          <w:tcPr>
            <w:tcW w:w="1609" w:type="dxa"/>
            <w:noWrap/>
            <w:vAlign w:val="center"/>
            <w:hideMark/>
          </w:tcPr>
          <w:p w14:paraId="2741B10A"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113.58</w:t>
            </w:r>
          </w:p>
        </w:tc>
        <w:tc>
          <w:tcPr>
            <w:tcW w:w="1609" w:type="dxa"/>
            <w:noWrap/>
            <w:vAlign w:val="center"/>
            <w:hideMark/>
          </w:tcPr>
          <w:p w14:paraId="1E31A4FA"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105.88</w:t>
            </w:r>
          </w:p>
        </w:tc>
      </w:tr>
      <w:tr w:rsidR="00595952" w:rsidRPr="007E37EC" w14:paraId="37F59D37" w14:textId="77777777" w:rsidTr="00A55A9C">
        <w:trPr>
          <w:trHeight w:val="195"/>
        </w:trPr>
        <w:tc>
          <w:tcPr>
            <w:tcW w:w="1722" w:type="dxa"/>
            <w:noWrap/>
            <w:vAlign w:val="center"/>
            <w:hideMark/>
          </w:tcPr>
          <w:p w14:paraId="267E5111" w14:textId="77777777" w:rsidR="00595952" w:rsidRPr="007E37EC" w:rsidRDefault="00595952" w:rsidP="00171EC2">
            <w:pPr>
              <w:spacing w:after="160" w:line="360" w:lineRule="auto"/>
              <w:jc w:val="both"/>
              <w:rPr>
                <w:rFonts w:ascii="Arial" w:hAnsi="Arial" w:cs="Arial"/>
                <w:b/>
                <w:bCs/>
                <w:sz w:val="20"/>
                <w:szCs w:val="20"/>
              </w:rPr>
            </w:pPr>
            <w:proofErr w:type="spellStart"/>
            <w:r w:rsidRPr="007E37EC">
              <w:rPr>
                <w:rFonts w:ascii="Arial" w:hAnsi="Arial" w:cs="Arial"/>
                <w:b/>
                <w:bCs/>
                <w:color w:val="000000" w:themeColor="text1"/>
                <w:sz w:val="20"/>
                <w:szCs w:val="20"/>
              </w:rPr>
              <w:t>Alipurduar</w:t>
            </w:r>
            <w:proofErr w:type="spellEnd"/>
            <w:r w:rsidRPr="007E37EC">
              <w:rPr>
                <w:rFonts w:ascii="Arial" w:hAnsi="Arial" w:cs="Arial"/>
                <w:b/>
                <w:bCs/>
                <w:color w:val="000000" w:themeColor="text1"/>
                <w:sz w:val="20"/>
                <w:szCs w:val="20"/>
              </w:rPr>
              <w:t xml:space="preserve"> </w:t>
            </w:r>
            <w:r w:rsidRPr="007E37EC">
              <w:rPr>
                <w:rFonts w:ascii="Arial" w:hAnsi="Arial" w:cs="Arial"/>
                <w:b/>
                <w:bCs/>
                <w:color w:val="000000" w:themeColor="text1"/>
                <w:spacing w:val="-10"/>
                <w:sz w:val="20"/>
                <w:szCs w:val="20"/>
              </w:rPr>
              <w:t>I</w:t>
            </w:r>
          </w:p>
        </w:tc>
        <w:tc>
          <w:tcPr>
            <w:tcW w:w="1451" w:type="dxa"/>
            <w:noWrap/>
            <w:vAlign w:val="center"/>
            <w:hideMark/>
          </w:tcPr>
          <w:p w14:paraId="56F8BFFB"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107.91</w:t>
            </w:r>
          </w:p>
        </w:tc>
        <w:tc>
          <w:tcPr>
            <w:tcW w:w="1859" w:type="dxa"/>
            <w:noWrap/>
            <w:vAlign w:val="center"/>
            <w:hideMark/>
          </w:tcPr>
          <w:p w14:paraId="1FE9F2FA"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91.31</w:t>
            </w:r>
          </w:p>
        </w:tc>
        <w:tc>
          <w:tcPr>
            <w:tcW w:w="1609" w:type="dxa"/>
            <w:noWrap/>
            <w:vAlign w:val="center"/>
            <w:hideMark/>
          </w:tcPr>
          <w:p w14:paraId="6D1B1EC9"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90.66</w:t>
            </w:r>
          </w:p>
        </w:tc>
        <w:tc>
          <w:tcPr>
            <w:tcW w:w="1609" w:type="dxa"/>
            <w:noWrap/>
            <w:vAlign w:val="center"/>
            <w:hideMark/>
          </w:tcPr>
          <w:p w14:paraId="4478E72D"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111.15</w:t>
            </w:r>
          </w:p>
        </w:tc>
        <w:tc>
          <w:tcPr>
            <w:tcW w:w="1609" w:type="dxa"/>
            <w:noWrap/>
            <w:vAlign w:val="center"/>
            <w:hideMark/>
          </w:tcPr>
          <w:p w14:paraId="6D498163"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106.89</w:t>
            </w:r>
          </w:p>
        </w:tc>
      </w:tr>
      <w:tr w:rsidR="00595952" w:rsidRPr="007E37EC" w14:paraId="4C670B0D" w14:textId="77777777" w:rsidTr="00A55A9C">
        <w:trPr>
          <w:trHeight w:val="195"/>
        </w:trPr>
        <w:tc>
          <w:tcPr>
            <w:tcW w:w="1722" w:type="dxa"/>
            <w:noWrap/>
            <w:vAlign w:val="center"/>
            <w:hideMark/>
          </w:tcPr>
          <w:p w14:paraId="649D1055" w14:textId="77777777" w:rsidR="00595952" w:rsidRPr="007E37EC" w:rsidRDefault="00595952" w:rsidP="00171EC2">
            <w:pPr>
              <w:spacing w:after="160" w:line="360" w:lineRule="auto"/>
              <w:jc w:val="both"/>
              <w:rPr>
                <w:rFonts w:ascii="Arial" w:hAnsi="Arial" w:cs="Arial"/>
                <w:b/>
                <w:bCs/>
                <w:sz w:val="20"/>
                <w:szCs w:val="20"/>
              </w:rPr>
            </w:pPr>
            <w:proofErr w:type="spellStart"/>
            <w:r w:rsidRPr="007E37EC">
              <w:rPr>
                <w:rFonts w:ascii="Arial" w:hAnsi="Arial" w:cs="Arial"/>
                <w:b/>
                <w:bCs/>
                <w:color w:val="000000" w:themeColor="text1"/>
                <w:sz w:val="20"/>
                <w:szCs w:val="20"/>
              </w:rPr>
              <w:lastRenderedPageBreak/>
              <w:t>Alipurduar</w:t>
            </w:r>
            <w:proofErr w:type="spellEnd"/>
            <w:r w:rsidRPr="007E37EC">
              <w:rPr>
                <w:rFonts w:ascii="Arial" w:hAnsi="Arial" w:cs="Arial"/>
                <w:b/>
                <w:bCs/>
                <w:color w:val="000000" w:themeColor="text1"/>
                <w:sz w:val="20"/>
                <w:szCs w:val="20"/>
              </w:rPr>
              <w:t xml:space="preserve"> </w:t>
            </w:r>
            <w:r w:rsidRPr="007E37EC">
              <w:rPr>
                <w:rFonts w:ascii="Arial" w:hAnsi="Arial" w:cs="Arial"/>
                <w:b/>
                <w:bCs/>
                <w:color w:val="000000" w:themeColor="text1"/>
                <w:spacing w:val="-5"/>
                <w:sz w:val="20"/>
                <w:szCs w:val="20"/>
              </w:rPr>
              <w:t>II</w:t>
            </w:r>
          </w:p>
        </w:tc>
        <w:tc>
          <w:tcPr>
            <w:tcW w:w="1451" w:type="dxa"/>
            <w:noWrap/>
            <w:vAlign w:val="center"/>
            <w:hideMark/>
          </w:tcPr>
          <w:p w14:paraId="78888669"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119.15</w:t>
            </w:r>
          </w:p>
        </w:tc>
        <w:tc>
          <w:tcPr>
            <w:tcW w:w="1859" w:type="dxa"/>
            <w:noWrap/>
            <w:vAlign w:val="center"/>
            <w:hideMark/>
          </w:tcPr>
          <w:p w14:paraId="28995BD0"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90.56</w:t>
            </w:r>
          </w:p>
        </w:tc>
        <w:tc>
          <w:tcPr>
            <w:tcW w:w="1609" w:type="dxa"/>
            <w:noWrap/>
            <w:vAlign w:val="center"/>
            <w:hideMark/>
          </w:tcPr>
          <w:p w14:paraId="1E64032C"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86.68</w:t>
            </w:r>
          </w:p>
        </w:tc>
        <w:tc>
          <w:tcPr>
            <w:tcW w:w="1609" w:type="dxa"/>
            <w:noWrap/>
            <w:vAlign w:val="center"/>
            <w:hideMark/>
          </w:tcPr>
          <w:p w14:paraId="7DDA62D5"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114.71</w:t>
            </w:r>
          </w:p>
        </w:tc>
        <w:tc>
          <w:tcPr>
            <w:tcW w:w="1609" w:type="dxa"/>
            <w:noWrap/>
            <w:vAlign w:val="center"/>
            <w:hideMark/>
          </w:tcPr>
          <w:p w14:paraId="3E0E79E5" w14:textId="77777777" w:rsidR="00595952" w:rsidRPr="007E37EC" w:rsidRDefault="00595952" w:rsidP="00171EC2">
            <w:pPr>
              <w:spacing w:after="160" w:line="360" w:lineRule="auto"/>
              <w:jc w:val="both"/>
              <w:rPr>
                <w:rFonts w:ascii="Arial" w:hAnsi="Arial" w:cs="Arial"/>
                <w:sz w:val="20"/>
                <w:szCs w:val="20"/>
              </w:rPr>
            </w:pPr>
            <w:r w:rsidRPr="007E37EC">
              <w:rPr>
                <w:rFonts w:ascii="Arial" w:hAnsi="Arial" w:cs="Arial"/>
                <w:sz w:val="20"/>
                <w:szCs w:val="20"/>
              </w:rPr>
              <w:t>108.05</w:t>
            </w:r>
          </w:p>
        </w:tc>
      </w:tr>
      <w:tr w:rsidR="00595952" w:rsidRPr="007E37EC" w14:paraId="242323AC" w14:textId="77777777" w:rsidTr="00A55A9C">
        <w:trPr>
          <w:trHeight w:val="897"/>
        </w:trPr>
        <w:tc>
          <w:tcPr>
            <w:tcW w:w="1722" w:type="dxa"/>
            <w:noWrap/>
            <w:vAlign w:val="center"/>
          </w:tcPr>
          <w:p w14:paraId="281FC8CB" w14:textId="77777777" w:rsidR="00595952" w:rsidRPr="007E37EC" w:rsidRDefault="00595952" w:rsidP="00171EC2">
            <w:pPr>
              <w:spacing w:line="360" w:lineRule="auto"/>
              <w:jc w:val="both"/>
              <w:rPr>
                <w:rFonts w:ascii="Arial" w:hAnsi="Arial" w:cs="Arial"/>
                <w:b/>
                <w:bCs/>
                <w:sz w:val="20"/>
                <w:szCs w:val="20"/>
              </w:rPr>
            </w:pPr>
            <w:r w:rsidRPr="007E37EC">
              <w:rPr>
                <w:rFonts w:ascii="Arial" w:hAnsi="Arial" w:cs="Arial"/>
                <w:b/>
                <w:bCs/>
                <w:sz w:val="20"/>
                <w:szCs w:val="20"/>
              </w:rPr>
              <w:t>Total</w:t>
            </w:r>
          </w:p>
        </w:tc>
        <w:tc>
          <w:tcPr>
            <w:tcW w:w="1451" w:type="dxa"/>
            <w:noWrap/>
            <w:vAlign w:val="center"/>
          </w:tcPr>
          <w:p w14:paraId="6666C9C4" w14:textId="77777777" w:rsidR="00595952" w:rsidRPr="007E37EC" w:rsidRDefault="00595952" w:rsidP="00171EC2">
            <w:pPr>
              <w:spacing w:line="360" w:lineRule="auto"/>
              <w:jc w:val="both"/>
              <w:rPr>
                <w:rFonts w:ascii="Arial" w:hAnsi="Arial" w:cs="Arial"/>
                <w:b/>
                <w:bCs/>
                <w:sz w:val="20"/>
                <w:szCs w:val="20"/>
              </w:rPr>
            </w:pPr>
            <w:r w:rsidRPr="007E37EC">
              <w:rPr>
                <w:rFonts w:ascii="Arial" w:hAnsi="Arial" w:cs="Arial"/>
                <w:b/>
                <w:bCs/>
                <w:sz w:val="20"/>
                <w:szCs w:val="20"/>
              </w:rPr>
              <w:t>124.69</w:t>
            </w:r>
          </w:p>
        </w:tc>
        <w:tc>
          <w:tcPr>
            <w:tcW w:w="1859" w:type="dxa"/>
            <w:noWrap/>
            <w:vAlign w:val="center"/>
          </w:tcPr>
          <w:p w14:paraId="105762FC" w14:textId="77777777" w:rsidR="00595952" w:rsidRPr="007E37EC" w:rsidRDefault="00595952" w:rsidP="00171EC2">
            <w:pPr>
              <w:spacing w:line="360" w:lineRule="auto"/>
              <w:jc w:val="both"/>
              <w:rPr>
                <w:rFonts w:ascii="Arial" w:hAnsi="Arial" w:cs="Arial"/>
                <w:b/>
                <w:bCs/>
                <w:sz w:val="20"/>
                <w:szCs w:val="20"/>
              </w:rPr>
            </w:pPr>
            <w:r w:rsidRPr="007E37EC">
              <w:rPr>
                <w:rFonts w:ascii="Arial" w:hAnsi="Arial" w:cs="Arial"/>
                <w:b/>
                <w:bCs/>
                <w:sz w:val="20"/>
                <w:szCs w:val="20"/>
              </w:rPr>
              <w:t>91.24</w:t>
            </w:r>
          </w:p>
        </w:tc>
        <w:tc>
          <w:tcPr>
            <w:tcW w:w="1609" w:type="dxa"/>
            <w:noWrap/>
            <w:vAlign w:val="center"/>
          </w:tcPr>
          <w:p w14:paraId="037D1DEA" w14:textId="77777777" w:rsidR="00595952" w:rsidRPr="007E37EC" w:rsidRDefault="00595952" w:rsidP="00171EC2">
            <w:pPr>
              <w:spacing w:line="360" w:lineRule="auto"/>
              <w:jc w:val="both"/>
              <w:rPr>
                <w:rFonts w:ascii="Arial" w:hAnsi="Arial" w:cs="Arial"/>
                <w:b/>
                <w:bCs/>
                <w:sz w:val="20"/>
                <w:szCs w:val="20"/>
              </w:rPr>
            </w:pPr>
            <w:r w:rsidRPr="007E37EC">
              <w:rPr>
                <w:rFonts w:ascii="Arial" w:hAnsi="Arial" w:cs="Arial"/>
                <w:b/>
                <w:bCs/>
                <w:sz w:val="20"/>
                <w:szCs w:val="20"/>
              </w:rPr>
              <w:t>89.52</w:t>
            </w:r>
          </w:p>
        </w:tc>
        <w:tc>
          <w:tcPr>
            <w:tcW w:w="1609" w:type="dxa"/>
            <w:noWrap/>
            <w:vAlign w:val="center"/>
          </w:tcPr>
          <w:p w14:paraId="71F14E9B" w14:textId="77777777" w:rsidR="00595952" w:rsidRPr="007E37EC" w:rsidRDefault="00595952" w:rsidP="00171EC2">
            <w:pPr>
              <w:spacing w:line="360" w:lineRule="auto"/>
              <w:jc w:val="both"/>
              <w:rPr>
                <w:rFonts w:ascii="Arial" w:hAnsi="Arial" w:cs="Arial"/>
                <w:b/>
                <w:bCs/>
                <w:sz w:val="20"/>
                <w:szCs w:val="20"/>
              </w:rPr>
            </w:pPr>
            <w:r w:rsidRPr="007E37EC">
              <w:rPr>
                <w:rFonts w:ascii="Arial" w:hAnsi="Arial" w:cs="Arial"/>
                <w:b/>
                <w:bCs/>
                <w:sz w:val="20"/>
                <w:szCs w:val="20"/>
              </w:rPr>
              <w:t>112.57</w:t>
            </w:r>
          </w:p>
        </w:tc>
        <w:tc>
          <w:tcPr>
            <w:tcW w:w="1609" w:type="dxa"/>
            <w:noWrap/>
            <w:vAlign w:val="center"/>
          </w:tcPr>
          <w:p w14:paraId="51617DC7" w14:textId="77777777" w:rsidR="00595952" w:rsidRPr="007E37EC" w:rsidRDefault="00595952" w:rsidP="00171EC2">
            <w:pPr>
              <w:spacing w:line="360" w:lineRule="auto"/>
              <w:jc w:val="both"/>
              <w:rPr>
                <w:rFonts w:ascii="Arial" w:hAnsi="Arial" w:cs="Arial"/>
                <w:b/>
                <w:bCs/>
                <w:sz w:val="20"/>
                <w:szCs w:val="20"/>
              </w:rPr>
            </w:pPr>
            <w:r w:rsidRPr="007E37EC">
              <w:rPr>
                <w:rFonts w:ascii="Arial" w:hAnsi="Arial" w:cs="Arial"/>
                <w:b/>
                <w:bCs/>
                <w:sz w:val="20"/>
                <w:szCs w:val="20"/>
              </w:rPr>
              <w:t>106.67</w:t>
            </w:r>
          </w:p>
        </w:tc>
      </w:tr>
    </w:tbl>
    <w:p w14:paraId="2BF8B741" w14:textId="77777777" w:rsidR="005D25FA" w:rsidRDefault="005D25FA" w:rsidP="00171EC2">
      <w:pPr>
        <w:spacing w:line="360" w:lineRule="auto"/>
        <w:jc w:val="both"/>
        <w:rPr>
          <w:rFonts w:ascii="Arial" w:hAnsi="Arial" w:cs="Arial"/>
          <w:sz w:val="20"/>
          <w:szCs w:val="20"/>
        </w:rPr>
      </w:pPr>
    </w:p>
    <w:p w14:paraId="1BB47D5C" w14:textId="31B5F159" w:rsidR="00595952" w:rsidRPr="007E37EC" w:rsidRDefault="00595952" w:rsidP="00171EC2">
      <w:pPr>
        <w:spacing w:line="360" w:lineRule="auto"/>
        <w:jc w:val="both"/>
        <w:rPr>
          <w:rFonts w:ascii="Arial" w:hAnsi="Arial" w:cs="Arial"/>
          <w:b/>
          <w:bCs/>
          <w:color w:val="000000" w:themeColor="text1"/>
          <w:sz w:val="20"/>
          <w:szCs w:val="20"/>
        </w:rPr>
      </w:pPr>
      <w:r w:rsidRPr="007E37EC">
        <w:rPr>
          <w:rFonts w:ascii="Arial" w:hAnsi="Arial" w:cs="Arial"/>
          <w:color w:val="000000" w:themeColor="text1"/>
          <w:sz w:val="20"/>
          <w:szCs w:val="20"/>
        </w:rPr>
        <w:t xml:space="preserve">This table showcases the seasonal ups and downs in sweet curd </w:t>
      </w:r>
      <w:r w:rsidR="00637349" w:rsidRPr="007E37EC">
        <w:rPr>
          <w:rFonts w:ascii="Arial" w:hAnsi="Arial" w:cs="Arial"/>
          <w:color w:val="000000" w:themeColor="text1"/>
          <w:sz w:val="20"/>
          <w:szCs w:val="20"/>
        </w:rPr>
        <w:t>demand</w:t>
      </w:r>
      <w:r w:rsidRPr="007E37EC">
        <w:rPr>
          <w:rFonts w:ascii="Arial" w:hAnsi="Arial" w:cs="Arial"/>
          <w:color w:val="000000" w:themeColor="text1"/>
          <w:sz w:val="20"/>
          <w:szCs w:val="20"/>
        </w:rPr>
        <w:t xml:space="preserve"> across different regional markets, measured by Seasonal Indices (SI). Production exhibits a notable decline and conversely, with SIs ranging from 86% to 92%. The decline is particularly sharp, hitting 89.52% from July to September, largely due to monsoon-related issues like a decrease in milk supply and spoilage</w:t>
      </w:r>
      <w:r w:rsidR="00637349" w:rsidRPr="007E37EC">
        <w:rPr>
          <w:rFonts w:ascii="Arial" w:hAnsi="Arial" w:cs="Arial"/>
          <w:color w:val="000000" w:themeColor="text1"/>
          <w:sz w:val="20"/>
          <w:szCs w:val="20"/>
        </w:rPr>
        <w:t xml:space="preserve"> due to warm humid weather</w:t>
      </w:r>
      <w:r w:rsidRPr="007E37EC">
        <w:rPr>
          <w:rFonts w:ascii="Arial" w:hAnsi="Arial" w:cs="Arial"/>
          <w:color w:val="000000" w:themeColor="text1"/>
          <w:sz w:val="20"/>
          <w:szCs w:val="20"/>
        </w:rPr>
        <w:t xml:space="preserve">. On the flip side, from September to December, production soars to a peak of 112.57% SI, thanks to better post-monsoon </w:t>
      </w:r>
      <w:r w:rsidR="00637349" w:rsidRPr="007E37EC">
        <w:rPr>
          <w:rFonts w:ascii="Arial" w:hAnsi="Arial" w:cs="Arial"/>
          <w:color w:val="000000" w:themeColor="text1"/>
          <w:sz w:val="20"/>
          <w:szCs w:val="20"/>
        </w:rPr>
        <w:t xml:space="preserve">weather </w:t>
      </w:r>
      <w:r w:rsidRPr="007E37EC">
        <w:rPr>
          <w:rFonts w:ascii="Arial" w:hAnsi="Arial" w:cs="Arial"/>
          <w:color w:val="000000" w:themeColor="text1"/>
          <w:sz w:val="20"/>
          <w:szCs w:val="20"/>
        </w:rPr>
        <w:t xml:space="preserve">conditions and the festive season's demand. </w:t>
      </w:r>
      <w:proofErr w:type="spellStart"/>
      <w:r w:rsidRPr="007E37EC">
        <w:rPr>
          <w:rFonts w:ascii="Arial" w:hAnsi="Arial" w:cs="Arial"/>
          <w:color w:val="000000" w:themeColor="text1"/>
          <w:sz w:val="20"/>
          <w:szCs w:val="20"/>
        </w:rPr>
        <w:t>Alipurduar</w:t>
      </w:r>
      <w:proofErr w:type="spellEnd"/>
      <w:r w:rsidRPr="007E37EC">
        <w:rPr>
          <w:rFonts w:ascii="Arial" w:hAnsi="Arial" w:cs="Arial"/>
          <w:color w:val="000000" w:themeColor="text1"/>
          <w:sz w:val="20"/>
          <w:szCs w:val="20"/>
        </w:rPr>
        <w:t>-II stands out with the most significant seasonal variation, showing a 28-point gap between its highest and lowest production levels. The period from December to March also remains robust at 106.67% SI, benefiting from favourable winter weather and continued festival demand. These patterns highlight the importance of strategic planning in capacity, working capital, and inventory management to ensure profitability throughout the year (Kumar et al., 2011; Parmar et al., 2020).</w:t>
      </w:r>
    </w:p>
    <w:p w14:paraId="68981C42" w14:textId="45418CFB" w:rsidR="003E3F7A" w:rsidRPr="007E37EC" w:rsidRDefault="00C572D2" w:rsidP="00171EC2">
      <w:pPr>
        <w:spacing w:line="360" w:lineRule="auto"/>
        <w:jc w:val="both"/>
        <w:rPr>
          <w:rFonts w:ascii="Arial" w:hAnsi="Arial" w:cs="Arial"/>
          <w:sz w:val="20"/>
          <w:szCs w:val="20"/>
        </w:rPr>
      </w:pPr>
      <w:r w:rsidRPr="007E37EC">
        <w:rPr>
          <w:rFonts w:ascii="Arial" w:hAnsi="Arial" w:cs="Arial"/>
          <w:sz w:val="20"/>
          <w:szCs w:val="20"/>
        </w:rPr>
        <w:t>Financial evaluation across Terai district production facilities reveals substantial variations in operational expenses and return margins</w:t>
      </w:r>
      <w:r w:rsidR="003E3F7A" w:rsidRPr="007E37EC">
        <w:rPr>
          <w:rFonts w:ascii="Arial" w:hAnsi="Arial" w:cs="Arial"/>
          <w:sz w:val="20"/>
          <w:szCs w:val="20"/>
        </w:rPr>
        <w:t xml:space="preserve">, primarily influenced by fluid milk, which accounts for 59-62% of production costs. </w:t>
      </w:r>
      <w:proofErr w:type="spellStart"/>
      <w:r w:rsidR="003E3F7A" w:rsidRPr="007E37EC">
        <w:rPr>
          <w:rFonts w:ascii="Arial" w:hAnsi="Arial" w:cs="Arial"/>
          <w:sz w:val="20"/>
          <w:szCs w:val="20"/>
        </w:rPr>
        <w:t>Coochbehar</w:t>
      </w:r>
      <w:proofErr w:type="spellEnd"/>
      <w:r w:rsidR="003E3F7A" w:rsidRPr="007E37EC">
        <w:rPr>
          <w:rFonts w:ascii="Arial" w:hAnsi="Arial" w:cs="Arial"/>
          <w:sz w:val="20"/>
          <w:szCs w:val="20"/>
        </w:rPr>
        <w:t xml:space="preserve"> II is more efficient (Rs 36.61/L) than </w:t>
      </w:r>
      <w:proofErr w:type="spellStart"/>
      <w:r w:rsidR="003E3F7A" w:rsidRPr="007E37EC">
        <w:rPr>
          <w:rFonts w:ascii="Arial" w:hAnsi="Arial" w:cs="Arial"/>
          <w:sz w:val="20"/>
          <w:szCs w:val="20"/>
        </w:rPr>
        <w:t>Alipurduar</w:t>
      </w:r>
      <w:proofErr w:type="spellEnd"/>
      <w:r w:rsidR="003E3F7A" w:rsidRPr="007E37EC">
        <w:rPr>
          <w:rFonts w:ascii="Arial" w:hAnsi="Arial" w:cs="Arial"/>
          <w:sz w:val="20"/>
          <w:szCs w:val="20"/>
        </w:rPr>
        <w:t xml:space="preserve"> (Rs 42.91/L), where an oligopolistic market structure (CR4: 100%, HHI: 2,548.72) favo</w:t>
      </w:r>
      <w:r w:rsidR="00A60683" w:rsidRPr="007E37EC">
        <w:rPr>
          <w:rFonts w:ascii="Arial" w:hAnsi="Arial" w:cs="Arial"/>
          <w:sz w:val="20"/>
          <w:szCs w:val="20"/>
        </w:rPr>
        <w:t>u</w:t>
      </w:r>
      <w:r w:rsidR="003E3F7A" w:rsidRPr="007E37EC">
        <w:rPr>
          <w:rFonts w:ascii="Arial" w:hAnsi="Arial" w:cs="Arial"/>
          <w:sz w:val="20"/>
          <w:szCs w:val="20"/>
        </w:rPr>
        <w:t xml:space="preserve">rs established firms with economies of scale. The benefit-cost ratio ranges from 1.44 to 1.72, showing that procurement efficiency greatly affects profitability, with </w:t>
      </w:r>
      <w:proofErr w:type="spellStart"/>
      <w:r w:rsidR="003E3F7A" w:rsidRPr="007E37EC">
        <w:rPr>
          <w:rFonts w:ascii="Arial" w:hAnsi="Arial" w:cs="Arial"/>
          <w:sz w:val="20"/>
          <w:szCs w:val="20"/>
        </w:rPr>
        <w:t>Coochbehar</w:t>
      </w:r>
      <w:proofErr w:type="spellEnd"/>
      <w:r w:rsidR="003E3F7A" w:rsidRPr="007E37EC">
        <w:rPr>
          <w:rFonts w:ascii="Arial" w:hAnsi="Arial" w:cs="Arial"/>
          <w:sz w:val="20"/>
          <w:szCs w:val="20"/>
        </w:rPr>
        <w:t xml:space="preserve"> II achieving a 71.9% profit margin compared to </w:t>
      </w:r>
      <w:proofErr w:type="spellStart"/>
      <w:r w:rsidR="003E3F7A" w:rsidRPr="007E37EC">
        <w:rPr>
          <w:rFonts w:ascii="Arial" w:hAnsi="Arial" w:cs="Arial"/>
          <w:sz w:val="20"/>
          <w:szCs w:val="20"/>
        </w:rPr>
        <w:t>Alipurduar</w:t>
      </w:r>
      <w:proofErr w:type="spellEnd"/>
      <w:r w:rsidR="003E3F7A" w:rsidRPr="007E37EC">
        <w:rPr>
          <w:rFonts w:ascii="Arial" w:hAnsi="Arial" w:cs="Arial"/>
          <w:sz w:val="20"/>
          <w:szCs w:val="20"/>
        </w:rPr>
        <w:t xml:space="preserve"> II's 42.5%. </w:t>
      </w:r>
      <w:r w:rsidR="00F75CDA" w:rsidRPr="007E37EC">
        <w:rPr>
          <w:rFonts w:ascii="Arial" w:hAnsi="Arial" w:cs="Arial"/>
          <w:sz w:val="20"/>
          <w:szCs w:val="20"/>
        </w:rPr>
        <w:t>Labo</w:t>
      </w:r>
      <w:r w:rsidR="00A60683" w:rsidRPr="007E37EC">
        <w:rPr>
          <w:rFonts w:ascii="Arial" w:hAnsi="Arial" w:cs="Arial"/>
          <w:sz w:val="20"/>
          <w:szCs w:val="20"/>
        </w:rPr>
        <w:t>u</w:t>
      </w:r>
      <w:r w:rsidR="00F75CDA" w:rsidRPr="007E37EC">
        <w:rPr>
          <w:rFonts w:ascii="Arial" w:hAnsi="Arial" w:cs="Arial"/>
          <w:sz w:val="20"/>
          <w:szCs w:val="20"/>
        </w:rPr>
        <w:t>r</w:t>
      </w:r>
      <w:r w:rsidR="003E3F7A" w:rsidRPr="007E37EC">
        <w:rPr>
          <w:rFonts w:ascii="Arial" w:hAnsi="Arial" w:cs="Arial"/>
          <w:sz w:val="20"/>
          <w:szCs w:val="20"/>
        </w:rPr>
        <w:t xml:space="preserve"> </w:t>
      </w:r>
      <w:r w:rsidR="00A60683" w:rsidRPr="007E37EC">
        <w:rPr>
          <w:rFonts w:ascii="Arial" w:hAnsi="Arial" w:cs="Arial"/>
          <w:sz w:val="20"/>
          <w:szCs w:val="20"/>
        </w:rPr>
        <w:t xml:space="preserve">engagement </w:t>
      </w:r>
      <w:r w:rsidR="003E3F7A" w:rsidRPr="007E37EC">
        <w:rPr>
          <w:rFonts w:ascii="Arial" w:hAnsi="Arial" w:cs="Arial"/>
          <w:sz w:val="20"/>
          <w:szCs w:val="20"/>
        </w:rPr>
        <w:t>anal</w:t>
      </w:r>
      <w:r w:rsidR="00E25A59" w:rsidRPr="007E37EC">
        <w:rPr>
          <w:rFonts w:ascii="Arial" w:hAnsi="Arial" w:cs="Arial"/>
          <w:sz w:val="20"/>
          <w:szCs w:val="20"/>
        </w:rPr>
        <w:t>ysis indicates that family</w:t>
      </w:r>
      <w:r w:rsidR="003E3F7A" w:rsidRPr="007E37EC">
        <w:rPr>
          <w:rFonts w:ascii="Arial" w:hAnsi="Arial" w:cs="Arial"/>
          <w:sz w:val="20"/>
          <w:szCs w:val="20"/>
        </w:rPr>
        <w:t xml:space="preserve"> </w:t>
      </w:r>
      <w:r w:rsidR="00E25A59" w:rsidRPr="007E37EC">
        <w:rPr>
          <w:rFonts w:ascii="Arial" w:hAnsi="Arial" w:cs="Arial"/>
          <w:sz w:val="20"/>
          <w:szCs w:val="20"/>
        </w:rPr>
        <w:t>l</w:t>
      </w:r>
      <w:r w:rsidR="00F75CDA" w:rsidRPr="007E37EC">
        <w:rPr>
          <w:rFonts w:ascii="Arial" w:hAnsi="Arial" w:cs="Arial"/>
          <w:sz w:val="20"/>
          <w:szCs w:val="20"/>
        </w:rPr>
        <w:t>abo</w:t>
      </w:r>
      <w:r w:rsidR="00E25A59" w:rsidRPr="007E37EC">
        <w:rPr>
          <w:rFonts w:ascii="Arial" w:hAnsi="Arial" w:cs="Arial"/>
          <w:sz w:val="20"/>
          <w:szCs w:val="20"/>
        </w:rPr>
        <w:t>u</w:t>
      </w:r>
      <w:r w:rsidR="00F75CDA" w:rsidRPr="007E37EC">
        <w:rPr>
          <w:rFonts w:ascii="Arial" w:hAnsi="Arial" w:cs="Arial"/>
          <w:sz w:val="20"/>
          <w:szCs w:val="20"/>
        </w:rPr>
        <w:t>r</w:t>
      </w:r>
      <w:r w:rsidR="003E3F7A" w:rsidRPr="007E37EC">
        <w:rPr>
          <w:rFonts w:ascii="Arial" w:hAnsi="Arial" w:cs="Arial"/>
          <w:sz w:val="20"/>
          <w:szCs w:val="20"/>
        </w:rPr>
        <w:t xml:space="preserve"> optimizes resource use in smaller operations. Seasonal production variability (SI: 86-113%) presents challenges, especially during monsoons (89.52% SI), but peaks in festive seasons (112.57% SI) allow for profit maximization. A spoilage rate below 0.64% suggests effective quality control across regions, despite economic disparities.</w:t>
      </w:r>
    </w:p>
    <w:p w14:paraId="4E9CD866" w14:textId="77777777" w:rsidR="003E3F7A" w:rsidRPr="007E37EC" w:rsidRDefault="003E3F7A" w:rsidP="00171EC2">
      <w:pPr>
        <w:spacing w:line="360" w:lineRule="auto"/>
        <w:jc w:val="both"/>
        <w:rPr>
          <w:rFonts w:ascii="Arial" w:hAnsi="Arial" w:cs="Arial"/>
          <w:b/>
          <w:bCs/>
          <w:color w:val="000000" w:themeColor="text1"/>
        </w:rPr>
      </w:pPr>
      <w:r w:rsidRPr="007E37EC">
        <w:rPr>
          <w:rFonts w:ascii="Arial" w:hAnsi="Arial" w:cs="Arial"/>
          <w:b/>
          <w:bCs/>
          <w:color w:val="000000" w:themeColor="text1"/>
        </w:rPr>
        <w:t>5.Conclusion</w:t>
      </w:r>
    </w:p>
    <w:p w14:paraId="1F34505F" w14:textId="327CF468" w:rsidR="008B2E36" w:rsidRPr="007E37EC" w:rsidRDefault="00F2175E" w:rsidP="00171EC2">
      <w:pPr>
        <w:spacing w:line="360" w:lineRule="auto"/>
        <w:jc w:val="both"/>
        <w:rPr>
          <w:rFonts w:ascii="Arial" w:hAnsi="Arial" w:cs="Arial"/>
        </w:rPr>
      </w:pPr>
      <w:r w:rsidRPr="007E37EC">
        <w:rPr>
          <w:rFonts w:ascii="Arial" w:hAnsi="Arial" w:cs="Arial"/>
          <w:sz w:val="20"/>
          <w:szCs w:val="20"/>
        </w:rPr>
        <w:t xml:space="preserve">The investigation establishes the financial viability of </w:t>
      </w:r>
      <w:r w:rsidR="00500E85" w:rsidRPr="007E37EC">
        <w:rPr>
          <w:rFonts w:ascii="Arial" w:hAnsi="Arial" w:cs="Arial"/>
          <w:sz w:val="20"/>
          <w:szCs w:val="20"/>
        </w:rPr>
        <w:t>sweet</w:t>
      </w:r>
      <w:r w:rsidRPr="007E37EC">
        <w:rPr>
          <w:rFonts w:ascii="Arial" w:hAnsi="Arial" w:cs="Arial"/>
          <w:sz w:val="20"/>
          <w:szCs w:val="20"/>
        </w:rPr>
        <w:t xml:space="preserve"> curd </w:t>
      </w:r>
      <w:r w:rsidR="00E25A59" w:rsidRPr="007E37EC">
        <w:rPr>
          <w:rFonts w:ascii="Arial" w:hAnsi="Arial" w:cs="Arial"/>
          <w:sz w:val="20"/>
          <w:szCs w:val="20"/>
        </w:rPr>
        <w:t>processing</w:t>
      </w:r>
      <w:r w:rsidRPr="007E37EC">
        <w:rPr>
          <w:rFonts w:ascii="Arial" w:hAnsi="Arial" w:cs="Arial"/>
          <w:sz w:val="20"/>
          <w:szCs w:val="20"/>
        </w:rPr>
        <w:t xml:space="preserve"> across Terai region facilities, with benefit-cost analysis yielding favo</w:t>
      </w:r>
      <w:r w:rsidR="00E25A59" w:rsidRPr="007E37EC">
        <w:rPr>
          <w:rFonts w:ascii="Arial" w:hAnsi="Arial" w:cs="Arial"/>
          <w:sz w:val="20"/>
          <w:szCs w:val="20"/>
        </w:rPr>
        <w:t>u</w:t>
      </w:r>
      <w:r w:rsidRPr="007E37EC">
        <w:rPr>
          <w:rFonts w:ascii="Arial" w:hAnsi="Arial" w:cs="Arial"/>
          <w:sz w:val="20"/>
          <w:szCs w:val="20"/>
        </w:rPr>
        <w:t xml:space="preserve">rable </w:t>
      </w:r>
      <w:r w:rsidR="00E25A59" w:rsidRPr="007E37EC">
        <w:rPr>
          <w:rFonts w:ascii="Arial" w:hAnsi="Arial" w:cs="Arial"/>
          <w:sz w:val="20"/>
          <w:szCs w:val="20"/>
        </w:rPr>
        <w:t xml:space="preserve">benefit cost </w:t>
      </w:r>
      <w:r w:rsidRPr="007E37EC">
        <w:rPr>
          <w:rFonts w:ascii="Arial" w:hAnsi="Arial" w:cs="Arial"/>
          <w:sz w:val="20"/>
          <w:szCs w:val="20"/>
        </w:rPr>
        <w:t>ratios averaging 1.61</w:t>
      </w:r>
      <w:r w:rsidR="003E3F7A" w:rsidRPr="007E37EC">
        <w:rPr>
          <w:rFonts w:ascii="Arial" w:hAnsi="Arial" w:cs="Arial"/>
          <w:sz w:val="20"/>
          <w:szCs w:val="20"/>
        </w:rPr>
        <w:t xml:space="preserve"> and profit margins </w:t>
      </w:r>
      <w:r w:rsidR="00797D54" w:rsidRPr="007E37EC">
        <w:rPr>
          <w:rFonts w:ascii="Arial" w:hAnsi="Arial" w:cs="Arial"/>
          <w:sz w:val="20"/>
          <w:szCs w:val="20"/>
        </w:rPr>
        <w:t>of</w:t>
      </w:r>
      <w:r w:rsidR="003E3F7A" w:rsidRPr="007E37EC">
        <w:rPr>
          <w:rFonts w:ascii="Arial" w:hAnsi="Arial" w:cs="Arial"/>
          <w:sz w:val="20"/>
          <w:szCs w:val="20"/>
        </w:rPr>
        <w:t xml:space="preserve"> 37.9%. However, the differences in performance across regions call for targeted interventi</w:t>
      </w:r>
      <w:r w:rsidR="00E25A59" w:rsidRPr="007E37EC">
        <w:rPr>
          <w:rFonts w:ascii="Arial" w:hAnsi="Arial" w:cs="Arial"/>
          <w:sz w:val="20"/>
          <w:szCs w:val="20"/>
        </w:rPr>
        <w:t xml:space="preserve">ons. </w:t>
      </w:r>
      <w:r w:rsidR="003E3F7A" w:rsidRPr="007E37EC">
        <w:rPr>
          <w:rFonts w:ascii="Arial" w:hAnsi="Arial" w:cs="Arial"/>
          <w:sz w:val="20"/>
          <w:szCs w:val="20"/>
        </w:rPr>
        <w:t xml:space="preserve">The current oligopolistic market structure offers stability for established </w:t>
      </w:r>
      <w:r w:rsidR="00E25A59" w:rsidRPr="007E37EC">
        <w:rPr>
          <w:rFonts w:ascii="Arial" w:hAnsi="Arial" w:cs="Arial"/>
          <w:sz w:val="20"/>
          <w:szCs w:val="20"/>
        </w:rPr>
        <w:t>processing units</w:t>
      </w:r>
      <w:r w:rsidR="003E3F7A" w:rsidRPr="007E37EC">
        <w:rPr>
          <w:rFonts w:ascii="Arial" w:hAnsi="Arial" w:cs="Arial"/>
          <w:sz w:val="20"/>
          <w:szCs w:val="20"/>
        </w:rPr>
        <w:t xml:space="preserve"> but makes it tough for newcomers to break in</w:t>
      </w:r>
      <w:r w:rsidR="00E25A59" w:rsidRPr="007E37EC">
        <w:rPr>
          <w:rFonts w:ascii="Arial" w:hAnsi="Arial" w:cs="Arial"/>
          <w:sz w:val="20"/>
          <w:szCs w:val="20"/>
        </w:rPr>
        <w:t>.</w:t>
      </w:r>
      <w:r w:rsidR="003E3F7A" w:rsidRPr="007E37EC">
        <w:rPr>
          <w:rFonts w:ascii="Arial" w:hAnsi="Arial" w:cs="Arial"/>
          <w:sz w:val="20"/>
          <w:szCs w:val="20"/>
        </w:rPr>
        <w:t xml:space="preserve"> The study also points out low Gini coefficients (0.07-0.15), which suggest a fair distribution of market share. Seasonal management plays a vital role in profitability, pushing producers to adopt adaptive strategies such as cold storage and maintaining working capital reserves. Looking ahead, future research should </w:t>
      </w:r>
      <w:r w:rsidR="00E25A59" w:rsidRPr="007E37EC">
        <w:rPr>
          <w:rFonts w:ascii="Arial" w:hAnsi="Arial" w:cs="Arial"/>
          <w:sz w:val="20"/>
          <w:szCs w:val="20"/>
        </w:rPr>
        <w:t>explore</w:t>
      </w:r>
      <w:r w:rsidR="003E3F7A" w:rsidRPr="007E37EC">
        <w:rPr>
          <w:rFonts w:ascii="Arial" w:hAnsi="Arial" w:cs="Arial"/>
          <w:sz w:val="20"/>
          <w:szCs w:val="20"/>
        </w:rPr>
        <w:t xml:space="preserve"> into value addition, consumer preferences, and climate-resilient technologies to boost efficiency and income generation in the region.</w:t>
      </w:r>
    </w:p>
    <w:p w14:paraId="6E3988AC" w14:textId="525843F8" w:rsidR="00BA6663" w:rsidRPr="007E37EC" w:rsidRDefault="00BA6663" w:rsidP="00171EC2">
      <w:pPr>
        <w:spacing w:line="360" w:lineRule="auto"/>
        <w:jc w:val="both"/>
        <w:rPr>
          <w:rFonts w:ascii="Arial" w:hAnsi="Arial" w:cs="Arial"/>
          <w:b/>
          <w:bCs/>
          <w:color w:val="000000" w:themeColor="text1"/>
        </w:rPr>
      </w:pPr>
      <w:r w:rsidRPr="007E37EC">
        <w:rPr>
          <w:rFonts w:ascii="Arial" w:hAnsi="Arial" w:cs="Arial"/>
          <w:b/>
          <w:bCs/>
          <w:color w:val="000000" w:themeColor="text1"/>
        </w:rPr>
        <w:t xml:space="preserve">Consent </w:t>
      </w:r>
    </w:p>
    <w:p w14:paraId="0E1B6141" w14:textId="4069FBE5" w:rsidR="00407285" w:rsidRDefault="00BA6663" w:rsidP="00171EC2">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rPr>
        <w:lastRenderedPageBreak/>
        <w:t>As per international standards or university standards written consent has been collected and preserved by the authors.</w:t>
      </w:r>
    </w:p>
    <w:p w14:paraId="3786F75D" w14:textId="77777777" w:rsidR="00D9358C" w:rsidRPr="007E37EC" w:rsidRDefault="00D9358C" w:rsidP="00D9358C">
      <w:pPr>
        <w:spacing w:line="360" w:lineRule="auto"/>
        <w:jc w:val="both"/>
        <w:rPr>
          <w:rFonts w:ascii="Arial" w:eastAsia="Arial MT" w:hAnsi="Arial" w:cs="Arial"/>
          <w:b/>
          <w:bCs/>
          <w:kern w:val="0"/>
          <w14:ligatures w14:val="none"/>
        </w:rPr>
      </w:pPr>
      <w:r w:rsidRPr="007E37EC">
        <w:rPr>
          <w:rFonts w:ascii="Arial" w:eastAsia="Arial MT" w:hAnsi="Arial" w:cs="Arial"/>
          <w:b/>
          <w:bCs/>
          <w:kern w:val="0"/>
          <w14:ligatures w14:val="none"/>
        </w:rPr>
        <w:t>Abbreviations</w:t>
      </w:r>
    </w:p>
    <w:p w14:paraId="6B40FF17" w14:textId="71A75B36" w:rsidR="00D9358C" w:rsidRPr="009539D6" w:rsidRDefault="00D9358C" w:rsidP="00171EC2">
      <w:pPr>
        <w:spacing w:line="360" w:lineRule="auto"/>
        <w:jc w:val="both"/>
        <w:rPr>
          <w:rFonts w:ascii="Arial" w:eastAsia="Arial MT" w:hAnsi="Arial" w:cs="Arial"/>
          <w:kern w:val="0"/>
          <w:sz w:val="20"/>
          <w:szCs w:val="20"/>
          <w14:ligatures w14:val="none"/>
        </w:rPr>
      </w:pPr>
      <w:r w:rsidRPr="009539D6">
        <w:rPr>
          <w:rFonts w:ascii="Arial" w:eastAsia="Arial MT" w:hAnsi="Arial" w:cs="Arial"/>
          <w:kern w:val="0"/>
          <w:sz w:val="20"/>
          <w:szCs w:val="20"/>
          <w14:ligatures w14:val="none"/>
        </w:rPr>
        <w:t>Kg- Kilogram, L- Litre, CR- Concentration Ratio, % - Percentage, SI – Seasonality Index, Rs Rupees, TVC – Total Variable cost, TC – Total Cost</w:t>
      </w:r>
    </w:p>
    <w:p w14:paraId="51B741FF" w14:textId="6E9FB93E" w:rsidR="00BA6663" w:rsidRPr="007E37EC" w:rsidRDefault="00BA6663" w:rsidP="00171EC2">
      <w:pPr>
        <w:spacing w:line="360" w:lineRule="auto"/>
        <w:jc w:val="both"/>
        <w:rPr>
          <w:rFonts w:ascii="Arial" w:hAnsi="Arial" w:cs="Arial"/>
          <w:b/>
          <w:bCs/>
          <w:color w:val="000000" w:themeColor="text1"/>
        </w:rPr>
      </w:pPr>
      <w:r w:rsidRPr="007E37EC">
        <w:rPr>
          <w:rFonts w:ascii="Arial" w:hAnsi="Arial" w:cs="Arial"/>
          <w:b/>
          <w:bCs/>
          <w:color w:val="000000" w:themeColor="text1"/>
        </w:rPr>
        <w:t>References</w:t>
      </w:r>
    </w:p>
    <w:p w14:paraId="7ACE7BF2" w14:textId="7DE0771C" w:rsidR="00F33AF4" w:rsidRDefault="00C94FC6" w:rsidP="00F33AF4">
      <w:pPr>
        <w:spacing w:line="360" w:lineRule="auto"/>
        <w:ind w:left="720" w:hanging="720"/>
        <w:jc w:val="both"/>
        <w:rPr>
          <w:rFonts w:ascii="Arial" w:eastAsia="Arial MT" w:hAnsi="Arial" w:cs="Arial"/>
          <w:kern w:val="0"/>
          <w:sz w:val="20"/>
          <w:szCs w:val="20"/>
          <w14:ligatures w14:val="none"/>
        </w:rPr>
      </w:pPr>
      <w:r w:rsidRPr="007E37EC">
        <w:rPr>
          <w:rFonts w:ascii="Arial" w:eastAsia="Arial MT" w:hAnsi="Arial" w:cs="Arial"/>
          <w:kern w:val="0"/>
          <w:sz w:val="20"/>
          <w:szCs w:val="20"/>
          <w14:ligatures w14:val="none"/>
        </w:rPr>
        <w:t xml:space="preserve">Alli, M. M., Chauhan, A. K., Franco, D., &amp; Singh, S. P. (2020). Economics of Milk Products Manufacturing: A study on State Co-operative Dairy Plant of Balasore District Odisha, India. </w:t>
      </w:r>
      <w:r w:rsidRPr="007E37EC">
        <w:rPr>
          <w:rFonts w:ascii="Arial" w:eastAsia="Arial MT" w:hAnsi="Arial" w:cs="Arial"/>
          <w:i/>
          <w:iCs/>
          <w:kern w:val="0"/>
          <w:sz w:val="20"/>
          <w:szCs w:val="20"/>
          <w14:ligatures w14:val="none"/>
        </w:rPr>
        <w:t>Haryana Int</w:t>
      </w:r>
      <w:r w:rsidR="00171EC2" w:rsidRPr="007E37EC">
        <w:rPr>
          <w:rFonts w:ascii="Arial" w:eastAsia="Arial MT" w:hAnsi="Arial" w:cs="Arial"/>
          <w:i/>
          <w:iCs/>
          <w:kern w:val="0"/>
          <w:sz w:val="20"/>
          <w:szCs w:val="20"/>
          <w14:ligatures w14:val="none"/>
        </w:rPr>
        <w:t>ernational Journal of Current Microbiology and Applied Sciences</w:t>
      </w:r>
      <w:r w:rsidRPr="007E37EC">
        <w:rPr>
          <w:rFonts w:ascii="Arial" w:eastAsia="Arial MT" w:hAnsi="Arial" w:cs="Arial"/>
          <w:i/>
          <w:iCs/>
          <w:kern w:val="0"/>
          <w:sz w:val="20"/>
          <w:szCs w:val="20"/>
          <w14:ligatures w14:val="none"/>
        </w:rPr>
        <w:t>,</w:t>
      </w:r>
      <w:r w:rsidRPr="007E37EC">
        <w:rPr>
          <w:rFonts w:ascii="Arial" w:eastAsia="Arial MT" w:hAnsi="Arial" w:cs="Arial"/>
          <w:kern w:val="0"/>
          <w:sz w:val="20"/>
          <w:szCs w:val="20"/>
          <w14:ligatures w14:val="none"/>
        </w:rPr>
        <w:t xml:space="preserve"> 9(8), 3671-3679. </w:t>
      </w:r>
      <w:hyperlink r:id="rId6" w:history="1">
        <w:r w:rsidR="00F33AF4" w:rsidRPr="00B32368">
          <w:rPr>
            <w:rStyle w:val="Hyperlink"/>
            <w:rFonts w:ascii="Arial" w:eastAsia="Arial MT" w:hAnsi="Arial" w:cs="Arial"/>
            <w:kern w:val="0"/>
            <w:sz w:val="20"/>
            <w:szCs w:val="20"/>
            <w14:ligatures w14:val="none"/>
          </w:rPr>
          <w:t>https://doi.org/10.20546/ijcmas.2020.908.424</w:t>
        </w:r>
      </w:hyperlink>
    </w:p>
    <w:p w14:paraId="7CA895CC" w14:textId="1B401E7F" w:rsidR="002313A7" w:rsidRPr="007E37EC" w:rsidRDefault="002313A7" w:rsidP="00F33AF4">
      <w:pPr>
        <w:spacing w:line="360" w:lineRule="auto"/>
        <w:ind w:left="720" w:hanging="720"/>
        <w:jc w:val="both"/>
        <w:rPr>
          <w:rFonts w:ascii="Arial" w:eastAsia="Arial MT" w:hAnsi="Arial" w:cs="Arial"/>
          <w:kern w:val="0"/>
          <w:sz w:val="20"/>
          <w:szCs w:val="20"/>
          <w14:ligatures w14:val="none"/>
        </w:rPr>
      </w:pPr>
      <w:r w:rsidRPr="007E37EC">
        <w:rPr>
          <w:rFonts w:ascii="Arial" w:eastAsia="Arial MT" w:hAnsi="Arial" w:cs="Arial"/>
          <w:kern w:val="0"/>
          <w:sz w:val="20"/>
          <w:szCs w:val="20"/>
          <w14:ligatures w14:val="none"/>
        </w:rPr>
        <w:t xml:space="preserve">Anika, T. T., Al Noman, Z., Ashraf, N., Sultana, N., Pervin, M., &amp; Khan, M. A. H. N. A. (2024). Journal of Bangladesh Agricultural University. J </w:t>
      </w:r>
      <w:r w:rsidRPr="007E37EC">
        <w:rPr>
          <w:rFonts w:ascii="Arial" w:eastAsia="Arial MT" w:hAnsi="Arial" w:cs="Arial"/>
          <w:i/>
          <w:iCs/>
          <w:kern w:val="0"/>
          <w:sz w:val="20"/>
          <w:szCs w:val="20"/>
          <w14:ligatures w14:val="none"/>
        </w:rPr>
        <w:t>Bangladesh Agri</w:t>
      </w:r>
      <w:r w:rsidR="00171EC2" w:rsidRPr="007E37EC">
        <w:rPr>
          <w:rFonts w:ascii="Arial" w:eastAsia="Arial MT" w:hAnsi="Arial" w:cs="Arial"/>
          <w:i/>
          <w:iCs/>
          <w:kern w:val="0"/>
          <w:sz w:val="20"/>
          <w:szCs w:val="20"/>
          <w14:ligatures w14:val="none"/>
        </w:rPr>
        <w:t>cultural</w:t>
      </w:r>
      <w:r w:rsidRPr="007E37EC">
        <w:rPr>
          <w:rFonts w:ascii="Arial" w:eastAsia="Arial MT" w:hAnsi="Arial" w:cs="Arial"/>
          <w:i/>
          <w:iCs/>
          <w:kern w:val="0"/>
          <w:sz w:val="20"/>
          <w:szCs w:val="20"/>
          <w14:ligatures w14:val="none"/>
        </w:rPr>
        <w:t xml:space="preserve"> Univ</w:t>
      </w:r>
      <w:r w:rsidR="00171EC2" w:rsidRPr="007E37EC">
        <w:rPr>
          <w:rFonts w:ascii="Arial" w:eastAsia="Arial MT" w:hAnsi="Arial" w:cs="Arial"/>
          <w:i/>
          <w:iCs/>
          <w:kern w:val="0"/>
          <w:sz w:val="20"/>
          <w:szCs w:val="20"/>
          <w14:ligatures w14:val="none"/>
        </w:rPr>
        <w:t>ersity</w:t>
      </w:r>
      <w:r w:rsidRPr="007E37EC">
        <w:rPr>
          <w:rFonts w:ascii="Arial" w:eastAsia="Arial MT" w:hAnsi="Arial" w:cs="Arial"/>
          <w:kern w:val="0"/>
          <w:sz w:val="20"/>
          <w:szCs w:val="20"/>
          <w14:ligatures w14:val="none"/>
        </w:rPr>
        <w:t xml:space="preserve">, 22(1), 130-138. </w:t>
      </w:r>
    </w:p>
    <w:p w14:paraId="61C7B70E" w14:textId="147FB045" w:rsidR="00A01EFD" w:rsidRPr="007E37EC" w:rsidRDefault="00A01EFD" w:rsidP="00ED6C63">
      <w:pPr>
        <w:spacing w:line="360" w:lineRule="auto"/>
        <w:ind w:left="720" w:hanging="720"/>
        <w:jc w:val="both"/>
        <w:rPr>
          <w:rFonts w:ascii="Arial" w:eastAsia="Arial MT" w:hAnsi="Arial" w:cs="Arial"/>
          <w:kern w:val="0"/>
          <w:sz w:val="20"/>
          <w:szCs w:val="20"/>
          <w14:ligatures w14:val="none"/>
        </w:rPr>
      </w:pPr>
      <w:proofErr w:type="spellStart"/>
      <w:r w:rsidRPr="007E37EC">
        <w:rPr>
          <w:rFonts w:ascii="Arial" w:hAnsi="Arial" w:cs="Arial"/>
          <w:color w:val="222222"/>
          <w:sz w:val="20"/>
          <w:szCs w:val="20"/>
          <w:shd w:val="clear" w:color="auto" w:fill="FFFFFF"/>
        </w:rPr>
        <w:t>Birthal</w:t>
      </w:r>
      <w:proofErr w:type="spellEnd"/>
      <w:r w:rsidRPr="007E37EC">
        <w:rPr>
          <w:rFonts w:ascii="Arial" w:hAnsi="Arial" w:cs="Arial"/>
          <w:color w:val="222222"/>
          <w:sz w:val="20"/>
          <w:szCs w:val="20"/>
          <w:shd w:val="clear" w:color="auto" w:fill="FFFFFF"/>
        </w:rPr>
        <w:t>, P. S., Joshi, P. K., Roy, D., &amp; Thorat, A. (2013). Diversification in Indian agriculture toward high</w:t>
      </w:r>
      <w:r w:rsidRPr="007E37EC">
        <w:rPr>
          <w:rFonts w:ascii="Cambria Math" w:hAnsi="Cambria Math" w:cs="Cambria Math"/>
          <w:color w:val="222222"/>
          <w:sz w:val="20"/>
          <w:szCs w:val="20"/>
          <w:shd w:val="clear" w:color="auto" w:fill="FFFFFF"/>
        </w:rPr>
        <w:t>‐</w:t>
      </w:r>
      <w:r w:rsidRPr="007E37EC">
        <w:rPr>
          <w:rFonts w:ascii="Arial" w:hAnsi="Arial" w:cs="Arial"/>
          <w:color w:val="222222"/>
          <w:sz w:val="20"/>
          <w:szCs w:val="20"/>
          <w:shd w:val="clear" w:color="auto" w:fill="FFFFFF"/>
        </w:rPr>
        <w:t>value crops: The role of small farmers. </w:t>
      </w:r>
      <w:r w:rsidRPr="007E37EC">
        <w:rPr>
          <w:rFonts w:ascii="Arial" w:hAnsi="Arial" w:cs="Arial"/>
          <w:i/>
          <w:iCs/>
          <w:color w:val="222222"/>
          <w:sz w:val="20"/>
          <w:szCs w:val="20"/>
          <w:shd w:val="clear" w:color="auto" w:fill="FFFFFF"/>
        </w:rPr>
        <w:t xml:space="preserve">Canadian Journal of Agricultural Economics/Revue </w:t>
      </w:r>
      <w:proofErr w:type="spellStart"/>
      <w:r w:rsidRPr="007E37EC">
        <w:rPr>
          <w:rFonts w:ascii="Arial" w:hAnsi="Arial" w:cs="Arial"/>
          <w:i/>
          <w:iCs/>
          <w:color w:val="222222"/>
          <w:sz w:val="20"/>
          <w:szCs w:val="20"/>
          <w:shd w:val="clear" w:color="auto" w:fill="FFFFFF"/>
        </w:rPr>
        <w:t>canadienne</w:t>
      </w:r>
      <w:proofErr w:type="spellEnd"/>
      <w:r w:rsidRPr="007E37EC">
        <w:rPr>
          <w:rFonts w:ascii="Arial" w:hAnsi="Arial" w:cs="Arial"/>
          <w:i/>
          <w:iCs/>
          <w:color w:val="222222"/>
          <w:sz w:val="20"/>
          <w:szCs w:val="20"/>
          <w:shd w:val="clear" w:color="auto" w:fill="FFFFFF"/>
        </w:rPr>
        <w:t xml:space="preserve"> </w:t>
      </w:r>
      <w:proofErr w:type="spellStart"/>
      <w:r w:rsidRPr="007E37EC">
        <w:rPr>
          <w:rFonts w:ascii="Arial" w:hAnsi="Arial" w:cs="Arial"/>
          <w:i/>
          <w:iCs/>
          <w:color w:val="222222"/>
          <w:sz w:val="20"/>
          <w:szCs w:val="20"/>
          <w:shd w:val="clear" w:color="auto" w:fill="FFFFFF"/>
        </w:rPr>
        <w:t>d'agroeconomie</w:t>
      </w:r>
      <w:proofErr w:type="spellEnd"/>
      <w:r w:rsidRPr="007E37EC">
        <w:rPr>
          <w:rFonts w:ascii="Arial" w:hAnsi="Arial" w:cs="Arial"/>
          <w:color w:val="222222"/>
          <w:sz w:val="20"/>
          <w:szCs w:val="20"/>
          <w:shd w:val="clear" w:color="auto" w:fill="FFFFFF"/>
        </w:rPr>
        <w:t>, </w:t>
      </w:r>
      <w:r w:rsidRPr="007E37EC">
        <w:rPr>
          <w:rFonts w:ascii="Arial" w:hAnsi="Arial" w:cs="Arial"/>
          <w:i/>
          <w:iCs/>
          <w:color w:val="222222"/>
          <w:sz w:val="20"/>
          <w:szCs w:val="20"/>
          <w:shd w:val="clear" w:color="auto" w:fill="FFFFFF"/>
        </w:rPr>
        <w:t>61</w:t>
      </w:r>
      <w:r w:rsidRPr="007E37EC">
        <w:rPr>
          <w:rFonts w:ascii="Arial" w:hAnsi="Arial" w:cs="Arial"/>
          <w:color w:val="222222"/>
          <w:sz w:val="20"/>
          <w:szCs w:val="20"/>
          <w:shd w:val="clear" w:color="auto" w:fill="FFFFFF"/>
        </w:rPr>
        <w:t>(1), 61-</w:t>
      </w:r>
      <w:proofErr w:type="gramStart"/>
      <w:r w:rsidRPr="007E37EC">
        <w:rPr>
          <w:rFonts w:ascii="Arial" w:hAnsi="Arial" w:cs="Arial"/>
          <w:color w:val="222222"/>
          <w:sz w:val="20"/>
          <w:szCs w:val="20"/>
          <w:shd w:val="clear" w:color="auto" w:fill="FFFFFF"/>
        </w:rPr>
        <w:t>91.</w:t>
      </w:r>
      <w:r w:rsidR="002313A7" w:rsidRPr="007E37EC">
        <w:rPr>
          <w:rFonts w:ascii="Arial" w:eastAsia="Arial MT" w:hAnsi="Arial" w:cs="Arial"/>
          <w:kern w:val="0"/>
          <w:sz w:val="20"/>
          <w:szCs w:val="20"/>
          <w14:ligatures w14:val="none"/>
        </w:rPr>
        <w:t>Cabral</w:t>
      </w:r>
      <w:proofErr w:type="gramEnd"/>
      <w:r w:rsidR="002313A7" w:rsidRPr="007E37EC">
        <w:rPr>
          <w:rFonts w:ascii="Arial" w:eastAsia="Arial MT" w:hAnsi="Arial" w:cs="Arial"/>
          <w:kern w:val="0"/>
          <w:sz w:val="20"/>
          <w:szCs w:val="20"/>
          <w14:ligatures w14:val="none"/>
        </w:rPr>
        <w:t xml:space="preserve">, L. M. (2017). </w:t>
      </w:r>
      <w:r w:rsidR="002313A7" w:rsidRPr="007E37EC">
        <w:rPr>
          <w:rFonts w:ascii="Arial" w:eastAsia="Arial MT" w:hAnsi="Arial" w:cs="Arial"/>
          <w:i/>
          <w:iCs/>
          <w:kern w:val="0"/>
          <w:sz w:val="20"/>
          <w:szCs w:val="20"/>
          <w14:ligatures w14:val="none"/>
        </w:rPr>
        <w:t>Introduction to industrial organization</w:t>
      </w:r>
      <w:r w:rsidR="002313A7" w:rsidRPr="007E37EC">
        <w:rPr>
          <w:rFonts w:ascii="Arial" w:eastAsia="Arial MT" w:hAnsi="Arial" w:cs="Arial"/>
          <w:kern w:val="0"/>
          <w:sz w:val="20"/>
          <w:szCs w:val="20"/>
          <w14:ligatures w14:val="none"/>
        </w:rPr>
        <w:t xml:space="preserve">. MIT press. </w:t>
      </w:r>
      <w:hyperlink r:id="rId7" w:history="1">
        <w:r w:rsidRPr="007E37EC">
          <w:rPr>
            <w:rStyle w:val="Hyperlink"/>
            <w:rFonts w:ascii="Arial" w:eastAsia="Arial MT" w:hAnsi="Arial" w:cs="Arial"/>
            <w:kern w:val="0"/>
            <w:sz w:val="20"/>
            <w:szCs w:val="20"/>
            <w14:ligatures w14:val="none"/>
          </w:rPr>
          <w:t>https://doi.org/10.1111/j.1744-7976.2012.01258.x</w:t>
        </w:r>
      </w:hyperlink>
    </w:p>
    <w:p w14:paraId="16C6FB7C" w14:textId="444F990F" w:rsidR="005D554C" w:rsidRPr="007E37EC" w:rsidRDefault="00A01EFD" w:rsidP="005D554C">
      <w:pPr>
        <w:spacing w:line="360" w:lineRule="auto"/>
        <w:ind w:left="720" w:hanging="720"/>
        <w:jc w:val="both"/>
        <w:rPr>
          <w:rFonts w:ascii="Arial" w:eastAsia="Arial MT" w:hAnsi="Arial" w:cs="Arial"/>
          <w:kern w:val="0"/>
          <w:sz w:val="20"/>
          <w:szCs w:val="20"/>
          <w14:ligatures w14:val="none"/>
        </w:rPr>
      </w:pPr>
      <w:r w:rsidRPr="007E37EC">
        <w:rPr>
          <w:rFonts w:ascii="Arial" w:eastAsia="Arial MT" w:hAnsi="Arial" w:cs="Arial"/>
          <w:kern w:val="0"/>
          <w:sz w:val="20"/>
          <w:szCs w:val="20"/>
          <w14:ligatures w14:val="none"/>
        </w:rPr>
        <w:t xml:space="preserve">Chandan, R. C. (2017). An overview of yogurt production and composition. </w:t>
      </w:r>
      <w:r w:rsidRPr="007E37EC">
        <w:rPr>
          <w:rFonts w:ascii="Arial" w:eastAsia="Arial MT" w:hAnsi="Arial" w:cs="Arial"/>
          <w:i/>
          <w:iCs/>
          <w:kern w:val="0"/>
          <w:sz w:val="20"/>
          <w:szCs w:val="20"/>
          <w14:ligatures w14:val="none"/>
        </w:rPr>
        <w:t>Yogurt in health and disease prevention</w:t>
      </w:r>
      <w:r w:rsidRPr="007E37EC">
        <w:rPr>
          <w:rFonts w:ascii="Arial" w:eastAsia="Arial MT" w:hAnsi="Arial" w:cs="Arial"/>
          <w:kern w:val="0"/>
          <w:sz w:val="20"/>
          <w:szCs w:val="20"/>
          <w14:ligatures w14:val="none"/>
        </w:rPr>
        <w:t xml:space="preserve">, 31-47. </w:t>
      </w:r>
      <w:hyperlink r:id="rId8" w:history="1">
        <w:r w:rsidR="005D554C" w:rsidRPr="007E37EC">
          <w:rPr>
            <w:rStyle w:val="Hyperlink"/>
            <w:rFonts w:ascii="Arial" w:eastAsia="Arial MT" w:hAnsi="Arial" w:cs="Arial"/>
            <w:kern w:val="0"/>
            <w:sz w:val="20"/>
            <w:szCs w:val="20"/>
            <w14:ligatures w14:val="none"/>
          </w:rPr>
          <w:t>https://doi.org/10.1016/B978-0-12-805134-4.00002-X</w:t>
        </w:r>
      </w:hyperlink>
    </w:p>
    <w:p w14:paraId="7A554BF0" w14:textId="77777777" w:rsidR="005D554C" w:rsidRPr="007E37EC" w:rsidRDefault="005D554C" w:rsidP="005D554C">
      <w:pPr>
        <w:spacing w:line="360" w:lineRule="auto"/>
        <w:ind w:left="720" w:hanging="720"/>
        <w:jc w:val="both"/>
        <w:rPr>
          <w:rFonts w:ascii="Arial" w:eastAsia="Arial MT" w:hAnsi="Arial" w:cs="Arial"/>
          <w:kern w:val="0"/>
          <w:sz w:val="20"/>
          <w:szCs w:val="20"/>
          <w14:ligatures w14:val="none"/>
        </w:rPr>
      </w:pPr>
      <w:r w:rsidRPr="007E37EC">
        <w:rPr>
          <w:rFonts w:ascii="Arial" w:eastAsia="Arial MT" w:hAnsi="Arial" w:cs="Arial"/>
          <w:kern w:val="0"/>
          <w:sz w:val="20"/>
          <w:szCs w:val="20"/>
          <w14:ligatures w14:val="none"/>
        </w:rPr>
        <w:t xml:space="preserve">Cotter, T. S. (2021). Benefit–cost ratio analysis. In </w:t>
      </w:r>
      <w:r w:rsidRPr="007E37EC">
        <w:rPr>
          <w:rFonts w:ascii="Arial" w:eastAsia="Arial MT" w:hAnsi="Arial" w:cs="Arial"/>
          <w:i/>
          <w:iCs/>
          <w:kern w:val="0"/>
          <w:sz w:val="20"/>
          <w:szCs w:val="20"/>
          <w14:ligatures w14:val="none"/>
        </w:rPr>
        <w:t>Engineering managerial economic decision and risk analysis: economic decision-making and risk analysis</w:t>
      </w:r>
      <w:r w:rsidRPr="007E37EC">
        <w:rPr>
          <w:rFonts w:ascii="Arial" w:eastAsia="Arial MT" w:hAnsi="Arial" w:cs="Arial"/>
          <w:kern w:val="0"/>
          <w:sz w:val="20"/>
          <w:szCs w:val="20"/>
          <w14:ligatures w14:val="none"/>
        </w:rPr>
        <w:t xml:space="preserve"> (pp. 333-351). Cham: Springer International Publishing. </w:t>
      </w:r>
    </w:p>
    <w:p w14:paraId="354F3651" w14:textId="47410304" w:rsidR="005D554C" w:rsidRPr="007E37EC" w:rsidRDefault="005D554C" w:rsidP="005D554C">
      <w:pPr>
        <w:spacing w:line="360" w:lineRule="auto"/>
        <w:ind w:left="720" w:hanging="720"/>
        <w:jc w:val="both"/>
        <w:rPr>
          <w:rFonts w:ascii="Arial" w:eastAsia="Arial MT" w:hAnsi="Arial" w:cs="Arial"/>
          <w:kern w:val="0"/>
          <w:sz w:val="20"/>
          <w:szCs w:val="20"/>
          <w14:ligatures w14:val="none"/>
        </w:rPr>
      </w:pPr>
      <w:r w:rsidRPr="007E37EC">
        <w:rPr>
          <w:rFonts w:ascii="Arial" w:eastAsia="Arial MT" w:hAnsi="Arial" w:cs="Arial"/>
          <w:kern w:val="0"/>
          <w:sz w:val="20"/>
          <w:szCs w:val="20"/>
          <w14:ligatures w14:val="none"/>
        </w:rPr>
        <w:t xml:space="preserve">Gulati, A., Ganguly, K., &amp; </w:t>
      </w:r>
      <w:proofErr w:type="spellStart"/>
      <w:r w:rsidRPr="007E37EC">
        <w:rPr>
          <w:rFonts w:ascii="Arial" w:eastAsia="Arial MT" w:hAnsi="Arial" w:cs="Arial"/>
          <w:kern w:val="0"/>
          <w:sz w:val="20"/>
          <w:szCs w:val="20"/>
          <w14:ligatures w14:val="none"/>
        </w:rPr>
        <w:t>Wardhan</w:t>
      </w:r>
      <w:proofErr w:type="spellEnd"/>
      <w:r w:rsidRPr="007E37EC">
        <w:rPr>
          <w:rFonts w:ascii="Arial" w:eastAsia="Arial MT" w:hAnsi="Arial" w:cs="Arial"/>
          <w:kern w:val="0"/>
          <w:sz w:val="20"/>
          <w:szCs w:val="20"/>
          <w14:ligatures w14:val="none"/>
        </w:rPr>
        <w:t>, H. (2022). </w:t>
      </w:r>
      <w:r w:rsidRPr="007E37EC">
        <w:rPr>
          <w:rFonts w:ascii="Arial" w:eastAsia="Arial MT" w:hAnsi="Arial" w:cs="Arial"/>
          <w:i/>
          <w:iCs/>
          <w:kern w:val="0"/>
          <w:sz w:val="20"/>
          <w:szCs w:val="20"/>
          <w14:ligatures w14:val="none"/>
        </w:rPr>
        <w:t>Agricultural value chains in India: Ensuring competitiveness, inclusiveness, sustainability, scalability, and improved finance (p. 298).</w:t>
      </w:r>
      <w:r w:rsidRPr="007E37EC">
        <w:rPr>
          <w:rFonts w:ascii="Arial" w:eastAsia="Arial MT" w:hAnsi="Arial" w:cs="Arial"/>
          <w:kern w:val="0"/>
          <w:sz w:val="20"/>
          <w:szCs w:val="20"/>
          <w14:ligatures w14:val="none"/>
        </w:rPr>
        <w:t xml:space="preserve"> Springer Nature.</w:t>
      </w:r>
      <w:r w:rsidR="00273204" w:rsidRPr="007E37EC">
        <w:rPr>
          <w:rFonts w:ascii="Arial" w:hAnsi="Arial" w:cs="Arial"/>
          <w:sz w:val="20"/>
          <w:szCs w:val="20"/>
        </w:rPr>
        <w:t xml:space="preserve"> </w:t>
      </w:r>
      <w:hyperlink r:id="rId9" w:history="1">
        <w:r w:rsidR="00273204" w:rsidRPr="007E37EC">
          <w:rPr>
            <w:rStyle w:val="Hyperlink"/>
            <w:rFonts w:ascii="Arial" w:eastAsia="Arial MT" w:hAnsi="Arial" w:cs="Arial"/>
            <w:kern w:val="0"/>
            <w:sz w:val="20"/>
            <w:szCs w:val="20"/>
            <w14:ligatures w14:val="none"/>
          </w:rPr>
          <w:t>https://doi.org/10.1007/978-981-33-4268-2</w:t>
        </w:r>
      </w:hyperlink>
    </w:p>
    <w:p w14:paraId="3F03A7A9" w14:textId="4E8224A4" w:rsidR="00273204" w:rsidRPr="007E37EC" w:rsidRDefault="005D554C" w:rsidP="002A1624">
      <w:pPr>
        <w:spacing w:line="360" w:lineRule="auto"/>
        <w:ind w:left="720" w:hanging="720"/>
        <w:jc w:val="both"/>
        <w:rPr>
          <w:rFonts w:ascii="Arial" w:eastAsia="Arial MT" w:hAnsi="Arial" w:cs="Arial"/>
          <w:kern w:val="0"/>
          <w:sz w:val="20"/>
          <w:szCs w:val="20"/>
          <w14:ligatures w14:val="none"/>
        </w:rPr>
      </w:pPr>
      <w:r w:rsidRPr="007E37EC">
        <w:rPr>
          <w:rFonts w:ascii="Arial" w:eastAsia="Arial MT" w:hAnsi="Arial" w:cs="Arial"/>
          <w:kern w:val="0"/>
          <w:sz w:val="20"/>
          <w:szCs w:val="20"/>
          <w14:ligatures w14:val="none"/>
        </w:rPr>
        <w:t xml:space="preserve">Katoch, S., Kumar, A., </w:t>
      </w:r>
      <w:proofErr w:type="spellStart"/>
      <w:r w:rsidRPr="007E37EC">
        <w:rPr>
          <w:rFonts w:ascii="Arial" w:eastAsia="Arial MT" w:hAnsi="Arial" w:cs="Arial"/>
          <w:kern w:val="0"/>
          <w:sz w:val="20"/>
          <w:szCs w:val="20"/>
          <w14:ligatures w14:val="none"/>
        </w:rPr>
        <w:t>Kolady</w:t>
      </w:r>
      <w:proofErr w:type="spellEnd"/>
      <w:r w:rsidRPr="007E37EC">
        <w:rPr>
          <w:rFonts w:ascii="Arial" w:eastAsia="Arial MT" w:hAnsi="Arial" w:cs="Arial"/>
          <w:kern w:val="0"/>
          <w:sz w:val="20"/>
          <w:szCs w:val="20"/>
          <w14:ligatures w14:val="none"/>
        </w:rPr>
        <w:t>, D. E., &amp; Sharma, K. (2024</w:t>
      </w:r>
      <w:r w:rsidRPr="007E37EC">
        <w:rPr>
          <w:rFonts w:ascii="Arial" w:eastAsia="Arial MT" w:hAnsi="Arial" w:cs="Arial"/>
          <w:i/>
          <w:iCs/>
          <w:kern w:val="0"/>
          <w:sz w:val="20"/>
          <w:szCs w:val="20"/>
          <w14:ligatures w14:val="none"/>
        </w:rPr>
        <w:t>). The adoption and impact of food safety measures on smallholder dairy farmers' economic welfare: Evidence from the Indo-Gangetic plains of India</w:t>
      </w:r>
      <w:r w:rsidRPr="007E37EC">
        <w:rPr>
          <w:rFonts w:ascii="Arial" w:eastAsia="Arial MT" w:hAnsi="Arial" w:cs="Arial"/>
          <w:kern w:val="0"/>
          <w:sz w:val="20"/>
          <w:szCs w:val="20"/>
          <w14:ligatures w14:val="none"/>
        </w:rPr>
        <w:t>. International Food Policy Research Institute.</w:t>
      </w:r>
      <w:r w:rsidR="00273204" w:rsidRPr="007E37EC">
        <w:rPr>
          <w:rFonts w:ascii="Arial" w:hAnsi="Arial" w:cs="Arial"/>
          <w:sz w:val="20"/>
          <w:szCs w:val="20"/>
        </w:rPr>
        <w:t xml:space="preserve"> </w:t>
      </w:r>
      <w:hyperlink r:id="rId10" w:history="1">
        <w:r w:rsidR="00273204" w:rsidRPr="007E37EC">
          <w:rPr>
            <w:rStyle w:val="Hyperlink"/>
            <w:rFonts w:ascii="Arial" w:eastAsia="Arial MT" w:hAnsi="Arial" w:cs="Arial"/>
            <w:kern w:val="0"/>
            <w:sz w:val="20"/>
            <w:szCs w:val="20"/>
            <w14:ligatures w14:val="none"/>
          </w:rPr>
          <w:t>https://doi.org/10.1016/j.jclepro.2024.144197</w:t>
        </w:r>
      </w:hyperlink>
    </w:p>
    <w:p w14:paraId="46896B3D" w14:textId="77777777" w:rsidR="005D554C" w:rsidRPr="007E37EC" w:rsidRDefault="005D554C" w:rsidP="005D554C">
      <w:pPr>
        <w:spacing w:line="360" w:lineRule="auto"/>
        <w:ind w:left="720" w:hanging="720"/>
        <w:jc w:val="both"/>
        <w:rPr>
          <w:rFonts w:ascii="Arial" w:eastAsia="Arial MT" w:hAnsi="Arial" w:cs="Arial"/>
          <w:kern w:val="0"/>
          <w:sz w:val="20"/>
          <w:szCs w:val="20"/>
          <w14:ligatures w14:val="none"/>
        </w:rPr>
      </w:pPr>
      <w:r w:rsidRPr="007E37EC">
        <w:rPr>
          <w:rFonts w:ascii="Arial" w:eastAsia="Arial MT" w:hAnsi="Arial" w:cs="Arial"/>
          <w:kern w:val="0"/>
          <w:sz w:val="20"/>
          <w:szCs w:val="20"/>
          <w14:ligatures w14:val="none"/>
        </w:rPr>
        <w:t>Kumar, A., Staal, S. J., &amp; Singh, D. K. (2011). Smallholder dairy farmers’ access to modern milk marketing chains in India. </w:t>
      </w:r>
      <w:r w:rsidRPr="007E37EC">
        <w:rPr>
          <w:rFonts w:ascii="Arial" w:eastAsia="Arial MT" w:hAnsi="Arial" w:cs="Arial"/>
          <w:i/>
          <w:iCs/>
          <w:kern w:val="0"/>
          <w:sz w:val="20"/>
          <w:szCs w:val="20"/>
          <w14:ligatures w14:val="none"/>
        </w:rPr>
        <w:t>Agricultural Economics Research Review</w:t>
      </w:r>
      <w:r w:rsidRPr="007E37EC">
        <w:rPr>
          <w:rFonts w:ascii="Arial" w:eastAsia="Arial MT" w:hAnsi="Arial" w:cs="Arial"/>
          <w:kern w:val="0"/>
          <w:sz w:val="20"/>
          <w:szCs w:val="20"/>
          <w14:ligatures w14:val="none"/>
        </w:rPr>
        <w:t>, </w:t>
      </w:r>
      <w:r w:rsidRPr="007E37EC">
        <w:rPr>
          <w:rFonts w:ascii="Arial" w:eastAsia="Arial MT" w:hAnsi="Arial" w:cs="Arial"/>
          <w:i/>
          <w:iCs/>
          <w:kern w:val="0"/>
          <w:sz w:val="20"/>
          <w:szCs w:val="20"/>
          <w14:ligatures w14:val="none"/>
        </w:rPr>
        <w:t>24</w:t>
      </w:r>
      <w:r w:rsidRPr="007E37EC">
        <w:rPr>
          <w:rFonts w:ascii="Arial" w:eastAsia="Arial MT" w:hAnsi="Arial" w:cs="Arial"/>
          <w:kern w:val="0"/>
          <w:sz w:val="20"/>
          <w:szCs w:val="20"/>
          <w14:ligatures w14:val="none"/>
        </w:rPr>
        <w:t>(2), 243-254.</w:t>
      </w:r>
    </w:p>
    <w:p w14:paraId="32336819" w14:textId="4AC0B300" w:rsidR="00EC4530" w:rsidRPr="007E37EC" w:rsidRDefault="005D554C" w:rsidP="005D554C">
      <w:pPr>
        <w:spacing w:line="360" w:lineRule="auto"/>
        <w:ind w:left="720" w:hanging="720"/>
        <w:jc w:val="both"/>
        <w:rPr>
          <w:rFonts w:ascii="Arial" w:hAnsi="Arial" w:cs="Arial"/>
          <w:sz w:val="20"/>
          <w:szCs w:val="20"/>
        </w:rPr>
      </w:pPr>
      <w:r w:rsidRPr="007E37EC">
        <w:rPr>
          <w:rFonts w:ascii="Arial" w:hAnsi="Arial" w:cs="Arial"/>
          <w:sz w:val="20"/>
          <w:szCs w:val="20"/>
        </w:rPr>
        <w:t xml:space="preserve">Mishra, G., Goswami, S. C., </w:t>
      </w:r>
      <w:proofErr w:type="spellStart"/>
      <w:r w:rsidRPr="007E37EC">
        <w:rPr>
          <w:rFonts w:ascii="Arial" w:hAnsi="Arial" w:cs="Arial"/>
          <w:sz w:val="20"/>
          <w:szCs w:val="20"/>
        </w:rPr>
        <w:t>Jhirwal</w:t>
      </w:r>
      <w:proofErr w:type="spellEnd"/>
      <w:r w:rsidRPr="007E37EC">
        <w:rPr>
          <w:rFonts w:ascii="Arial" w:hAnsi="Arial" w:cs="Arial"/>
          <w:sz w:val="20"/>
          <w:szCs w:val="20"/>
        </w:rPr>
        <w:t xml:space="preserve">, A. K., &amp; Paliwal, S. (2025). Effect of breed, season and stage of lactation on different milk parameters at organized farm. </w:t>
      </w:r>
      <w:r w:rsidRPr="007E37EC">
        <w:rPr>
          <w:rFonts w:ascii="Arial" w:hAnsi="Arial" w:cs="Arial"/>
          <w:i/>
          <w:iCs/>
          <w:sz w:val="20"/>
          <w:szCs w:val="20"/>
        </w:rPr>
        <w:t>Asian Journal of Dairy and Food Research</w:t>
      </w:r>
      <w:r w:rsidRPr="007E37EC">
        <w:rPr>
          <w:rFonts w:ascii="Arial" w:hAnsi="Arial" w:cs="Arial"/>
          <w:sz w:val="20"/>
          <w:szCs w:val="20"/>
        </w:rPr>
        <w:t>, 44(5), 871-875.</w:t>
      </w:r>
      <w:r w:rsidR="00EC4530" w:rsidRPr="007E37EC">
        <w:rPr>
          <w:rFonts w:ascii="Arial" w:hAnsi="Arial" w:cs="Arial"/>
          <w:sz w:val="20"/>
          <w:szCs w:val="20"/>
        </w:rPr>
        <w:t xml:space="preserve"> </w:t>
      </w:r>
      <w:hyperlink r:id="rId11" w:history="1">
        <w:r w:rsidR="00EC4530" w:rsidRPr="007E37EC">
          <w:rPr>
            <w:rStyle w:val="Hyperlink"/>
            <w:rFonts w:ascii="Arial" w:hAnsi="Arial" w:cs="Arial"/>
            <w:sz w:val="20"/>
            <w:szCs w:val="20"/>
          </w:rPr>
          <w:t>http://dx.doi.org/10.18805/ajdfr.DR-1937</w:t>
        </w:r>
      </w:hyperlink>
    </w:p>
    <w:p w14:paraId="6359BB60" w14:textId="4FAA451A" w:rsidR="005D554C" w:rsidRPr="007E37EC" w:rsidRDefault="005D554C" w:rsidP="00EC4530">
      <w:pPr>
        <w:spacing w:line="360" w:lineRule="auto"/>
        <w:ind w:left="720" w:hanging="720"/>
        <w:jc w:val="both"/>
        <w:rPr>
          <w:rFonts w:ascii="Arial" w:hAnsi="Arial" w:cs="Arial"/>
          <w:sz w:val="20"/>
          <w:szCs w:val="20"/>
        </w:rPr>
      </w:pPr>
      <w:r w:rsidRPr="007E37EC">
        <w:rPr>
          <w:rFonts w:ascii="Arial" w:hAnsi="Arial" w:cs="Arial"/>
          <w:sz w:val="20"/>
          <w:szCs w:val="20"/>
        </w:rPr>
        <w:lastRenderedPageBreak/>
        <w:t xml:space="preserve"> Parmar, P., Lopez-Villalobos, N., Tobin, J. T., Murphy, E., McDonagh, A., Crowley, S. V., ... &amp; </w:t>
      </w:r>
      <w:proofErr w:type="spellStart"/>
      <w:r w:rsidRPr="007E37EC">
        <w:rPr>
          <w:rFonts w:ascii="Arial" w:hAnsi="Arial" w:cs="Arial"/>
          <w:sz w:val="20"/>
          <w:szCs w:val="20"/>
        </w:rPr>
        <w:t>Shalloo</w:t>
      </w:r>
      <w:proofErr w:type="spellEnd"/>
      <w:r w:rsidRPr="007E37EC">
        <w:rPr>
          <w:rFonts w:ascii="Arial" w:hAnsi="Arial" w:cs="Arial"/>
          <w:sz w:val="20"/>
          <w:szCs w:val="20"/>
        </w:rPr>
        <w:t xml:space="preserve">, L. (2020). The effect of compositional changes due to seasonal variation on milk density and the determination of season-based density conversion factors for use in the dairy industry. Foods, 9(8), 1004. </w:t>
      </w:r>
      <w:hyperlink r:id="rId12" w:history="1">
        <w:r w:rsidRPr="007E37EC">
          <w:rPr>
            <w:rStyle w:val="Hyperlink"/>
            <w:rFonts w:ascii="Arial" w:hAnsi="Arial" w:cs="Arial"/>
            <w:sz w:val="20"/>
            <w:szCs w:val="20"/>
          </w:rPr>
          <w:t>https://doi.org/10.3390/foods9081004</w:t>
        </w:r>
      </w:hyperlink>
    </w:p>
    <w:p w14:paraId="04762B6B" w14:textId="77777777" w:rsidR="005D554C" w:rsidRPr="007E37EC" w:rsidRDefault="005D554C" w:rsidP="005D554C">
      <w:pPr>
        <w:spacing w:line="360" w:lineRule="auto"/>
        <w:ind w:left="720" w:hanging="720"/>
        <w:jc w:val="both"/>
        <w:rPr>
          <w:rFonts w:ascii="Arial" w:hAnsi="Arial" w:cs="Arial"/>
          <w:sz w:val="20"/>
          <w:szCs w:val="20"/>
        </w:rPr>
      </w:pPr>
      <w:r w:rsidRPr="007E37EC">
        <w:rPr>
          <w:rFonts w:ascii="Arial" w:hAnsi="Arial" w:cs="Arial"/>
          <w:sz w:val="20"/>
          <w:szCs w:val="20"/>
        </w:rPr>
        <w:t xml:space="preserve">Porter, M. E. (2008). The five competitive forces that shape strategy. </w:t>
      </w:r>
      <w:r w:rsidRPr="007E37EC">
        <w:rPr>
          <w:rFonts w:ascii="Arial" w:hAnsi="Arial" w:cs="Arial"/>
          <w:i/>
          <w:iCs/>
          <w:sz w:val="20"/>
          <w:szCs w:val="20"/>
        </w:rPr>
        <w:t>Harvard business review</w:t>
      </w:r>
      <w:r w:rsidRPr="007E37EC">
        <w:rPr>
          <w:rFonts w:ascii="Arial" w:hAnsi="Arial" w:cs="Arial"/>
          <w:sz w:val="20"/>
          <w:szCs w:val="20"/>
        </w:rPr>
        <w:t>, 86(1), 78.</w:t>
      </w:r>
    </w:p>
    <w:p w14:paraId="42523556" w14:textId="0EA1E8B5" w:rsidR="00C47E29" w:rsidRPr="007E37EC" w:rsidRDefault="00C47E29" w:rsidP="00C47E29">
      <w:pPr>
        <w:spacing w:line="360" w:lineRule="auto"/>
        <w:ind w:left="720" w:hanging="720"/>
        <w:jc w:val="both"/>
        <w:rPr>
          <w:rFonts w:ascii="Arial" w:hAnsi="Arial" w:cs="Arial"/>
          <w:color w:val="222222"/>
          <w:sz w:val="20"/>
          <w:szCs w:val="20"/>
          <w:shd w:val="clear" w:color="auto" w:fill="FFFFFF"/>
        </w:rPr>
      </w:pPr>
      <w:r w:rsidRPr="007E37EC">
        <w:rPr>
          <w:rFonts w:ascii="Arial" w:hAnsi="Arial" w:cs="Arial"/>
          <w:color w:val="222222"/>
          <w:sz w:val="20"/>
          <w:szCs w:val="20"/>
          <w:shd w:val="clear" w:color="auto" w:fill="FFFFFF"/>
        </w:rPr>
        <w:t xml:space="preserve">Raju, P. N., &amp; Pal, D. (2011). Effect of bulking agents on the quality of artificially sweetened </w:t>
      </w:r>
      <w:proofErr w:type="spellStart"/>
      <w:r w:rsidRPr="007E37EC">
        <w:rPr>
          <w:rFonts w:ascii="Arial" w:hAnsi="Arial" w:cs="Arial"/>
          <w:color w:val="222222"/>
          <w:sz w:val="20"/>
          <w:szCs w:val="20"/>
          <w:shd w:val="clear" w:color="auto" w:fill="FFFFFF"/>
        </w:rPr>
        <w:t>misti</w:t>
      </w:r>
      <w:proofErr w:type="spellEnd"/>
      <w:r w:rsidRPr="007E37EC">
        <w:rPr>
          <w:rFonts w:ascii="Arial" w:hAnsi="Arial" w:cs="Arial"/>
          <w:color w:val="222222"/>
          <w:sz w:val="20"/>
          <w:szCs w:val="20"/>
          <w:shd w:val="clear" w:color="auto" w:fill="FFFFFF"/>
        </w:rPr>
        <w:t xml:space="preserve"> </w:t>
      </w:r>
      <w:proofErr w:type="spellStart"/>
      <w:r w:rsidRPr="007E37EC">
        <w:rPr>
          <w:rFonts w:ascii="Arial" w:hAnsi="Arial" w:cs="Arial"/>
          <w:color w:val="222222"/>
          <w:sz w:val="20"/>
          <w:szCs w:val="20"/>
          <w:shd w:val="clear" w:color="auto" w:fill="FFFFFF"/>
        </w:rPr>
        <w:t>dahi</w:t>
      </w:r>
      <w:proofErr w:type="spellEnd"/>
      <w:r w:rsidRPr="007E37EC">
        <w:rPr>
          <w:rFonts w:ascii="Arial" w:hAnsi="Arial" w:cs="Arial"/>
          <w:color w:val="222222"/>
          <w:sz w:val="20"/>
          <w:szCs w:val="20"/>
          <w:shd w:val="clear" w:color="auto" w:fill="FFFFFF"/>
        </w:rPr>
        <w:t xml:space="preserve"> (caramel </w:t>
      </w:r>
      <w:proofErr w:type="spellStart"/>
      <w:r w:rsidRPr="007E37EC">
        <w:rPr>
          <w:rFonts w:ascii="Arial" w:hAnsi="Arial" w:cs="Arial"/>
          <w:color w:val="222222"/>
          <w:sz w:val="20"/>
          <w:szCs w:val="20"/>
          <w:shd w:val="clear" w:color="auto" w:fill="FFFFFF"/>
        </w:rPr>
        <w:t>colored</w:t>
      </w:r>
      <w:proofErr w:type="spellEnd"/>
      <w:r w:rsidRPr="007E37EC">
        <w:rPr>
          <w:rFonts w:ascii="Arial" w:hAnsi="Arial" w:cs="Arial"/>
          <w:color w:val="222222"/>
          <w:sz w:val="20"/>
          <w:szCs w:val="20"/>
          <w:shd w:val="clear" w:color="auto" w:fill="FFFFFF"/>
        </w:rPr>
        <w:t xml:space="preserve"> sweetened yoghurt) prepared from reduced fat buffalo milk. </w:t>
      </w:r>
      <w:r w:rsidRPr="007E37EC">
        <w:rPr>
          <w:rFonts w:ascii="Arial" w:hAnsi="Arial" w:cs="Arial"/>
          <w:i/>
          <w:iCs/>
          <w:color w:val="222222"/>
          <w:sz w:val="20"/>
          <w:szCs w:val="20"/>
          <w:shd w:val="clear" w:color="auto" w:fill="FFFFFF"/>
        </w:rPr>
        <w:t>LWT-Food Science and Technology</w:t>
      </w:r>
      <w:r w:rsidRPr="007E37EC">
        <w:rPr>
          <w:rFonts w:ascii="Arial" w:hAnsi="Arial" w:cs="Arial"/>
          <w:color w:val="222222"/>
          <w:sz w:val="20"/>
          <w:szCs w:val="20"/>
          <w:shd w:val="clear" w:color="auto" w:fill="FFFFFF"/>
        </w:rPr>
        <w:t>, </w:t>
      </w:r>
      <w:r w:rsidRPr="007E37EC">
        <w:rPr>
          <w:rFonts w:ascii="Arial" w:hAnsi="Arial" w:cs="Arial"/>
          <w:i/>
          <w:iCs/>
          <w:color w:val="222222"/>
          <w:sz w:val="20"/>
          <w:szCs w:val="20"/>
          <w:shd w:val="clear" w:color="auto" w:fill="FFFFFF"/>
        </w:rPr>
        <w:t>44</w:t>
      </w:r>
      <w:r w:rsidRPr="007E37EC">
        <w:rPr>
          <w:rFonts w:ascii="Arial" w:hAnsi="Arial" w:cs="Arial"/>
          <w:color w:val="222222"/>
          <w:sz w:val="20"/>
          <w:szCs w:val="20"/>
          <w:shd w:val="clear" w:color="auto" w:fill="FFFFFF"/>
        </w:rPr>
        <w:t>(9), 1835-1843.</w:t>
      </w:r>
      <w:r w:rsidRPr="007E37EC">
        <w:rPr>
          <w:rFonts w:ascii="Arial" w:hAnsi="Arial" w:cs="Arial"/>
          <w:sz w:val="20"/>
          <w:szCs w:val="20"/>
        </w:rPr>
        <w:t xml:space="preserve"> </w:t>
      </w:r>
      <w:hyperlink r:id="rId13" w:history="1">
        <w:r w:rsidRPr="007E37EC">
          <w:rPr>
            <w:rStyle w:val="Hyperlink"/>
            <w:rFonts w:ascii="Arial" w:hAnsi="Arial" w:cs="Arial"/>
            <w:sz w:val="20"/>
            <w:szCs w:val="20"/>
            <w:shd w:val="clear" w:color="auto" w:fill="FFFFFF"/>
          </w:rPr>
          <w:t>https://doi.org/10.1016/j.lwt.2011.03.010</w:t>
        </w:r>
      </w:hyperlink>
    </w:p>
    <w:p w14:paraId="0C525300" w14:textId="1BA5BE64" w:rsidR="005D554C" w:rsidRPr="007E37EC" w:rsidRDefault="005D554C" w:rsidP="00C47E29">
      <w:pPr>
        <w:spacing w:line="360" w:lineRule="auto"/>
        <w:ind w:left="720" w:hanging="720"/>
        <w:jc w:val="both"/>
        <w:rPr>
          <w:rFonts w:ascii="Arial" w:hAnsi="Arial" w:cs="Arial"/>
          <w:sz w:val="20"/>
          <w:szCs w:val="20"/>
        </w:rPr>
      </w:pPr>
      <w:proofErr w:type="spellStart"/>
      <w:r w:rsidRPr="007E37EC">
        <w:rPr>
          <w:rFonts w:ascii="Arial" w:hAnsi="Arial" w:cs="Arial"/>
          <w:sz w:val="20"/>
          <w:szCs w:val="20"/>
        </w:rPr>
        <w:t>Rasane</w:t>
      </w:r>
      <w:proofErr w:type="spellEnd"/>
      <w:r w:rsidRPr="007E37EC">
        <w:rPr>
          <w:rFonts w:ascii="Arial" w:hAnsi="Arial" w:cs="Arial"/>
          <w:sz w:val="20"/>
          <w:szCs w:val="20"/>
        </w:rPr>
        <w:t xml:space="preserve">, P., Kailey, R., &amp; Singh, S. K. (2017). Fermented Indigenous Indian Dairy Products: Standards, Nutrition, Technological Significance and Opportunities for its Processing. </w:t>
      </w:r>
      <w:r w:rsidRPr="007E37EC">
        <w:rPr>
          <w:rFonts w:ascii="Arial" w:hAnsi="Arial" w:cs="Arial"/>
          <w:i/>
          <w:iCs/>
          <w:sz w:val="20"/>
          <w:szCs w:val="20"/>
        </w:rPr>
        <w:t>Journal of Pure &amp; Applied Microbiology</w:t>
      </w:r>
      <w:r w:rsidRPr="007E37EC">
        <w:rPr>
          <w:rFonts w:ascii="Arial" w:hAnsi="Arial" w:cs="Arial"/>
          <w:sz w:val="20"/>
          <w:szCs w:val="20"/>
        </w:rPr>
        <w:t xml:space="preserve">, 11(2). </w:t>
      </w:r>
      <w:hyperlink r:id="rId14" w:history="1">
        <w:r w:rsidR="00C47E29" w:rsidRPr="007E37EC">
          <w:rPr>
            <w:rStyle w:val="Hyperlink"/>
            <w:rFonts w:ascii="Arial" w:hAnsi="Arial" w:cs="Arial"/>
            <w:sz w:val="20"/>
            <w:szCs w:val="20"/>
          </w:rPr>
          <w:t>http://dx.doi.org/10.22207/JPAM.11.2.68</w:t>
        </w:r>
      </w:hyperlink>
    </w:p>
    <w:p w14:paraId="4D46CD5D" w14:textId="2020CD81" w:rsidR="005D554C" w:rsidRPr="007E37EC" w:rsidRDefault="00E123F6" w:rsidP="00E123F6">
      <w:pPr>
        <w:spacing w:line="360" w:lineRule="auto"/>
        <w:ind w:left="720" w:hanging="720"/>
        <w:jc w:val="both"/>
        <w:rPr>
          <w:rFonts w:ascii="Arial" w:hAnsi="Arial" w:cs="Arial"/>
          <w:sz w:val="20"/>
          <w:szCs w:val="20"/>
        </w:rPr>
      </w:pPr>
      <w:r w:rsidRPr="007E37EC">
        <w:rPr>
          <w:rFonts w:ascii="Arial" w:hAnsi="Arial" w:cs="Arial"/>
          <w:color w:val="222222"/>
          <w:sz w:val="20"/>
          <w:szCs w:val="20"/>
          <w:shd w:val="clear" w:color="auto" w:fill="FFFFFF"/>
        </w:rPr>
        <w:t xml:space="preserve">Savaiano, D. A., &amp; </w:t>
      </w:r>
      <w:proofErr w:type="spellStart"/>
      <w:r w:rsidRPr="007E37EC">
        <w:rPr>
          <w:rFonts w:ascii="Arial" w:hAnsi="Arial" w:cs="Arial"/>
          <w:color w:val="222222"/>
          <w:sz w:val="20"/>
          <w:szCs w:val="20"/>
          <w:shd w:val="clear" w:color="auto" w:fill="FFFFFF"/>
        </w:rPr>
        <w:t>Hutkins</w:t>
      </w:r>
      <w:proofErr w:type="spellEnd"/>
      <w:r w:rsidRPr="007E37EC">
        <w:rPr>
          <w:rFonts w:ascii="Arial" w:hAnsi="Arial" w:cs="Arial"/>
          <w:color w:val="222222"/>
          <w:sz w:val="20"/>
          <w:szCs w:val="20"/>
          <w:shd w:val="clear" w:color="auto" w:fill="FFFFFF"/>
        </w:rPr>
        <w:t>, R. W. (2021). Yogurt, cultured fermented milk, and health: A systematic review. </w:t>
      </w:r>
      <w:r w:rsidRPr="007E37EC">
        <w:rPr>
          <w:rFonts w:ascii="Arial" w:hAnsi="Arial" w:cs="Arial"/>
          <w:i/>
          <w:iCs/>
          <w:color w:val="222222"/>
          <w:sz w:val="20"/>
          <w:szCs w:val="20"/>
          <w:shd w:val="clear" w:color="auto" w:fill="FFFFFF"/>
        </w:rPr>
        <w:t>Nutrition reviews</w:t>
      </w:r>
      <w:r w:rsidRPr="007E37EC">
        <w:rPr>
          <w:rFonts w:ascii="Arial" w:hAnsi="Arial" w:cs="Arial"/>
          <w:color w:val="222222"/>
          <w:sz w:val="20"/>
          <w:szCs w:val="20"/>
          <w:shd w:val="clear" w:color="auto" w:fill="FFFFFF"/>
        </w:rPr>
        <w:t>, </w:t>
      </w:r>
      <w:r w:rsidRPr="007E37EC">
        <w:rPr>
          <w:rFonts w:ascii="Arial" w:hAnsi="Arial" w:cs="Arial"/>
          <w:i/>
          <w:iCs/>
          <w:color w:val="222222"/>
          <w:sz w:val="20"/>
          <w:szCs w:val="20"/>
          <w:shd w:val="clear" w:color="auto" w:fill="FFFFFF"/>
        </w:rPr>
        <w:t>79</w:t>
      </w:r>
      <w:r w:rsidRPr="007E37EC">
        <w:rPr>
          <w:rFonts w:ascii="Arial" w:hAnsi="Arial" w:cs="Arial"/>
          <w:color w:val="222222"/>
          <w:sz w:val="20"/>
          <w:szCs w:val="20"/>
          <w:shd w:val="clear" w:color="auto" w:fill="FFFFFF"/>
        </w:rPr>
        <w:t>(5), 599-614.</w:t>
      </w:r>
      <w:hyperlink r:id="rId15" w:history="1">
        <w:r w:rsidRPr="007E37EC">
          <w:rPr>
            <w:rStyle w:val="Hyperlink"/>
            <w:rFonts w:ascii="Arial" w:hAnsi="Arial" w:cs="Arial"/>
            <w:sz w:val="20"/>
            <w:szCs w:val="20"/>
          </w:rPr>
          <w:t>https://doi.org/10.1093/nutrit/nuaa013</w:t>
        </w:r>
      </w:hyperlink>
    </w:p>
    <w:p w14:paraId="304142A0" w14:textId="149C27C7" w:rsidR="005D554C" w:rsidRPr="007E37EC" w:rsidRDefault="005D554C" w:rsidP="005D554C">
      <w:pPr>
        <w:spacing w:line="360" w:lineRule="auto"/>
        <w:ind w:left="720" w:hanging="720"/>
        <w:jc w:val="both"/>
        <w:rPr>
          <w:rFonts w:ascii="Arial" w:hAnsi="Arial" w:cs="Arial"/>
          <w:sz w:val="20"/>
          <w:szCs w:val="20"/>
        </w:rPr>
      </w:pPr>
      <w:r w:rsidRPr="007E37EC">
        <w:rPr>
          <w:rFonts w:ascii="Arial" w:hAnsi="Arial" w:cs="Arial"/>
          <w:sz w:val="20"/>
          <w:szCs w:val="20"/>
        </w:rPr>
        <w:t xml:space="preserve">Schwab, B., &amp; Lusztig, P. (1969). A comparative analysis of the net present value and the benefit-cost ratio as measures of the economic desirability of investments. </w:t>
      </w:r>
      <w:r w:rsidRPr="007E37EC">
        <w:rPr>
          <w:rFonts w:ascii="Arial" w:hAnsi="Arial" w:cs="Arial"/>
          <w:i/>
          <w:iCs/>
          <w:sz w:val="20"/>
          <w:szCs w:val="20"/>
        </w:rPr>
        <w:t>The Journal of Finance</w:t>
      </w:r>
      <w:r w:rsidRPr="007E37EC">
        <w:rPr>
          <w:rFonts w:ascii="Arial" w:hAnsi="Arial" w:cs="Arial"/>
          <w:sz w:val="20"/>
          <w:szCs w:val="20"/>
        </w:rPr>
        <w:t xml:space="preserve">, 24(3), 507-516. </w:t>
      </w:r>
      <w:hyperlink r:id="rId16" w:history="1">
        <w:r w:rsidR="003C3AA7" w:rsidRPr="007E37EC">
          <w:rPr>
            <w:rStyle w:val="Hyperlink"/>
            <w:rFonts w:ascii="Arial" w:hAnsi="Arial" w:cs="Arial"/>
            <w:sz w:val="20"/>
            <w:szCs w:val="20"/>
          </w:rPr>
          <w:t>https://doi.org/10.2307/2325349</w:t>
        </w:r>
      </w:hyperlink>
    </w:p>
    <w:p w14:paraId="75F4A4D1" w14:textId="77777777" w:rsidR="003C3AA7" w:rsidRPr="007E37EC" w:rsidRDefault="005D554C" w:rsidP="00D01956">
      <w:pPr>
        <w:spacing w:line="360" w:lineRule="auto"/>
        <w:ind w:left="720" w:hanging="720"/>
        <w:jc w:val="both"/>
        <w:rPr>
          <w:rFonts w:ascii="Arial" w:hAnsi="Arial" w:cs="Arial"/>
          <w:sz w:val="20"/>
          <w:szCs w:val="20"/>
        </w:rPr>
      </w:pPr>
      <w:r w:rsidRPr="007E37EC">
        <w:rPr>
          <w:rFonts w:ascii="Arial" w:hAnsi="Arial" w:cs="Arial"/>
          <w:sz w:val="20"/>
          <w:szCs w:val="20"/>
        </w:rPr>
        <w:t xml:space="preserve">Vijayan, P. K. (2025). </w:t>
      </w:r>
      <w:r w:rsidRPr="007E37EC">
        <w:rPr>
          <w:rFonts w:ascii="Arial" w:hAnsi="Arial" w:cs="Arial"/>
          <w:i/>
          <w:iCs/>
          <w:sz w:val="20"/>
          <w:szCs w:val="20"/>
        </w:rPr>
        <w:t>Dairy Marketing in Kerala</w:t>
      </w:r>
      <w:r w:rsidRPr="007E37EC">
        <w:rPr>
          <w:rFonts w:ascii="Arial" w:hAnsi="Arial" w:cs="Arial"/>
          <w:sz w:val="20"/>
          <w:szCs w:val="20"/>
        </w:rPr>
        <w:t xml:space="preserve"> (Doctoral dissertation, Sri C. </w:t>
      </w:r>
      <w:proofErr w:type="spellStart"/>
      <w:r w:rsidRPr="007E37EC">
        <w:rPr>
          <w:rFonts w:ascii="Arial" w:hAnsi="Arial" w:cs="Arial"/>
          <w:sz w:val="20"/>
          <w:szCs w:val="20"/>
        </w:rPr>
        <w:t>Achutha</w:t>
      </w:r>
      <w:proofErr w:type="spellEnd"/>
      <w:r w:rsidRPr="007E37EC">
        <w:rPr>
          <w:rFonts w:ascii="Arial" w:hAnsi="Arial" w:cs="Arial"/>
          <w:sz w:val="20"/>
          <w:szCs w:val="20"/>
        </w:rPr>
        <w:t xml:space="preserve"> Menon Government College, Thrissur, University of Calicut). </w:t>
      </w:r>
    </w:p>
    <w:p w14:paraId="307C72EF" w14:textId="77777777" w:rsidR="005D7EB9" w:rsidRPr="007E37EC" w:rsidRDefault="003C3AA7" w:rsidP="006C234C">
      <w:pPr>
        <w:spacing w:line="360" w:lineRule="auto"/>
        <w:ind w:left="720" w:hanging="720"/>
        <w:jc w:val="both"/>
        <w:rPr>
          <w:rFonts w:ascii="Arial" w:hAnsi="Arial" w:cs="Arial"/>
          <w:sz w:val="20"/>
          <w:szCs w:val="20"/>
        </w:rPr>
      </w:pPr>
      <w:r w:rsidRPr="007E37EC">
        <w:rPr>
          <w:rFonts w:ascii="Arial" w:hAnsi="Arial" w:cs="Arial"/>
          <w:color w:val="222222"/>
          <w:sz w:val="20"/>
          <w:szCs w:val="20"/>
          <w:shd w:val="clear" w:color="auto" w:fill="FFFFFF"/>
        </w:rPr>
        <w:t>Wolf, C. A. (2010). Understanding the milk-to-feed price ratio as a proxy for dairy farm profitability. </w:t>
      </w:r>
      <w:r w:rsidRPr="007E37EC">
        <w:rPr>
          <w:rFonts w:ascii="Arial" w:hAnsi="Arial" w:cs="Arial"/>
          <w:i/>
          <w:iCs/>
          <w:color w:val="222222"/>
          <w:sz w:val="20"/>
          <w:szCs w:val="20"/>
          <w:shd w:val="clear" w:color="auto" w:fill="FFFFFF"/>
        </w:rPr>
        <w:t>Journal of Dairy science</w:t>
      </w:r>
      <w:r w:rsidRPr="007E37EC">
        <w:rPr>
          <w:rFonts w:ascii="Arial" w:hAnsi="Arial" w:cs="Arial"/>
          <w:color w:val="222222"/>
          <w:sz w:val="20"/>
          <w:szCs w:val="20"/>
          <w:shd w:val="clear" w:color="auto" w:fill="FFFFFF"/>
        </w:rPr>
        <w:t>, </w:t>
      </w:r>
      <w:r w:rsidRPr="007E37EC">
        <w:rPr>
          <w:rFonts w:ascii="Arial" w:hAnsi="Arial" w:cs="Arial"/>
          <w:i/>
          <w:iCs/>
          <w:color w:val="222222"/>
          <w:sz w:val="20"/>
          <w:szCs w:val="20"/>
          <w:shd w:val="clear" w:color="auto" w:fill="FFFFFF"/>
        </w:rPr>
        <w:t>93</w:t>
      </w:r>
      <w:r w:rsidRPr="007E37EC">
        <w:rPr>
          <w:rFonts w:ascii="Arial" w:hAnsi="Arial" w:cs="Arial"/>
          <w:color w:val="222222"/>
          <w:sz w:val="20"/>
          <w:szCs w:val="20"/>
          <w:shd w:val="clear" w:color="auto" w:fill="FFFFFF"/>
        </w:rPr>
        <w:t>(10), 4942-4948.</w:t>
      </w:r>
      <w:hyperlink r:id="rId17" w:history="1">
        <w:r w:rsidRPr="007E37EC">
          <w:rPr>
            <w:rStyle w:val="Hyperlink"/>
            <w:rFonts w:ascii="Arial" w:hAnsi="Arial" w:cs="Arial"/>
            <w:sz w:val="20"/>
            <w:szCs w:val="20"/>
          </w:rPr>
          <w:t>https://doi.org/10.3168/jds.2009-2998</w:t>
        </w:r>
      </w:hyperlink>
    </w:p>
    <w:p w14:paraId="2D6088BA" w14:textId="5D8A0988" w:rsidR="005D554C" w:rsidRPr="007E37EC" w:rsidRDefault="005D7EB9" w:rsidP="005D7EB9">
      <w:pPr>
        <w:spacing w:line="360" w:lineRule="auto"/>
        <w:ind w:left="720" w:hanging="720"/>
        <w:jc w:val="both"/>
        <w:rPr>
          <w:rFonts w:ascii="Arial" w:hAnsi="Arial" w:cs="Arial"/>
          <w:sz w:val="20"/>
          <w:szCs w:val="20"/>
        </w:rPr>
      </w:pPr>
      <w:r w:rsidRPr="007E37EC">
        <w:rPr>
          <w:rFonts w:ascii="Arial" w:hAnsi="Arial" w:cs="Arial"/>
          <w:color w:val="222222"/>
          <w:sz w:val="20"/>
          <w:szCs w:val="20"/>
          <w:shd w:val="clear" w:color="auto" w:fill="FFFFFF"/>
        </w:rPr>
        <w:t>Yasmin, A., Huma, N., Butt, M. S., Zahoor, T., &amp; Yasin, M. (2012). Seasonal variation in milk vitamin contents available for processing in Punjab, Pakistan. </w:t>
      </w:r>
      <w:r w:rsidRPr="007E37EC">
        <w:rPr>
          <w:rFonts w:ascii="Arial" w:hAnsi="Arial" w:cs="Arial"/>
          <w:i/>
          <w:iCs/>
          <w:color w:val="222222"/>
          <w:sz w:val="20"/>
          <w:szCs w:val="20"/>
          <w:shd w:val="clear" w:color="auto" w:fill="FFFFFF"/>
        </w:rPr>
        <w:t>Journal of the Saudi Society of Agricultural Sciences</w:t>
      </w:r>
      <w:r w:rsidRPr="007E37EC">
        <w:rPr>
          <w:rFonts w:ascii="Arial" w:hAnsi="Arial" w:cs="Arial"/>
          <w:color w:val="222222"/>
          <w:sz w:val="20"/>
          <w:szCs w:val="20"/>
          <w:shd w:val="clear" w:color="auto" w:fill="FFFFFF"/>
        </w:rPr>
        <w:t>, </w:t>
      </w:r>
      <w:r w:rsidRPr="007E37EC">
        <w:rPr>
          <w:rFonts w:ascii="Arial" w:hAnsi="Arial" w:cs="Arial"/>
          <w:i/>
          <w:iCs/>
          <w:color w:val="222222"/>
          <w:sz w:val="20"/>
          <w:szCs w:val="20"/>
          <w:shd w:val="clear" w:color="auto" w:fill="FFFFFF"/>
        </w:rPr>
        <w:t>11</w:t>
      </w:r>
      <w:r w:rsidRPr="007E37EC">
        <w:rPr>
          <w:rFonts w:ascii="Arial" w:hAnsi="Arial" w:cs="Arial"/>
          <w:color w:val="222222"/>
          <w:sz w:val="20"/>
          <w:szCs w:val="20"/>
          <w:shd w:val="clear" w:color="auto" w:fill="FFFFFF"/>
        </w:rPr>
        <w:t>(2), 99-105.</w:t>
      </w:r>
      <w:hyperlink r:id="rId18" w:history="1">
        <w:r w:rsidR="003C3AA7" w:rsidRPr="007E37EC">
          <w:rPr>
            <w:rStyle w:val="Hyperlink"/>
            <w:rFonts w:ascii="Arial" w:eastAsia="Arial MT" w:hAnsi="Arial" w:cs="Arial"/>
            <w:kern w:val="0"/>
            <w:sz w:val="20"/>
            <w:szCs w:val="20"/>
            <w14:ligatures w14:val="none"/>
          </w:rPr>
          <w:t>https://doi.org/10.1016/j.jssas.2012.01.002</w:t>
        </w:r>
      </w:hyperlink>
    </w:p>
    <w:p w14:paraId="18D7A5E5" w14:textId="77777777" w:rsidR="003C3AA7" w:rsidRPr="007E37EC" w:rsidRDefault="003C3AA7" w:rsidP="003C3AA7">
      <w:pPr>
        <w:spacing w:line="360" w:lineRule="auto"/>
        <w:jc w:val="both"/>
        <w:rPr>
          <w:rFonts w:ascii="Arial" w:eastAsia="Arial MT" w:hAnsi="Arial" w:cs="Arial"/>
          <w:kern w:val="0"/>
          <w14:ligatures w14:val="none"/>
        </w:rPr>
      </w:pPr>
    </w:p>
    <w:p w14:paraId="75ABF103" w14:textId="77777777" w:rsidR="00A01EFD" w:rsidRPr="007E37EC" w:rsidRDefault="00A01EFD" w:rsidP="001D4149">
      <w:pPr>
        <w:spacing w:line="360" w:lineRule="auto"/>
        <w:jc w:val="both"/>
        <w:rPr>
          <w:rFonts w:ascii="Arial" w:hAnsi="Arial" w:cs="Arial"/>
        </w:rPr>
      </w:pPr>
    </w:p>
    <w:sectPr w:rsidR="00A01EFD" w:rsidRPr="007E37EC">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9320B" w14:textId="77777777" w:rsidR="00AA1D1B" w:rsidRDefault="00AA1D1B" w:rsidP="00726B0F">
      <w:pPr>
        <w:spacing w:after="0" w:line="240" w:lineRule="auto"/>
      </w:pPr>
      <w:r>
        <w:separator/>
      </w:r>
    </w:p>
  </w:endnote>
  <w:endnote w:type="continuationSeparator" w:id="0">
    <w:p w14:paraId="5E34643C" w14:textId="77777777" w:rsidR="00AA1D1B" w:rsidRDefault="00AA1D1B" w:rsidP="0072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10C45" w14:textId="77777777" w:rsidR="00BD4F5D" w:rsidRDefault="00BD4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2FBEC" w14:textId="77777777" w:rsidR="00BD4F5D" w:rsidRDefault="00BD4F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F3002" w14:textId="77777777" w:rsidR="00BD4F5D" w:rsidRDefault="00BD4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C7517" w14:textId="77777777" w:rsidR="00AA1D1B" w:rsidRDefault="00AA1D1B" w:rsidP="00726B0F">
      <w:pPr>
        <w:spacing w:after="0" w:line="240" w:lineRule="auto"/>
      </w:pPr>
      <w:r>
        <w:separator/>
      </w:r>
    </w:p>
  </w:footnote>
  <w:footnote w:type="continuationSeparator" w:id="0">
    <w:p w14:paraId="637005FD" w14:textId="77777777" w:rsidR="00AA1D1B" w:rsidRDefault="00AA1D1B" w:rsidP="00726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25B5B" w14:textId="3D1464CA" w:rsidR="00BD4F5D" w:rsidRDefault="00BD4F5D">
    <w:pPr>
      <w:pStyle w:val="Header"/>
    </w:pPr>
    <w:r>
      <w:rPr>
        <w:noProof/>
      </w:rPr>
      <w:pict w14:anchorId="1A1F4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17F3" w14:textId="489F2F74" w:rsidR="00BD4F5D" w:rsidRDefault="00BD4F5D">
    <w:pPr>
      <w:pStyle w:val="Header"/>
    </w:pPr>
    <w:r>
      <w:rPr>
        <w:noProof/>
      </w:rPr>
      <w:pict w14:anchorId="520FF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7A9EB" w14:textId="1DB0A2C6" w:rsidR="00BD4F5D" w:rsidRDefault="00BD4F5D">
    <w:pPr>
      <w:pStyle w:val="Header"/>
    </w:pPr>
    <w:r>
      <w:rPr>
        <w:noProof/>
      </w:rPr>
      <w:pict w14:anchorId="6EBE8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2E"/>
    <w:rsid w:val="00000479"/>
    <w:rsid w:val="00001E8B"/>
    <w:rsid w:val="00013719"/>
    <w:rsid w:val="00033F7D"/>
    <w:rsid w:val="000363FC"/>
    <w:rsid w:val="000A76CF"/>
    <w:rsid w:val="000C51C1"/>
    <w:rsid w:val="000D102C"/>
    <w:rsid w:val="001519F9"/>
    <w:rsid w:val="0016103A"/>
    <w:rsid w:val="00163627"/>
    <w:rsid w:val="00165562"/>
    <w:rsid w:val="0016759E"/>
    <w:rsid w:val="00171EC2"/>
    <w:rsid w:val="001B72F5"/>
    <w:rsid w:val="001C6F80"/>
    <w:rsid w:val="001D4149"/>
    <w:rsid w:val="001E7672"/>
    <w:rsid w:val="001E7AFD"/>
    <w:rsid w:val="001F2A17"/>
    <w:rsid w:val="001F55ED"/>
    <w:rsid w:val="001F68C0"/>
    <w:rsid w:val="002164DE"/>
    <w:rsid w:val="00221A30"/>
    <w:rsid w:val="002313A7"/>
    <w:rsid w:val="002505FD"/>
    <w:rsid w:val="00251DEB"/>
    <w:rsid w:val="00273204"/>
    <w:rsid w:val="002A1624"/>
    <w:rsid w:val="002C54CA"/>
    <w:rsid w:val="0030009C"/>
    <w:rsid w:val="00346580"/>
    <w:rsid w:val="0034768D"/>
    <w:rsid w:val="00353B6A"/>
    <w:rsid w:val="003800DB"/>
    <w:rsid w:val="003A2F8C"/>
    <w:rsid w:val="003B4A9F"/>
    <w:rsid w:val="003B5A7D"/>
    <w:rsid w:val="003B6210"/>
    <w:rsid w:val="003C3AA7"/>
    <w:rsid w:val="003D0175"/>
    <w:rsid w:val="003E3F7A"/>
    <w:rsid w:val="004021B0"/>
    <w:rsid w:val="00407285"/>
    <w:rsid w:val="00454D3A"/>
    <w:rsid w:val="00462676"/>
    <w:rsid w:val="00475872"/>
    <w:rsid w:val="00480638"/>
    <w:rsid w:val="00494C8C"/>
    <w:rsid w:val="004A7B47"/>
    <w:rsid w:val="004D61DD"/>
    <w:rsid w:val="00500E85"/>
    <w:rsid w:val="00525C7A"/>
    <w:rsid w:val="00535DCB"/>
    <w:rsid w:val="005516FF"/>
    <w:rsid w:val="00573FF4"/>
    <w:rsid w:val="00574288"/>
    <w:rsid w:val="00582E57"/>
    <w:rsid w:val="00595952"/>
    <w:rsid w:val="005A2E0D"/>
    <w:rsid w:val="005D25FA"/>
    <w:rsid w:val="005D2F72"/>
    <w:rsid w:val="005D554C"/>
    <w:rsid w:val="005D7EB9"/>
    <w:rsid w:val="005F0EB0"/>
    <w:rsid w:val="005F6765"/>
    <w:rsid w:val="005F7178"/>
    <w:rsid w:val="00637349"/>
    <w:rsid w:val="006A7559"/>
    <w:rsid w:val="006B225E"/>
    <w:rsid w:val="006B5A21"/>
    <w:rsid w:val="006C234C"/>
    <w:rsid w:val="006D558D"/>
    <w:rsid w:val="006E1574"/>
    <w:rsid w:val="00701783"/>
    <w:rsid w:val="0071329D"/>
    <w:rsid w:val="007150C9"/>
    <w:rsid w:val="007214CF"/>
    <w:rsid w:val="00722123"/>
    <w:rsid w:val="00726B0F"/>
    <w:rsid w:val="00760689"/>
    <w:rsid w:val="00761385"/>
    <w:rsid w:val="00797D54"/>
    <w:rsid w:val="007A788B"/>
    <w:rsid w:val="007D34F7"/>
    <w:rsid w:val="007D52FF"/>
    <w:rsid w:val="007E37EC"/>
    <w:rsid w:val="007E59E1"/>
    <w:rsid w:val="00814B20"/>
    <w:rsid w:val="00822DB6"/>
    <w:rsid w:val="00842AFB"/>
    <w:rsid w:val="00844B2A"/>
    <w:rsid w:val="008516FB"/>
    <w:rsid w:val="00857E40"/>
    <w:rsid w:val="008601F7"/>
    <w:rsid w:val="008879C8"/>
    <w:rsid w:val="0089340B"/>
    <w:rsid w:val="008A1169"/>
    <w:rsid w:val="008B2E36"/>
    <w:rsid w:val="008B726C"/>
    <w:rsid w:val="008D488B"/>
    <w:rsid w:val="009217AB"/>
    <w:rsid w:val="009539D6"/>
    <w:rsid w:val="0095726A"/>
    <w:rsid w:val="00967C45"/>
    <w:rsid w:val="00975BDE"/>
    <w:rsid w:val="0098779F"/>
    <w:rsid w:val="009908C4"/>
    <w:rsid w:val="00A01EFD"/>
    <w:rsid w:val="00A5542E"/>
    <w:rsid w:val="00A55A9C"/>
    <w:rsid w:val="00A5721A"/>
    <w:rsid w:val="00A60683"/>
    <w:rsid w:val="00A81A41"/>
    <w:rsid w:val="00A9162F"/>
    <w:rsid w:val="00AA0C95"/>
    <w:rsid w:val="00AA1D1B"/>
    <w:rsid w:val="00AB2885"/>
    <w:rsid w:val="00AB524C"/>
    <w:rsid w:val="00AC2E7D"/>
    <w:rsid w:val="00AF12E0"/>
    <w:rsid w:val="00AF6039"/>
    <w:rsid w:val="00B06798"/>
    <w:rsid w:val="00B238DE"/>
    <w:rsid w:val="00B24B55"/>
    <w:rsid w:val="00B37EEF"/>
    <w:rsid w:val="00B408F8"/>
    <w:rsid w:val="00B4123E"/>
    <w:rsid w:val="00B46AAA"/>
    <w:rsid w:val="00B65C4C"/>
    <w:rsid w:val="00B77155"/>
    <w:rsid w:val="00B9432F"/>
    <w:rsid w:val="00BA6663"/>
    <w:rsid w:val="00BD4F5D"/>
    <w:rsid w:val="00BF0063"/>
    <w:rsid w:val="00C05323"/>
    <w:rsid w:val="00C063BA"/>
    <w:rsid w:val="00C15156"/>
    <w:rsid w:val="00C36F6B"/>
    <w:rsid w:val="00C47E29"/>
    <w:rsid w:val="00C572D2"/>
    <w:rsid w:val="00C63C30"/>
    <w:rsid w:val="00C94FC6"/>
    <w:rsid w:val="00CA7E14"/>
    <w:rsid w:val="00D01956"/>
    <w:rsid w:val="00D2036D"/>
    <w:rsid w:val="00D30881"/>
    <w:rsid w:val="00D53168"/>
    <w:rsid w:val="00D55B78"/>
    <w:rsid w:val="00D912EE"/>
    <w:rsid w:val="00D9358C"/>
    <w:rsid w:val="00D96769"/>
    <w:rsid w:val="00DC09BF"/>
    <w:rsid w:val="00DF27A4"/>
    <w:rsid w:val="00DF500E"/>
    <w:rsid w:val="00E03D5B"/>
    <w:rsid w:val="00E123F6"/>
    <w:rsid w:val="00E165AD"/>
    <w:rsid w:val="00E25A59"/>
    <w:rsid w:val="00E46597"/>
    <w:rsid w:val="00E57090"/>
    <w:rsid w:val="00E92F10"/>
    <w:rsid w:val="00EA7B50"/>
    <w:rsid w:val="00EC4530"/>
    <w:rsid w:val="00ED5A10"/>
    <w:rsid w:val="00ED6C63"/>
    <w:rsid w:val="00EE6593"/>
    <w:rsid w:val="00F017EE"/>
    <w:rsid w:val="00F2175E"/>
    <w:rsid w:val="00F25E7A"/>
    <w:rsid w:val="00F33AF4"/>
    <w:rsid w:val="00F72B93"/>
    <w:rsid w:val="00F75CDA"/>
    <w:rsid w:val="00F836D3"/>
    <w:rsid w:val="00F87F66"/>
    <w:rsid w:val="00F966A6"/>
    <w:rsid w:val="00F9775F"/>
    <w:rsid w:val="00FA2247"/>
    <w:rsid w:val="00FB6F43"/>
    <w:rsid w:val="00FD593E"/>
    <w:rsid w:val="00FE2BF3"/>
    <w:rsid w:val="00FE2E0A"/>
    <w:rsid w:val="00FF33A9"/>
    <w:rsid w:val="00FF76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D136A4"/>
  <w15:docId w15:val="{AF61A867-922D-4832-8F9A-B4679CED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C4C"/>
  </w:style>
  <w:style w:type="paragraph" w:styleId="Heading1">
    <w:name w:val="heading 1"/>
    <w:basedOn w:val="Normal"/>
    <w:next w:val="Normal"/>
    <w:link w:val="Heading1Char"/>
    <w:uiPriority w:val="9"/>
    <w:qFormat/>
    <w:rsid w:val="00A554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54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54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54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54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54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4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4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4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4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54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54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54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54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5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42E"/>
    <w:rPr>
      <w:rFonts w:eastAsiaTheme="majorEastAsia" w:cstheme="majorBidi"/>
      <w:color w:val="272727" w:themeColor="text1" w:themeTint="D8"/>
    </w:rPr>
  </w:style>
  <w:style w:type="paragraph" w:styleId="Title">
    <w:name w:val="Title"/>
    <w:basedOn w:val="Normal"/>
    <w:next w:val="Normal"/>
    <w:link w:val="TitleChar"/>
    <w:uiPriority w:val="10"/>
    <w:qFormat/>
    <w:rsid w:val="00A55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4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42E"/>
    <w:pPr>
      <w:spacing w:before="160"/>
      <w:jc w:val="center"/>
    </w:pPr>
    <w:rPr>
      <w:i/>
      <w:iCs/>
      <w:color w:val="404040" w:themeColor="text1" w:themeTint="BF"/>
    </w:rPr>
  </w:style>
  <w:style w:type="character" w:customStyle="1" w:styleId="QuoteChar">
    <w:name w:val="Quote Char"/>
    <w:basedOn w:val="DefaultParagraphFont"/>
    <w:link w:val="Quote"/>
    <w:uiPriority w:val="29"/>
    <w:rsid w:val="00A5542E"/>
    <w:rPr>
      <w:i/>
      <w:iCs/>
      <w:color w:val="404040" w:themeColor="text1" w:themeTint="BF"/>
    </w:rPr>
  </w:style>
  <w:style w:type="paragraph" w:styleId="ListParagraph">
    <w:name w:val="List Paragraph"/>
    <w:basedOn w:val="Normal"/>
    <w:uiPriority w:val="34"/>
    <w:qFormat/>
    <w:rsid w:val="00A5542E"/>
    <w:pPr>
      <w:ind w:left="720"/>
      <w:contextualSpacing/>
    </w:pPr>
  </w:style>
  <w:style w:type="character" w:styleId="IntenseEmphasis">
    <w:name w:val="Intense Emphasis"/>
    <w:basedOn w:val="DefaultParagraphFont"/>
    <w:uiPriority w:val="21"/>
    <w:qFormat/>
    <w:rsid w:val="00A5542E"/>
    <w:rPr>
      <w:i/>
      <w:iCs/>
      <w:color w:val="2F5496" w:themeColor="accent1" w:themeShade="BF"/>
    </w:rPr>
  </w:style>
  <w:style w:type="paragraph" w:styleId="IntenseQuote">
    <w:name w:val="Intense Quote"/>
    <w:basedOn w:val="Normal"/>
    <w:next w:val="Normal"/>
    <w:link w:val="IntenseQuoteChar"/>
    <w:uiPriority w:val="30"/>
    <w:qFormat/>
    <w:rsid w:val="00A55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542E"/>
    <w:rPr>
      <w:i/>
      <w:iCs/>
      <w:color w:val="2F5496" w:themeColor="accent1" w:themeShade="BF"/>
    </w:rPr>
  </w:style>
  <w:style w:type="character" w:styleId="IntenseReference">
    <w:name w:val="Intense Reference"/>
    <w:basedOn w:val="DefaultParagraphFont"/>
    <w:uiPriority w:val="32"/>
    <w:qFormat/>
    <w:rsid w:val="00A5542E"/>
    <w:rPr>
      <w:b/>
      <w:bCs/>
      <w:smallCaps/>
      <w:color w:val="2F5496" w:themeColor="accent1" w:themeShade="BF"/>
      <w:spacing w:val="5"/>
    </w:rPr>
  </w:style>
  <w:style w:type="character" w:styleId="Hyperlink">
    <w:name w:val="Hyperlink"/>
    <w:basedOn w:val="DefaultParagraphFont"/>
    <w:uiPriority w:val="99"/>
    <w:unhideWhenUsed/>
    <w:rsid w:val="00B65C4C"/>
    <w:rPr>
      <w:color w:val="0563C1" w:themeColor="hyperlink"/>
      <w:u w:val="single"/>
    </w:rPr>
  </w:style>
  <w:style w:type="paragraph" w:customStyle="1" w:styleId="TableParagraph">
    <w:name w:val="Table Paragraph"/>
    <w:basedOn w:val="Normal"/>
    <w:uiPriority w:val="1"/>
    <w:qFormat/>
    <w:rsid w:val="00DF500E"/>
    <w:pPr>
      <w:widowControl w:val="0"/>
      <w:autoSpaceDE w:val="0"/>
      <w:autoSpaceDN w:val="0"/>
      <w:spacing w:before="60" w:after="0" w:line="240" w:lineRule="auto"/>
      <w:ind w:left="20"/>
      <w:jc w:val="center"/>
    </w:pPr>
    <w:rPr>
      <w:rFonts w:ascii="Arial MT" w:eastAsia="Arial MT" w:hAnsi="Arial MT" w:cs="Arial MT"/>
      <w:kern w:val="0"/>
      <w:lang w:val="en-US"/>
      <w14:ligatures w14:val="none"/>
    </w:rPr>
  </w:style>
  <w:style w:type="table" w:styleId="TableGrid">
    <w:name w:val="Table Grid"/>
    <w:basedOn w:val="TableNormal"/>
    <w:uiPriority w:val="39"/>
    <w:rsid w:val="00DF5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63C30"/>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C63C30"/>
    <w:rPr>
      <w:rFonts w:ascii="Arial MT" w:eastAsia="Arial MT" w:hAnsi="Arial MT" w:cs="Arial MT"/>
      <w:kern w:val="0"/>
      <w:sz w:val="20"/>
      <w:szCs w:val="20"/>
      <w:lang w:val="en-US"/>
      <w14:ligatures w14:val="none"/>
    </w:rPr>
  </w:style>
  <w:style w:type="paragraph" w:styleId="BalloonText">
    <w:name w:val="Balloon Text"/>
    <w:basedOn w:val="Normal"/>
    <w:link w:val="BalloonTextChar"/>
    <w:uiPriority w:val="99"/>
    <w:semiHidden/>
    <w:unhideWhenUsed/>
    <w:rsid w:val="0025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DEB"/>
    <w:rPr>
      <w:rFonts w:ascii="Tahoma" w:hAnsi="Tahoma" w:cs="Tahoma"/>
      <w:sz w:val="16"/>
      <w:szCs w:val="16"/>
    </w:rPr>
  </w:style>
  <w:style w:type="paragraph" w:styleId="Header">
    <w:name w:val="header"/>
    <w:basedOn w:val="Normal"/>
    <w:link w:val="HeaderChar"/>
    <w:uiPriority w:val="99"/>
    <w:unhideWhenUsed/>
    <w:rsid w:val="00726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B0F"/>
  </w:style>
  <w:style w:type="paragraph" w:styleId="Footer">
    <w:name w:val="footer"/>
    <w:basedOn w:val="Normal"/>
    <w:link w:val="FooterChar"/>
    <w:uiPriority w:val="99"/>
    <w:unhideWhenUsed/>
    <w:rsid w:val="00726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B0F"/>
  </w:style>
  <w:style w:type="character" w:styleId="UnresolvedMention">
    <w:name w:val="Unresolved Mention"/>
    <w:basedOn w:val="DefaultParagraphFont"/>
    <w:uiPriority w:val="99"/>
    <w:semiHidden/>
    <w:unhideWhenUsed/>
    <w:rsid w:val="003B6210"/>
    <w:rPr>
      <w:color w:val="605E5C"/>
      <w:shd w:val="clear" w:color="auto" w:fill="E1DFDD"/>
    </w:rPr>
  </w:style>
  <w:style w:type="table" w:styleId="GridTable1Light">
    <w:name w:val="Grid Table 1 Light"/>
    <w:basedOn w:val="TableNormal"/>
    <w:uiPriority w:val="46"/>
    <w:rsid w:val="00A916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A916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B978-0-12-805134-4.00002-X" TargetMode="External"/><Relationship Id="rId13" Type="http://schemas.openxmlformats.org/officeDocument/2006/relationships/hyperlink" Target="https://doi.org/10.1016/j.lwt.2011.03.010" TargetMode="External"/><Relationship Id="rId18" Type="http://schemas.openxmlformats.org/officeDocument/2006/relationships/hyperlink" Target="https://doi.org/10.1016/j.jssas.2012.01.002"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doi.org/10.1111/j.1744-7976.2012.01258.x" TargetMode="External"/><Relationship Id="rId12" Type="http://schemas.openxmlformats.org/officeDocument/2006/relationships/hyperlink" Target="https://doi.org/10.3390/foods9081004" TargetMode="External"/><Relationship Id="rId17" Type="http://schemas.openxmlformats.org/officeDocument/2006/relationships/hyperlink" Target="https://doi.org/10.3168/jds.2009-299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2307/2325349"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doi.org/10.20546/ijcmas.2020.908.424" TargetMode="External"/><Relationship Id="rId11" Type="http://schemas.openxmlformats.org/officeDocument/2006/relationships/hyperlink" Target="http://dx.doi.org/10.18805/ajdfr.DR-1937"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1093/nutrit/nuaa013" TargetMode="External"/><Relationship Id="rId23" Type="http://schemas.openxmlformats.org/officeDocument/2006/relationships/header" Target="header3.xml"/><Relationship Id="rId10" Type="http://schemas.openxmlformats.org/officeDocument/2006/relationships/hyperlink" Target="https://doi.org/10.1016/j.jclepro.2024.144197"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07/978-981-33-4268-2" TargetMode="External"/><Relationship Id="rId14" Type="http://schemas.openxmlformats.org/officeDocument/2006/relationships/hyperlink" Target="http://dx.doi.org/10.22207/JPAM.11.2.6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11</Pages>
  <Words>3977</Words>
  <Characters>22672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Biswas</dc:creator>
  <cp:keywords/>
  <dc:description/>
  <cp:lastModifiedBy>SDI 1084</cp:lastModifiedBy>
  <cp:revision>121</cp:revision>
  <dcterms:created xsi:type="dcterms:W3CDTF">2026-02-17T15:04:00Z</dcterms:created>
  <dcterms:modified xsi:type="dcterms:W3CDTF">2026-02-19T11:54:00Z</dcterms:modified>
</cp:coreProperties>
</file>