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71B35" w14:textId="77777777" w:rsidR="00DF4E86" w:rsidRDefault="00DF4E86" w:rsidP="00596A9F">
      <w:pPr>
        <w:spacing w:after="0" w:line="276" w:lineRule="auto"/>
        <w:jc w:val="center"/>
        <w:rPr>
          <w:rFonts w:ascii="Arial" w:hAnsi="Arial" w:cs="Arial"/>
          <w:b/>
          <w:bCs/>
          <w:sz w:val="36"/>
          <w:szCs w:val="36"/>
        </w:rPr>
      </w:pPr>
      <w:r w:rsidRPr="00DF4E86">
        <w:rPr>
          <w:rFonts w:ascii="Arial" w:hAnsi="Arial" w:cs="Arial"/>
          <w:b/>
          <w:bCs/>
          <w:sz w:val="36"/>
          <w:szCs w:val="36"/>
        </w:rPr>
        <w:t>Original Research Article</w:t>
      </w:r>
    </w:p>
    <w:p w14:paraId="1D8B180D" w14:textId="77777777" w:rsidR="00DF4E86" w:rsidRDefault="00DF4E86" w:rsidP="00596A9F">
      <w:pPr>
        <w:spacing w:after="0" w:line="276" w:lineRule="auto"/>
        <w:jc w:val="center"/>
        <w:rPr>
          <w:rFonts w:ascii="Arial" w:hAnsi="Arial" w:cs="Arial"/>
          <w:b/>
          <w:bCs/>
          <w:sz w:val="36"/>
          <w:szCs w:val="36"/>
        </w:rPr>
      </w:pPr>
    </w:p>
    <w:p w14:paraId="23FF688C" w14:textId="274BAF26" w:rsidR="00596A9F" w:rsidRPr="00866FBF" w:rsidRDefault="00003598" w:rsidP="00596A9F">
      <w:pPr>
        <w:spacing w:after="0" w:line="276" w:lineRule="auto"/>
        <w:jc w:val="center"/>
        <w:rPr>
          <w:rFonts w:ascii="Arial" w:hAnsi="Arial" w:cs="Arial"/>
          <w:b/>
          <w:bCs/>
          <w:sz w:val="36"/>
          <w:szCs w:val="36"/>
        </w:rPr>
      </w:pPr>
      <w:r w:rsidRPr="00866FBF">
        <w:rPr>
          <w:rFonts w:ascii="Arial" w:hAnsi="Arial" w:cs="Arial"/>
          <w:b/>
          <w:bCs/>
          <w:sz w:val="36"/>
          <w:szCs w:val="36"/>
        </w:rPr>
        <w:t xml:space="preserve">A Study on Profile Characteristics of Tribal Farmers in </w:t>
      </w:r>
      <w:r w:rsidR="00B03E3D" w:rsidRPr="00866FBF">
        <w:rPr>
          <w:rFonts w:ascii="Arial" w:hAnsi="Arial" w:cs="Arial"/>
          <w:b/>
          <w:bCs/>
          <w:sz w:val="36"/>
          <w:szCs w:val="36"/>
        </w:rPr>
        <w:t xml:space="preserve">Kalrayan Hills </w:t>
      </w:r>
      <w:r w:rsidRPr="00866FBF">
        <w:rPr>
          <w:rFonts w:ascii="Arial" w:hAnsi="Arial" w:cs="Arial"/>
          <w:b/>
          <w:bCs/>
          <w:sz w:val="36"/>
          <w:szCs w:val="36"/>
        </w:rPr>
        <w:t>of Tamil Nadu</w:t>
      </w:r>
    </w:p>
    <w:p w14:paraId="249DD15B" w14:textId="1CF8548D" w:rsidR="005F5282" w:rsidRDefault="005F5282" w:rsidP="005F5282">
      <w:pPr>
        <w:spacing w:line="276" w:lineRule="auto"/>
        <w:jc w:val="right"/>
        <w:rPr>
          <w:rFonts w:ascii="Arial" w:hAnsi="Arial" w:cs="Arial"/>
          <w:b/>
          <w:bCs/>
          <w:i/>
          <w:iCs/>
          <w:sz w:val="20"/>
          <w:szCs w:val="20"/>
        </w:rPr>
      </w:pPr>
    </w:p>
    <w:p w14:paraId="7DD07684" w14:textId="77777777" w:rsidR="00704045" w:rsidRPr="00DD7C84" w:rsidRDefault="00704045" w:rsidP="005F5282">
      <w:pPr>
        <w:spacing w:line="276" w:lineRule="auto"/>
        <w:jc w:val="right"/>
        <w:rPr>
          <w:rFonts w:ascii="Arial" w:hAnsi="Arial" w:cs="Arial"/>
          <w:b/>
          <w:bCs/>
          <w:i/>
          <w:iCs/>
          <w:sz w:val="20"/>
          <w:szCs w:val="20"/>
        </w:rPr>
      </w:pPr>
    </w:p>
    <w:p w14:paraId="268D8E9D" w14:textId="5F1D7E58" w:rsidR="000D1D95" w:rsidRPr="00DF7AD7" w:rsidRDefault="00567BD2" w:rsidP="00567BD2">
      <w:pPr>
        <w:spacing w:line="276" w:lineRule="auto"/>
        <w:rPr>
          <w:rFonts w:ascii="Arial" w:hAnsi="Arial" w:cs="Arial"/>
          <w:b/>
          <w:bCs/>
        </w:rPr>
      </w:pPr>
      <w:r w:rsidRPr="00DF7AD7">
        <w:rPr>
          <w:rFonts w:ascii="Arial" w:hAnsi="Arial" w:cs="Arial"/>
          <w:b/>
          <w:bCs/>
        </w:rPr>
        <w:t>ABSTRACT</w:t>
      </w:r>
    </w:p>
    <w:p w14:paraId="3C79352E" w14:textId="5647EA5B" w:rsidR="00C4737A" w:rsidRPr="00C4737A" w:rsidRDefault="00C4737A" w:rsidP="008C6A66">
      <w:pPr>
        <w:spacing w:after="0" w:line="240" w:lineRule="auto"/>
        <w:jc w:val="both"/>
        <w:rPr>
          <w:rFonts w:ascii="Arial" w:hAnsi="Arial" w:cs="Arial"/>
          <w:sz w:val="20"/>
          <w:szCs w:val="20"/>
        </w:rPr>
      </w:pPr>
      <w:r w:rsidRPr="00C4737A">
        <w:rPr>
          <w:rFonts w:ascii="Arial" w:hAnsi="Arial" w:cs="Arial"/>
          <w:b/>
          <w:bCs/>
          <w:sz w:val="20"/>
          <w:szCs w:val="20"/>
        </w:rPr>
        <w:t>Aims:</w:t>
      </w:r>
      <w:r w:rsidR="00DF7AD7" w:rsidRPr="00DF7AD7">
        <w:rPr>
          <w:rFonts w:ascii="Arial" w:hAnsi="Arial" w:cs="Arial"/>
          <w:sz w:val="20"/>
          <w:szCs w:val="20"/>
        </w:rPr>
        <w:t xml:space="preserve"> </w:t>
      </w:r>
      <w:r w:rsidRPr="00C4737A">
        <w:rPr>
          <w:rFonts w:ascii="Arial" w:hAnsi="Arial" w:cs="Arial"/>
          <w:sz w:val="20"/>
          <w:szCs w:val="20"/>
        </w:rPr>
        <w:t>The study aimed to assess the socio-economic, psychological and communication profile characteristics of tribal farmers residing in the Kalrayan Hills of Villupuram district, Tamil Nadu, to generate baseline information for effective agricultural extension and tribal development interventions.</w:t>
      </w:r>
    </w:p>
    <w:p w14:paraId="10FA07DF" w14:textId="4CF8D313" w:rsidR="00C4737A" w:rsidRPr="00C4737A" w:rsidRDefault="00C4737A" w:rsidP="008C6A66">
      <w:pPr>
        <w:spacing w:after="0" w:line="240" w:lineRule="auto"/>
        <w:jc w:val="both"/>
        <w:rPr>
          <w:rFonts w:ascii="Arial" w:hAnsi="Arial" w:cs="Arial"/>
          <w:sz w:val="20"/>
          <w:szCs w:val="20"/>
        </w:rPr>
      </w:pPr>
      <w:r w:rsidRPr="00C4737A">
        <w:rPr>
          <w:rFonts w:ascii="Arial" w:hAnsi="Arial" w:cs="Arial"/>
          <w:b/>
          <w:bCs/>
          <w:sz w:val="20"/>
          <w:szCs w:val="20"/>
        </w:rPr>
        <w:t>Study Design:</w:t>
      </w:r>
      <w:r w:rsidR="00DF7AD7" w:rsidRPr="00DF7AD7">
        <w:rPr>
          <w:rFonts w:ascii="Arial" w:hAnsi="Arial" w:cs="Arial"/>
          <w:sz w:val="20"/>
          <w:szCs w:val="20"/>
        </w:rPr>
        <w:t xml:space="preserve"> </w:t>
      </w:r>
      <w:r w:rsidRPr="00C4737A">
        <w:rPr>
          <w:rFonts w:ascii="Arial" w:hAnsi="Arial" w:cs="Arial"/>
          <w:sz w:val="20"/>
          <w:szCs w:val="20"/>
        </w:rPr>
        <w:t>Descriptive research design.</w:t>
      </w:r>
    </w:p>
    <w:p w14:paraId="630CA78A" w14:textId="037B05E7" w:rsidR="00C4737A" w:rsidRPr="00C4737A" w:rsidRDefault="00C4737A" w:rsidP="008C6A66">
      <w:pPr>
        <w:spacing w:after="0" w:line="240" w:lineRule="auto"/>
        <w:jc w:val="both"/>
        <w:rPr>
          <w:rFonts w:ascii="Arial" w:hAnsi="Arial" w:cs="Arial"/>
          <w:sz w:val="20"/>
          <w:szCs w:val="20"/>
        </w:rPr>
      </w:pPr>
      <w:r w:rsidRPr="00C4737A">
        <w:rPr>
          <w:rFonts w:ascii="Arial" w:hAnsi="Arial" w:cs="Arial"/>
          <w:b/>
          <w:bCs/>
          <w:sz w:val="20"/>
          <w:szCs w:val="20"/>
        </w:rPr>
        <w:t>Place and Duration of Study:</w:t>
      </w:r>
      <w:r w:rsidR="00DF7AD7" w:rsidRPr="00DF7AD7">
        <w:rPr>
          <w:rFonts w:ascii="Arial" w:hAnsi="Arial" w:cs="Arial"/>
          <w:sz w:val="20"/>
          <w:szCs w:val="20"/>
        </w:rPr>
        <w:t xml:space="preserve"> </w:t>
      </w:r>
      <w:r w:rsidRPr="00C4737A">
        <w:rPr>
          <w:rFonts w:ascii="Arial" w:hAnsi="Arial" w:cs="Arial"/>
          <w:sz w:val="20"/>
          <w:szCs w:val="20"/>
        </w:rPr>
        <w:t>The study was conducted in selected tribal villages of the Kalrayan Hills, Villupuram district of Tamil Nadu, during the year 2023–2024.</w:t>
      </w:r>
    </w:p>
    <w:p w14:paraId="77843571" w14:textId="5E30FAE0" w:rsidR="00C4737A" w:rsidRPr="00C4737A" w:rsidRDefault="00C4737A" w:rsidP="008C6A66">
      <w:pPr>
        <w:spacing w:after="0" w:line="240" w:lineRule="auto"/>
        <w:jc w:val="both"/>
        <w:rPr>
          <w:rFonts w:ascii="Arial" w:hAnsi="Arial" w:cs="Arial"/>
          <w:sz w:val="20"/>
          <w:szCs w:val="20"/>
        </w:rPr>
      </w:pPr>
      <w:r w:rsidRPr="00C4737A">
        <w:rPr>
          <w:rFonts w:ascii="Arial" w:hAnsi="Arial" w:cs="Arial"/>
          <w:b/>
          <w:bCs/>
          <w:sz w:val="20"/>
          <w:szCs w:val="20"/>
        </w:rPr>
        <w:t>Methodology:</w:t>
      </w:r>
      <w:r w:rsidR="00DF7AD7" w:rsidRPr="00DF7AD7">
        <w:rPr>
          <w:rFonts w:ascii="Arial" w:hAnsi="Arial" w:cs="Arial"/>
          <w:sz w:val="20"/>
          <w:szCs w:val="20"/>
        </w:rPr>
        <w:t xml:space="preserve"> </w:t>
      </w:r>
      <w:r w:rsidRPr="00C4737A">
        <w:rPr>
          <w:rFonts w:ascii="Arial" w:hAnsi="Arial" w:cs="Arial"/>
          <w:sz w:val="20"/>
          <w:szCs w:val="20"/>
        </w:rPr>
        <w:t xml:space="preserve">A multi-stage purposive sampling technique was employed for the selection of respondents. A total of 300 tribal farmers were selected from ten villages using proportionate random sampling. Primary data were collected through personal interviews using a structured and pre-tested interview schedule administered in the local language (Tamil). Variables such as age, education, occupational status, annual income, landholding size, farming experience, social participation, extension contact, socio-economic status, cosmopoliteness, mass media exposure, information source utilization, fatalism and achievement motivation were studied. The collected data were </w:t>
      </w:r>
      <w:proofErr w:type="spellStart"/>
      <w:r w:rsidRPr="00C4737A">
        <w:rPr>
          <w:rFonts w:ascii="Arial" w:hAnsi="Arial" w:cs="Arial"/>
          <w:sz w:val="20"/>
          <w:szCs w:val="20"/>
        </w:rPr>
        <w:t>analyzed</w:t>
      </w:r>
      <w:proofErr w:type="spellEnd"/>
      <w:r w:rsidRPr="00C4737A">
        <w:rPr>
          <w:rFonts w:ascii="Arial" w:hAnsi="Arial" w:cs="Arial"/>
          <w:sz w:val="20"/>
          <w:szCs w:val="20"/>
        </w:rPr>
        <w:t xml:space="preserve"> using descriptive statistical tools including frequency, percentage, mean and standard deviation.</w:t>
      </w:r>
    </w:p>
    <w:p w14:paraId="260327DD" w14:textId="69C1C48E" w:rsidR="00C4737A" w:rsidRPr="00C4737A" w:rsidRDefault="00C4737A" w:rsidP="008C6A66">
      <w:pPr>
        <w:spacing w:after="0" w:line="240" w:lineRule="auto"/>
        <w:jc w:val="both"/>
        <w:rPr>
          <w:rFonts w:ascii="Arial" w:hAnsi="Arial" w:cs="Arial"/>
          <w:sz w:val="20"/>
          <w:szCs w:val="20"/>
        </w:rPr>
      </w:pPr>
      <w:r w:rsidRPr="00C4737A">
        <w:rPr>
          <w:rFonts w:ascii="Arial" w:hAnsi="Arial" w:cs="Arial"/>
          <w:b/>
          <w:bCs/>
          <w:sz w:val="20"/>
          <w:szCs w:val="20"/>
        </w:rPr>
        <w:t>Results:</w:t>
      </w:r>
      <w:r w:rsidR="00DF7AD7" w:rsidRPr="00DF7AD7">
        <w:rPr>
          <w:rFonts w:ascii="Arial" w:hAnsi="Arial" w:cs="Arial"/>
          <w:sz w:val="20"/>
          <w:szCs w:val="20"/>
        </w:rPr>
        <w:t xml:space="preserve"> </w:t>
      </w:r>
      <w:r w:rsidRPr="00C4737A">
        <w:rPr>
          <w:rFonts w:ascii="Arial" w:hAnsi="Arial" w:cs="Arial"/>
          <w:sz w:val="20"/>
          <w:szCs w:val="20"/>
        </w:rPr>
        <w:t>The results revealed that more than half of the respondents (52.33%) were middle-aged, and a majority (55.00%) were illiterate. Most respondents (90.67%) depended primarily on agriculture and allied activities, with 70.67% belonging to the low-income category. A large proportion were small farmers (69.33%) with high farming experience (55.33%) and belonged to joint families (78.00%). Low levels of social participation (85.67%), extension agency contact (66.33%), cosmopoliteness (59.33%) and information source utilization (55.67%) were observed among the respondents. While mass media exposure was predominantly medium (70.67%), psychological analysis showed high fatalism (70.67%) and low achievement motivation (74.67%) among the tribal farmers.</w:t>
      </w:r>
    </w:p>
    <w:p w14:paraId="621D0DD8" w14:textId="72917313" w:rsidR="00C4737A" w:rsidRPr="00C4737A" w:rsidRDefault="00C4737A" w:rsidP="008C6A66">
      <w:pPr>
        <w:spacing w:after="0" w:line="240" w:lineRule="auto"/>
        <w:jc w:val="both"/>
        <w:rPr>
          <w:rFonts w:ascii="Arial" w:hAnsi="Arial" w:cs="Arial"/>
          <w:sz w:val="20"/>
          <w:szCs w:val="20"/>
        </w:rPr>
      </w:pPr>
      <w:r w:rsidRPr="00C4737A">
        <w:rPr>
          <w:rFonts w:ascii="Arial" w:hAnsi="Arial" w:cs="Arial"/>
          <w:b/>
          <w:bCs/>
          <w:sz w:val="20"/>
          <w:szCs w:val="20"/>
        </w:rPr>
        <w:t>Conclusion:</w:t>
      </w:r>
      <w:r w:rsidR="00DF7AD7" w:rsidRPr="00DF7AD7">
        <w:rPr>
          <w:rFonts w:ascii="Arial" w:hAnsi="Arial" w:cs="Arial"/>
          <w:sz w:val="20"/>
          <w:szCs w:val="20"/>
        </w:rPr>
        <w:t xml:space="preserve"> </w:t>
      </w:r>
      <w:r w:rsidRPr="00C4737A">
        <w:rPr>
          <w:rFonts w:ascii="Arial" w:hAnsi="Arial" w:cs="Arial"/>
          <w:sz w:val="20"/>
          <w:szCs w:val="20"/>
        </w:rPr>
        <w:t>The study concludes that tribal farmers of the Kalrayan Hills are characterized by low socio-economic status, limited institutional linkage and dominant traditional belief systems. Strengthening extension services, improving educational access, enhancing information dissemination and promoting motivational interventions are essential to improve their livelihood capabilities and facilitate sustainable agricultural development.</w:t>
      </w:r>
    </w:p>
    <w:p w14:paraId="25A41411" w14:textId="77777777" w:rsidR="00CB2928" w:rsidRDefault="00F3656C" w:rsidP="00CB2928">
      <w:pPr>
        <w:spacing w:after="0" w:line="240" w:lineRule="auto"/>
        <w:jc w:val="both"/>
        <w:rPr>
          <w:rFonts w:ascii="Arial" w:hAnsi="Arial" w:cs="Arial"/>
          <w:sz w:val="20"/>
          <w:szCs w:val="20"/>
        </w:rPr>
      </w:pPr>
      <w:r w:rsidRPr="009F755B">
        <w:rPr>
          <w:rFonts w:ascii="Arial" w:hAnsi="Arial" w:cs="Arial"/>
          <w:b/>
          <w:bCs/>
          <w:sz w:val="20"/>
          <w:szCs w:val="20"/>
        </w:rPr>
        <w:t>Keywords</w:t>
      </w:r>
      <w:r w:rsidRPr="009F755B">
        <w:rPr>
          <w:rFonts w:ascii="Arial" w:hAnsi="Arial" w:cs="Arial"/>
          <w:sz w:val="20"/>
          <w:szCs w:val="20"/>
        </w:rPr>
        <w:t>: Socio-economic profile, Agricultural livelihood, Extension contact and Fatalism</w:t>
      </w:r>
      <w:r w:rsidR="00AA5757" w:rsidRPr="009F755B">
        <w:rPr>
          <w:rFonts w:ascii="Arial" w:hAnsi="Arial" w:cs="Arial"/>
          <w:color w:val="EE0000"/>
          <w:sz w:val="20"/>
          <w:szCs w:val="20"/>
        </w:rPr>
        <w:t>.</w:t>
      </w:r>
    </w:p>
    <w:p w14:paraId="781C9298" w14:textId="3378355E" w:rsidR="00951C0C" w:rsidRPr="00CB2928" w:rsidRDefault="00214D60" w:rsidP="00CB2928">
      <w:pPr>
        <w:spacing w:after="0" w:line="240" w:lineRule="auto"/>
        <w:jc w:val="both"/>
        <w:rPr>
          <w:rFonts w:ascii="Arial" w:hAnsi="Arial" w:cs="Arial"/>
          <w:sz w:val="20"/>
          <w:szCs w:val="20"/>
        </w:rPr>
      </w:pPr>
      <w:r>
        <w:rPr>
          <w:rFonts w:ascii="Arial" w:hAnsi="Arial" w:cs="Arial"/>
          <w:b/>
          <w:bCs/>
          <w:color w:val="000000" w:themeColor="text1"/>
          <w:sz w:val="28"/>
          <w:szCs w:val="28"/>
        </w:rPr>
        <w:tab/>
      </w:r>
    </w:p>
    <w:p w14:paraId="6827E881" w14:textId="07B6232C" w:rsidR="003B379A" w:rsidRPr="003B379A" w:rsidRDefault="003B379A" w:rsidP="003B379A">
      <w:pPr>
        <w:pStyle w:val="ListParagraph"/>
        <w:numPr>
          <w:ilvl w:val="0"/>
          <w:numId w:val="7"/>
        </w:numPr>
        <w:tabs>
          <w:tab w:val="left" w:pos="284"/>
          <w:tab w:val="center" w:pos="4513"/>
        </w:tabs>
        <w:spacing w:line="240" w:lineRule="auto"/>
        <w:ind w:left="142" w:hanging="142"/>
        <w:rPr>
          <w:rFonts w:ascii="Arial" w:hAnsi="Arial" w:cs="Arial"/>
          <w:b/>
          <w:bCs/>
          <w:color w:val="000000" w:themeColor="text1"/>
        </w:rPr>
      </w:pPr>
      <w:r w:rsidRPr="003B379A">
        <w:rPr>
          <w:rFonts w:ascii="Arial" w:hAnsi="Arial" w:cs="Arial"/>
          <w:b/>
          <w:bCs/>
          <w:color w:val="000000" w:themeColor="text1"/>
        </w:rPr>
        <w:t>INTRODUCTION</w:t>
      </w:r>
    </w:p>
    <w:p w14:paraId="6F4507A9" w14:textId="77777777" w:rsidR="00182C71" w:rsidRPr="005F4110" w:rsidRDefault="00182C71" w:rsidP="00410951">
      <w:pPr>
        <w:spacing w:line="240" w:lineRule="auto"/>
        <w:ind w:firstLine="720"/>
        <w:jc w:val="both"/>
        <w:rPr>
          <w:rFonts w:ascii="Arial" w:hAnsi="Arial" w:cs="Arial"/>
          <w:color w:val="000000" w:themeColor="text1"/>
          <w:sz w:val="20"/>
          <w:szCs w:val="20"/>
        </w:rPr>
      </w:pPr>
      <w:r w:rsidRPr="005F4110">
        <w:rPr>
          <w:rFonts w:ascii="Arial" w:hAnsi="Arial" w:cs="Arial"/>
          <w:color w:val="000000" w:themeColor="text1"/>
          <w:sz w:val="20"/>
          <w:szCs w:val="20"/>
        </w:rPr>
        <w:t>India is home to a large tribal population that resides predominantly in remote and hilly regions, relying mainly on agriculture and allied activities for their livelihood. The Kalrayan Hills, located in the Villupuram district of Tamil Nadu, represent one such important agro-ecological and socio-cultural zone. The tribal communities inhabiting this region practice agriculture that reflects a unique blend of traditional knowledge and dependence on natural resources.</w:t>
      </w:r>
    </w:p>
    <w:p w14:paraId="404EBD9F" w14:textId="7343A825" w:rsidR="00656F0D" w:rsidRPr="005F4110" w:rsidRDefault="00656F0D" w:rsidP="00410951">
      <w:pPr>
        <w:spacing w:line="240" w:lineRule="auto"/>
        <w:ind w:firstLine="720"/>
        <w:jc w:val="both"/>
        <w:rPr>
          <w:rFonts w:ascii="Arial" w:hAnsi="Arial" w:cs="Arial"/>
          <w:color w:val="000000" w:themeColor="text1"/>
          <w:sz w:val="20"/>
          <w:szCs w:val="20"/>
        </w:rPr>
      </w:pPr>
      <w:r w:rsidRPr="005F4110">
        <w:rPr>
          <w:rFonts w:ascii="Arial" w:hAnsi="Arial" w:cs="Arial"/>
          <w:color w:val="000000" w:themeColor="text1"/>
          <w:sz w:val="20"/>
          <w:szCs w:val="20"/>
        </w:rPr>
        <w:t>Understanding the profile characteristics of tribal farmers</w:t>
      </w:r>
      <w:r w:rsidR="00DD634D" w:rsidRPr="005F4110">
        <w:rPr>
          <w:rFonts w:ascii="Arial" w:hAnsi="Arial" w:cs="Arial"/>
          <w:color w:val="000000" w:themeColor="text1"/>
          <w:sz w:val="20"/>
          <w:szCs w:val="20"/>
        </w:rPr>
        <w:t xml:space="preserve"> </w:t>
      </w:r>
      <w:r w:rsidRPr="005F4110">
        <w:rPr>
          <w:rFonts w:ascii="Arial" w:hAnsi="Arial" w:cs="Arial"/>
          <w:color w:val="000000" w:themeColor="text1"/>
          <w:sz w:val="20"/>
          <w:szCs w:val="20"/>
        </w:rPr>
        <w:t>such as their socio-demographic features, educational levels, landholding patterns, income sources, cropping systems and access to institutional support</w:t>
      </w:r>
      <w:r w:rsidR="00DD634D" w:rsidRPr="005F4110">
        <w:rPr>
          <w:rFonts w:ascii="Arial" w:hAnsi="Arial" w:cs="Arial"/>
          <w:color w:val="000000" w:themeColor="text1"/>
          <w:sz w:val="20"/>
          <w:szCs w:val="20"/>
        </w:rPr>
        <w:t xml:space="preserve"> </w:t>
      </w:r>
      <w:r w:rsidRPr="005F4110">
        <w:rPr>
          <w:rFonts w:ascii="Arial" w:hAnsi="Arial" w:cs="Arial"/>
          <w:color w:val="000000" w:themeColor="text1"/>
          <w:sz w:val="20"/>
          <w:szCs w:val="20"/>
        </w:rPr>
        <w:t xml:space="preserve">is essential for planning inclusive agricultural and rural development initiatives. Profiling these characteristics provides crucial insights into their production environment, resource utilization and decision-making </w:t>
      </w:r>
      <w:r w:rsidR="00DD634D" w:rsidRPr="005F4110">
        <w:rPr>
          <w:rFonts w:ascii="Arial" w:hAnsi="Arial" w:cs="Arial"/>
          <w:color w:val="000000" w:themeColor="text1"/>
          <w:sz w:val="20"/>
          <w:szCs w:val="20"/>
        </w:rPr>
        <w:t>behaviour</w:t>
      </w:r>
      <w:r w:rsidRPr="005F4110">
        <w:rPr>
          <w:rFonts w:ascii="Arial" w:hAnsi="Arial" w:cs="Arial"/>
          <w:color w:val="000000" w:themeColor="text1"/>
          <w:sz w:val="20"/>
          <w:szCs w:val="20"/>
        </w:rPr>
        <w:t xml:space="preserve"> which in turn influence agricultural performance and livelihood sustainability.</w:t>
      </w:r>
    </w:p>
    <w:p w14:paraId="27CD434F" w14:textId="77777777" w:rsidR="00656F0D" w:rsidRPr="005F4110" w:rsidRDefault="00656F0D" w:rsidP="00410951">
      <w:pPr>
        <w:spacing w:line="240" w:lineRule="auto"/>
        <w:ind w:firstLine="720"/>
        <w:jc w:val="both"/>
        <w:rPr>
          <w:rFonts w:ascii="Arial" w:hAnsi="Arial" w:cs="Arial"/>
          <w:color w:val="000000" w:themeColor="text1"/>
          <w:sz w:val="20"/>
          <w:szCs w:val="20"/>
        </w:rPr>
      </w:pPr>
      <w:r w:rsidRPr="005F4110">
        <w:rPr>
          <w:rFonts w:ascii="Arial" w:hAnsi="Arial" w:cs="Arial"/>
          <w:color w:val="000000" w:themeColor="text1"/>
          <w:sz w:val="20"/>
          <w:szCs w:val="20"/>
        </w:rPr>
        <w:t>In recent years both central and state governments have implemented various programs to improve the welfare of tribal communities including initiatives in education, healthcare, infrastructure and agriculture. To ensure the effectiveness of such efforts it is important to study the actual socio-economic conditions and farming patterns at the grassroots level.</w:t>
      </w:r>
    </w:p>
    <w:p w14:paraId="089BF4E3" w14:textId="77777777" w:rsidR="00656F0D" w:rsidRPr="005F4110" w:rsidRDefault="00656F0D" w:rsidP="00410951">
      <w:pPr>
        <w:spacing w:line="240" w:lineRule="auto"/>
        <w:ind w:firstLine="720"/>
        <w:jc w:val="both"/>
        <w:rPr>
          <w:rFonts w:ascii="Arial" w:hAnsi="Arial" w:cs="Arial"/>
          <w:color w:val="000000" w:themeColor="text1"/>
          <w:sz w:val="20"/>
          <w:szCs w:val="20"/>
        </w:rPr>
      </w:pPr>
      <w:r w:rsidRPr="005F4110">
        <w:rPr>
          <w:rFonts w:ascii="Arial" w:hAnsi="Arial" w:cs="Arial"/>
          <w:color w:val="000000" w:themeColor="text1"/>
          <w:sz w:val="20"/>
          <w:szCs w:val="20"/>
        </w:rPr>
        <w:lastRenderedPageBreak/>
        <w:t>Against this backdrop the present study aims to assess the profile characteristics of tribal farmers in the Kalrayan Hills of Villupuram district. The findings are expected to contribute valuable data for policymakers, extension agencies and development planners working towards the empowerment and upliftment of tribal farming communities in Tamil Nadu.</w:t>
      </w:r>
    </w:p>
    <w:p w14:paraId="409796D4" w14:textId="74B93252" w:rsidR="00E54C22" w:rsidRPr="005F4110" w:rsidRDefault="005F4110" w:rsidP="005F4110">
      <w:pPr>
        <w:pStyle w:val="ListParagraph"/>
        <w:numPr>
          <w:ilvl w:val="0"/>
          <w:numId w:val="7"/>
        </w:numPr>
        <w:spacing w:line="240" w:lineRule="auto"/>
        <w:ind w:left="284" w:hanging="284"/>
        <w:rPr>
          <w:rFonts w:ascii="Arial" w:hAnsi="Arial" w:cs="Arial"/>
          <w:b/>
          <w:bCs/>
        </w:rPr>
      </w:pPr>
      <w:r w:rsidRPr="005F4110">
        <w:rPr>
          <w:rFonts w:ascii="Arial" w:hAnsi="Arial" w:cs="Arial"/>
          <w:b/>
          <w:bCs/>
        </w:rPr>
        <w:t>MATERIALS AND METHODS</w:t>
      </w:r>
    </w:p>
    <w:p w14:paraId="578B960B" w14:textId="77777777" w:rsidR="00FB7051" w:rsidRPr="005F4110" w:rsidRDefault="00FB7051" w:rsidP="00143142">
      <w:pPr>
        <w:spacing w:line="240" w:lineRule="auto"/>
        <w:ind w:firstLine="720"/>
        <w:jc w:val="both"/>
        <w:rPr>
          <w:rFonts w:ascii="Arial" w:hAnsi="Arial" w:cs="Arial"/>
          <w:sz w:val="20"/>
          <w:szCs w:val="20"/>
        </w:rPr>
      </w:pPr>
      <w:r w:rsidRPr="005F4110">
        <w:rPr>
          <w:rFonts w:ascii="Arial" w:hAnsi="Arial" w:cs="Arial"/>
          <w:sz w:val="20"/>
          <w:szCs w:val="20"/>
        </w:rPr>
        <w:t>The present study was conducted in the Kalrayan Hills situated in the Villupuram district of Tamil Nadu. This region was purposively selected due to its significant tribal population and the relevance of its socio-economic and agricultural context to the study objectives. The Kalrayan Hills are home to several tribal communities whose livelihoods primarily depend on agriculture and allied activities.</w:t>
      </w:r>
    </w:p>
    <w:p w14:paraId="4E39AE7E" w14:textId="7500479E" w:rsidR="00FB7051" w:rsidRPr="00143142" w:rsidRDefault="00FB7051" w:rsidP="00143142">
      <w:pPr>
        <w:spacing w:line="240" w:lineRule="auto"/>
        <w:ind w:firstLine="720"/>
        <w:jc w:val="both"/>
        <w:rPr>
          <w:rFonts w:ascii="Arial" w:hAnsi="Arial" w:cs="Arial"/>
          <w:sz w:val="20"/>
          <w:szCs w:val="20"/>
        </w:rPr>
      </w:pPr>
      <w:r w:rsidRPr="00143142">
        <w:rPr>
          <w:rFonts w:ascii="Arial" w:hAnsi="Arial" w:cs="Arial"/>
          <w:sz w:val="20"/>
          <w:szCs w:val="20"/>
        </w:rPr>
        <w:t>A descriptive research design was adopted to systematically assess and describe the profile characteristics of tribal farmers. This design was considered appropriate for obtaining reliable and factual data regarding socio-economic and farming-related variables.</w:t>
      </w:r>
      <w:r w:rsidR="00640101" w:rsidRPr="00143142">
        <w:rPr>
          <w:rFonts w:ascii="Arial" w:hAnsi="Arial" w:cs="Arial"/>
          <w:sz w:val="20"/>
          <w:szCs w:val="20"/>
        </w:rPr>
        <w:t xml:space="preserve"> </w:t>
      </w:r>
      <w:r w:rsidRPr="00143142">
        <w:rPr>
          <w:rFonts w:ascii="Arial" w:hAnsi="Arial" w:cs="Arial"/>
          <w:sz w:val="20"/>
          <w:szCs w:val="20"/>
        </w:rPr>
        <w:t xml:space="preserve">A multi-stage purposive sampling technique was employed for respondent selection. Initially, the Kalrayan Hills region was identified and from within this region five villages with dense tribal populations were purposively selected. </w:t>
      </w:r>
      <w:r w:rsidR="00AD28C8" w:rsidRPr="00143142">
        <w:rPr>
          <w:rFonts w:ascii="Arial" w:hAnsi="Arial" w:cs="Arial"/>
          <w:sz w:val="20"/>
          <w:szCs w:val="20"/>
        </w:rPr>
        <w:t>A total of 300 respondents were selected from ten villages in the Kalrayan Hills using proportionate random sampling by using the formula,</w:t>
      </w:r>
    </w:p>
    <w:p w14:paraId="70E1DF0E" w14:textId="1FC21D3C" w:rsidR="00AD28C8" w:rsidRPr="005F4110" w:rsidRDefault="00AD28C8" w:rsidP="00143142">
      <w:pPr>
        <w:pStyle w:val="Quote"/>
        <w:spacing w:line="240" w:lineRule="auto"/>
        <w:rPr>
          <w:rFonts w:ascii="Arial" w:hAnsi="Arial" w:cs="Arial"/>
          <w:b/>
          <w:bCs/>
          <w:color w:val="000000" w:themeColor="text1"/>
          <w:sz w:val="20"/>
          <w:szCs w:val="20"/>
        </w:rPr>
      </w:pPr>
      <w:proofErr w:type="spellStart"/>
      <w:r w:rsidRPr="005F4110">
        <w:rPr>
          <w:rFonts w:ascii="Arial" w:hAnsi="Arial" w:cs="Arial"/>
          <w:b/>
          <w:bCs/>
          <w:color w:val="000000" w:themeColor="text1"/>
          <w:sz w:val="20"/>
          <w:szCs w:val="20"/>
        </w:rPr>
        <w:t>ni</w:t>
      </w:r>
      <w:proofErr w:type="spellEnd"/>
      <w:r w:rsidRPr="005F4110">
        <w:rPr>
          <w:rFonts w:ascii="Arial" w:hAnsi="Arial" w:cs="Arial"/>
          <w:b/>
          <w:bCs/>
          <w:color w:val="000000" w:themeColor="text1"/>
          <w:sz w:val="20"/>
          <w:szCs w:val="20"/>
        </w:rPr>
        <w:t xml:space="preserve"> = (Ni / N) × n</w:t>
      </w:r>
    </w:p>
    <w:p w14:paraId="69A19B96" w14:textId="77777777" w:rsidR="00AD28C8" w:rsidRPr="005F4110" w:rsidRDefault="00AD28C8" w:rsidP="00143142">
      <w:pPr>
        <w:spacing w:line="240" w:lineRule="auto"/>
        <w:jc w:val="both"/>
        <w:rPr>
          <w:rFonts w:ascii="Arial" w:hAnsi="Arial" w:cs="Arial"/>
          <w:sz w:val="20"/>
          <w:szCs w:val="20"/>
        </w:rPr>
      </w:pPr>
      <w:r w:rsidRPr="005F4110">
        <w:rPr>
          <w:rFonts w:ascii="Arial" w:hAnsi="Arial" w:cs="Arial"/>
          <w:sz w:val="20"/>
          <w:szCs w:val="20"/>
        </w:rPr>
        <w:t>Where:</w:t>
      </w:r>
    </w:p>
    <w:p w14:paraId="77DAA700" w14:textId="6F6561B7" w:rsidR="00AD28C8" w:rsidRPr="005F4110" w:rsidRDefault="00AD28C8" w:rsidP="00143142">
      <w:pPr>
        <w:numPr>
          <w:ilvl w:val="0"/>
          <w:numId w:val="2"/>
        </w:numPr>
        <w:spacing w:line="240" w:lineRule="auto"/>
        <w:jc w:val="both"/>
        <w:rPr>
          <w:rFonts w:ascii="Arial" w:hAnsi="Arial" w:cs="Arial"/>
          <w:sz w:val="20"/>
          <w:szCs w:val="20"/>
        </w:rPr>
      </w:pPr>
      <w:proofErr w:type="spellStart"/>
      <w:r w:rsidRPr="005F4110">
        <w:rPr>
          <w:rFonts w:ascii="Arial" w:hAnsi="Arial" w:cs="Arial"/>
          <w:sz w:val="20"/>
          <w:szCs w:val="20"/>
        </w:rPr>
        <w:t>ni</w:t>
      </w:r>
      <w:proofErr w:type="spellEnd"/>
      <w:r w:rsidRPr="005F4110">
        <w:rPr>
          <w:rFonts w:ascii="Arial" w:hAnsi="Arial" w:cs="Arial"/>
          <w:sz w:val="20"/>
          <w:szCs w:val="20"/>
        </w:rPr>
        <w:t xml:space="preserve">​: Number of respondents from the </w:t>
      </w:r>
      <w:proofErr w:type="spellStart"/>
      <w:r w:rsidRPr="005F4110">
        <w:rPr>
          <w:rFonts w:ascii="Arial" w:hAnsi="Arial" w:cs="Arial"/>
          <w:i/>
          <w:iCs/>
          <w:sz w:val="20"/>
          <w:szCs w:val="20"/>
        </w:rPr>
        <w:t>i</w:t>
      </w:r>
      <w:r w:rsidRPr="005F4110">
        <w:rPr>
          <w:rFonts w:ascii="Arial" w:hAnsi="Arial" w:cs="Arial"/>
          <w:sz w:val="20"/>
          <w:szCs w:val="20"/>
        </w:rPr>
        <w:t>th</w:t>
      </w:r>
      <w:proofErr w:type="spellEnd"/>
      <w:r w:rsidRPr="005F4110">
        <w:rPr>
          <w:rFonts w:ascii="Arial" w:hAnsi="Arial" w:cs="Arial"/>
          <w:sz w:val="20"/>
          <w:szCs w:val="20"/>
        </w:rPr>
        <w:t xml:space="preserve"> village</w:t>
      </w:r>
    </w:p>
    <w:p w14:paraId="1A459F37" w14:textId="0FF2D794" w:rsidR="00AD28C8" w:rsidRPr="005F4110" w:rsidRDefault="00AD28C8" w:rsidP="00143142">
      <w:pPr>
        <w:numPr>
          <w:ilvl w:val="0"/>
          <w:numId w:val="2"/>
        </w:numPr>
        <w:spacing w:line="240" w:lineRule="auto"/>
        <w:jc w:val="both"/>
        <w:rPr>
          <w:rFonts w:ascii="Arial" w:hAnsi="Arial" w:cs="Arial"/>
          <w:sz w:val="20"/>
          <w:szCs w:val="20"/>
        </w:rPr>
      </w:pPr>
      <w:r w:rsidRPr="005F4110">
        <w:rPr>
          <w:rFonts w:ascii="Arial" w:hAnsi="Arial" w:cs="Arial"/>
          <w:sz w:val="20"/>
          <w:szCs w:val="20"/>
        </w:rPr>
        <w:t xml:space="preserve">Ni​: Population of the </w:t>
      </w:r>
      <w:proofErr w:type="spellStart"/>
      <w:r w:rsidRPr="005F4110">
        <w:rPr>
          <w:rFonts w:ascii="Arial" w:hAnsi="Arial" w:cs="Arial"/>
          <w:i/>
          <w:iCs/>
          <w:sz w:val="20"/>
          <w:szCs w:val="20"/>
        </w:rPr>
        <w:t>i</w:t>
      </w:r>
      <w:r w:rsidRPr="005F4110">
        <w:rPr>
          <w:rFonts w:ascii="Arial" w:hAnsi="Arial" w:cs="Arial"/>
          <w:sz w:val="20"/>
          <w:szCs w:val="20"/>
        </w:rPr>
        <w:t>th</w:t>
      </w:r>
      <w:proofErr w:type="spellEnd"/>
      <w:r w:rsidRPr="005F4110">
        <w:rPr>
          <w:rFonts w:ascii="Arial" w:hAnsi="Arial" w:cs="Arial"/>
          <w:sz w:val="20"/>
          <w:szCs w:val="20"/>
        </w:rPr>
        <w:t xml:space="preserve"> village</w:t>
      </w:r>
    </w:p>
    <w:p w14:paraId="7BF9D054" w14:textId="015CA4BC" w:rsidR="00AD28C8" w:rsidRPr="005F4110" w:rsidRDefault="00AD28C8" w:rsidP="00143142">
      <w:pPr>
        <w:numPr>
          <w:ilvl w:val="0"/>
          <w:numId w:val="2"/>
        </w:numPr>
        <w:spacing w:line="240" w:lineRule="auto"/>
        <w:jc w:val="both"/>
        <w:rPr>
          <w:rFonts w:ascii="Arial" w:hAnsi="Arial" w:cs="Arial"/>
          <w:sz w:val="20"/>
          <w:szCs w:val="20"/>
        </w:rPr>
      </w:pPr>
      <w:r w:rsidRPr="005F4110">
        <w:rPr>
          <w:rFonts w:ascii="Arial" w:hAnsi="Arial" w:cs="Arial"/>
          <w:sz w:val="20"/>
          <w:szCs w:val="20"/>
        </w:rPr>
        <w:t xml:space="preserve">N: Total population of all selected villages </w:t>
      </w:r>
    </w:p>
    <w:p w14:paraId="0E6EE5D1" w14:textId="5152EC09" w:rsidR="00AD28C8" w:rsidRPr="005F4110" w:rsidRDefault="00AD28C8" w:rsidP="00143142">
      <w:pPr>
        <w:numPr>
          <w:ilvl w:val="0"/>
          <w:numId w:val="2"/>
        </w:numPr>
        <w:spacing w:line="240" w:lineRule="auto"/>
        <w:jc w:val="both"/>
        <w:rPr>
          <w:rFonts w:ascii="Arial" w:hAnsi="Arial" w:cs="Arial"/>
          <w:sz w:val="20"/>
          <w:szCs w:val="20"/>
        </w:rPr>
      </w:pPr>
      <w:r w:rsidRPr="005F4110">
        <w:rPr>
          <w:rFonts w:ascii="Arial" w:hAnsi="Arial" w:cs="Arial"/>
          <w:sz w:val="20"/>
          <w:szCs w:val="20"/>
        </w:rPr>
        <w:t>n: Sample size (300)</w:t>
      </w:r>
    </w:p>
    <w:p w14:paraId="4664C983" w14:textId="48984185" w:rsidR="00FB7051" w:rsidRPr="005F4110" w:rsidRDefault="00FB7051" w:rsidP="00143142">
      <w:pPr>
        <w:spacing w:line="240" w:lineRule="auto"/>
        <w:ind w:firstLine="720"/>
        <w:jc w:val="both"/>
        <w:rPr>
          <w:rFonts w:ascii="Arial" w:hAnsi="Arial" w:cs="Arial"/>
          <w:sz w:val="20"/>
          <w:szCs w:val="20"/>
        </w:rPr>
      </w:pPr>
      <w:r w:rsidRPr="005F4110">
        <w:rPr>
          <w:rFonts w:ascii="Arial" w:hAnsi="Arial" w:cs="Arial"/>
          <w:sz w:val="20"/>
          <w:szCs w:val="20"/>
        </w:rPr>
        <w:t xml:space="preserve">Primary data were collected using a </w:t>
      </w:r>
      <w:r w:rsidRPr="00143142">
        <w:rPr>
          <w:rFonts w:ascii="Arial" w:hAnsi="Arial" w:cs="Arial"/>
          <w:sz w:val="20"/>
          <w:szCs w:val="20"/>
        </w:rPr>
        <w:t>pre-tested and structured interview schedule</w:t>
      </w:r>
      <w:r w:rsidRPr="005F4110">
        <w:rPr>
          <w:rFonts w:ascii="Arial" w:hAnsi="Arial" w:cs="Arial"/>
          <w:sz w:val="20"/>
          <w:szCs w:val="20"/>
        </w:rPr>
        <w:t xml:space="preserve"> prepared in line with the study objectives. The interview schedule was validated by experts in agricultural extension and tribal studies to ensure content accuracy and cultural relevance. Data were collected through personal interviews conducted in the local language (Tamil) to ensure clear communication and accurate responses.</w:t>
      </w:r>
      <w:r w:rsidR="00640101" w:rsidRPr="005F4110">
        <w:rPr>
          <w:rFonts w:ascii="Arial" w:hAnsi="Arial" w:cs="Arial"/>
          <w:sz w:val="20"/>
          <w:szCs w:val="20"/>
        </w:rPr>
        <w:t xml:space="preserve"> </w:t>
      </w:r>
      <w:r w:rsidRPr="005F4110">
        <w:rPr>
          <w:rFonts w:ascii="Arial" w:hAnsi="Arial" w:cs="Arial"/>
          <w:sz w:val="20"/>
          <w:szCs w:val="20"/>
        </w:rPr>
        <w:t>The variables studied included: age, gender, education, landholding size, farming experience, annual income, type of farming, livestock possession, access to extension services, use of indigenous knowledge and membership in tribal or farmer groups.</w:t>
      </w:r>
      <w:r w:rsidR="00640101" w:rsidRPr="005F4110">
        <w:rPr>
          <w:rFonts w:ascii="Arial" w:hAnsi="Arial" w:cs="Arial"/>
          <w:sz w:val="20"/>
          <w:szCs w:val="20"/>
        </w:rPr>
        <w:t xml:space="preserve"> </w:t>
      </w:r>
      <w:r w:rsidRPr="005F4110">
        <w:rPr>
          <w:rFonts w:ascii="Arial" w:hAnsi="Arial" w:cs="Arial"/>
          <w:sz w:val="20"/>
          <w:szCs w:val="20"/>
        </w:rPr>
        <w:t xml:space="preserve">The collected data were compiled and </w:t>
      </w:r>
      <w:r w:rsidR="009D1826" w:rsidRPr="005F4110">
        <w:rPr>
          <w:rFonts w:ascii="Arial" w:hAnsi="Arial" w:cs="Arial"/>
          <w:sz w:val="20"/>
          <w:szCs w:val="20"/>
        </w:rPr>
        <w:t>analysed</w:t>
      </w:r>
      <w:r w:rsidRPr="005F4110">
        <w:rPr>
          <w:rFonts w:ascii="Arial" w:hAnsi="Arial" w:cs="Arial"/>
          <w:sz w:val="20"/>
          <w:szCs w:val="20"/>
        </w:rPr>
        <w:t xml:space="preserve"> using </w:t>
      </w:r>
      <w:r w:rsidRPr="00143142">
        <w:rPr>
          <w:rFonts w:ascii="Arial" w:hAnsi="Arial" w:cs="Arial"/>
          <w:sz w:val="20"/>
          <w:szCs w:val="20"/>
        </w:rPr>
        <w:t>descriptive statistical tools</w:t>
      </w:r>
      <w:r w:rsidRPr="005F4110">
        <w:rPr>
          <w:rFonts w:ascii="Arial" w:hAnsi="Arial" w:cs="Arial"/>
          <w:sz w:val="20"/>
          <w:szCs w:val="20"/>
        </w:rPr>
        <w:t xml:space="preserve"> such as frequency, percentage, mean and standard deviation. These tools facilitated effective interpretation and presentation of the profile characteristics of the tribal farmers of Kalrayan Hills.</w:t>
      </w:r>
    </w:p>
    <w:p w14:paraId="4F36991A" w14:textId="3576A816" w:rsidR="00CA0B71" w:rsidRPr="006A797E" w:rsidRDefault="006A797E" w:rsidP="006A797E">
      <w:pPr>
        <w:pStyle w:val="ListParagraph"/>
        <w:numPr>
          <w:ilvl w:val="0"/>
          <w:numId w:val="7"/>
        </w:numPr>
        <w:spacing w:line="240" w:lineRule="auto"/>
        <w:ind w:left="284" w:hanging="284"/>
        <w:rPr>
          <w:rFonts w:ascii="Arial" w:hAnsi="Arial" w:cs="Arial"/>
          <w:b/>
          <w:bCs/>
        </w:rPr>
      </w:pPr>
      <w:r w:rsidRPr="006A797E">
        <w:rPr>
          <w:rFonts w:ascii="Arial" w:hAnsi="Arial" w:cs="Arial"/>
          <w:b/>
          <w:bCs/>
        </w:rPr>
        <w:t xml:space="preserve">RESULTS </w:t>
      </w:r>
    </w:p>
    <w:p w14:paraId="486A60D2" w14:textId="603A90A1" w:rsidR="006A43B2" w:rsidRPr="006A797E" w:rsidRDefault="00CB30EA" w:rsidP="00410951">
      <w:pPr>
        <w:spacing w:line="240" w:lineRule="auto"/>
        <w:ind w:firstLine="720"/>
        <w:jc w:val="both"/>
        <w:rPr>
          <w:rFonts w:ascii="Arial" w:hAnsi="Arial" w:cs="Arial"/>
          <w:sz w:val="20"/>
          <w:szCs w:val="20"/>
        </w:rPr>
      </w:pPr>
      <w:r w:rsidRPr="006A797E">
        <w:rPr>
          <w:rFonts w:ascii="Arial" w:hAnsi="Arial" w:cs="Arial"/>
          <w:sz w:val="20"/>
          <w:szCs w:val="20"/>
        </w:rPr>
        <w:t xml:space="preserve">The results derived from the primary data collected among the tribal farmers of Kalrayan Hills in Villupuram district are presented and discussed in this section. The analysis covers the socio-economic and demographic characteristics of the respondents, providing insights into their participation in agricultural and allied activities. The findings are structured under relevant sub-headings, enabling a comprehensive understanding of the respondents' profiles and the various factors influencing their livelihood. These interpretations help in drawing meaningful conclusions and formulating suitable recommendations for sustainable tribal development. </w:t>
      </w:r>
    </w:p>
    <w:p w14:paraId="1B3428F5" w14:textId="77777777" w:rsidR="00302251" w:rsidRPr="00082850" w:rsidRDefault="00302251" w:rsidP="00082850">
      <w:pPr>
        <w:autoSpaceDE w:val="0"/>
        <w:autoSpaceDN w:val="0"/>
        <w:adjustRightInd w:val="0"/>
        <w:spacing w:after="0" w:line="240" w:lineRule="auto"/>
        <w:jc w:val="both"/>
        <w:rPr>
          <w:rFonts w:ascii="Arial" w:hAnsi="Arial" w:cs="Arial"/>
          <w:b/>
          <w:sz w:val="20"/>
          <w:szCs w:val="20"/>
        </w:rPr>
      </w:pPr>
      <w:r w:rsidRPr="00082850">
        <w:rPr>
          <w:rFonts w:ascii="Arial" w:hAnsi="Arial" w:cs="Arial"/>
          <w:b/>
          <w:sz w:val="20"/>
          <w:szCs w:val="20"/>
        </w:rPr>
        <w:t>Table-I: Distribution of beneficiaries according to their age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4B987953" w14:textId="77777777" w:rsidTr="0039282C">
        <w:trPr>
          <w:jc w:val="center"/>
        </w:trPr>
        <w:tc>
          <w:tcPr>
            <w:tcW w:w="1267" w:type="dxa"/>
            <w:vAlign w:val="center"/>
          </w:tcPr>
          <w:p w14:paraId="3B13F939"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084CDEB8"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0808F89D"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5B364240"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24A3A586" w14:textId="77777777" w:rsidTr="0039282C">
        <w:trPr>
          <w:jc w:val="center"/>
        </w:trPr>
        <w:tc>
          <w:tcPr>
            <w:tcW w:w="1267" w:type="dxa"/>
            <w:vAlign w:val="center"/>
          </w:tcPr>
          <w:p w14:paraId="33734A75"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vAlign w:val="center"/>
          </w:tcPr>
          <w:p w14:paraId="68FC3428"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Young (Below 35)</w:t>
            </w:r>
          </w:p>
        </w:tc>
        <w:tc>
          <w:tcPr>
            <w:tcW w:w="1274" w:type="dxa"/>
            <w:vAlign w:val="center"/>
          </w:tcPr>
          <w:p w14:paraId="2E69D194"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45</w:t>
            </w:r>
          </w:p>
        </w:tc>
        <w:tc>
          <w:tcPr>
            <w:tcW w:w="1552" w:type="dxa"/>
            <w:vAlign w:val="center"/>
          </w:tcPr>
          <w:p w14:paraId="2C99D596"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15.00</w:t>
            </w:r>
          </w:p>
        </w:tc>
      </w:tr>
      <w:tr w:rsidR="00302251" w:rsidRPr="00082850" w14:paraId="2A921B70" w14:textId="77777777" w:rsidTr="0039282C">
        <w:trPr>
          <w:jc w:val="center"/>
        </w:trPr>
        <w:tc>
          <w:tcPr>
            <w:tcW w:w="1267" w:type="dxa"/>
            <w:vAlign w:val="center"/>
          </w:tcPr>
          <w:p w14:paraId="3511CAD7"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vAlign w:val="center"/>
          </w:tcPr>
          <w:p w14:paraId="069F66B0"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Middle (35 – 45)</w:t>
            </w:r>
          </w:p>
        </w:tc>
        <w:tc>
          <w:tcPr>
            <w:tcW w:w="1274" w:type="dxa"/>
            <w:vAlign w:val="center"/>
          </w:tcPr>
          <w:p w14:paraId="2C33137A"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157</w:t>
            </w:r>
          </w:p>
        </w:tc>
        <w:tc>
          <w:tcPr>
            <w:tcW w:w="1552" w:type="dxa"/>
            <w:vAlign w:val="center"/>
          </w:tcPr>
          <w:p w14:paraId="3E7F093C"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52.33</w:t>
            </w:r>
          </w:p>
        </w:tc>
      </w:tr>
      <w:tr w:rsidR="00302251" w:rsidRPr="00082850" w14:paraId="670DFD67" w14:textId="77777777" w:rsidTr="0039282C">
        <w:trPr>
          <w:jc w:val="center"/>
        </w:trPr>
        <w:tc>
          <w:tcPr>
            <w:tcW w:w="1267" w:type="dxa"/>
            <w:vAlign w:val="center"/>
          </w:tcPr>
          <w:p w14:paraId="42336CF5"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vAlign w:val="center"/>
          </w:tcPr>
          <w:p w14:paraId="49E7C19A"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Old (Above 45)</w:t>
            </w:r>
          </w:p>
        </w:tc>
        <w:tc>
          <w:tcPr>
            <w:tcW w:w="1274" w:type="dxa"/>
            <w:vAlign w:val="center"/>
          </w:tcPr>
          <w:p w14:paraId="5AFB1F8A"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98</w:t>
            </w:r>
          </w:p>
        </w:tc>
        <w:tc>
          <w:tcPr>
            <w:tcW w:w="1552" w:type="dxa"/>
            <w:vAlign w:val="center"/>
          </w:tcPr>
          <w:p w14:paraId="6EF5CEDE"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32.67</w:t>
            </w:r>
          </w:p>
        </w:tc>
      </w:tr>
      <w:tr w:rsidR="00302251" w:rsidRPr="00082850" w14:paraId="2393E155" w14:textId="77777777" w:rsidTr="0039282C">
        <w:trPr>
          <w:jc w:val="center"/>
        </w:trPr>
        <w:tc>
          <w:tcPr>
            <w:tcW w:w="1267" w:type="dxa"/>
            <w:vAlign w:val="center"/>
          </w:tcPr>
          <w:p w14:paraId="1EBF41D8" w14:textId="77777777" w:rsidR="00302251" w:rsidRPr="00082850" w:rsidRDefault="00302251" w:rsidP="0039282C">
            <w:pPr>
              <w:jc w:val="both"/>
              <w:rPr>
                <w:rFonts w:ascii="Arial" w:hAnsi="Arial" w:cs="Arial"/>
                <w:b/>
                <w:sz w:val="20"/>
                <w:szCs w:val="20"/>
              </w:rPr>
            </w:pPr>
          </w:p>
        </w:tc>
        <w:tc>
          <w:tcPr>
            <w:tcW w:w="4923" w:type="dxa"/>
            <w:vAlign w:val="center"/>
          </w:tcPr>
          <w:p w14:paraId="2A4DC4C0" w14:textId="77777777" w:rsidR="00302251" w:rsidRPr="00082850" w:rsidRDefault="00302251" w:rsidP="0039282C">
            <w:pPr>
              <w:jc w:val="center"/>
              <w:rPr>
                <w:rFonts w:ascii="Arial" w:hAnsi="Arial" w:cs="Arial"/>
                <w:b/>
                <w:sz w:val="20"/>
                <w:szCs w:val="20"/>
              </w:rPr>
            </w:pPr>
            <w:r w:rsidRPr="00082850">
              <w:rPr>
                <w:rFonts w:ascii="Arial" w:eastAsia="Calibri" w:hAnsi="Arial" w:cs="Arial"/>
                <w:b/>
                <w:sz w:val="20"/>
                <w:szCs w:val="20"/>
              </w:rPr>
              <w:t>Total</w:t>
            </w:r>
          </w:p>
        </w:tc>
        <w:tc>
          <w:tcPr>
            <w:tcW w:w="1274" w:type="dxa"/>
            <w:vAlign w:val="center"/>
          </w:tcPr>
          <w:p w14:paraId="0481C5F5"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vAlign w:val="center"/>
          </w:tcPr>
          <w:p w14:paraId="0193F112"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6CF42CD5" w14:textId="77777777" w:rsidR="00395CAF" w:rsidRPr="00082850" w:rsidRDefault="00395CAF" w:rsidP="00082850">
      <w:pPr>
        <w:autoSpaceDE w:val="0"/>
        <w:autoSpaceDN w:val="0"/>
        <w:adjustRightInd w:val="0"/>
        <w:spacing w:after="0" w:line="240" w:lineRule="auto"/>
        <w:jc w:val="both"/>
        <w:rPr>
          <w:rFonts w:ascii="Arial" w:hAnsi="Arial" w:cs="Arial"/>
          <w:bCs/>
          <w:sz w:val="20"/>
          <w:szCs w:val="20"/>
        </w:rPr>
      </w:pPr>
    </w:p>
    <w:p w14:paraId="388AE9B3" w14:textId="77777777" w:rsidR="00ED35F2" w:rsidRDefault="00ED35F2" w:rsidP="00082850">
      <w:pPr>
        <w:autoSpaceDE w:val="0"/>
        <w:autoSpaceDN w:val="0"/>
        <w:adjustRightInd w:val="0"/>
        <w:spacing w:after="0" w:line="240" w:lineRule="auto"/>
        <w:jc w:val="both"/>
        <w:rPr>
          <w:rFonts w:ascii="Arial" w:hAnsi="Arial" w:cs="Arial"/>
          <w:b/>
          <w:sz w:val="20"/>
          <w:szCs w:val="20"/>
        </w:rPr>
      </w:pPr>
    </w:p>
    <w:p w14:paraId="23754302" w14:textId="77777777" w:rsidR="00ED35F2" w:rsidRDefault="00ED35F2" w:rsidP="00082850">
      <w:pPr>
        <w:autoSpaceDE w:val="0"/>
        <w:autoSpaceDN w:val="0"/>
        <w:adjustRightInd w:val="0"/>
        <w:spacing w:after="0" w:line="240" w:lineRule="auto"/>
        <w:jc w:val="both"/>
        <w:rPr>
          <w:rFonts w:ascii="Arial" w:hAnsi="Arial" w:cs="Arial"/>
          <w:b/>
          <w:sz w:val="20"/>
          <w:szCs w:val="20"/>
        </w:rPr>
      </w:pPr>
    </w:p>
    <w:p w14:paraId="11976717" w14:textId="44343F82" w:rsidR="00302251" w:rsidRPr="00082850" w:rsidRDefault="00302251" w:rsidP="00082850">
      <w:pPr>
        <w:autoSpaceDE w:val="0"/>
        <w:autoSpaceDN w:val="0"/>
        <w:adjustRightInd w:val="0"/>
        <w:spacing w:after="0" w:line="240" w:lineRule="auto"/>
        <w:jc w:val="both"/>
        <w:rPr>
          <w:rFonts w:ascii="Arial" w:hAnsi="Arial" w:cs="Arial"/>
          <w:b/>
          <w:sz w:val="20"/>
          <w:szCs w:val="20"/>
        </w:rPr>
      </w:pPr>
      <w:r w:rsidRPr="00082850">
        <w:rPr>
          <w:rFonts w:ascii="Arial" w:hAnsi="Arial" w:cs="Arial"/>
          <w:b/>
          <w:sz w:val="20"/>
          <w:szCs w:val="20"/>
        </w:rPr>
        <w:t>Table-II: Distribution of beneficiaries according to their Educational status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4DB3279C" w14:textId="77777777" w:rsidTr="0039282C">
        <w:trPr>
          <w:jc w:val="center"/>
        </w:trPr>
        <w:tc>
          <w:tcPr>
            <w:tcW w:w="1267" w:type="dxa"/>
            <w:vAlign w:val="center"/>
          </w:tcPr>
          <w:p w14:paraId="785A93E6"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45E8E7C0"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130F7AB5"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53E32FF2"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75C65AFC" w14:textId="77777777" w:rsidTr="0039282C">
        <w:trPr>
          <w:jc w:val="center"/>
        </w:trPr>
        <w:tc>
          <w:tcPr>
            <w:tcW w:w="1267" w:type="dxa"/>
            <w:vAlign w:val="center"/>
          </w:tcPr>
          <w:p w14:paraId="6D037D8F"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vAlign w:val="center"/>
          </w:tcPr>
          <w:p w14:paraId="39F4DAC0"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Illiterate</w:t>
            </w:r>
          </w:p>
        </w:tc>
        <w:tc>
          <w:tcPr>
            <w:tcW w:w="1274" w:type="dxa"/>
            <w:vAlign w:val="center"/>
          </w:tcPr>
          <w:p w14:paraId="0178BEB6"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165</w:t>
            </w:r>
          </w:p>
        </w:tc>
        <w:tc>
          <w:tcPr>
            <w:tcW w:w="1552" w:type="dxa"/>
            <w:vAlign w:val="center"/>
          </w:tcPr>
          <w:p w14:paraId="1039001F"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55.00</w:t>
            </w:r>
          </w:p>
        </w:tc>
      </w:tr>
      <w:tr w:rsidR="00302251" w:rsidRPr="00082850" w14:paraId="13B00A6A" w14:textId="77777777" w:rsidTr="0039282C">
        <w:trPr>
          <w:jc w:val="center"/>
        </w:trPr>
        <w:tc>
          <w:tcPr>
            <w:tcW w:w="1267" w:type="dxa"/>
            <w:vAlign w:val="center"/>
          </w:tcPr>
          <w:p w14:paraId="559D63F4"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lastRenderedPageBreak/>
              <w:t>2.</w:t>
            </w:r>
          </w:p>
        </w:tc>
        <w:tc>
          <w:tcPr>
            <w:tcW w:w="4923" w:type="dxa"/>
            <w:vAlign w:val="center"/>
          </w:tcPr>
          <w:p w14:paraId="1210672D"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Primary school level</w:t>
            </w:r>
          </w:p>
        </w:tc>
        <w:tc>
          <w:tcPr>
            <w:tcW w:w="1274" w:type="dxa"/>
            <w:vAlign w:val="center"/>
          </w:tcPr>
          <w:p w14:paraId="1A52F387"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33</w:t>
            </w:r>
          </w:p>
        </w:tc>
        <w:tc>
          <w:tcPr>
            <w:tcW w:w="1552" w:type="dxa"/>
            <w:vAlign w:val="center"/>
          </w:tcPr>
          <w:p w14:paraId="7B555523"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27.50</w:t>
            </w:r>
          </w:p>
        </w:tc>
      </w:tr>
      <w:tr w:rsidR="00302251" w:rsidRPr="00082850" w14:paraId="20EF136B" w14:textId="77777777" w:rsidTr="0039282C">
        <w:trPr>
          <w:jc w:val="center"/>
        </w:trPr>
        <w:tc>
          <w:tcPr>
            <w:tcW w:w="1267" w:type="dxa"/>
            <w:vAlign w:val="center"/>
          </w:tcPr>
          <w:p w14:paraId="638C5128"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vAlign w:val="center"/>
          </w:tcPr>
          <w:p w14:paraId="191264C5"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Secondary school level</w:t>
            </w:r>
          </w:p>
        </w:tc>
        <w:tc>
          <w:tcPr>
            <w:tcW w:w="1274" w:type="dxa"/>
            <w:vAlign w:val="center"/>
          </w:tcPr>
          <w:p w14:paraId="71B088FE"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14</w:t>
            </w:r>
          </w:p>
        </w:tc>
        <w:tc>
          <w:tcPr>
            <w:tcW w:w="1552" w:type="dxa"/>
            <w:vAlign w:val="center"/>
          </w:tcPr>
          <w:p w14:paraId="1C8477A7"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11.67</w:t>
            </w:r>
          </w:p>
        </w:tc>
      </w:tr>
      <w:tr w:rsidR="00302251" w:rsidRPr="00082850" w14:paraId="1C23AA77" w14:textId="77777777" w:rsidTr="0039282C">
        <w:trPr>
          <w:jc w:val="center"/>
        </w:trPr>
        <w:tc>
          <w:tcPr>
            <w:tcW w:w="1267" w:type="dxa"/>
            <w:vAlign w:val="center"/>
          </w:tcPr>
          <w:p w14:paraId="0EC8A9DE" w14:textId="77777777" w:rsidR="00302251" w:rsidRPr="00082850" w:rsidRDefault="00302251" w:rsidP="0039282C">
            <w:pPr>
              <w:jc w:val="center"/>
              <w:rPr>
                <w:rFonts w:ascii="Arial" w:hAnsi="Arial" w:cs="Arial"/>
                <w:b/>
                <w:sz w:val="20"/>
                <w:szCs w:val="20"/>
              </w:rPr>
            </w:pPr>
            <w:r w:rsidRPr="00082850">
              <w:rPr>
                <w:rFonts w:ascii="Arial" w:eastAsia="Calibri" w:hAnsi="Arial" w:cs="Arial"/>
                <w:b/>
                <w:sz w:val="20"/>
                <w:szCs w:val="20"/>
              </w:rPr>
              <w:t>4.</w:t>
            </w:r>
          </w:p>
        </w:tc>
        <w:tc>
          <w:tcPr>
            <w:tcW w:w="4923" w:type="dxa"/>
            <w:vAlign w:val="center"/>
          </w:tcPr>
          <w:p w14:paraId="432973C1" w14:textId="77777777" w:rsidR="00302251" w:rsidRPr="00082850" w:rsidRDefault="00302251" w:rsidP="0039282C">
            <w:pPr>
              <w:jc w:val="center"/>
              <w:rPr>
                <w:rFonts w:ascii="Arial" w:hAnsi="Arial" w:cs="Arial"/>
                <w:b/>
                <w:sz w:val="20"/>
                <w:szCs w:val="20"/>
              </w:rPr>
            </w:pPr>
            <w:r w:rsidRPr="00082850">
              <w:rPr>
                <w:rFonts w:ascii="Arial" w:hAnsi="Arial" w:cs="Arial"/>
                <w:sz w:val="20"/>
                <w:szCs w:val="20"/>
                <w:lang w:bidi="en-US"/>
              </w:rPr>
              <w:t>Higher level</w:t>
            </w:r>
          </w:p>
        </w:tc>
        <w:tc>
          <w:tcPr>
            <w:tcW w:w="1274" w:type="dxa"/>
            <w:vAlign w:val="center"/>
          </w:tcPr>
          <w:p w14:paraId="284A7F3E"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07</w:t>
            </w:r>
          </w:p>
        </w:tc>
        <w:tc>
          <w:tcPr>
            <w:tcW w:w="1552" w:type="dxa"/>
            <w:vAlign w:val="center"/>
          </w:tcPr>
          <w:p w14:paraId="4D0035FB"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05.83</w:t>
            </w:r>
          </w:p>
        </w:tc>
      </w:tr>
      <w:tr w:rsidR="00302251" w:rsidRPr="00082850" w14:paraId="0F586C7F" w14:textId="77777777" w:rsidTr="0039282C">
        <w:trPr>
          <w:jc w:val="center"/>
        </w:trPr>
        <w:tc>
          <w:tcPr>
            <w:tcW w:w="1267" w:type="dxa"/>
            <w:vAlign w:val="center"/>
          </w:tcPr>
          <w:p w14:paraId="1F4F4743" w14:textId="77777777" w:rsidR="00302251" w:rsidRPr="00082850" w:rsidRDefault="00302251" w:rsidP="0039282C">
            <w:pPr>
              <w:jc w:val="center"/>
              <w:rPr>
                <w:rFonts w:ascii="Arial" w:hAnsi="Arial" w:cs="Arial"/>
                <w:b/>
                <w:sz w:val="20"/>
                <w:szCs w:val="20"/>
              </w:rPr>
            </w:pPr>
            <w:r w:rsidRPr="00082850">
              <w:rPr>
                <w:rFonts w:ascii="Arial" w:eastAsia="Calibri" w:hAnsi="Arial" w:cs="Arial"/>
                <w:b/>
                <w:sz w:val="20"/>
                <w:szCs w:val="20"/>
              </w:rPr>
              <w:t>5.</w:t>
            </w:r>
          </w:p>
        </w:tc>
        <w:tc>
          <w:tcPr>
            <w:tcW w:w="4923" w:type="dxa"/>
            <w:vAlign w:val="center"/>
          </w:tcPr>
          <w:p w14:paraId="3F6D9960" w14:textId="77777777" w:rsidR="00302251" w:rsidRPr="00082850" w:rsidRDefault="00302251" w:rsidP="0039282C">
            <w:pPr>
              <w:jc w:val="center"/>
              <w:rPr>
                <w:rFonts w:ascii="Arial" w:eastAsia="Calibri" w:hAnsi="Arial" w:cs="Arial"/>
                <w:b/>
                <w:sz w:val="20"/>
                <w:szCs w:val="20"/>
              </w:rPr>
            </w:pPr>
            <w:r w:rsidRPr="00082850">
              <w:rPr>
                <w:rFonts w:ascii="Arial" w:hAnsi="Arial" w:cs="Arial"/>
                <w:sz w:val="20"/>
                <w:szCs w:val="20"/>
                <w:lang w:bidi="en-US"/>
              </w:rPr>
              <w:t>Collegiate level</w:t>
            </w:r>
          </w:p>
        </w:tc>
        <w:tc>
          <w:tcPr>
            <w:tcW w:w="1274" w:type="dxa"/>
            <w:vAlign w:val="center"/>
          </w:tcPr>
          <w:p w14:paraId="6AA1CF04" w14:textId="77777777" w:rsidR="00302251" w:rsidRPr="00082850" w:rsidRDefault="00302251" w:rsidP="0039282C">
            <w:pPr>
              <w:jc w:val="center"/>
              <w:rPr>
                <w:rFonts w:ascii="Arial" w:eastAsia="Calibri" w:hAnsi="Arial" w:cs="Arial"/>
                <w:b/>
                <w:sz w:val="20"/>
                <w:szCs w:val="20"/>
              </w:rPr>
            </w:pPr>
            <w:r w:rsidRPr="00082850">
              <w:rPr>
                <w:rFonts w:ascii="Arial" w:eastAsia="Calibri" w:hAnsi="Arial" w:cs="Arial"/>
                <w:sz w:val="20"/>
                <w:szCs w:val="20"/>
              </w:rPr>
              <w:t>00</w:t>
            </w:r>
          </w:p>
        </w:tc>
        <w:tc>
          <w:tcPr>
            <w:tcW w:w="1552" w:type="dxa"/>
            <w:vAlign w:val="center"/>
          </w:tcPr>
          <w:p w14:paraId="5C8FAFCE" w14:textId="77777777" w:rsidR="00302251" w:rsidRPr="00082850" w:rsidRDefault="00302251" w:rsidP="0039282C">
            <w:pPr>
              <w:jc w:val="center"/>
              <w:rPr>
                <w:rFonts w:ascii="Arial" w:eastAsia="Calibri" w:hAnsi="Arial" w:cs="Arial"/>
                <w:b/>
                <w:sz w:val="20"/>
                <w:szCs w:val="20"/>
              </w:rPr>
            </w:pPr>
            <w:r w:rsidRPr="00082850">
              <w:rPr>
                <w:rFonts w:ascii="Arial" w:eastAsia="Calibri" w:hAnsi="Arial" w:cs="Arial"/>
                <w:sz w:val="20"/>
                <w:szCs w:val="20"/>
              </w:rPr>
              <w:t>00.00</w:t>
            </w:r>
          </w:p>
        </w:tc>
      </w:tr>
      <w:tr w:rsidR="00302251" w:rsidRPr="00082850" w14:paraId="25398930" w14:textId="77777777" w:rsidTr="0039282C">
        <w:trPr>
          <w:jc w:val="center"/>
        </w:trPr>
        <w:tc>
          <w:tcPr>
            <w:tcW w:w="1267" w:type="dxa"/>
            <w:vAlign w:val="center"/>
          </w:tcPr>
          <w:p w14:paraId="4E4704E0" w14:textId="77777777" w:rsidR="00302251" w:rsidRPr="00082850" w:rsidRDefault="00302251" w:rsidP="0039282C">
            <w:pPr>
              <w:jc w:val="both"/>
              <w:rPr>
                <w:rFonts w:ascii="Arial" w:hAnsi="Arial" w:cs="Arial"/>
                <w:b/>
                <w:sz w:val="20"/>
                <w:szCs w:val="20"/>
              </w:rPr>
            </w:pPr>
          </w:p>
        </w:tc>
        <w:tc>
          <w:tcPr>
            <w:tcW w:w="4923" w:type="dxa"/>
            <w:vAlign w:val="center"/>
          </w:tcPr>
          <w:p w14:paraId="1592DCD2" w14:textId="77777777" w:rsidR="00302251" w:rsidRPr="00082850" w:rsidRDefault="00302251" w:rsidP="0039282C">
            <w:pPr>
              <w:jc w:val="center"/>
              <w:rPr>
                <w:rFonts w:ascii="Arial" w:eastAsia="Calibri" w:hAnsi="Arial" w:cs="Arial"/>
                <w:b/>
                <w:sz w:val="20"/>
                <w:szCs w:val="20"/>
              </w:rPr>
            </w:pPr>
            <w:r w:rsidRPr="00082850">
              <w:rPr>
                <w:rFonts w:ascii="Arial" w:hAnsi="Arial" w:cs="Arial"/>
                <w:b/>
                <w:sz w:val="20"/>
                <w:szCs w:val="20"/>
                <w:lang w:bidi="en-US"/>
              </w:rPr>
              <w:t>Total</w:t>
            </w:r>
          </w:p>
        </w:tc>
        <w:tc>
          <w:tcPr>
            <w:tcW w:w="1274" w:type="dxa"/>
            <w:vAlign w:val="center"/>
          </w:tcPr>
          <w:p w14:paraId="3E2E16CB" w14:textId="77777777" w:rsidR="00302251" w:rsidRPr="00082850" w:rsidRDefault="00302251" w:rsidP="0039282C">
            <w:pPr>
              <w:jc w:val="center"/>
              <w:rPr>
                <w:rFonts w:ascii="Arial" w:eastAsia="Calibri" w:hAnsi="Arial" w:cs="Arial"/>
                <w:b/>
                <w:sz w:val="20"/>
                <w:szCs w:val="20"/>
              </w:rPr>
            </w:pPr>
            <w:r w:rsidRPr="00082850">
              <w:rPr>
                <w:rFonts w:ascii="Arial" w:eastAsia="Calibri" w:hAnsi="Arial" w:cs="Arial"/>
                <w:b/>
                <w:sz w:val="20"/>
                <w:szCs w:val="20"/>
              </w:rPr>
              <w:t>300</w:t>
            </w:r>
          </w:p>
        </w:tc>
        <w:tc>
          <w:tcPr>
            <w:tcW w:w="1552" w:type="dxa"/>
            <w:vAlign w:val="center"/>
          </w:tcPr>
          <w:p w14:paraId="092D2D8F" w14:textId="77777777" w:rsidR="00302251" w:rsidRPr="00082850" w:rsidRDefault="00302251" w:rsidP="0039282C">
            <w:pPr>
              <w:jc w:val="center"/>
              <w:rPr>
                <w:rFonts w:ascii="Arial" w:eastAsia="Calibri" w:hAnsi="Arial" w:cs="Arial"/>
                <w:b/>
                <w:sz w:val="20"/>
                <w:szCs w:val="20"/>
              </w:rPr>
            </w:pPr>
            <w:r w:rsidRPr="00082850">
              <w:rPr>
                <w:rFonts w:ascii="Arial" w:eastAsia="Calibri" w:hAnsi="Arial" w:cs="Arial"/>
                <w:b/>
                <w:sz w:val="20"/>
                <w:szCs w:val="20"/>
              </w:rPr>
              <w:t>100.00</w:t>
            </w:r>
          </w:p>
        </w:tc>
      </w:tr>
    </w:tbl>
    <w:p w14:paraId="27C890EE" w14:textId="77777777" w:rsidR="00395CAF" w:rsidRPr="00082850" w:rsidRDefault="00395CAF" w:rsidP="00082850">
      <w:pPr>
        <w:autoSpaceDE w:val="0"/>
        <w:autoSpaceDN w:val="0"/>
        <w:adjustRightInd w:val="0"/>
        <w:spacing w:after="0" w:line="240" w:lineRule="auto"/>
        <w:jc w:val="both"/>
        <w:rPr>
          <w:rFonts w:ascii="Arial" w:hAnsi="Arial" w:cs="Arial"/>
          <w:sz w:val="20"/>
          <w:szCs w:val="20"/>
        </w:rPr>
      </w:pPr>
    </w:p>
    <w:p w14:paraId="05827FAE" w14:textId="77777777" w:rsidR="00302251" w:rsidRPr="00082850" w:rsidRDefault="00302251" w:rsidP="00082850">
      <w:pPr>
        <w:autoSpaceDE w:val="0"/>
        <w:autoSpaceDN w:val="0"/>
        <w:adjustRightInd w:val="0"/>
        <w:spacing w:after="0" w:line="240" w:lineRule="auto"/>
        <w:jc w:val="both"/>
        <w:rPr>
          <w:rFonts w:ascii="Arial" w:hAnsi="Arial" w:cs="Arial"/>
          <w:b/>
          <w:sz w:val="20"/>
          <w:szCs w:val="20"/>
        </w:rPr>
      </w:pPr>
      <w:r w:rsidRPr="00082850">
        <w:rPr>
          <w:rFonts w:ascii="Arial" w:hAnsi="Arial" w:cs="Arial"/>
          <w:b/>
          <w:sz w:val="20"/>
          <w:szCs w:val="20"/>
        </w:rPr>
        <w:t>Table-III: Distribution of beneficiaries according to their Occupational Status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4724FB0A" w14:textId="77777777" w:rsidTr="0039282C">
        <w:trPr>
          <w:jc w:val="center"/>
        </w:trPr>
        <w:tc>
          <w:tcPr>
            <w:tcW w:w="1267" w:type="dxa"/>
            <w:vAlign w:val="center"/>
          </w:tcPr>
          <w:p w14:paraId="7A68D860"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2341D47C"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2F816B65"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1301CD13"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1AAC647B" w14:textId="77777777" w:rsidTr="0039282C">
        <w:trPr>
          <w:jc w:val="center"/>
        </w:trPr>
        <w:tc>
          <w:tcPr>
            <w:tcW w:w="1267" w:type="dxa"/>
            <w:vAlign w:val="center"/>
          </w:tcPr>
          <w:p w14:paraId="70BF7DC1"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vAlign w:val="center"/>
          </w:tcPr>
          <w:p w14:paraId="7D484E1E"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Agriculture and allied activities</w:t>
            </w:r>
          </w:p>
        </w:tc>
        <w:tc>
          <w:tcPr>
            <w:tcW w:w="1274" w:type="dxa"/>
            <w:vAlign w:val="center"/>
          </w:tcPr>
          <w:p w14:paraId="59E9E296"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272</w:t>
            </w:r>
          </w:p>
        </w:tc>
        <w:tc>
          <w:tcPr>
            <w:tcW w:w="1552" w:type="dxa"/>
            <w:vAlign w:val="center"/>
          </w:tcPr>
          <w:p w14:paraId="7CA680E9"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90.67</w:t>
            </w:r>
          </w:p>
        </w:tc>
      </w:tr>
      <w:tr w:rsidR="00302251" w:rsidRPr="00082850" w14:paraId="693DB396" w14:textId="77777777" w:rsidTr="0039282C">
        <w:trPr>
          <w:jc w:val="center"/>
        </w:trPr>
        <w:tc>
          <w:tcPr>
            <w:tcW w:w="1267" w:type="dxa"/>
            <w:vAlign w:val="center"/>
          </w:tcPr>
          <w:p w14:paraId="629783A5"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vAlign w:val="center"/>
          </w:tcPr>
          <w:p w14:paraId="69A23D49"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Secondary occupation</w:t>
            </w:r>
          </w:p>
        </w:tc>
        <w:tc>
          <w:tcPr>
            <w:tcW w:w="1274" w:type="dxa"/>
            <w:vAlign w:val="center"/>
          </w:tcPr>
          <w:p w14:paraId="10160C63"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28</w:t>
            </w:r>
          </w:p>
        </w:tc>
        <w:tc>
          <w:tcPr>
            <w:tcW w:w="1552" w:type="dxa"/>
            <w:vAlign w:val="center"/>
          </w:tcPr>
          <w:p w14:paraId="38E5F6E6"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09.33</w:t>
            </w:r>
          </w:p>
        </w:tc>
      </w:tr>
      <w:tr w:rsidR="00302251" w:rsidRPr="00082850" w14:paraId="38936E08" w14:textId="77777777" w:rsidTr="0039282C">
        <w:trPr>
          <w:jc w:val="center"/>
        </w:trPr>
        <w:tc>
          <w:tcPr>
            <w:tcW w:w="1267" w:type="dxa"/>
            <w:vAlign w:val="center"/>
          </w:tcPr>
          <w:p w14:paraId="7F1F801E" w14:textId="77777777" w:rsidR="00302251" w:rsidRPr="00082850" w:rsidRDefault="00302251" w:rsidP="0039282C">
            <w:pPr>
              <w:jc w:val="center"/>
              <w:rPr>
                <w:rFonts w:ascii="Arial" w:hAnsi="Arial" w:cs="Arial"/>
                <w:sz w:val="20"/>
                <w:szCs w:val="20"/>
              </w:rPr>
            </w:pPr>
          </w:p>
        </w:tc>
        <w:tc>
          <w:tcPr>
            <w:tcW w:w="4923" w:type="dxa"/>
            <w:vAlign w:val="center"/>
          </w:tcPr>
          <w:p w14:paraId="7682FE0C" w14:textId="77777777" w:rsidR="00302251" w:rsidRPr="00082850" w:rsidRDefault="00302251" w:rsidP="0039282C">
            <w:pPr>
              <w:jc w:val="center"/>
              <w:rPr>
                <w:rFonts w:ascii="Arial" w:hAnsi="Arial" w:cs="Arial"/>
                <w:sz w:val="20"/>
                <w:szCs w:val="20"/>
              </w:rPr>
            </w:pPr>
            <w:r w:rsidRPr="00082850">
              <w:rPr>
                <w:rFonts w:ascii="Arial" w:hAnsi="Arial" w:cs="Arial"/>
                <w:b/>
                <w:sz w:val="20"/>
                <w:szCs w:val="20"/>
                <w:lang w:bidi="en-US"/>
              </w:rPr>
              <w:t>Total</w:t>
            </w:r>
          </w:p>
        </w:tc>
        <w:tc>
          <w:tcPr>
            <w:tcW w:w="1274" w:type="dxa"/>
            <w:vAlign w:val="center"/>
          </w:tcPr>
          <w:p w14:paraId="1A591C01"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vAlign w:val="center"/>
          </w:tcPr>
          <w:p w14:paraId="67941FC3"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081B1C19" w14:textId="77777777" w:rsidR="00395CAF" w:rsidRPr="00082850" w:rsidRDefault="00395CAF" w:rsidP="00082850">
      <w:pPr>
        <w:autoSpaceDE w:val="0"/>
        <w:autoSpaceDN w:val="0"/>
        <w:adjustRightInd w:val="0"/>
        <w:spacing w:after="0" w:line="240" w:lineRule="auto"/>
        <w:jc w:val="both"/>
        <w:rPr>
          <w:rFonts w:ascii="Arial" w:hAnsi="Arial" w:cs="Arial"/>
          <w:bCs/>
          <w:sz w:val="20"/>
          <w:szCs w:val="20"/>
        </w:rPr>
      </w:pPr>
    </w:p>
    <w:p w14:paraId="5F07AEAD" w14:textId="77777777" w:rsidR="00302251" w:rsidRPr="00082850" w:rsidRDefault="00302251" w:rsidP="00082850">
      <w:pPr>
        <w:autoSpaceDE w:val="0"/>
        <w:autoSpaceDN w:val="0"/>
        <w:adjustRightInd w:val="0"/>
        <w:spacing w:after="0" w:line="240" w:lineRule="auto"/>
        <w:jc w:val="both"/>
        <w:rPr>
          <w:rFonts w:ascii="Arial" w:hAnsi="Arial" w:cs="Arial"/>
          <w:b/>
          <w:sz w:val="20"/>
          <w:szCs w:val="20"/>
        </w:rPr>
      </w:pPr>
      <w:r w:rsidRPr="00082850">
        <w:rPr>
          <w:rFonts w:ascii="Arial" w:hAnsi="Arial" w:cs="Arial"/>
          <w:b/>
          <w:sz w:val="20"/>
          <w:szCs w:val="20"/>
        </w:rPr>
        <w:t>Table-IV: Distribution of beneficiaries according to their Annual income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72773F77" w14:textId="77777777" w:rsidTr="0039282C">
        <w:trPr>
          <w:jc w:val="center"/>
        </w:trPr>
        <w:tc>
          <w:tcPr>
            <w:tcW w:w="1267" w:type="dxa"/>
            <w:vAlign w:val="center"/>
          </w:tcPr>
          <w:p w14:paraId="44C4FFB0"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5491CF70"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78CFE6FB"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5ADD2F95"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68AA609D" w14:textId="77777777" w:rsidTr="0039282C">
        <w:trPr>
          <w:jc w:val="center"/>
        </w:trPr>
        <w:tc>
          <w:tcPr>
            <w:tcW w:w="1267" w:type="dxa"/>
            <w:vAlign w:val="center"/>
          </w:tcPr>
          <w:p w14:paraId="63CABE5A"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vAlign w:val="center"/>
          </w:tcPr>
          <w:p w14:paraId="73F561ED"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Low</w:t>
            </w:r>
          </w:p>
        </w:tc>
        <w:tc>
          <w:tcPr>
            <w:tcW w:w="1274" w:type="dxa"/>
            <w:vAlign w:val="center"/>
          </w:tcPr>
          <w:p w14:paraId="27BABC22"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212</w:t>
            </w:r>
          </w:p>
        </w:tc>
        <w:tc>
          <w:tcPr>
            <w:tcW w:w="1552" w:type="dxa"/>
            <w:vAlign w:val="center"/>
          </w:tcPr>
          <w:p w14:paraId="41D021B8"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70.67</w:t>
            </w:r>
          </w:p>
        </w:tc>
      </w:tr>
      <w:tr w:rsidR="00302251" w:rsidRPr="00082850" w14:paraId="745B9034" w14:textId="77777777" w:rsidTr="0039282C">
        <w:trPr>
          <w:jc w:val="center"/>
        </w:trPr>
        <w:tc>
          <w:tcPr>
            <w:tcW w:w="1267" w:type="dxa"/>
            <w:vAlign w:val="center"/>
          </w:tcPr>
          <w:p w14:paraId="6B495FE4"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vAlign w:val="center"/>
          </w:tcPr>
          <w:p w14:paraId="78F0AD81"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Medium</w:t>
            </w:r>
          </w:p>
        </w:tc>
        <w:tc>
          <w:tcPr>
            <w:tcW w:w="1274" w:type="dxa"/>
            <w:vAlign w:val="center"/>
          </w:tcPr>
          <w:p w14:paraId="443D1B7C"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78</w:t>
            </w:r>
          </w:p>
        </w:tc>
        <w:tc>
          <w:tcPr>
            <w:tcW w:w="1552" w:type="dxa"/>
            <w:vAlign w:val="center"/>
          </w:tcPr>
          <w:p w14:paraId="775433FE"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26.00</w:t>
            </w:r>
          </w:p>
        </w:tc>
      </w:tr>
      <w:tr w:rsidR="00302251" w:rsidRPr="00082850" w14:paraId="5868B7BA" w14:textId="77777777" w:rsidTr="0039282C">
        <w:trPr>
          <w:jc w:val="center"/>
        </w:trPr>
        <w:tc>
          <w:tcPr>
            <w:tcW w:w="1267" w:type="dxa"/>
            <w:vAlign w:val="center"/>
          </w:tcPr>
          <w:p w14:paraId="77B821AF"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vAlign w:val="center"/>
          </w:tcPr>
          <w:p w14:paraId="6DF12E15"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High</w:t>
            </w:r>
          </w:p>
        </w:tc>
        <w:tc>
          <w:tcPr>
            <w:tcW w:w="1274" w:type="dxa"/>
            <w:vAlign w:val="center"/>
          </w:tcPr>
          <w:p w14:paraId="5881D10A"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10</w:t>
            </w:r>
          </w:p>
        </w:tc>
        <w:tc>
          <w:tcPr>
            <w:tcW w:w="1552" w:type="dxa"/>
            <w:vAlign w:val="center"/>
          </w:tcPr>
          <w:p w14:paraId="073D5EC1"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3.33</w:t>
            </w:r>
          </w:p>
        </w:tc>
      </w:tr>
      <w:tr w:rsidR="00302251" w:rsidRPr="00082850" w14:paraId="79316C41" w14:textId="77777777" w:rsidTr="0039282C">
        <w:trPr>
          <w:jc w:val="center"/>
        </w:trPr>
        <w:tc>
          <w:tcPr>
            <w:tcW w:w="1267" w:type="dxa"/>
            <w:vAlign w:val="center"/>
          </w:tcPr>
          <w:p w14:paraId="445D3B74" w14:textId="77777777" w:rsidR="00302251" w:rsidRPr="00082850" w:rsidRDefault="00302251" w:rsidP="0039282C">
            <w:pPr>
              <w:jc w:val="both"/>
              <w:rPr>
                <w:rFonts w:ascii="Arial" w:hAnsi="Arial" w:cs="Arial"/>
                <w:b/>
                <w:sz w:val="20"/>
                <w:szCs w:val="20"/>
              </w:rPr>
            </w:pPr>
          </w:p>
        </w:tc>
        <w:tc>
          <w:tcPr>
            <w:tcW w:w="4923" w:type="dxa"/>
            <w:vAlign w:val="center"/>
          </w:tcPr>
          <w:p w14:paraId="47BEA5A9"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lang w:bidi="en-US"/>
              </w:rPr>
              <w:t>Total</w:t>
            </w:r>
          </w:p>
        </w:tc>
        <w:tc>
          <w:tcPr>
            <w:tcW w:w="1274" w:type="dxa"/>
            <w:vAlign w:val="center"/>
          </w:tcPr>
          <w:p w14:paraId="77E61A09"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vAlign w:val="center"/>
          </w:tcPr>
          <w:p w14:paraId="5181BCB6"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54A1C003" w14:textId="77777777" w:rsidR="00302251" w:rsidRPr="00082850" w:rsidRDefault="00302251" w:rsidP="00082850">
      <w:pPr>
        <w:autoSpaceDE w:val="0"/>
        <w:autoSpaceDN w:val="0"/>
        <w:adjustRightInd w:val="0"/>
        <w:spacing w:after="0" w:line="240" w:lineRule="auto"/>
        <w:jc w:val="both"/>
        <w:rPr>
          <w:rFonts w:ascii="Arial" w:hAnsi="Arial" w:cs="Arial"/>
          <w:b/>
          <w:sz w:val="20"/>
          <w:szCs w:val="20"/>
        </w:rPr>
      </w:pPr>
    </w:p>
    <w:p w14:paraId="5C5015D8" w14:textId="77777777" w:rsidR="00302251" w:rsidRPr="00082850" w:rsidRDefault="00302251" w:rsidP="00082850">
      <w:pPr>
        <w:autoSpaceDE w:val="0"/>
        <w:autoSpaceDN w:val="0"/>
        <w:adjustRightInd w:val="0"/>
        <w:spacing w:after="0" w:line="240" w:lineRule="auto"/>
        <w:jc w:val="both"/>
        <w:rPr>
          <w:rFonts w:ascii="Arial" w:hAnsi="Arial" w:cs="Arial"/>
          <w:b/>
          <w:sz w:val="20"/>
          <w:szCs w:val="20"/>
        </w:rPr>
      </w:pPr>
      <w:r w:rsidRPr="00082850">
        <w:rPr>
          <w:rFonts w:ascii="Arial" w:hAnsi="Arial" w:cs="Arial"/>
          <w:b/>
          <w:sz w:val="20"/>
          <w:szCs w:val="20"/>
        </w:rPr>
        <w:t>Table-V: Distribution of beneficiaries according to their Nature of family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7C46AF13" w14:textId="77777777" w:rsidTr="0039282C">
        <w:trPr>
          <w:jc w:val="center"/>
        </w:trPr>
        <w:tc>
          <w:tcPr>
            <w:tcW w:w="1267" w:type="dxa"/>
            <w:vAlign w:val="center"/>
          </w:tcPr>
          <w:p w14:paraId="0762E8BF"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7887A2BA"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067AB462"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2C66BBFD"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3C4DF28B" w14:textId="77777777" w:rsidTr="0039282C">
        <w:trPr>
          <w:jc w:val="center"/>
        </w:trPr>
        <w:tc>
          <w:tcPr>
            <w:tcW w:w="1267" w:type="dxa"/>
            <w:vAlign w:val="center"/>
          </w:tcPr>
          <w:p w14:paraId="3EB767C2"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vAlign w:val="center"/>
          </w:tcPr>
          <w:p w14:paraId="1D14610F"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Nuclear family</w:t>
            </w:r>
          </w:p>
        </w:tc>
        <w:tc>
          <w:tcPr>
            <w:tcW w:w="1274" w:type="dxa"/>
            <w:vAlign w:val="center"/>
          </w:tcPr>
          <w:p w14:paraId="31DC3F49"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66</w:t>
            </w:r>
          </w:p>
        </w:tc>
        <w:tc>
          <w:tcPr>
            <w:tcW w:w="1552" w:type="dxa"/>
            <w:vAlign w:val="center"/>
          </w:tcPr>
          <w:p w14:paraId="6974AE41"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22.00</w:t>
            </w:r>
          </w:p>
        </w:tc>
      </w:tr>
      <w:tr w:rsidR="00302251" w:rsidRPr="00082850" w14:paraId="6AD7B83B" w14:textId="77777777" w:rsidTr="0039282C">
        <w:trPr>
          <w:jc w:val="center"/>
        </w:trPr>
        <w:tc>
          <w:tcPr>
            <w:tcW w:w="1267" w:type="dxa"/>
            <w:vAlign w:val="center"/>
          </w:tcPr>
          <w:p w14:paraId="155E8CCD"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vAlign w:val="center"/>
          </w:tcPr>
          <w:p w14:paraId="674C40D4"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Joint family</w:t>
            </w:r>
          </w:p>
        </w:tc>
        <w:tc>
          <w:tcPr>
            <w:tcW w:w="1274" w:type="dxa"/>
            <w:vAlign w:val="center"/>
          </w:tcPr>
          <w:p w14:paraId="735FF33B"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234</w:t>
            </w:r>
          </w:p>
        </w:tc>
        <w:tc>
          <w:tcPr>
            <w:tcW w:w="1552" w:type="dxa"/>
            <w:vAlign w:val="center"/>
          </w:tcPr>
          <w:p w14:paraId="4303260E"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78.00</w:t>
            </w:r>
          </w:p>
        </w:tc>
      </w:tr>
      <w:tr w:rsidR="00302251" w:rsidRPr="00082850" w14:paraId="2D665591" w14:textId="77777777" w:rsidTr="0039282C">
        <w:trPr>
          <w:jc w:val="center"/>
        </w:trPr>
        <w:tc>
          <w:tcPr>
            <w:tcW w:w="1267" w:type="dxa"/>
            <w:vAlign w:val="center"/>
          </w:tcPr>
          <w:p w14:paraId="70C3A4C5" w14:textId="77777777" w:rsidR="00302251" w:rsidRPr="00082850" w:rsidRDefault="00302251" w:rsidP="0039282C">
            <w:pPr>
              <w:jc w:val="center"/>
              <w:rPr>
                <w:rFonts w:ascii="Arial" w:hAnsi="Arial" w:cs="Arial"/>
                <w:sz w:val="20"/>
                <w:szCs w:val="20"/>
              </w:rPr>
            </w:pPr>
          </w:p>
        </w:tc>
        <w:tc>
          <w:tcPr>
            <w:tcW w:w="4923" w:type="dxa"/>
            <w:vAlign w:val="center"/>
          </w:tcPr>
          <w:p w14:paraId="1C9504CB" w14:textId="77777777" w:rsidR="00302251" w:rsidRPr="00082850" w:rsidRDefault="00302251" w:rsidP="0039282C">
            <w:pPr>
              <w:jc w:val="center"/>
              <w:rPr>
                <w:rFonts w:ascii="Arial" w:hAnsi="Arial" w:cs="Arial"/>
                <w:sz w:val="20"/>
                <w:szCs w:val="20"/>
              </w:rPr>
            </w:pPr>
            <w:r w:rsidRPr="00082850">
              <w:rPr>
                <w:rFonts w:ascii="Arial" w:hAnsi="Arial" w:cs="Arial"/>
                <w:b/>
                <w:sz w:val="20"/>
                <w:szCs w:val="20"/>
                <w:lang w:bidi="en-US"/>
              </w:rPr>
              <w:t>Total</w:t>
            </w:r>
          </w:p>
        </w:tc>
        <w:tc>
          <w:tcPr>
            <w:tcW w:w="1274" w:type="dxa"/>
            <w:vAlign w:val="center"/>
          </w:tcPr>
          <w:p w14:paraId="1BE59087"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vAlign w:val="center"/>
          </w:tcPr>
          <w:p w14:paraId="50E64809"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245FB425" w14:textId="77777777" w:rsidR="00302251" w:rsidRPr="00082850" w:rsidRDefault="00302251" w:rsidP="00082850">
      <w:pPr>
        <w:autoSpaceDE w:val="0"/>
        <w:autoSpaceDN w:val="0"/>
        <w:adjustRightInd w:val="0"/>
        <w:spacing w:after="0" w:line="240" w:lineRule="auto"/>
        <w:jc w:val="both"/>
        <w:rPr>
          <w:rFonts w:ascii="Arial" w:hAnsi="Arial" w:cs="Arial"/>
          <w:sz w:val="20"/>
          <w:szCs w:val="20"/>
        </w:rPr>
      </w:pPr>
    </w:p>
    <w:p w14:paraId="068EB341" w14:textId="77777777" w:rsidR="00302251" w:rsidRPr="00082850" w:rsidRDefault="00302251" w:rsidP="00082850">
      <w:pPr>
        <w:autoSpaceDE w:val="0"/>
        <w:autoSpaceDN w:val="0"/>
        <w:adjustRightInd w:val="0"/>
        <w:spacing w:after="0" w:line="240" w:lineRule="auto"/>
        <w:jc w:val="both"/>
        <w:rPr>
          <w:rFonts w:ascii="Arial" w:hAnsi="Arial" w:cs="Arial"/>
          <w:b/>
          <w:sz w:val="20"/>
          <w:szCs w:val="20"/>
        </w:rPr>
      </w:pPr>
      <w:r w:rsidRPr="00082850">
        <w:rPr>
          <w:rFonts w:ascii="Arial" w:hAnsi="Arial" w:cs="Arial"/>
          <w:b/>
          <w:sz w:val="20"/>
          <w:szCs w:val="20"/>
        </w:rPr>
        <w:t>Table-VI: Distribution of beneficiaries according to their Farm size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3CDC562B" w14:textId="77777777" w:rsidTr="0039282C">
        <w:trPr>
          <w:jc w:val="center"/>
        </w:trPr>
        <w:tc>
          <w:tcPr>
            <w:tcW w:w="1267" w:type="dxa"/>
            <w:vAlign w:val="center"/>
          </w:tcPr>
          <w:p w14:paraId="2B7F86DA"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5665228D"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00EB4E66"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5E2B43FE"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7074FAC7" w14:textId="77777777" w:rsidTr="0039282C">
        <w:trPr>
          <w:jc w:val="center"/>
        </w:trPr>
        <w:tc>
          <w:tcPr>
            <w:tcW w:w="1267" w:type="dxa"/>
          </w:tcPr>
          <w:p w14:paraId="6BE28E54"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tcPr>
          <w:p w14:paraId="6D7B1D21"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Small farmer</w:t>
            </w:r>
          </w:p>
        </w:tc>
        <w:tc>
          <w:tcPr>
            <w:tcW w:w="1274" w:type="dxa"/>
          </w:tcPr>
          <w:p w14:paraId="27197B7E"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208</w:t>
            </w:r>
          </w:p>
        </w:tc>
        <w:tc>
          <w:tcPr>
            <w:tcW w:w="1552" w:type="dxa"/>
          </w:tcPr>
          <w:p w14:paraId="17A35808"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69.33</w:t>
            </w:r>
          </w:p>
        </w:tc>
      </w:tr>
      <w:tr w:rsidR="00302251" w:rsidRPr="00082850" w14:paraId="082B36FB" w14:textId="77777777" w:rsidTr="0039282C">
        <w:trPr>
          <w:jc w:val="center"/>
        </w:trPr>
        <w:tc>
          <w:tcPr>
            <w:tcW w:w="1267" w:type="dxa"/>
          </w:tcPr>
          <w:p w14:paraId="52C59642"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tcPr>
          <w:p w14:paraId="01224676"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Medium farmer</w:t>
            </w:r>
          </w:p>
        </w:tc>
        <w:tc>
          <w:tcPr>
            <w:tcW w:w="1274" w:type="dxa"/>
          </w:tcPr>
          <w:p w14:paraId="1AF5C03C"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74</w:t>
            </w:r>
          </w:p>
        </w:tc>
        <w:tc>
          <w:tcPr>
            <w:tcW w:w="1552" w:type="dxa"/>
          </w:tcPr>
          <w:p w14:paraId="60DC8D72"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24.67</w:t>
            </w:r>
          </w:p>
        </w:tc>
      </w:tr>
      <w:tr w:rsidR="00302251" w:rsidRPr="00082850" w14:paraId="79824E80" w14:textId="77777777" w:rsidTr="0039282C">
        <w:trPr>
          <w:jc w:val="center"/>
        </w:trPr>
        <w:tc>
          <w:tcPr>
            <w:tcW w:w="1267" w:type="dxa"/>
          </w:tcPr>
          <w:p w14:paraId="7CE8EDD5"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tcPr>
          <w:p w14:paraId="0EF8FC7E"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Big farmer</w:t>
            </w:r>
          </w:p>
        </w:tc>
        <w:tc>
          <w:tcPr>
            <w:tcW w:w="1274" w:type="dxa"/>
          </w:tcPr>
          <w:p w14:paraId="00FB27D9"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18</w:t>
            </w:r>
          </w:p>
        </w:tc>
        <w:tc>
          <w:tcPr>
            <w:tcW w:w="1552" w:type="dxa"/>
          </w:tcPr>
          <w:p w14:paraId="3E345A8B"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06.00</w:t>
            </w:r>
          </w:p>
        </w:tc>
      </w:tr>
      <w:tr w:rsidR="00302251" w:rsidRPr="00082850" w14:paraId="149D208D" w14:textId="77777777" w:rsidTr="0039282C">
        <w:trPr>
          <w:jc w:val="center"/>
        </w:trPr>
        <w:tc>
          <w:tcPr>
            <w:tcW w:w="1267" w:type="dxa"/>
          </w:tcPr>
          <w:p w14:paraId="170A7F29" w14:textId="77777777" w:rsidR="00302251" w:rsidRPr="00082850" w:rsidRDefault="00302251" w:rsidP="0039282C">
            <w:pPr>
              <w:jc w:val="both"/>
              <w:rPr>
                <w:rFonts w:ascii="Arial" w:hAnsi="Arial" w:cs="Arial"/>
                <w:b/>
                <w:sz w:val="20"/>
                <w:szCs w:val="20"/>
              </w:rPr>
            </w:pPr>
          </w:p>
        </w:tc>
        <w:tc>
          <w:tcPr>
            <w:tcW w:w="4923" w:type="dxa"/>
          </w:tcPr>
          <w:p w14:paraId="08BD08B6"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lang w:bidi="en-US"/>
              </w:rPr>
              <w:t>Total</w:t>
            </w:r>
          </w:p>
        </w:tc>
        <w:tc>
          <w:tcPr>
            <w:tcW w:w="1274" w:type="dxa"/>
          </w:tcPr>
          <w:p w14:paraId="5703E62A"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tcPr>
          <w:p w14:paraId="4BA1AE00"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659061F4" w14:textId="1A33332E" w:rsidR="00395CAF" w:rsidRPr="00082850" w:rsidRDefault="00302251" w:rsidP="00082850">
      <w:pPr>
        <w:autoSpaceDE w:val="0"/>
        <w:autoSpaceDN w:val="0"/>
        <w:adjustRightInd w:val="0"/>
        <w:spacing w:after="0" w:line="240" w:lineRule="auto"/>
        <w:jc w:val="both"/>
        <w:rPr>
          <w:rFonts w:ascii="Arial" w:hAnsi="Arial" w:cs="Arial"/>
          <w:sz w:val="20"/>
          <w:szCs w:val="20"/>
        </w:rPr>
      </w:pPr>
      <w:r w:rsidRPr="00082850">
        <w:rPr>
          <w:rFonts w:ascii="Arial" w:hAnsi="Arial" w:cs="Arial"/>
          <w:sz w:val="20"/>
          <w:szCs w:val="20"/>
        </w:rPr>
        <w:t>.</w:t>
      </w:r>
    </w:p>
    <w:p w14:paraId="7A695982" w14:textId="63E6C576" w:rsidR="00302251" w:rsidRPr="00082850" w:rsidRDefault="00082850" w:rsidP="00082850">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T</w:t>
      </w:r>
      <w:r w:rsidR="00302251" w:rsidRPr="00082850">
        <w:rPr>
          <w:rFonts w:ascii="Arial" w:hAnsi="Arial" w:cs="Arial"/>
          <w:b/>
          <w:sz w:val="20"/>
          <w:szCs w:val="20"/>
        </w:rPr>
        <w:t>able-VII: Distribution of beneficiaries according to their Farming experience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3BB8D59D" w14:textId="77777777" w:rsidTr="0039282C">
        <w:trPr>
          <w:jc w:val="center"/>
        </w:trPr>
        <w:tc>
          <w:tcPr>
            <w:tcW w:w="1267" w:type="dxa"/>
            <w:vAlign w:val="center"/>
          </w:tcPr>
          <w:p w14:paraId="369BCB56"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11D46681"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1C6D288D"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22B959DA"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3328FFDC" w14:textId="77777777" w:rsidTr="0039282C">
        <w:trPr>
          <w:jc w:val="center"/>
        </w:trPr>
        <w:tc>
          <w:tcPr>
            <w:tcW w:w="1267" w:type="dxa"/>
          </w:tcPr>
          <w:p w14:paraId="3CE7C492"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tcPr>
          <w:p w14:paraId="226CFB65"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Low</w:t>
            </w:r>
          </w:p>
        </w:tc>
        <w:tc>
          <w:tcPr>
            <w:tcW w:w="1274" w:type="dxa"/>
          </w:tcPr>
          <w:p w14:paraId="49F509D0"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57</w:t>
            </w:r>
          </w:p>
        </w:tc>
        <w:tc>
          <w:tcPr>
            <w:tcW w:w="1552" w:type="dxa"/>
          </w:tcPr>
          <w:p w14:paraId="58864C46"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19.00</w:t>
            </w:r>
          </w:p>
        </w:tc>
      </w:tr>
      <w:tr w:rsidR="00302251" w:rsidRPr="00082850" w14:paraId="2DEDC02B" w14:textId="77777777" w:rsidTr="0039282C">
        <w:trPr>
          <w:jc w:val="center"/>
        </w:trPr>
        <w:tc>
          <w:tcPr>
            <w:tcW w:w="1267" w:type="dxa"/>
          </w:tcPr>
          <w:p w14:paraId="46EC5A03"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tcPr>
          <w:p w14:paraId="7445FCAE"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 xml:space="preserve">Medium </w:t>
            </w:r>
          </w:p>
        </w:tc>
        <w:tc>
          <w:tcPr>
            <w:tcW w:w="1274" w:type="dxa"/>
          </w:tcPr>
          <w:p w14:paraId="3BFB8603"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77</w:t>
            </w:r>
          </w:p>
        </w:tc>
        <w:tc>
          <w:tcPr>
            <w:tcW w:w="1552" w:type="dxa"/>
          </w:tcPr>
          <w:p w14:paraId="3B510306"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25.67</w:t>
            </w:r>
          </w:p>
        </w:tc>
      </w:tr>
      <w:tr w:rsidR="00302251" w:rsidRPr="00082850" w14:paraId="3503FA2C" w14:textId="77777777" w:rsidTr="0039282C">
        <w:trPr>
          <w:jc w:val="center"/>
        </w:trPr>
        <w:tc>
          <w:tcPr>
            <w:tcW w:w="1267" w:type="dxa"/>
          </w:tcPr>
          <w:p w14:paraId="14F1F3F0"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tcPr>
          <w:p w14:paraId="2127E826"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High</w:t>
            </w:r>
          </w:p>
        </w:tc>
        <w:tc>
          <w:tcPr>
            <w:tcW w:w="1274" w:type="dxa"/>
          </w:tcPr>
          <w:p w14:paraId="1301C8DB"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166</w:t>
            </w:r>
          </w:p>
        </w:tc>
        <w:tc>
          <w:tcPr>
            <w:tcW w:w="1552" w:type="dxa"/>
          </w:tcPr>
          <w:p w14:paraId="4683453C"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55.33</w:t>
            </w:r>
          </w:p>
        </w:tc>
      </w:tr>
      <w:tr w:rsidR="00302251" w:rsidRPr="00082850" w14:paraId="6E5B99E7" w14:textId="77777777" w:rsidTr="0039282C">
        <w:trPr>
          <w:jc w:val="center"/>
        </w:trPr>
        <w:tc>
          <w:tcPr>
            <w:tcW w:w="1267" w:type="dxa"/>
          </w:tcPr>
          <w:p w14:paraId="74A1289F" w14:textId="77777777" w:rsidR="00302251" w:rsidRPr="00082850" w:rsidRDefault="00302251" w:rsidP="0039282C">
            <w:pPr>
              <w:jc w:val="both"/>
              <w:rPr>
                <w:rFonts w:ascii="Arial" w:hAnsi="Arial" w:cs="Arial"/>
                <w:b/>
                <w:sz w:val="20"/>
                <w:szCs w:val="20"/>
              </w:rPr>
            </w:pPr>
          </w:p>
        </w:tc>
        <w:tc>
          <w:tcPr>
            <w:tcW w:w="4923" w:type="dxa"/>
          </w:tcPr>
          <w:p w14:paraId="65A05644"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lang w:bidi="en-US"/>
              </w:rPr>
              <w:t>Total</w:t>
            </w:r>
          </w:p>
        </w:tc>
        <w:tc>
          <w:tcPr>
            <w:tcW w:w="1274" w:type="dxa"/>
          </w:tcPr>
          <w:p w14:paraId="531A6E4E"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tcPr>
          <w:p w14:paraId="38068CFD"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32047414" w14:textId="77777777" w:rsidR="00395CAF" w:rsidRPr="00082850" w:rsidRDefault="00395CAF" w:rsidP="00082850">
      <w:pPr>
        <w:autoSpaceDE w:val="0"/>
        <w:autoSpaceDN w:val="0"/>
        <w:adjustRightInd w:val="0"/>
        <w:spacing w:after="0" w:line="240" w:lineRule="auto"/>
        <w:jc w:val="both"/>
        <w:rPr>
          <w:rFonts w:ascii="Arial" w:hAnsi="Arial" w:cs="Arial"/>
          <w:sz w:val="20"/>
          <w:szCs w:val="20"/>
        </w:rPr>
      </w:pPr>
    </w:p>
    <w:p w14:paraId="3CC4EA89" w14:textId="77777777" w:rsidR="00302251" w:rsidRPr="00082850" w:rsidRDefault="00302251" w:rsidP="00082850">
      <w:pPr>
        <w:autoSpaceDE w:val="0"/>
        <w:autoSpaceDN w:val="0"/>
        <w:adjustRightInd w:val="0"/>
        <w:spacing w:after="0" w:line="240" w:lineRule="auto"/>
        <w:jc w:val="both"/>
        <w:rPr>
          <w:rFonts w:ascii="Arial" w:hAnsi="Arial" w:cs="Arial"/>
          <w:b/>
          <w:sz w:val="20"/>
          <w:szCs w:val="20"/>
        </w:rPr>
      </w:pPr>
      <w:r w:rsidRPr="00082850">
        <w:rPr>
          <w:rFonts w:ascii="Arial" w:hAnsi="Arial" w:cs="Arial"/>
          <w:b/>
          <w:sz w:val="20"/>
          <w:szCs w:val="20"/>
        </w:rPr>
        <w:t>Table-VIII: Distribution of beneficiaries according to their Social participation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0F27E6AF" w14:textId="77777777" w:rsidTr="0039282C">
        <w:trPr>
          <w:jc w:val="center"/>
        </w:trPr>
        <w:tc>
          <w:tcPr>
            <w:tcW w:w="1267" w:type="dxa"/>
            <w:vAlign w:val="center"/>
          </w:tcPr>
          <w:p w14:paraId="69665BD0"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16DD36CC"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3F8BE9BB"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7592788E"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1E4B5DC7" w14:textId="77777777" w:rsidTr="0039282C">
        <w:trPr>
          <w:jc w:val="center"/>
        </w:trPr>
        <w:tc>
          <w:tcPr>
            <w:tcW w:w="1267" w:type="dxa"/>
          </w:tcPr>
          <w:p w14:paraId="08C98E3C"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tcPr>
          <w:p w14:paraId="3762524A"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Low</w:t>
            </w:r>
          </w:p>
        </w:tc>
        <w:tc>
          <w:tcPr>
            <w:tcW w:w="1274" w:type="dxa"/>
          </w:tcPr>
          <w:p w14:paraId="51FBA717"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257</w:t>
            </w:r>
          </w:p>
        </w:tc>
        <w:tc>
          <w:tcPr>
            <w:tcW w:w="1552" w:type="dxa"/>
          </w:tcPr>
          <w:p w14:paraId="3E45FEC3"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85.67</w:t>
            </w:r>
          </w:p>
        </w:tc>
      </w:tr>
      <w:tr w:rsidR="00302251" w:rsidRPr="00082850" w14:paraId="6DAA9BBA" w14:textId="77777777" w:rsidTr="0039282C">
        <w:trPr>
          <w:jc w:val="center"/>
        </w:trPr>
        <w:tc>
          <w:tcPr>
            <w:tcW w:w="1267" w:type="dxa"/>
          </w:tcPr>
          <w:p w14:paraId="4C595417"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tcPr>
          <w:p w14:paraId="19FBC40F"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 xml:space="preserve">Medium </w:t>
            </w:r>
          </w:p>
        </w:tc>
        <w:tc>
          <w:tcPr>
            <w:tcW w:w="1274" w:type="dxa"/>
          </w:tcPr>
          <w:p w14:paraId="6A9D34C9"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39</w:t>
            </w:r>
          </w:p>
        </w:tc>
        <w:tc>
          <w:tcPr>
            <w:tcW w:w="1552" w:type="dxa"/>
          </w:tcPr>
          <w:p w14:paraId="2BFEEBD9"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13.00</w:t>
            </w:r>
          </w:p>
        </w:tc>
      </w:tr>
      <w:tr w:rsidR="00302251" w:rsidRPr="00082850" w14:paraId="44F7C8E6" w14:textId="77777777" w:rsidTr="0039282C">
        <w:trPr>
          <w:jc w:val="center"/>
        </w:trPr>
        <w:tc>
          <w:tcPr>
            <w:tcW w:w="1267" w:type="dxa"/>
          </w:tcPr>
          <w:p w14:paraId="45251BBE"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tcPr>
          <w:p w14:paraId="3BA61487"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High</w:t>
            </w:r>
          </w:p>
        </w:tc>
        <w:tc>
          <w:tcPr>
            <w:tcW w:w="1274" w:type="dxa"/>
          </w:tcPr>
          <w:p w14:paraId="6D6E43F9"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04</w:t>
            </w:r>
          </w:p>
        </w:tc>
        <w:tc>
          <w:tcPr>
            <w:tcW w:w="1552" w:type="dxa"/>
          </w:tcPr>
          <w:p w14:paraId="3A32ABDB"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01.33</w:t>
            </w:r>
          </w:p>
        </w:tc>
      </w:tr>
      <w:tr w:rsidR="00302251" w:rsidRPr="00082850" w14:paraId="6D026D32" w14:textId="77777777" w:rsidTr="0039282C">
        <w:trPr>
          <w:jc w:val="center"/>
        </w:trPr>
        <w:tc>
          <w:tcPr>
            <w:tcW w:w="1267" w:type="dxa"/>
          </w:tcPr>
          <w:p w14:paraId="70E2FF4F" w14:textId="77777777" w:rsidR="00302251" w:rsidRPr="00082850" w:rsidRDefault="00302251" w:rsidP="0039282C">
            <w:pPr>
              <w:jc w:val="both"/>
              <w:rPr>
                <w:rFonts w:ascii="Arial" w:hAnsi="Arial" w:cs="Arial"/>
                <w:b/>
                <w:sz w:val="20"/>
                <w:szCs w:val="20"/>
              </w:rPr>
            </w:pPr>
          </w:p>
        </w:tc>
        <w:tc>
          <w:tcPr>
            <w:tcW w:w="4923" w:type="dxa"/>
          </w:tcPr>
          <w:p w14:paraId="4F697F25"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lang w:bidi="en-US"/>
              </w:rPr>
              <w:t>Total</w:t>
            </w:r>
          </w:p>
        </w:tc>
        <w:tc>
          <w:tcPr>
            <w:tcW w:w="1274" w:type="dxa"/>
          </w:tcPr>
          <w:p w14:paraId="1D3F9B9D"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tcPr>
          <w:p w14:paraId="2C41A277"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40BC325B" w14:textId="77777777" w:rsidR="00ED35F2" w:rsidRDefault="00ED35F2" w:rsidP="00082850">
      <w:pPr>
        <w:autoSpaceDE w:val="0"/>
        <w:autoSpaceDN w:val="0"/>
        <w:adjustRightInd w:val="0"/>
        <w:spacing w:after="0" w:line="240" w:lineRule="auto"/>
        <w:jc w:val="both"/>
        <w:rPr>
          <w:rFonts w:ascii="Arial" w:hAnsi="Arial" w:cs="Arial"/>
          <w:sz w:val="20"/>
          <w:szCs w:val="20"/>
        </w:rPr>
      </w:pPr>
    </w:p>
    <w:p w14:paraId="79472D43" w14:textId="501B41E8" w:rsidR="00302251" w:rsidRPr="00082850" w:rsidRDefault="00302251" w:rsidP="00082850">
      <w:pPr>
        <w:autoSpaceDE w:val="0"/>
        <w:autoSpaceDN w:val="0"/>
        <w:adjustRightInd w:val="0"/>
        <w:spacing w:after="0" w:line="240" w:lineRule="auto"/>
        <w:jc w:val="both"/>
        <w:rPr>
          <w:rFonts w:ascii="Arial" w:hAnsi="Arial" w:cs="Arial"/>
          <w:sz w:val="20"/>
          <w:szCs w:val="20"/>
        </w:rPr>
      </w:pPr>
      <w:r w:rsidRPr="00082850">
        <w:rPr>
          <w:rFonts w:ascii="Arial" w:hAnsi="Arial" w:cs="Arial"/>
          <w:b/>
          <w:sz w:val="20"/>
          <w:szCs w:val="20"/>
        </w:rPr>
        <w:t>Table-IX: Distribution of beneficiaries according to their Extension agency contact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08040C78" w14:textId="77777777" w:rsidTr="0039282C">
        <w:trPr>
          <w:jc w:val="center"/>
        </w:trPr>
        <w:tc>
          <w:tcPr>
            <w:tcW w:w="1267" w:type="dxa"/>
            <w:vAlign w:val="center"/>
          </w:tcPr>
          <w:p w14:paraId="3AA052E9"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339979F4"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21E86028"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6ABDA230"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6B840BCD" w14:textId="77777777" w:rsidTr="0039282C">
        <w:trPr>
          <w:jc w:val="center"/>
        </w:trPr>
        <w:tc>
          <w:tcPr>
            <w:tcW w:w="1267" w:type="dxa"/>
          </w:tcPr>
          <w:p w14:paraId="1E5F02D4"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tcPr>
          <w:p w14:paraId="3DFC5170"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Low</w:t>
            </w:r>
          </w:p>
        </w:tc>
        <w:tc>
          <w:tcPr>
            <w:tcW w:w="1274" w:type="dxa"/>
          </w:tcPr>
          <w:p w14:paraId="13CD0809"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199</w:t>
            </w:r>
          </w:p>
        </w:tc>
        <w:tc>
          <w:tcPr>
            <w:tcW w:w="1552" w:type="dxa"/>
          </w:tcPr>
          <w:p w14:paraId="3BBA0CA6"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66.33</w:t>
            </w:r>
          </w:p>
        </w:tc>
      </w:tr>
      <w:tr w:rsidR="00302251" w:rsidRPr="00082850" w14:paraId="51ED902B" w14:textId="77777777" w:rsidTr="0039282C">
        <w:trPr>
          <w:jc w:val="center"/>
        </w:trPr>
        <w:tc>
          <w:tcPr>
            <w:tcW w:w="1267" w:type="dxa"/>
          </w:tcPr>
          <w:p w14:paraId="43C5ACF6"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tcPr>
          <w:p w14:paraId="11892C04"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 xml:space="preserve">Medium </w:t>
            </w:r>
          </w:p>
        </w:tc>
        <w:tc>
          <w:tcPr>
            <w:tcW w:w="1274" w:type="dxa"/>
          </w:tcPr>
          <w:p w14:paraId="566A5657"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66</w:t>
            </w:r>
          </w:p>
        </w:tc>
        <w:tc>
          <w:tcPr>
            <w:tcW w:w="1552" w:type="dxa"/>
          </w:tcPr>
          <w:p w14:paraId="487F2CFC"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22.00</w:t>
            </w:r>
          </w:p>
        </w:tc>
      </w:tr>
      <w:tr w:rsidR="00302251" w:rsidRPr="00082850" w14:paraId="4E226409" w14:textId="77777777" w:rsidTr="0039282C">
        <w:trPr>
          <w:jc w:val="center"/>
        </w:trPr>
        <w:tc>
          <w:tcPr>
            <w:tcW w:w="1267" w:type="dxa"/>
          </w:tcPr>
          <w:p w14:paraId="21C0AC8C"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tcPr>
          <w:p w14:paraId="77A8320D"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High</w:t>
            </w:r>
          </w:p>
        </w:tc>
        <w:tc>
          <w:tcPr>
            <w:tcW w:w="1274" w:type="dxa"/>
          </w:tcPr>
          <w:p w14:paraId="0A950999"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35</w:t>
            </w:r>
          </w:p>
        </w:tc>
        <w:tc>
          <w:tcPr>
            <w:tcW w:w="1552" w:type="dxa"/>
          </w:tcPr>
          <w:p w14:paraId="129DE337"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11.67</w:t>
            </w:r>
          </w:p>
        </w:tc>
      </w:tr>
      <w:tr w:rsidR="00302251" w:rsidRPr="00082850" w14:paraId="7CE129D6" w14:textId="77777777" w:rsidTr="0039282C">
        <w:trPr>
          <w:jc w:val="center"/>
        </w:trPr>
        <w:tc>
          <w:tcPr>
            <w:tcW w:w="1267" w:type="dxa"/>
          </w:tcPr>
          <w:p w14:paraId="186489CF" w14:textId="77777777" w:rsidR="00302251" w:rsidRPr="00082850" w:rsidRDefault="00302251" w:rsidP="0039282C">
            <w:pPr>
              <w:jc w:val="both"/>
              <w:rPr>
                <w:rFonts w:ascii="Arial" w:hAnsi="Arial" w:cs="Arial"/>
                <w:b/>
                <w:sz w:val="20"/>
                <w:szCs w:val="20"/>
              </w:rPr>
            </w:pPr>
          </w:p>
        </w:tc>
        <w:tc>
          <w:tcPr>
            <w:tcW w:w="4923" w:type="dxa"/>
          </w:tcPr>
          <w:p w14:paraId="64078A30"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lang w:bidi="en-US"/>
              </w:rPr>
              <w:t>Total</w:t>
            </w:r>
          </w:p>
        </w:tc>
        <w:tc>
          <w:tcPr>
            <w:tcW w:w="1274" w:type="dxa"/>
          </w:tcPr>
          <w:p w14:paraId="104D31ED"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tcPr>
          <w:p w14:paraId="7C810671"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650F02A2" w14:textId="0EE49511" w:rsidR="00302251" w:rsidRDefault="00302251" w:rsidP="00ED35F2">
      <w:pPr>
        <w:autoSpaceDE w:val="0"/>
        <w:autoSpaceDN w:val="0"/>
        <w:adjustRightInd w:val="0"/>
        <w:spacing w:after="0" w:line="240" w:lineRule="auto"/>
        <w:jc w:val="both"/>
        <w:rPr>
          <w:rFonts w:ascii="Arial" w:hAnsi="Arial" w:cs="Arial"/>
          <w:sz w:val="20"/>
          <w:szCs w:val="20"/>
        </w:rPr>
      </w:pPr>
    </w:p>
    <w:p w14:paraId="665E81B2" w14:textId="77777777" w:rsidR="00302251" w:rsidRPr="0048612F" w:rsidRDefault="00302251" w:rsidP="0048612F">
      <w:pPr>
        <w:autoSpaceDE w:val="0"/>
        <w:autoSpaceDN w:val="0"/>
        <w:adjustRightInd w:val="0"/>
        <w:spacing w:after="0" w:line="240" w:lineRule="auto"/>
        <w:jc w:val="both"/>
        <w:rPr>
          <w:rFonts w:ascii="Arial" w:hAnsi="Arial" w:cs="Arial"/>
          <w:b/>
          <w:sz w:val="20"/>
          <w:szCs w:val="20"/>
        </w:rPr>
      </w:pPr>
      <w:r w:rsidRPr="0048612F">
        <w:rPr>
          <w:rFonts w:ascii="Arial" w:hAnsi="Arial" w:cs="Arial"/>
          <w:b/>
          <w:sz w:val="20"/>
          <w:szCs w:val="20"/>
        </w:rPr>
        <w:t>Table-X: Distribution of beneficiaries according to their Socio-economic status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36013D6B" w14:textId="77777777" w:rsidTr="0039282C">
        <w:trPr>
          <w:jc w:val="center"/>
        </w:trPr>
        <w:tc>
          <w:tcPr>
            <w:tcW w:w="1267" w:type="dxa"/>
            <w:vAlign w:val="center"/>
          </w:tcPr>
          <w:p w14:paraId="52A267D9"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3B76D609"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58FDE7D1"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1FB320E2"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3294D63D" w14:textId="77777777" w:rsidTr="0039282C">
        <w:trPr>
          <w:jc w:val="center"/>
        </w:trPr>
        <w:tc>
          <w:tcPr>
            <w:tcW w:w="1267" w:type="dxa"/>
          </w:tcPr>
          <w:p w14:paraId="689DF800"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tcPr>
          <w:p w14:paraId="0F4018CE"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Low</w:t>
            </w:r>
          </w:p>
        </w:tc>
        <w:tc>
          <w:tcPr>
            <w:tcW w:w="1274" w:type="dxa"/>
          </w:tcPr>
          <w:p w14:paraId="29045388"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186</w:t>
            </w:r>
          </w:p>
        </w:tc>
        <w:tc>
          <w:tcPr>
            <w:tcW w:w="1552" w:type="dxa"/>
          </w:tcPr>
          <w:p w14:paraId="260540D4"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62.00</w:t>
            </w:r>
          </w:p>
        </w:tc>
      </w:tr>
      <w:tr w:rsidR="00302251" w:rsidRPr="00082850" w14:paraId="12C3EB62" w14:textId="77777777" w:rsidTr="0039282C">
        <w:trPr>
          <w:jc w:val="center"/>
        </w:trPr>
        <w:tc>
          <w:tcPr>
            <w:tcW w:w="1267" w:type="dxa"/>
          </w:tcPr>
          <w:p w14:paraId="12EBB81B"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tcPr>
          <w:p w14:paraId="7802A465"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 xml:space="preserve">Medium </w:t>
            </w:r>
          </w:p>
        </w:tc>
        <w:tc>
          <w:tcPr>
            <w:tcW w:w="1274" w:type="dxa"/>
          </w:tcPr>
          <w:p w14:paraId="1869A690"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90</w:t>
            </w:r>
          </w:p>
        </w:tc>
        <w:tc>
          <w:tcPr>
            <w:tcW w:w="1552" w:type="dxa"/>
          </w:tcPr>
          <w:p w14:paraId="28279D22"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30.00</w:t>
            </w:r>
          </w:p>
        </w:tc>
      </w:tr>
      <w:tr w:rsidR="00302251" w:rsidRPr="00082850" w14:paraId="2B002466" w14:textId="77777777" w:rsidTr="0039282C">
        <w:trPr>
          <w:jc w:val="center"/>
        </w:trPr>
        <w:tc>
          <w:tcPr>
            <w:tcW w:w="1267" w:type="dxa"/>
          </w:tcPr>
          <w:p w14:paraId="0129D3C4"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tcPr>
          <w:p w14:paraId="3CADAC6B"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High</w:t>
            </w:r>
          </w:p>
        </w:tc>
        <w:tc>
          <w:tcPr>
            <w:tcW w:w="1274" w:type="dxa"/>
          </w:tcPr>
          <w:p w14:paraId="6DBC50C6"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24</w:t>
            </w:r>
          </w:p>
        </w:tc>
        <w:tc>
          <w:tcPr>
            <w:tcW w:w="1552" w:type="dxa"/>
          </w:tcPr>
          <w:p w14:paraId="6C73A14E"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08.00</w:t>
            </w:r>
          </w:p>
        </w:tc>
      </w:tr>
      <w:tr w:rsidR="00302251" w:rsidRPr="00082850" w14:paraId="51A86A8B" w14:textId="77777777" w:rsidTr="0039282C">
        <w:trPr>
          <w:jc w:val="center"/>
        </w:trPr>
        <w:tc>
          <w:tcPr>
            <w:tcW w:w="1267" w:type="dxa"/>
          </w:tcPr>
          <w:p w14:paraId="3F8128A8" w14:textId="77777777" w:rsidR="00302251" w:rsidRPr="00082850" w:rsidRDefault="00302251" w:rsidP="0039282C">
            <w:pPr>
              <w:jc w:val="both"/>
              <w:rPr>
                <w:rFonts w:ascii="Arial" w:hAnsi="Arial" w:cs="Arial"/>
                <w:b/>
                <w:sz w:val="20"/>
                <w:szCs w:val="20"/>
              </w:rPr>
            </w:pPr>
          </w:p>
        </w:tc>
        <w:tc>
          <w:tcPr>
            <w:tcW w:w="4923" w:type="dxa"/>
          </w:tcPr>
          <w:p w14:paraId="5901996F"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lang w:bidi="en-US"/>
              </w:rPr>
              <w:t>Total</w:t>
            </w:r>
          </w:p>
        </w:tc>
        <w:tc>
          <w:tcPr>
            <w:tcW w:w="1274" w:type="dxa"/>
          </w:tcPr>
          <w:p w14:paraId="2D682073"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tcPr>
          <w:p w14:paraId="0EB1AF8D"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792CA131" w14:textId="77777777" w:rsidR="00395CAF" w:rsidRPr="0048612F" w:rsidRDefault="00395CAF" w:rsidP="0048612F">
      <w:pPr>
        <w:autoSpaceDE w:val="0"/>
        <w:autoSpaceDN w:val="0"/>
        <w:adjustRightInd w:val="0"/>
        <w:spacing w:after="0" w:line="240" w:lineRule="auto"/>
        <w:jc w:val="both"/>
        <w:rPr>
          <w:rFonts w:ascii="Arial" w:hAnsi="Arial" w:cs="Arial"/>
          <w:sz w:val="20"/>
          <w:szCs w:val="20"/>
        </w:rPr>
      </w:pPr>
    </w:p>
    <w:p w14:paraId="595801CD" w14:textId="77777777" w:rsidR="00302251" w:rsidRPr="0048612F" w:rsidRDefault="00302251" w:rsidP="0048612F">
      <w:pPr>
        <w:autoSpaceDE w:val="0"/>
        <w:autoSpaceDN w:val="0"/>
        <w:adjustRightInd w:val="0"/>
        <w:spacing w:after="0" w:line="240" w:lineRule="auto"/>
        <w:jc w:val="both"/>
        <w:rPr>
          <w:rFonts w:ascii="Arial" w:hAnsi="Arial" w:cs="Arial"/>
          <w:sz w:val="20"/>
          <w:szCs w:val="20"/>
        </w:rPr>
      </w:pPr>
      <w:r w:rsidRPr="0048612F">
        <w:rPr>
          <w:rFonts w:ascii="Arial" w:hAnsi="Arial" w:cs="Arial"/>
          <w:b/>
          <w:sz w:val="20"/>
          <w:szCs w:val="20"/>
        </w:rPr>
        <w:t>Table-XI: Distribution of beneficiaries according to their type of cosmopoliteness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38782051" w14:textId="77777777" w:rsidTr="0039282C">
        <w:trPr>
          <w:jc w:val="center"/>
        </w:trPr>
        <w:tc>
          <w:tcPr>
            <w:tcW w:w="1267" w:type="dxa"/>
            <w:vAlign w:val="center"/>
          </w:tcPr>
          <w:p w14:paraId="2049F4DC"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5043582A"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429A1E98"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2D94972B"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388F33F6" w14:textId="77777777" w:rsidTr="0039282C">
        <w:trPr>
          <w:jc w:val="center"/>
        </w:trPr>
        <w:tc>
          <w:tcPr>
            <w:tcW w:w="1267" w:type="dxa"/>
          </w:tcPr>
          <w:p w14:paraId="737C9924"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tcPr>
          <w:p w14:paraId="0E0BF27E"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Low</w:t>
            </w:r>
          </w:p>
        </w:tc>
        <w:tc>
          <w:tcPr>
            <w:tcW w:w="1274" w:type="dxa"/>
          </w:tcPr>
          <w:p w14:paraId="7B627B59"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178</w:t>
            </w:r>
          </w:p>
        </w:tc>
        <w:tc>
          <w:tcPr>
            <w:tcW w:w="1552" w:type="dxa"/>
          </w:tcPr>
          <w:p w14:paraId="0C2312A6"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59.33</w:t>
            </w:r>
          </w:p>
        </w:tc>
      </w:tr>
      <w:tr w:rsidR="00302251" w:rsidRPr="00082850" w14:paraId="0FE6C38C" w14:textId="77777777" w:rsidTr="0039282C">
        <w:trPr>
          <w:jc w:val="center"/>
        </w:trPr>
        <w:tc>
          <w:tcPr>
            <w:tcW w:w="1267" w:type="dxa"/>
          </w:tcPr>
          <w:p w14:paraId="68C92D0C"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tcPr>
          <w:p w14:paraId="08D2068C"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 xml:space="preserve">Medium </w:t>
            </w:r>
          </w:p>
        </w:tc>
        <w:tc>
          <w:tcPr>
            <w:tcW w:w="1274" w:type="dxa"/>
          </w:tcPr>
          <w:p w14:paraId="7C51CC86"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69</w:t>
            </w:r>
          </w:p>
        </w:tc>
        <w:tc>
          <w:tcPr>
            <w:tcW w:w="1552" w:type="dxa"/>
          </w:tcPr>
          <w:p w14:paraId="69201C33"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23.00</w:t>
            </w:r>
          </w:p>
        </w:tc>
      </w:tr>
      <w:tr w:rsidR="00302251" w:rsidRPr="00082850" w14:paraId="2B208699" w14:textId="77777777" w:rsidTr="0039282C">
        <w:trPr>
          <w:jc w:val="center"/>
        </w:trPr>
        <w:tc>
          <w:tcPr>
            <w:tcW w:w="1267" w:type="dxa"/>
          </w:tcPr>
          <w:p w14:paraId="22E87E5E"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tcPr>
          <w:p w14:paraId="4C44B1F1"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High</w:t>
            </w:r>
          </w:p>
        </w:tc>
        <w:tc>
          <w:tcPr>
            <w:tcW w:w="1274" w:type="dxa"/>
          </w:tcPr>
          <w:p w14:paraId="026B4392"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53</w:t>
            </w:r>
          </w:p>
        </w:tc>
        <w:tc>
          <w:tcPr>
            <w:tcW w:w="1552" w:type="dxa"/>
          </w:tcPr>
          <w:p w14:paraId="680BE36C"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17.67</w:t>
            </w:r>
          </w:p>
        </w:tc>
      </w:tr>
      <w:tr w:rsidR="00302251" w:rsidRPr="00082850" w14:paraId="160D7DBD" w14:textId="77777777" w:rsidTr="0039282C">
        <w:trPr>
          <w:jc w:val="center"/>
        </w:trPr>
        <w:tc>
          <w:tcPr>
            <w:tcW w:w="1267" w:type="dxa"/>
          </w:tcPr>
          <w:p w14:paraId="19D85654" w14:textId="77777777" w:rsidR="00302251" w:rsidRPr="00082850" w:rsidRDefault="00302251" w:rsidP="0039282C">
            <w:pPr>
              <w:jc w:val="both"/>
              <w:rPr>
                <w:rFonts w:ascii="Arial" w:hAnsi="Arial" w:cs="Arial"/>
                <w:b/>
                <w:sz w:val="20"/>
                <w:szCs w:val="20"/>
              </w:rPr>
            </w:pPr>
          </w:p>
        </w:tc>
        <w:tc>
          <w:tcPr>
            <w:tcW w:w="4923" w:type="dxa"/>
          </w:tcPr>
          <w:p w14:paraId="1B749794" w14:textId="77777777" w:rsidR="00302251" w:rsidRPr="00082850" w:rsidRDefault="00302251" w:rsidP="0039282C">
            <w:pPr>
              <w:jc w:val="center"/>
              <w:rPr>
                <w:rFonts w:ascii="Arial" w:hAnsi="Arial" w:cs="Arial"/>
                <w:b/>
                <w:sz w:val="20"/>
                <w:szCs w:val="20"/>
              </w:rPr>
            </w:pPr>
            <w:r w:rsidRPr="00082850">
              <w:rPr>
                <w:rFonts w:ascii="Arial" w:eastAsia="Calibri" w:hAnsi="Arial" w:cs="Arial"/>
                <w:b/>
                <w:sz w:val="20"/>
                <w:szCs w:val="20"/>
              </w:rPr>
              <w:t>Total</w:t>
            </w:r>
          </w:p>
        </w:tc>
        <w:tc>
          <w:tcPr>
            <w:tcW w:w="1274" w:type="dxa"/>
          </w:tcPr>
          <w:p w14:paraId="62E7D20B"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tcPr>
          <w:p w14:paraId="7271E28F"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6B86E54A" w14:textId="77777777" w:rsidR="007B661D" w:rsidRDefault="007B661D" w:rsidP="0048612F">
      <w:pPr>
        <w:spacing w:line="240" w:lineRule="auto"/>
        <w:jc w:val="both"/>
        <w:rPr>
          <w:rFonts w:ascii="Arial" w:hAnsi="Arial" w:cs="Arial"/>
          <w:b/>
          <w:sz w:val="20"/>
          <w:szCs w:val="20"/>
        </w:rPr>
      </w:pPr>
    </w:p>
    <w:p w14:paraId="1BD6BFB2" w14:textId="5992B06B" w:rsidR="00302251" w:rsidRPr="0048612F" w:rsidRDefault="00302251" w:rsidP="0048612F">
      <w:pPr>
        <w:spacing w:line="240" w:lineRule="auto"/>
        <w:jc w:val="both"/>
        <w:rPr>
          <w:rFonts w:ascii="Arial" w:hAnsi="Arial" w:cs="Arial"/>
          <w:sz w:val="20"/>
          <w:szCs w:val="20"/>
        </w:rPr>
      </w:pPr>
      <w:r w:rsidRPr="0048612F">
        <w:rPr>
          <w:rFonts w:ascii="Arial" w:hAnsi="Arial" w:cs="Arial"/>
          <w:b/>
          <w:sz w:val="20"/>
          <w:szCs w:val="20"/>
        </w:rPr>
        <w:t>Table-XII: Distribution of beneficiaries according to their mass media exposure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670D7D4B" w14:textId="77777777" w:rsidTr="0039282C">
        <w:trPr>
          <w:jc w:val="center"/>
        </w:trPr>
        <w:tc>
          <w:tcPr>
            <w:tcW w:w="1267" w:type="dxa"/>
            <w:vAlign w:val="center"/>
          </w:tcPr>
          <w:p w14:paraId="1884D02E"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3A33373F"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59DB511D"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4DC3AE96"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1BBFF7FA" w14:textId="77777777" w:rsidTr="0039282C">
        <w:trPr>
          <w:jc w:val="center"/>
        </w:trPr>
        <w:tc>
          <w:tcPr>
            <w:tcW w:w="1267" w:type="dxa"/>
          </w:tcPr>
          <w:p w14:paraId="0B8C870F"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vAlign w:val="center"/>
          </w:tcPr>
          <w:p w14:paraId="2925F1A3"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Low</w:t>
            </w:r>
          </w:p>
        </w:tc>
        <w:tc>
          <w:tcPr>
            <w:tcW w:w="1274" w:type="dxa"/>
            <w:vAlign w:val="center"/>
          </w:tcPr>
          <w:p w14:paraId="2FB3D3FB"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021</w:t>
            </w:r>
          </w:p>
        </w:tc>
        <w:tc>
          <w:tcPr>
            <w:tcW w:w="1552" w:type="dxa"/>
            <w:vAlign w:val="center"/>
          </w:tcPr>
          <w:p w14:paraId="20D80EE4"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07.00</w:t>
            </w:r>
          </w:p>
        </w:tc>
      </w:tr>
      <w:tr w:rsidR="00302251" w:rsidRPr="00082850" w14:paraId="3C1137A2" w14:textId="77777777" w:rsidTr="0039282C">
        <w:trPr>
          <w:jc w:val="center"/>
        </w:trPr>
        <w:tc>
          <w:tcPr>
            <w:tcW w:w="1267" w:type="dxa"/>
          </w:tcPr>
          <w:p w14:paraId="2E98FFAC"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vAlign w:val="center"/>
          </w:tcPr>
          <w:p w14:paraId="3E9538C2"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Medium</w:t>
            </w:r>
          </w:p>
        </w:tc>
        <w:tc>
          <w:tcPr>
            <w:tcW w:w="1274" w:type="dxa"/>
            <w:vAlign w:val="center"/>
          </w:tcPr>
          <w:p w14:paraId="7DAF4B0E"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212</w:t>
            </w:r>
          </w:p>
        </w:tc>
        <w:tc>
          <w:tcPr>
            <w:tcW w:w="1552" w:type="dxa"/>
            <w:vAlign w:val="center"/>
          </w:tcPr>
          <w:p w14:paraId="48DF5D75"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70.67</w:t>
            </w:r>
          </w:p>
        </w:tc>
      </w:tr>
      <w:tr w:rsidR="00302251" w:rsidRPr="00082850" w14:paraId="32AEFC05" w14:textId="77777777" w:rsidTr="0039282C">
        <w:trPr>
          <w:jc w:val="center"/>
        </w:trPr>
        <w:tc>
          <w:tcPr>
            <w:tcW w:w="1267" w:type="dxa"/>
          </w:tcPr>
          <w:p w14:paraId="7B900B6E"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vAlign w:val="center"/>
          </w:tcPr>
          <w:p w14:paraId="60136309"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High</w:t>
            </w:r>
          </w:p>
        </w:tc>
        <w:tc>
          <w:tcPr>
            <w:tcW w:w="1274" w:type="dxa"/>
            <w:vAlign w:val="center"/>
          </w:tcPr>
          <w:p w14:paraId="62CB35A5"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067</w:t>
            </w:r>
          </w:p>
        </w:tc>
        <w:tc>
          <w:tcPr>
            <w:tcW w:w="1552" w:type="dxa"/>
            <w:vAlign w:val="center"/>
          </w:tcPr>
          <w:p w14:paraId="28D5F1EE"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22.33</w:t>
            </w:r>
          </w:p>
        </w:tc>
      </w:tr>
      <w:tr w:rsidR="00302251" w:rsidRPr="00082850" w14:paraId="4650959F" w14:textId="77777777" w:rsidTr="0039282C">
        <w:trPr>
          <w:jc w:val="center"/>
        </w:trPr>
        <w:tc>
          <w:tcPr>
            <w:tcW w:w="1267" w:type="dxa"/>
          </w:tcPr>
          <w:p w14:paraId="7E072D5F" w14:textId="77777777" w:rsidR="00302251" w:rsidRPr="00082850" w:rsidRDefault="00302251" w:rsidP="0039282C">
            <w:pPr>
              <w:jc w:val="both"/>
              <w:rPr>
                <w:rFonts w:ascii="Arial" w:hAnsi="Arial" w:cs="Arial"/>
                <w:b/>
                <w:sz w:val="20"/>
                <w:szCs w:val="20"/>
              </w:rPr>
            </w:pPr>
          </w:p>
        </w:tc>
        <w:tc>
          <w:tcPr>
            <w:tcW w:w="4923" w:type="dxa"/>
            <w:vAlign w:val="center"/>
          </w:tcPr>
          <w:p w14:paraId="74648261"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lang w:bidi="en-US"/>
              </w:rPr>
              <w:t>Total</w:t>
            </w:r>
          </w:p>
        </w:tc>
        <w:tc>
          <w:tcPr>
            <w:tcW w:w="1274" w:type="dxa"/>
            <w:vAlign w:val="center"/>
          </w:tcPr>
          <w:p w14:paraId="4EEAC098"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vAlign w:val="center"/>
          </w:tcPr>
          <w:p w14:paraId="1EEB5CB7"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244F90F4" w14:textId="77777777" w:rsidR="007B661D" w:rsidRDefault="007B661D" w:rsidP="0048612F">
      <w:pPr>
        <w:spacing w:line="240" w:lineRule="auto"/>
        <w:jc w:val="both"/>
        <w:rPr>
          <w:rFonts w:ascii="Arial" w:hAnsi="Arial" w:cs="Arial"/>
          <w:sz w:val="20"/>
          <w:szCs w:val="20"/>
        </w:rPr>
      </w:pPr>
    </w:p>
    <w:p w14:paraId="48ACAD22" w14:textId="145F3A62" w:rsidR="00302251" w:rsidRPr="0048612F" w:rsidRDefault="00302251" w:rsidP="0048612F">
      <w:pPr>
        <w:spacing w:line="240" w:lineRule="auto"/>
        <w:jc w:val="both"/>
        <w:rPr>
          <w:rFonts w:ascii="Arial" w:hAnsi="Arial" w:cs="Arial"/>
          <w:sz w:val="20"/>
          <w:szCs w:val="20"/>
        </w:rPr>
      </w:pPr>
      <w:r w:rsidRPr="0048612F">
        <w:rPr>
          <w:rFonts w:ascii="Arial" w:hAnsi="Arial" w:cs="Arial"/>
          <w:b/>
          <w:sz w:val="20"/>
          <w:szCs w:val="20"/>
        </w:rPr>
        <w:t>Table-XIII: Distribution of beneficiaries according to their Information Source Utilization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042266BD" w14:textId="77777777" w:rsidTr="0039282C">
        <w:trPr>
          <w:jc w:val="center"/>
        </w:trPr>
        <w:tc>
          <w:tcPr>
            <w:tcW w:w="1267" w:type="dxa"/>
            <w:vAlign w:val="center"/>
          </w:tcPr>
          <w:p w14:paraId="237AC98B"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3892AB52"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6DC329C0"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73259718"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751D6E52" w14:textId="77777777" w:rsidTr="0039282C">
        <w:trPr>
          <w:jc w:val="center"/>
        </w:trPr>
        <w:tc>
          <w:tcPr>
            <w:tcW w:w="1267" w:type="dxa"/>
          </w:tcPr>
          <w:p w14:paraId="36CC0D3E"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tcPr>
          <w:p w14:paraId="4D24E049"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Low</w:t>
            </w:r>
          </w:p>
        </w:tc>
        <w:tc>
          <w:tcPr>
            <w:tcW w:w="1274" w:type="dxa"/>
          </w:tcPr>
          <w:p w14:paraId="1ABD256A"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167</w:t>
            </w:r>
          </w:p>
        </w:tc>
        <w:tc>
          <w:tcPr>
            <w:tcW w:w="1552" w:type="dxa"/>
          </w:tcPr>
          <w:p w14:paraId="655125A1"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55.67</w:t>
            </w:r>
          </w:p>
        </w:tc>
      </w:tr>
      <w:tr w:rsidR="00302251" w:rsidRPr="00082850" w14:paraId="021AD62E" w14:textId="77777777" w:rsidTr="0039282C">
        <w:trPr>
          <w:jc w:val="center"/>
        </w:trPr>
        <w:tc>
          <w:tcPr>
            <w:tcW w:w="1267" w:type="dxa"/>
          </w:tcPr>
          <w:p w14:paraId="051E4205"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tcPr>
          <w:p w14:paraId="74D7619A"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 xml:space="preserve">Medium </w:t>
            </w:r>
          </w:p>
        </w:tc>
        <w:tc>
          <w:tcPr>
            <w:tcW w:w="1274" w:type="dxa"/>
          </w:tcPr>
          <w:p w14:paraId="05C83C19"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123</w:t>
            </w:r>
          </w:p>
        </w:tc>
        <w:tc>
          <w:tcPr>
            <w:tcW w:w="1552" w:type="dxa"/>
          </w:tcPr>
          <w:p w14:paraId="6DB634F7"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41.00</w:t>
            </w:r>
          </w:p>
        </w:tc>
      </w:tr>
      <w:tr w:rsidR="00302251" w:rsidRPr="00082850" w14:paraId="2B10EB9D" w14:textId="77777777" w:rsidTr="0039282C">
        <w:trPr>
          <w:jc w:val="center"/>
        </w:trPr>
        <w:tc>
          <w:tcPr>
            <w:tcW w:w="1267" w:type="dxa"/>
          </w:tcPr>
          <w:p w14:paraId="5A974C4B"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tcPr>
          <w:p w14:paraId="7956D22E"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High</w:t>
            </w:r>
          </w:p>
        </w:tc>
        <w:tc>
          <w:tcPr>
            <w:tcW w:w="1274" w:type="dxa"/>
          </w:tcPr>
          <w:p w14:paraId="12CA2600"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010</w:t>
            </w:r>
          </w:p>
        </w:tc>
        <w:tc>
          <w:tcPr>
            <w:tcW w:w="1552" w:type="dxa"/>
          </w:tcPr>
          <w:p w14:paraId="70208811"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03.33</w:t>
            </w:r>
          </w:p>
        </w:tc>
      </w:tr>
      <w:tr w:rsidR="00302251" w:rsidRPr="00082850" w14:paraId="60FB695C" w14:textId="77777777" w:rsidTr="0039282C">
        <w:trPr>
          <w:jc w:val="center"/>
        </w:trPr>
        <w:tc>
          <w:tcPr>
            <w:tcW w:w="1267" w:type="dxa"/>
          </w:tcPr>
          <w:p w14:paraId="432BAE31" w14:textId="77777777" w:rsidR="00302251" w:rsidRPr="00082850" w:rsidRDefault="00302251" w:rsidP="0039282C">
            <w:pPr>
              <w:jc w:val="both"/>
              <w:rPr>
                <w:rFonts w:ascii="Arial" w:hAnsi="Arial" w:cs="Arial"/>
                <w:b/>
                <w:sz w:val="20"/>
                <w:szCs w:val="20"/>
              </w:rPr>
            </w:pPr>
          </w:p>
        </w:tc>
        <w:tc>
          <w:tcPr>
            <w:tcW w:w="4923" w:type="dxa"/>
          </w:tcPr>
          <w:p w14:paraId="7DC66490"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lang w:bidi="en-US"/>
              </w:rPr>
              <w:t>Total</w:t>
            </w:r>
          </w:p>
        </w:tc>
        <w:tc>
          <w:tcPr>
            <w:tcW w:w="1274" w:type="dxa"/>
          </w:tcPr>
          <w:p w14:paraId="3F0CF58D"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tcPr>
          <w:p w14:paraId="6F350B32"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324B0694" w14:textId="77777777" w:rsidR="007B661D" w:rsidRDefault="007B661D" w:rsidP="0048612F">
      <w:pPr>
        <w:autoSpaceDE w:val="0"/>
        <w:autoSpaceDN w:val="0"/>
        <w:adjustRightInd w:val="0"/>
        <w:spacing w:after="0" w:line="240" w:lineRule="auto"/>
        <w:jc w:val="both"/>
        <w:rPr>
          <w:rFonts w:ascii="Arial" w:hAnsi="Arial" w:cs="Arial"/>
          <w:sz w:val="20"/>
          <w:szCs w:val="20"/>
        </w:rPr>
      </w:pPr>
    </w:p>
    <w:p w14:paraId="0289F0E0" w14:textId="2A62FB2F" w:rsidR="00302251" w:rsidRPr="0048612F" w:rsidRDefault="00302251" w:rsidP="0048612F">
      <w:pPr>
        <w:autoSpaceDE w:val="0"/>
        <w:autoSpaceDN w:val="0"/>
        <w:adjustRightInd w:val="0"/>
        <w:spacing w:after="0" w:line="240" w:lineRule="auto"/>
        <w:jc w:val="both"/>
        <w:rPr>
          <w:rFonts w:ascii="Arial" w:hAnsi="Arial" w:cs="Arial"/>
          <w:b/>
          <w:sz w:val="20"/>
          <w:szCs w:val="20"/>
        </w:rPr>
      </w:pPr>
      <w:r w:rsidRPr="0048612F">
        <w:rPr>
          <w:rFonts w:ascii="Arial" w:hAnsi="Arial" w:cs="Arial"/>
          <w:b/>
          <w:sz w:val="20"/>
          <w:szCs w:val="20"/>
        </w:rPr>
        <w:t>Table-XIV: Distribution of beneficiaries according to their Fatalism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13BC5D47" w14:textId="77777777" w:rsidTr="0039282C">
        <w:trPr>
          <w:jc w:val="center"/>
        </w:trPr>
        <w:tc>
          <w:tcPr>
            <w:tcW w:w="1267" w:type="dxa"/>
            <w:vAlign w:val="center"/>
          </w:tcPr>
          <w:p w14:paraId="00EA784D"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3E15DAEC"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677C5C01"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28E27C04"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3AF839EA" w14:textId="77777777" w:rsidTr="0039282C">
        <w:trPr>
          <w:jc w:val="center"/>
        </w:trPr>
        <w:tc>
          <w:tcPr>
            <w:tcW w:w="1267" w:type="dxa"/>
            <w:vAlign w:val="center"/>
          </w:tcPr>
          <w:p w14:paraId="3C532CA2"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vAlign w:val="center"/>
          </w:tcPr>
          <w:p w14:paraId="5DE41366"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Low</w:t>
            </w:r>
          </w:p>
        </w:tc>
        <w:tc>
          <w:tcPr>
            <w:tcW w:w="1274" w:type="dxa"/>
          </w:tcPr>
          <w:p w14:paraId="11C91403"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12</w:t>
            </w:r>
          </w:p>
        </w:tc>
        <w:tc>
          <w:tcPr>
            <w:tcW w:w="1552" w:type="dxa"/>
          </w:tcPr>
          <w:p w14:paraId="6A117667"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04.00</w:t>
            </w:r>
          </w:p>
        </w:tc>
      </w:tr>
      <w:tr w:rsidR="00302251" w:rsidRPr="00082850" w14:paraId="0E3FD8D0" w14:textId="77777777" w:rsidTr="0039282C">
        <w:trPr>
          <w:jc w:val="center"/>
        </w:trPr>
        <w:tc>
          <w:tcPr>
            <w:tcW w:w="1267" w:type="dxa"/>
          </w:tcPr>
          <w:p w14:paraId="5FD2A072"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vAlign w:val="center"/>
          </w:tcPr>
          <w:p w14:paraId="2E621878"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 xml:space="preserve">Medium </w:t>
            </w:r>
          </w:p>
        </w:tc>
        <w:tc>
          <w:tcPr>
            <w:tcW w:w="1274" w:type="dxa"/>
          </w:tcPr>
          <w:p w14:paraId="04519262"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76</w:t>
            </w:r>
          </w:p>
        </w:tc>
        <w:tc>
          <w:tcPr>
            <w:tcW w:w="1552" w:type="dxa"/>
          </w:tcPr>
          <w:p w14:paraId="48696476"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25.33</w:t>
            </w:r>
          </w:p>
        </w:tc>
      </w:tr>
      <w:tr w:rsidR="00302251" w:rsidRPr="00082850" w14:paraId="37D09D70" w14:textId="77777777" w:rsidTr="0039282C">
        <w:trPr>
          <w:jc w:val="center"/>
        </w:trPr>
        <w:tc>
          <w:tcPr>
            <w:tcW w:w="1267" w:type="dxa"/>
          </w:tcPr>
          <w:p w14:paraId="426D6427"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vAlign w:val="center"/>
          </w:tcPr>
          <w:p w14:paraId="79A7F5AB"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High</w:t>
            </w:r>
          </w:p>
        </w:tc>
        <w:tc>
          <w:tcPr>
            <w:tcW w:w="1274" w:type="dxa"/>
          </w:tcPr>
          <w:p w14:paraId="3B88A898"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212</w:t>
            </w:r>
          </w:p>
        </w:tc>
        <w:tc>
          <w:tcPr>
            <w:tcW w:w="1552" w:type="dxa"/>
          </w:tcPr>
          <w:p w14:paraId="04B89249"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70.67</w:t>
            </w:r>
          </w:p>
        </w:tc>
      </w:tr>
      <w:tr w:rsidR="00302251" w:rsidRPr="00082850" w14:paraId="4B5E8BE8" w14:textId="77777777" w:rsidTr="0039282C">
        <w:trPr>
          <w:jc w:val="center"/>
        </w:trPr>
        <w:tc>
          <w:tcPr>
            <w:tcW w:w="1267" w:type="dxa"/>
          </w:tcPr>
          <w:p w14:paraId="59349DE3" w14:textId="77777777" w:rsidR="00302251" w:rsidRPr="00082850" w:rsidRDefault="00302251" w:rsidP="0039282C">
            <w:pPr>
              <w:jc w:val="both"/>
              <w:rPr>
                <w:rFonts w:ascii="Arial" w:hAnsi="Arial" w:cs="Arial"/>
                <w:b/>
                <w:sz w:val="20"/>
                <w:szCs w:val="20"/>
              </w:rPr>
            </w:pPr>
          </w:p>
        </w:tc>
        <w:tc>
          <w:tcPr>
            <w:tcW w:w="4923" w:type="dxa"/>
          </w:tcPr>
          <w:p w14:paraId="529A0340"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lang w:bidi="en-US"/>
              </w:rPr>
              <w:t>Total</w:t>
            </w:r>
          </w:p>
        </w:tc>
        <w:tc>
          <w:tcPr>
            <w:tcW w:w="1274" w:type="dxa"/>
          </w:tcPr>
          <w:p w14:paraId="797B9CC4"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tcPr>
          <w:p w14:paraId="163A0856"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3A44B01A" w14:textId="77777777" w:rsidR="00302251" w:rsidRPr="00082850" w:rsidRDefault="00302251" w:rsidP="0048612F">
      <w:pPr>
        <w:pStyle w:val="ListParagraph"/>
        <w:autoSpaceDE w:val="0"/>
        <w:autoSpaceDN w:val="0"/>
        <w:adjustRightInd w:val="0"/>
        <w:spacing w:after="0" w:line="240" w:lineRule="auto"/>
        <w:jc w:val="both"/>
        <w:rPr>
          <w:rFonts w:ascii="Arial" w:hAnsi="Arial" w:cs="Arial"/>
          <w:bCs/>
          <w:sz w:val="20"/>
          <w:szCs w:val="20"/>
        </w:rPr>
      </w:pPr>
    </w:p>
    <w:p w14:paraId="782498E1" w14:textId="77777777" w:rsidR="00302251" w:rsidRPr="0048612F" w:rsidRDefault="00302251" w:rsidP="0048612F">
      <w:pPr>
        <w:autoSpaceDE w:val="0"/>
        <w:autoSpaceDN w:val="0"/>
        <w:adjustRightInd w:val="0"/>
        <w:spacing w:after="0" w:line="240" w:lineRule="auto"/>
        <w:jc w:val="both"/>
        <w:rPr>
          <w:rFonts w:ascii="Arial" w:hAnsi="Arial" w:cs="Arial"/>
          <w:b/>
          <w:sz w:val="20"/>
          <w:szCs w:val="20"/>
        </w:rPr>
      </w:pPr>
      <w:r w:rsidRPr="0048612F">
        <w:rPr>
          <w:rFonts w:ascii="Arial" w:hAnsi="Arial" w:cs="Arial"/>
          <w:b/>
          <w:sz w:val="20"/>
          <w:szCs w:val="20"/>
        </w:rPr>
        <w:t>Table-XV: Distribution of beneficiaries according to their Achievement motivation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288602C4" w14:textId="77777777" w:rsidTr="0039282C">
        <w:trPr>
          <w:jc w:val="center"/>
        </w:trPr>
        <w:tc>
          <w:tcPr>
            <w:tcW w:w="1267" w:type="dxa"/>
            <w:vAlign w:val="center"/>
          </w:tcPr>
          <w:p w14:paraId="2F09DBDC"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284464F5"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62E1E345"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0ED8A6DC"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07D04B9D" w14:textId="77777777" w:rsidTr="0039282C">
        <w:trPr>
          <w:jc w:val="center"/>
        </w:trPr>
        <w:tc>
          <w:tcPr>
            <w:tcW w:w="1267" w:type="dxa"/>
          </w:tcPr>
          <w:p w14:paraId="3824DF90"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tcPr>
          <w:p w14:paraId="79A1604A"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Low</w:t>
            </w:r>
          </w:p>
        </w:tc>
        <w:tc>
          <w:tcPr>
            <w:tcW w:w="1274" w:type="dxa"/>
          </w:tcPr>
          <w:p w14:paraId="3EF7F3F0"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224</w:t>
            </w:r>
          </w:p>
        </w:tc>
        <w:tc>
          <w:tcPr>
            <w:tcW w:w="1552" w:type="dxa"/>
          </w:tcPr>
          <w:p w14:paraId="49561E2C"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74.67</w:t>
            </w:r>
          </w:p>
        </w:tc>
      </w:tr>
      <w:tr w:rsidR="00302251" w:rsidRPr="00082850" w14:paraId="45099D98" w14:textId="77777777" w:rsidTr="0039282C">
        <w:trPr>
          <w:jc w:val="center"/>
        </w:trPr>
        <w:tc>
          <w:tcPr>
            <w:tcW w:w="1267" w:type="dxa"/>
          </w:tcPr>
          <w:p w14:paraId="5CF18067"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tcPr>
          <w:p w14:paraId="37D7DC5D"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 xml:space="preserve">Medium </w:t>
            </w:r>
          </w:p>
        </w:tc>
        <w:tc>
          <w:tcPr>
            <w:tcW w:w="1274" w:type="dxa"/>
          </w:tcPr>
          <w:p w14:paraId="6F2DB9AB"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055</w:t>
            </w:r>
          </w:p>
        </w:tc>
        <w:tc>
          <w:tcPr>
            <w:tcW w:w="1552" w:type="dxa"/>
          </w:tcPr>
          <w:p w14:paraId="4838C5D0"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18.33</w:t>
            </w:r>
          </w:p>
        </w:tc>
      </w:tr>
      <w:tr w:rsidR="00302251" w:rsidRPr="00082850" w14:paraId="590AED61" w14:textId="77777777" w:rsidTr="0039282C">
        <w:trPr>
          <w:jc w:val="center"/>
        </w:trPr>
        <w:tc>
          <w:tcPr>
            <w:tcW w:w="1267" w:type="dxa"/>
          </w:tcPr>
          <w:p w14:paraId="1CEFB2AD"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tcPr>
          <w:p w14:paraId="32A66440"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High</w:t>
            </w:r>
          </w:p>
        </w:tc>
        <w:tc>
          <w:tcPr>
            <w:tcW w:w="1274" w:type="dxa"/>
          </w:tcPr>
          <w:p w14:paraId="3460B714"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021</w:t>
            </w:r>
          </w:p>
        </w:tc>
        <w:tc>
          <w:tcPr>
            <w:tcW w:w="1552" w:type="dxa"/>
          </w:tcPr>
          <w:p w14:paraId="7D5C4D35"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07.00</w:t>
            </w:r>
          </w:p>
        </w:tc>
      </w:tr>
      <w:tr w:rsidR="00302251" w:rsidRPr="00082850" w14:paraId="7600CF68" w14:textId="77777777" w:rsidTr="0039282C">
        <w:trPr>
          <w:jc w:val="center"/>
        </w:trPr>
        <w:tc>
          <w:tcPr>
            <w:tcW w:w="1267" w:type="dxa"/>
          </w:tcPr>
          <w:p w14:paraId="13417749" w14:textId="77777777" w:rsidR="00302251" w:rsidRPr="00082850" w:rsidRDefault="00302251" w:rsidP="0039282C">
            <w:pPr>
              <w:jc w:val="both"/>
              <w:rPr>
                <w:rFonts w:ascii="Arial" w:hAnsi="Arial" w:cs="Arial"/>
                <w:b/>
                <w:sz w:val="20"/>
                <w:szCs w:val="20"/>
              </w:rPr>
            </w:pPr>
          </w:p>
        </w:tc>
        <w:tc>
          <w:tcPr>
            <w:tcW w:w="4923" w:type="dxa"/>
          </w:tcPr>
          <w:p w14:paraId="5189E537"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lang w:bidi="en-US"/>
              </w:rPr>
              <w:t>Total</w:t>
            </w:r>
          </w:p>
        </w:tc>
        <w:tc>
          <w:tcPr>
            <w:tcW w:w="1274" w:type="dxa"/>
          </w:tcPr>
          <w:p w14:paraId="322B4393"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tcPr>
          <w:p w14:paraId="40CC3B04"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25FF08B5" w14:textId="77777777" w:rsidR="007B661D" w:rsidRDefault="007B661D" w:rsidP="007B661D">
      <w:pPr>
        <w:pStyle w:val="ListParagraph"/>
        <w:spacing w:line="240" w:lineRule="auto"/>
        <w:ind w:left="284"/>
        <w:rPr>
          <w:rFonts w:ascii="Arial" w:hAnsi="Arial" w:cs="Arial"/>
          <w:b/>
          <w:bCs/>
        </w:rPr>
      </w:pPr>
    </w:p>
    <w:p w14:paraId="42BFAA48" w14:textId="35330B37" w:rsidR="003C538F" w:rsidRDefault="003C538F" w:rsidP="006A797E">
      <w:pPr>
        <w:pStyle w:val="ListParagraph"/>
        <w:numPr>
          <w:ilvl w:val="0"/>
          <w:numId w:val="7"/>
        </w:numPr>
        <w:spacing w:line="240" w:lineRule="auto"/>
        <w:ind w:left="284"/>
        <w:rPr>
          <w:rFonts w:ascii="Arial" w:hAnsi="Arial" w:cs="Arial"/>
          <w:b/>
          <w:bCs/>
        </w:rPr>
      </w:pPr>
      <w:r w:rsidRPr="006A797E">
        <w:rPr>
          <w:rFonts w:ascii="Arial" w:hAnsi="Arial" w:cs="Arial"/>
          <w:b/>
          <w:bCs/>
        </w:rPr>
        <w:t>DISCUSSION</w:t>
      </w:r>
    </w:p>
    <w:p w14:paraId="5A2B335D" w14:textId="77777777"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The socio-economic and psychological profile of tribal farmers of the Kalrayan Hills reveals a structurally vulnerable farming community characterised by demographic imbalance, educational deprivation, income insecurity, weak institutional linkages and dominant traditional belief systems. The age distribution (Table I) shows that a majority of respondents (52.33%) belonged to the middle-aged group followed by older farmers (32.67%), while youth participation was critically low (15.00%). This skewed age structure indicates declining interest of tribal youth in agriculture, mainly due to migration towards urban employment and perception of farming as economically uncertain. The absence of young farmers threatens the continuity of traditional agricultural knowledge and also limits the introduction of modern innovations, making hill agriculture increasingly fragile and ageing-dependent.</w:t>
      </w:r>
    </w:p>
    <w:p w14:paraId="465E49E1" w14:textId="77777777"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Educational status (Table II) further intensifies this vulnerability, as more than half of the respondents (55.00%) were illiterate and only a negligible proportion attained higher secondary education (5.83%), with none reaching collegiate level. Low literacy significantly constrains the farmers’ ability to comprehend technical advisories, adopt scientific practices, utilise institutional credit, and access digital agricultural services. This educational deprivation reinforces dependency on traditional practices, restricts participation in extension programmes and limits upward socio-economic mobility, thereby perpetuating inter-generational poverty in the tribal belt.</w:t>
      </w:r>
    </w:p>
    <w:p w14:paraId="2A452770" w14:textId="77777777"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lastRenderedPageBreak/>
        <w:t>Occupational status (Table III) reveals that an overwhelming majority (90.67%) depended solely on agriculture and allied activities, reflecting poor livelihood diversification. Mono-dependence on agriculture exposes tribal households to climate risks, crop failures and seasonal unemployment, resulting in unstable income streams. The absence of secondary income sources further aggravates economic vulnerability and reduces resilience capacity during climatic shocks.</w:t>
      </w:r>
    </w:p>
    <w:p w14:paraId="3A06C057" w14:textId="77777777"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This vulnerability is clearly reflected in annual income distribution (Table IV), where more than two-thirds (70.67%) belonged to the low-income category. Low income is primarily associated with small landholdings, rain-fed cultivation, limited mechanisation and weak market integration. Poor income directly influences food consumption patterns, health care accessibility, children’s education and savings behaviour, thereby affecting overall livelihood sustainability.</w:t>
      </w:r>
    </w:p>
    <w:p w14:paraId="300D9C7A" w14:textId="77777777"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The dominance of joint family systems (78.00%) observed in Table V demonstrates the persistence of traditional kinship structures which facilitate labour sharing and social security. However, when combined with small landholdings, joint families often result in reduced per-capita income, increased dependency ratios and land fragmentation, further limiting economic growth.</w:t>
      </w:r>
    </w:p>
    <w:p w14:paraId="1538CA1E" w14:textId="77777777"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Farm size distribution (Table VI) shows that nearly 70 per cent were small farmers. Small holdings restrict economies of scale, reduce eligibility for institutional credit, discourage mechanisation and increase production costs, making farming predominantly subsistence-oriented. This structural limitation explains the low adoption of improved technologies in the region.</w:t>
      </w:r>
    </w:p>
    <w:p w14:paraId="3EAE938D" w14:textId="77777777"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Although more than half of the farmers (55.33%) possessed high farming experience (Table VII), this experience largely represents inherited traditional knowledge rather than scientific competence. High experience combined with low education and strong fatalistic beliefs tends to reinforce resistance to innovation, thereby limiting productivity improvement.</w:t>
      </w:r>
    </w:p>
    <w:p w14:paraId="4A5F59F8" w14:textId="77777777"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Low social participation (85.67%) (Table VIII) reflects weak collective organisation, poor leadership emergence and limited participation in farmer groups, cooperatives and SHGs. This restricts farmers’ bargaining power, access to training programmes and collective marketing opportunities, resulting in isolation from mainstream development initiatives.</w:t>
      </w:r>
    </w:p>
    <w:p w14:paraId="470B5F74" w14:textId="77777777"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Similarly, extension agency contact (Table IX) remained low for 66.33 per cent of respondents, indicating weak institutional outreach. Poor extension linkage limits farmers’ awareness of improved varieties, climate-smart practices, crop insurance schemes and government subsidies, contributing to technological stagnation.</w:t>
      </w:r>
    </w:p>
    <w:p w14:paraId="1A59AF3F" w14:textId="77777777"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Socio-economic status (Table X) further confirms cumulative deprivation, as 62.00 per cent belonged to low socio-economic strata due to the combined effects of low income, small holdings, poor housing, limited education and minimal institutional integration.</w:t>
      </w:r>
    </w:p>
    <w:p w14:paraId="7DA4D003" w14:textId="77777777"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Low cosmopoliteness (59.33%) (Table XI) suggests restricted mobility, cultural isolation and limited interaction with external agencies, which further constrains exposure to modern ideas and innovations. This social insulation slows behavioural change and modernization of farming practices.</w:t>
      </w:r>
    </w:p>
    <w:p w14:paraId="36CCF1E9" w14:textId="77777777"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Mass media exposure (Table XII) was predominantly medium (70.67%), indicating that while farmers have some access to radio and television, their ability to utilise media information remains constrained by low literacy and limited technical comprehension.</w:t>
      </w:r>
    </w:p>
    <w:p w14:paraId="6F6943FE" w14:textId="77777777"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Information source utilisation (Table XIII) was low for 55.67 per cent of respondents, reflecting poor engagement with formal information channels, extension literature and demonstration programmes. This limits awareness creation and delays technology diffusion.</w:t>
      </w:r>
    </w:p>
    <w:p w14:paraId="34626B00" w14:textId="77777777"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Psychological variables reveal serious behavioural barriers. High fatalism (70.67%) (Table XIV) indicates strong belief in fate and supernatural forces, reducing risk-taking behaviour and openness to innovation. High fatalism discourages investment in improved practices and weakens motivation for economic advancement.</w:t>
      </w:r>
    </w:p>
    <w:p w14:paraId="3EAF9F10" w14:textId="77777777"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lastRenderedPageBreak/>
        <w:t>Correspondingly, low achievement motivation (74.67%) (Table XV) highlights limited aspiration levels and entrepreneurial intent, reinforcing subsistence-oriented farming behaviour and dependency on traditional livelihood patterns.</w:t>
      </w:r>
    </w:p>
    <w:p w14:paraId="5820D808" w14:textId="77777777" w:rsidR="003C538F" w:rsidRDefault="003C538F" w:rsidP="003C538F">
      <w:pPr>
        <w:pStyle w:val="ListParagraph"/>
        <w:spacing w:line="240" w:lineRule="auto"/>
        <w:ind w:left="284"/>
        <w:rPr>
          <w:rFonts w:ascii="Arial" w:hAnsi="Arial" w:cs="Arial"/>
          <w:b/>
          <w:bCs/>
        </w:rPr>
      </w:pPr>
    </w:p>
    <w:p w14:paraId="58B08391" w14:textId="241B34A7" w:rsidR="00091286" w:rsidRPr="0078065F" w:rsidRDefault="0078065F" w:rsidP="006A797E">
      <w:pPr>
        <w:pStyle w:val="ListParagraph"/>
        <w:numPr>
          <w:ilvl w:val="0"/>
          <w:numId w:val="7"/>
        </w:numPr>
        <w:spacing w:line="240" w:lineRule="auto"/>
        <w:ind w:left="284"/>
        <w:rPr>
          <w:rFonts w:ascii="Arial" w:hAnsi="Arial" w:cs="Arial"/>
          <w:b/>
          <w:bCs/>
        </w:rPr>
      </w:pPr>
      <w:r w:rsidRPr="0078065F">
        <w:rPr>
          <w:rFonts w:ascii="Arial" w:hAnsi="Arial" w:cs="Arial"/>
          <w:b/>
          <w:bCs/>
        </w:rPr>
        <w:t>CONCLUSION</w:t>
      </w:r>
    </w:p>
    <w:p w14:paraId="232CBDBC" w14:textId="77777777" w:rsidR="003F28AE" w:rsidRPr="0078065F" w:rsidRDefault="003F28AE" w:rsidP="00410951">
      <w:pPr>
        <w:spacing w:line="240" w:lineRule="auto"/>
        <w:ind w:firstLine="720"/>
        <w:jc w:val="both"/>
        <w:rPr>
          <w:rFonts w:ascii="Arial" w:hAnsi="Arial" w:cs="Arial"/>
          <w:sz w:val="20"/>
          <w:szCs w:val="20"/>
        </w:rPr>
      </w:pPr>
      <w:r w:rsidRPr="0078065F">
        <w:rPr>
          <w:rFonts w:ascii="Arial" w:hAnsi="Arial" w:cs="Arial"/>
          <w:sz w:val="20"/>
          <w:szCs w:val="20"/>
        </w:rPr>
        <w:t>The study concludes that the majority of tribal farmers are middle-aged, illiterate, and primarily dependent on small-scale agriculture and allied activities for their livelihood. Most of them belong to joint families, have low income, and possess considerable farming experience; however, they exhibit low levels of social participation, extension contact, cosmopoliteness, information source utilization, and achievement motivation. Their exposure to mass media is moderate, but a strong sense of fatalism and adherence to traditional practices limits their adaptability to modern agricultural innovations. These findings highlight the need for enhanced educational access, awareness programs, improved extension services, and infrastructural development to improve their socio-economic status and livelihood capabilities.</w:t>
      </w:r>
    </w:p>
    <w:p w14:paraId="0DEBF8E7" w14:textId="77777777" w:rsidR="00704045" w:rsidRDefault="00704045" w:rsidP="00F261A9">
      <w:pPr>
        <w:pStyle w:val="NormalWeb"/>
        <w:jc w:val="both"/>
        <w:rPr>
          <w:rFonts w:ascii="Arial" w:hAnsi="Arial" w:cs="Arial"/>
          <w:b/>
          <w:bCs/>
          <w:shd w:val="clear" w:color="auto" w:fill="FFFFFF"/>
        </w:rPr>
      </w:pPr>
    </w:p>
    <w:p w14:paraId="53F80B73" w14:textId="415FA93A" w:rsidR="00F261A9" w:rsidRDefault="004F28F5" w:rsidP="00F261A9">
      <w:pPr>
        <w:pStyle w:val="NormalWeb"/>
        <w:jc w:val="both"/>
        <w:rPr>
          <w:rFonts w:ascii="Arial" w:hAnsi="Arial" w:cs="Arial"/>
          <w:b/>
          <w:bCs/>
          <w:shd w:val="clear" w:color="auto" w:fill="FFFFFF"/>
        </w:rPr>
      </w:pPr>
      <w:bookmarkStart w:id="0" w:name="_GoBack"/>
      <w:bookmarkEnd w:id="0"/>
      <w:r>
        <w:rPr>
          <w:rFonts w:ascii="Arial" w:hAnsi="Arial" w:cs="Arial"/>
          <w:b/>
          <w:bCs/>
          <w:shd w:val="clear" w:color="auto" w:fill="FFFFFF"/>
        </w:rPr>
        <w:t>ETHICAL STATEMENT</w:t>
      </w:r>
    </w:p>
    <w:p w14:paraId="259D37FE" w14:textId="243E3DE6" w:rsidR="004F28F5" w:rsidRPr="004F28F5" w:rsidRDefault="004F28F5" w:rsidP="004F28F5">
      <w:pPr>
        <w:pStyle w:val="NormalWeb"/>
        <w:ind w:firstLine="720"/>
        <w:jc w:val="both"/>
        <w:rPr>
          <w:rFonts w:ascii="Arial" w:hAnsi="Arial" w:cs="Arial"/>
          <w:sz w:val="20"/>
          <w:szCs w:val="20"/>
          <w:shd w:val="clear" w:color="auto" w:fill="FFFFFF"/>
        </w:rPr>
      </w:pPr>
      <w:r w:rsidRPr="004F28F5">
        <w:rPr>
          <w:rFonts w:ascii="Arial" w:hAnsi="Arial" w:cs="Arial"/>
          <w:sz w:val="20"/>
          <w:szCs w:val="20"/>
          <w:shd w:val="clear" w:color="auto" w:fill="FFFFFF"/>
        </w:rPr>
        <w:t>The study was conducted following ethical principles of social science research. Prior informed consent was obtained from all respondents, and participation was voluntary. Confidentiality and anonymity of the respondents were strictly maintained throughout the study.</w:t>
      </w:r>
    </w:p>
    <w:p w14:paraId="275CBF64" w14:textId="77777777" w:rsidR="00FA18F5" w:rsidRDefault="00FA18F5" w:rsidP="00410951">
      <w:pPr>
        <w:spacing w:line="240" w:lineRule="auto"/>
        <w:rPr>
          <w:rFonts w:ascii="Arial" w:hAnsi="Arial" w:cs="Arial"/>
          <w:b/>
          <w:bCs/>
        </w:rPr>
      </w:pPr>
    </w:p>
    <w:p w14:paraId="76D78327" w14:textId="77777777" w:rsidR="00FA18F5" w:rsidRDefault="00FA18F5" w:rsidP="00410951">
      <w:pPr>
        <w:spacing w:line="240" w:lineRule="auto"/>
        <w:rPr>
          <w:rFonts w:ascii="Arial" w:hAnsi="Arial" w:cs="Arial"/>
          <w:b/>
          <w:bCs/>
        </w:rPr>
      </w:pPr>
    </w:p>
    <w:p w14:paraId="6501A07B" w14:textId="77777777" w:rsidR="00FA18F5" w:rsidRDefault="00FA18F5" w:rsidP="00410951">
      <w:pPr>
        <w:spacing w:line="240" w:lineRule="auto"/>
        <w:rPr>
          <w:rFonts w:ascii="Arial" w:hAnsi="Arial" w:cs="Arial"/>
          <w:b/>
          <w:bCs/>
        </w:rPr>
      </w:pPr>
    </w:p>
    <w:p w14:paraId="7E99EB8F" w14:textId="77777777" w:rsidR="00FA18F5" w:rsidRDefault="00FA18F5" w:rsidP="00410951">
      <w:pPr>
        <w:spacing w:line="240" w:lineRule="auto"/>
        <w:rPr>
          <w:rFonts w:ascii="Arial" w:hAnsi="Arial" w:cs="Arial"/>
          <w:b/>
          <w:bCs/>
        </w:rPr>
      </w:pPr>
    </w:p>
    <w:p w14:paraId="034C62B4" w14:textId="0A767CAF" w:rsidR="00091286" w:rsidRPr="00877381" w:rsidRDefault="00877381" w:rsidP="00410951">
      <w:pPr>
        <w:spacing w:line="240" w:lineRule="auto"/>
        <w:rPr>
          <w:rFonts w:ascii="Arial" w:hAnsi="Arial" w:cs="Arial"/>
          <w:b/>
          <w:bCs/>
        </w:rPr>
      </w:pPr>
      <w:r w:rsidRPr="00877381">
        <w:rPr>
          <w:rFonts w:ascii="Arial" w:hAnsi="Arial" w:cs="Arial"/>
          <w:b/>
          <w:bCs/>
        </w:rPr>
        <w:t>REFERENCE</w:t>
      </w:r>
    </w:p>
    <w:p w14:paraId="164E6C72" w14:textId="17378C5F" w:rsidR="009C608D" w:rsidRPr="00877381" w:rsidRDefault="009C608D" w:rsidP="00BA0141">
      <w:pPr>
        <w:pStyle w:val="Heading5"/>
        <w:numPr>
          <w:ilvl w:val="0"/>
          <w:numId w:val="5"/>
        </w:numPr>
        <w:tabs>
          <w:tab w:val="left" w:pos="6210"/>
          <w:tab w:val="left" w:pos="6390"/>
        </w:tabs>
        <w:spacing w:before="0" w:after="0" w:line="240" w:lineRule="auto"/>
        <w:ind w:left="426" w:right="45" w:hanging="426"/>
        <w:jc w:val="both"/>
        <w:rPr>
          <w:rStyle w:val="Bodytext9pt2"/>
          <w:rFonts w:ascii="Arial" w:hAnsi="Arial" w:cs="Arial"/>
          <w:color w:val="auto"/>
          <w:sz w:val="20"/>
          <w:szCs w:val="20"/>
        </w:rPr>
      </w:pPr>
      <w:r w:rsidRPr="00877381">
        <w:rPr>
          <w:rFonts w:ascii="Arial" w:hAnsi="Arial" w:cs="Arial"/>
          <w:color w:val="auto"/>
          <w:sz w:val="20"/>
          <w:szCs w:val="20"/>
        </w:rPr>
        <w:t xml:space="preserve">Bihari, B., Kumar, R., Prasad, K. and P. Sundarambal. 2012. “Role Performance and Knowledge Level of Tribal Women Farmers in Meghalaya,” </w:t>
      </w:r>
      <w:r w:rsidRPr="00877381">
        <w:rPr>
          <w:rStyle w:val="Bodytext9pt2"/>
          <w:rFonts w:ascii="Arial" w:hAnsi="Arial" w:cs="Arial"/>
          <w:i/>
          <w:iCs/>
          <w:color w:val="auto"/>
          <w:sz w:val="20"/>
          <w:szCs w:val="20"/>
        </w:rPr>
        <w:t>Indian Journal of Extension Education</w:t>
      </w:r>
      <w:r w:rsidRPr="00877381">
        <w:rPr>
          <w:rStyle w:val="Bodytext9pt2"/>
          <w:rFonts w:ascii="Arial" w:hAnsi="Arial" w:cs="Arial"/>
          <w:color w:val="auto"/>
          <w:sz w:val="20"/>
          <w:szCs w:val="20"/>
        </w:rPr>
        <w:t>, 12(1): 60-63.</w:t>
      </w:r>
      <w:r w:rsidR="00F40916">
        <w:rPr>
          <w:rStyle w:val="Bodytext9pt2"/>
          <w:rFonts w:ascii="Arial" w:hAnsi="Arial" w:cs="Arial"/>
          <w:color w:val="auto"/>
          <w:sz w:val="20"/>
          <w:szCs w:val="20"/>
        </w:rPr>
        <w:t xml:space="preserve"> </w:t>
      </w:r>
      <w:hyperlink r:id="rId7" w:history="1">
        <w:r w:rsidR="00F40916" w:rsidRPr="005901C0">
          <w:rPr>
            <w:rStyle w:val="Hyperlink"/>
            <w:rFonts w:ascii="Arial" w:hAnsi="Arial" w:cs="Arial"/>
            <w:sz w:val="20"/>
            <w:szCs w:val="20"/>
            <w:shd w:val="clear" w:color="auto" w:fill="FFFFFF"/>
          </w:rPr>
          <w:t>https://www.researchgate.net/publication/326930000_Role_Performance_and_Knowledge_Level_of_Tribal_Women_Farmers_in_Meghalaya</w:t>
        </w:r>
      </w:hyperlink>
      <w:r w:rsidR="00F40916">
        <w:rPr>
          <w:rStyle w:val="Bodytext9pt2"/>
          <w:rFonts w:ascii="Arial" w:hAnsi="Arial" w:cs="Arial"/>
          <w:color w:val="auto"/>
          <w:sz w:val="20"/>
          <w:szCs w:val="20"/>
        </w:rPr>
        <w:t xml:space="preserve"> </w:t>
      </w:r>
    </w:p>
    <w:p w14:paraId="59A30783" w14:textId="5D093032" w:rsidR="009C608D" w:rsidRPr="00877381" w:rsidRDefault="009C608D" w:rsidP="00BA0141">
      <w:pPr>
        <w:pStyle w:val="Heading5"/>
        <w:numPr>
          <w:ilvl w:val="0"/>
          <w:numId w:val="5"/>
        </w:numPr>
        <w:tabs>
          <w:tab w:val="left" w:pos="6210"/>
          <w:tab w:val="left" w:pos="6390"/>
        </w:tabs>
        <w:spacing w:before="0" w:after="0" w:line="240" w:lineRule="auto"/>
        <w:ind w:left="426" w:right="43" w:hanging="426"/>
        <w:jc w:val="both"/>
        <w:rPr>
          <w:rFonts w:ascii="Arial" w:hAnsi="Arial" w:cs="Arial"/>
          <w:color w:val="auto"/>
          <w:sz w:val="20"/>
          <w:szCs w:val="20"/>
        </w:rPr>
      </w:pPr>
      <w:r w:rsidRPr="00877381">
        <w:rPr>
          <w:rFonts w:ascii="Arial" w:hAnsi="Arial" w:cs="Arial"/>
          <w:color w:val="auto"/>
          <w:sz w:val="20"/>
          <w:szCs w:val="20"/>
        </w:rPr>
        <w:t xml:space="preserve">Choudhary F, </w:t>
      </w:r>
      <w:proofErr w:type="spellStart"/>
      <w:r w:rsidRPr="00877381">
        <w:rPr>
          <w:rFonts w:ascii="Arial" w:hAnsi="Arial" w:cs="Arial"/>
          <w:color w:val="auto"/>
          <w:sz w:val="20"/>
          <w:szCs w:val="20"/>
        </w:rPr>
        <w:t>Khandi</w:t>
      </w:r>
      <w:proofErr w:type="spellEnd"/>
      <w:r w:rsidRPr="00877381">
        <w:rPr>
          <w:rFonts w:ascii="Arial" w:hAnsi="Arial" w:cs="Arial"/>
          <w:color w:val="auto"/>
          <w:sz w:val="20"/>
          <w:szCs w:val="20"/>
        </w:rPr>
        <w:t xml:space="preserve"> S A, </w:t>
      </w:r>
      <w:proofErr w:type="spellStart"/>
      <w:r w:rsidRPr="00877381">
        <w:rPr>
          <w:rFonts w:ascii="Arial" w:hAnsi="Arial" w:cs="Arial"/>
          <w:color w:val="auto"/>
          <w:sz w:val="20"/>
          <w:szCs w:val="20"/>
        </w:rPr>
        <w:t>Bafanda</w:t>
      </w:r>
      <w:proofErr w:type="spellEnd"/>
      <w:r w:rsidRPr="00877381">
        <w:rPr>
          <w:rFonts w:ascii="Arial" w:hAnsi="Arial" w:cs="Arial"/>
          <w:color w:val="auto"/>
          <w:sz w:val="20"/>
          <w:szCs w:val="20"/>
        </w:rPr>
        <w:t xml:space="preserve"> R </w:t>
      </w:r>
      <w:proofErr w:type="gramStart"/>
      <w:r w:rsidRPr="00877381">
        <w:rPr>
          <w:rFonts w:ascii="Arial" w:hAnsi="Arial" w:cs="Arial"/>
          <w:color w:val="auto"/>
          <w:sz w:val="20"/>
          <w:szCs w:val="20"/>
        </w:rPr>
        <w:t>A</w:t>
      </w:r>
      <w:r w:rsidR="00F40916">
        <w:rPr>
          <w:rFonts w:ascii="Arial" w:hAnsi="Arial" w:cs="Arial"/>
          <w:color w:val="auto"/>
          <w:sz w:val="20"/>
          <w:szCs w:val="20"/>
        </w:rPr>
        <w:t xml:space="preserve"> </w:t>
      </w:r>
      <w:r w:rsidRPr="00877381">
        <w:rPr>
          <w:rFonts w:ascii="Arial" w:hAnsi="Arial" w:cs="Arial"/>
          <w:color w:val="auto"/>
          <w:sz w:val="20"/>
          <w:szCs w:val="20"/>
        </w:rPr>
        <w:t>,</w:t>
      </w:r>
      <w:proofErr w:type="gramEnd"/>
      <w:r w:rsidRPr="00877381">
        <w:rPr>
          <w:rFonts w:ascii="Arial" w:hAnsi="Arial" w:cs="Arial"/>
          <w:color w:val="auto"/>
          <w:sz w:val="20"/>
          <w:szCs w:val="20"/>
        </w:rPr>
        <w:t xml:space="preserve"> </w:t>
      </w:r>
      <w:proofErr w:type="spellStart"/>
      <w:r w:rsidRPr="00877381">
        <w:rPr>
          <w:rFonts w:ascii="Arial" w:hAnsi="Arial" w:cs="Arial"/>
          <w:color w:val="auto"/>
          <w:sz w:val="20"/>
          <w:szCs w:val="20"/>
        </w:rPr>
        <w:t>Shahjar</w:t>
      </w:r>
      <w:proofErr w:type="spellEnd"/>
      <w:r w:rsidRPr="00877381">
        <w:rPr>
          <w:rFonts w:ascii="Arial" w:hAnsi="Arial" w:cs="Arial"/>
          <w:color w:val="auto"/>
          <w:sz w:val="20"/>
          <w:szCs w:val="20"/>
        </w:rPr>
        <w:t xml:space="preserve"> F and Minhaj S U 2018 Knowledge level of </w:t>
      </w:r>
      <w:proofErr w:type="spellStart"/>
      <w:r w:rsidRPr="00877381">
        <w:rPr>
          <w:rFonts w:ascii="Arial" w:hAnsi="Arial" w:cs="Arial"/>
          <w:color w:val="auto"/>
          <w:sz w:val="20"/>
          <w:szCs w:val="20"/>
        </w:rPr>
        <w:t>Bakanval</w:t>
      </w:r>
      <w:proofErr w:type="spellEnd"/>
      <w:r w:rsidRPr="00877381">
        <w:rPr>
          <w:rFonts w:ascii="Arial" w:hAnsi="Arial" w:cs="Arial"/>
          <w:color w:val="auto"/>
          <w:sz w:val="20"/>
          <w:szCs w:val="20"/>
        </w:rPr>
        <w:t xml:space="preserve"> tribe regarding sheep and goat rearing practices in Jammu district of Jammu and Kashmir, India. </w:t>
      </w:r>
      <w:r w:rsidRPr="00877381">
        <w:rPr>
          <w:rFonts w:ascii="Arial" w:hAnsi="Arial" w:cs="Arial"/>
          <w:i/>
          <w:iCs/>
          <w:color w:val="auto"/>
          <w:sz w:val="20"/>
          <w:szCs w:val="20"/>
        </w:rPr>
        <w:t>The Pharma Innovation Journal</w:t>
      </w:r>
      <w:r w:rsidRPr="00877381">
        <w:rPr>
          <w:rFonts w:ascii="Arial" w:hAnsi="Arial" w:cs="Arial"/>
          <w:color w:val="auto"/>
          <w:sz w:val="20"/>
          <w:szCs w:val="20"/>
        </w:rPr>
        <w:t xml:space="preserve"> 2018; 7(11):178-183.</w:t>
      </w:r>
      <w:r w:rsidR="00F40916">
        <w:rPr>
          <w:rFonts w:ascii="Arial" w:hAnsi="Arial" w:cs="Arial"/>
          <w:color w:val="auto"/>
          <w:sz w:val="20"/>
          <w:szCs w:val="20"/>
        </w:rPr>
        <w:t xml:space="preserve"> </w:t>
      </w:r>
      <w:hyperlink r:id="rId8" w:history="1">
        <w:r w:rsidR="00F40916" w:rsidRPr="005901C0">
          <w:rPr>
            <w:rStyle w:val="Hyperlink"/>
            <w:rFonts w:ascii="Arial" w:hAnsi="Arial" w:cs="Arial"/>
            <w:sz w:val="20"/>
            <w:szCs w:val="20"/>
          </w:rPr>
          <w:t>https://www.thepharmajournal.com/archives/2018/vol7issue11/PartD/7-10-102-381.pdf</w:t>
        </w:r>
      </w:hyperlink>
      <w:r w:rsidR="00F40916">
        <w:rPr>
          <w:rFonts w:ascii="Arial" w:hAnsi="Arial" w:cs="Arial"/>
          <w:color w:val="auto"/>
          <w:sz w:val="20"/>
          <w:szCs w:val="20"/>
        </w:rPr>
        <w:t xml:space="preserve"> </w:t>
      </w:r>
    </w:p>
    <w:p w14:paraId="5E640BF9" w14:textId="0A4B3C47" w:rsidR="009C608D" w:rsidRPr="00877381" w:rsidRDefault="009C608D" w:rsidP="00BA0141">
      <w:pPr>
        <w:pStyle w:val="Heading5"/>
        <w:numPr>
          <w:ilvl w:val="0"/>
          <w:numId w:val="5"/>
        </w:numPr>
        <w:tabs>
          <w:tab w:val="left" w:pos="6210"/>
          <w:tab w:val="left" w:pos="6390"/>
        </w:tabs>
        <w:spacing w:before="0" w:after="0" w:line="240" w:lineRule="auto"/>
        <w:ind w:left="426" w:right="43" w:hanging="426"/>
        <w:jc w:val="both"/>
        <w:rPr>
          <w:rFonts w:ascii="Arial" w:hAnsi="Arial" w:cs="Arial"/>
          <w:color w:val="auto"/>
          <w:sz w:val="20"/>
          <w:szCs w:val="20"/>
        </w:rPr>
      </w:pPr>
      <w:proofErr w:type="spellStart"/>
      <w:r w:rsidRPr="00877381">
        <w:rPr>
          <w:rStyle w:val="19"/>
          <w:rFonts w:ascii="Arial" w:hAnsi="Arial" w:cs="Arial"/>
          <w:b w:val="0"/>
          <w:bCs w:val="0"/>
          <w:color w:val="auto"/>
          <w:sz w:val="20"/>
          <w:szCs w:val="20"/>
        </w:rPr>
        <w:t>Darandale</w:t>
      </w:r>
      <w:proofErr w:type="spellEnd"/>
      <w:r w:rsidRPr="00877381">
        <w:rPr>
          <w:rStyle w:val="19"/>
          <w:rFonts w:ascii="Arial" w:hAnsi="Arial" w:cs="Arial"/>
          <w:b w:val="0"/>
          <w:bCs w:val="0"/>
          <w:color w:val="auto"/>
          <w:sz w:val="20"/>
          <w:szCs w:val="20"/>
        </w:rPr>
        <w:t>, A.D. and N.V. Soni. 2011</w:t>
      </w:r>
      <w:r w:rsidRPr="00877381">
        <w:rPr>
          <w:rStyle w:val="19"/>
          <w:rFonts w:ascii="Arial" w:hAnsi="Arial" w:cs="Arial"/>
          <w:color w:val="auto"/>
          <w:sz w:val="20"/>
          <w:szCs w:val="20"/>
        </w:rPr>
        <w:t>.</w:t>
      </w:r>
      <w:r w:rsidRPr="00877381">
        <w:rPr>
          <w:rFonts w:ascii="Arial" w:hAnsi="Arial" w:cs="Arial"/>
          <w:b/>
          <w:color w:val="auto"/>
          <w:sz w:val="20"/>
          <w:szCs w:val="20"/>
        </w:rPr>
        <w:t xml:space="preserve"> </w:t>
      </w:r>
      <w:r w:rsidRPr="00877381">
        <w:rPr>
          <w:rFonts w:ascii="Arial" w:hAnsi="Arial" w:cs="Arial"/>
          <w:color w:val="auto"/>
          <w:sz w:val="20"/>
          <w:szCs w:val="20"/>
        </w:rPr>
        <w:t xml:space="preserve">“Relationship Between Attitude of Tribal Maize Growers Towards Organic Farming and their Selected Characteristics,” </w:t>
      </w:r>
      <w:r w:rsidRPr="00877381">
        <w:rPr>
          <w:rFonts w:ascii="Arial" w:hAnsi="Arial" w:cs="Arial"/>
          <w:i/>
          <w:iCs/>
          <w:color w:val="auto"/>
          <w:sz w:val="20"/>
          <w:szCs w:val="20"/>
        </w:rPr>
        <w:t>Gujarat Journal of Extension Education</w:t>
      </w:r>
      <w:r w:rsidRPr="00877381">
        <w:rPr>
          <w:rFonts w:ascii="Arial" w:hAnsi="Arial" w:cs="Arial"/>
          <w:color w:val="auto"/>
          <w:sz w:val="20"/>
          <w:szCs w:val="20"/>
        </w:rPr>
        <w:t>, 22</w:t>
      </w:r>
      <w:r w:rsidRPr="00877381">
        <w:rPr>
          <w:rFonts w:ascii="Arial" w:hAnsi="Arial" w:cs="Arial"/>
          <w:b/>
          <w:bCs/>
          <w:color w:val="auto"/>
          <w:sz w:val="20"/>
          <w:szCs w:val="20"/>
        </w:rPr>
        <w:t>:</w:t>
      </w:r>
      <w:r w:rsidRPr="00877381">
        <w:rPr>
          <w:rFonts w:ascii="Arial" w:hAnsi="Arial" w:cs="Arial"/>
          <w:color w:val="auto"/>
          <w:sz w:val="20"/>
          <w:szCs w:val="20"/>
        </w:rPr>
        <w:t>8-9.</w:t>
      </w:r>
      <w:r w:rsidR="00F40916">
        <w:rPr>
          <w:rFonts w:ascii="Arial" w:hAnsi="Arial" w:cs="Arial"/>
          <w:color w:val="auto"/>
          <w:sz w:val="20"/>
          <w:szCs w:val="20"/>
        </w:rPr>
        <w:t xml:space="preserve"> </w:t>
      </w:r>
      <w:hyperlink r:id="rId9" w:history="1">
        <w:r w:rsidR="00F40916" w:rsidRPr="005901C0">
          <w:rPr>
            <w:rStyle w:val="Hyperlink"/>
            <w:rFonts w:ascii="Arial" w:hAnsi="Arial" w:cs="Arial"/>
            <w:sz w:val="20"/>
            <w:szCs w:val="20"/>
          </w:rPr>
          <w:t>https://www.gjoee.org/</w:t>
        </w:r>
      </w:hyperlink>
      <w:r w:rsidR="00F40916">
        <w:rPr>
          <w:rFonts w:ascii="Arial" w:hAnsi="Arial" w:cs="Arial"/>
          <w:color w:val="auto"/>
          <w:sz w:val="20"/>
          <w:szCs w:val="20"/>
        </w:rPr>
        <w:t xml:space="preserve"> </w:t>
      </w:r>
    </w:p>
    <w:p w14:paraId="3F2C3210" w14:textId="77777777" w:rsidR="009C608D" w:rsidRPr="00877381" w:rsidRDefault="009C608D" w:rsidP="00BA0141">
      <w:pPr>
        <w:pStyle w:val="Heading5"/>
        <w:numPr>
          <w:ilvl w:val="0"/>
          <w:numId w:val="5"/>
        </w:numPr>
        <w:tabs>
          <w:tab w:val="left" w:pos="6210"/>
          <w:tab w:val="left" w:pos="6390"/>
        </w:tabs>
        <w:spacing w:before="0" w:after="0" w:line="240" w:lineRule="auto"/>
        <w:ind w:left="426" w:right="45" w:hanging="426"/>
        <w:jc w:val="both"/>
        <w:rPr>
          <w:rFonts w:ascii="Arial" w:hAnsi="Arial" w:cs="Arial"/>
          <w:color w:val="auto"/>
          <w:sz w:val="20"/>
          <w:szCs w:val="20"/>
        </w:rPr>
      </w:pPr>
      <w:r w:rsidRPr="00877381">
        <w:rPr>
          <w:rFonts w:ascii="Arial" w:hAnsi="Arial" w:cs="Arial"/>
          <w:color w:val="auto"/>
          <w:sz w:val="20"/>
          <w:szCs w:val="20"/>
        </w:rPr>
        <w:t xml:space="preserve">Devika, S., </w:t>
      </w:r>
      <w:proofErr w:type="spellStart"/>
      <w:r w:rsidRPr="00877381">
        <w:rPr>
          <w:rFonts w:ascii="Arial" w:hAnsi="Arial" w:cs="Arial"/>
          <w:color w:val="auto"/>
          <w:sz w:val="20"/>
          <w:szCs w:val="20"/>
        </w:rPr>
        <w:t>Balasubramanyam</w:t>
      </w:r>
      <w:proofErr w:type="spellEnd"/>
      <w:r w:rsidRPr="00877381">
        <w:rPr>
          <w:rFonts w:ascii="Arial" w:hAnsi="Arial" w:cs="Arial"/>
          <w:color w:val="auto"/>
          <w:sz w:val="20"/>
          <w:szCs w:val="20"/>
        </w:rPr>
        <w:t xml:space="preserve">, P and </w:t>
      </w:r>
      <w:proofErr w:type="spellStart"/>
      <w:r w:rsidRPr="00877381">
        <w:rPr>
          <w:rFonts w:ascii="Arial" w:hAnsi="Arial" w:cs="Arial"/>
          <w:color w:val="auto"/>
          <w:sz w:val="20"/>
          <w:szCs w:val="20"/>
        </w:rPr>
        <w:t>Suganthi</w:t>
      </w:r>
      <w:proofErr w:type="spellEnd"/>
      <w:r w:rsidRPr="00877381">
        <w:rPr>
          <w:rFonts w:ascii="Arial" w:hAnsi="Arial" w:cs="Arial"/>
          <w:color w:val="auto"/>
          <w:sz w:val="20"/>
          <w:szCs w:val="20"/>
        </w:rPr>
        <w:t xml:space="preserve">. 2012. “Characteristics of Tribal Women Depend on Non-wood Forest Products,” </w:t>
      </w:r>
      <w:r w:rsidRPr="00877381">
        <w:rPr>
          <w:rFonts w:ascii="Arial" w:hAnsi="Arial" w:cs="Arial"/>
          <w:bCs/>
          <w:i/>
          <w:color w:val="auto"/>
          <w:sz w:val="20"/>
          <w:szCs w:val="20"/>
        </w:rPr>
        <w:t>Journal of Extension Education,</w:t>
      </w:r>
      <w:r w:rsidRPr="00877381">
        <w:rPr>
          <w:rFonts w:ascii="Arial" w:hAnsi="Arial" w:cs="Arial"/>
          <w:bCs/>
          <w:iCs/>
          <w:color w:val="auto"/>
          <w:sz w:val="20"/>
          <w:szCs w:val="20"/>
        </w:rPr>
        <w:t>24(</w:t>
      </w:r>
      <w:r w:rsidRPr="00877381">
        <w:rPr>
          <w:rFonts w:ascii="Arial" w:hAnsi="Arial" w:cs="Arial"/>
          <w:color w:val="auto"/>
          <w:sz w:val="20"/>
          <w:szCs w:val="20"/>
        </w:rPr>
        <w:t>2): 4854-4856.</w:t>
      </w:r>
    </w:p>
    <w:p w14:paraId="1D896B27" w14:textId="3FA532F9" w:rsidR="009C608D" w:rsidRPr="00877381" w:rsidRDefault="009C608D" w:rsidP="00BA0141">
      <w:pPr>
        <w:pStyle w:val="Heading5"/>
        <w:numPr>
          <w:ilvl w:val="0"/>
          <w:numId w:val="5"/>
        </w:numPr>
        <w:tabs>
          <w:tab w:val="left" w:pos="6210"/>
          <w:tab w:val="left" w:pos="6390"/>
        </w:tabs>
        <w:spacing w:before="0" w:after="0" w:line="240" w:lineRule="auto"/>
        <w:ind w:left="426" w:right="45" w:hanging="426"/>
        <w:jc w:val="both"/>
        <w:rPr>
          <w:rFonts w:ascii="Arial" w:hAnsi="Arial" w:cs="Arial"/>
          <w:color w:val="auto"/>
          <w:sz w:val="20"/>
          <w:szCs w:val="20"/>
        </w:rPr>
      </w:pPr>
      <w:r w:rsidRPr="00877381">
        <w:rPr>
          <w:rFonts w:ascii="Arial" w:hAnsi="Arial" w:cs="Arial"/>
          <w:color w:val="auto"/>
          <w:sz w:val="20"/>
          <w:szCs w:val="20"/>
        </w:rPr>
        <w:t xml:space="preserve">Dipak Kumar Bose and Anmol Ashish Samad. 2018. "Entrepreneurial Behaviour of Tribal Crop Producers in </w:t>
      </w:r>
      <w:proofErr w:type="spellStart"/>
      <w:r w:rsidRPr="00877381">
        <w:rPr>
          <w:rFonts w:ascii="Arial" w:hAnsi="Arial" w:cs="Arial"/>
          <w:color w:val="auto"/>
          <w:sz w:val="20"/>
          <w:szCs w:val="20"/>
        </w:rPr>
        <w:t>Saraikela</w:t>
      </w:r>
      <w:proofErr w:type="spellEnd"/>
      <w:r w:rsidRPr="00877381">
        <w:rPr>
          <w:rFonts w:ascii="Arial" w:hAnsi="Arial" w:cs="Arial"/>
          <w:color w:val="auto"/>
          <w:sz w:val="20"/>
          <w:szCs w:val="20"/>
        </w:rPr>
        <w:t xml:space="preserve"> </w:t>
      </w:r>
      <w:proofErr w:type="spellStart"/>
      <w:r w:rsidRPr="00877381">
        <w:rPr>
          <w:rFonts w:ascii="Arial" w:hAnsi="Arial" w:cs="Arial"/>
          <w:color w:val="auto"/>
          <w:sz w:val="20"/>
          <w:szCs w:val="20"/>
        </w:rPr>
        <w:t>Kharsawan</w:t>
      </w:r>
      <w:proofErr w:type="spellEnd"/>
      <w:r w:rsidRPr="00877381">
        <w:rPr>
          <w:rFonts w:ascii="Arial" w:hAnsi="Arial" w:cs="Arial"/>
          <w:color w:val="auto"/>
          <w:sz w:val="20"/>
          <w:szCs w:val="20"/>
        </w:rPr>
        <w:t xml:space="preserve"> District of Jharkhand", 10SR </w:t>
      </w:r>
      <w:r w:rsidRPr="00877381">
        <w:rPr>
          <w:rFonts w:ascii="Arial" w:hAnsi="Arial" w:cs="Arial"/>
          <w:i/>
          <w:iCs/>
          <w:color w:val="auto"/>
          <w:sz w:val="20"/>
          <w:szCs w:val="20"/>
        </w:rPr>
        <w:t>Journal of Agriculture and Veterinary Science</w:t>
      </w:r>
      <w:r w:rsidRPr="00877381">
        <w:rPr>
          <w:rFonts w:ascii="Arial" w:hAnsi="Arial" w:cs="Arial"/>
          <w:color w:val="auto"/>
          <w:sz w:val="20"/>
          <w:szCs w:val="20"/>
        </w:rPr>
        <w:t xml:space="preserve"> (IOSR-JAVS), 11 (9):31-34 </w:t>
      </w:r>
      <w:r w:rsidR="00F40916">
        <w:rPr>
          <w:rFonts w:ascii="Arial" w:hAnsi="Arial" w:cs="Arial"/>
          <w:color w:val="auto"/>
          <w:sz w:val="20"/>
          <w:szCs w:val="20"/>
        </w:rPr>
        <w:t xml:space="preserve"> </w:t>
      </w:r>
      <w:hyperlink r:id="rId10" w:history="1">
        <w:r w:rsidR="00F40916" w:rsidRPr="005901C0">
          <w:rPr>
            <w:rStyle w:val="Hyperlink"/>
            <w:rFonts w:ascii="Arial" w:hAnsi="Arial" w:cs="Arial"/>
            <w:sz w:val="20"/>
            <w:szCs w:val="20"/>
          </w:rPr>
          <w:t>https://doi.org/10.9790/2380-1109023134</w:t>
        </w:r>
      </w:hyperlink>
      <w:r w:rsidR="00F40916">
        <w:rPr>
          <w:rFonts w:ascii="Arial" w:hAnsi="Arial" w:cs="Arial"/>
          <w:color w:val="auto"/>
          <w:sz w:val="20"/>
          <w:szCs w:val="20"/>
        </w:rPr>
        <w:t xml:space="preserve"> </w:t>
      </w:r>
    </w:p>
    <w:p w14:paraId="3BE07AC1" w14:textId="77777777" w:rsidR="009C608D" w:rsidRPr="00877381" w:rsidRDefault="009C608D" w:rsidP="00BA0141">
      <w:pPr>
        <w:pStyle w:val="Heading5"/>
        <w:numPr>
          <w:ilvl w:val="0"/>
          <w:numId w:val="5"/>
        </w:numPr>
        <w:tabs>
          <w:tab w:val="left" w:pos="6210"/>
          <w:tab w:val="left" w:pos="6390"/>
        </w:tabs>
        <w:spacing w:before="0" w:after="0" w:line="240" w:lineRule="auto"/>
        <w:ind w:left="426" w:right="45" w:hanging="426"/>
        <w:jc w:val="both"/>
        <w:rPr>
          <w:rFonts w:ascii="Arial" w:hAnsi="Arial" w:cs="Arial"/>
          <w:color w:val="auto"/>
          <w:sz w:val="20"/>
          <w:szCs w:val="20"/>
        </w:rPr>
      </w:pPr>
      <w:proofErr w:type="spellStart"/>
      <w:r w:rsidRPr="00877381">
        <w:rPr>
          <w:rFonts w:ascii="Arial" w:hAnsi="Arial" w:cs="Arial"/>
          <w:color w:val="auto"/>
          <w:sz w:val="20"/>
          <w:szCs w:val="20"/>
        </w:rPr>
        <w:t>Hagone</w:t>
      </w:r>
      <w:proofErr w:type="spellEnd"/>
      <w:r w:rsidRPr="00877381">
        <w:rPr>
          <w:rFonts w:ascii="Arial" w:hAnsi="Arial" w:cs="Arial"/>
          <w:color w:val="auto"/>
          <w:sz w:val="20"/>
          <w:szCs w:val="20"/>
        </w:rPr>
        <w:t xml:space="preserve"> V &amp; </w:t>
      </w:r>
      <w:proofErr w:type="spellStart"/>
      <w:r w:rsidRPr="00877381">
        <w:rPr>
          <w:rFonts w:ascii="Arial" w:hAnsi="Arial" w:cs="Arial"/>
          <w:color w:val="auto"/>
          <w:sz w:val="20"/>
          <w:szCs w:val="20"/>
        </w:rPr>
        <w:t>Basunathe</w:t>
      </w:r>
      <w:proofErr w:type="spellEnd"/>
      <w:r w:rsidRPr="00877381">
        <w:rPr>
          <w:rFonts w:ascii="Arial" w:hAnsi="Arial" w:cs="Arial"/>
          <w:color w:val="auto"/>
          <w:sz w:val="20"/>
          <w:szCs w:val="20"/>
        </w:rPr>
        <w:t xml:space="preserve"> V K 2016 Decision making pattern of tribal women in dairy enterprise in </w:t>
      </w:r>
      <w:proofErr w:type="spellStart"/>
      <w:r w:rsidRPr="00877381">
        <w:rPr>
          <w:rFonts w:ascii="Arial" w:hAnsi="Arial" w:cs="Arial"/>
          <w:color w:val="auto"/>
          <w:sz w:val="20"/>
          <w:szCs w:val="20"/>
        </w:rPr>
        <w:t>Melghat</w:t>
      </w:r>
      <w:proofErr w:type="spellEnd"/>
      <w:r w:rsidRPr="00877381">
        <w:rPr>
          <w:rFonts w:ascii="Arial" w:hAnsi="Arial" w:cs="Arial"/>
          <w:color w:val="auto"/>
          <w:sz w:val="20"/>
          <w:szCs w:val="20"/>
        </w:rPr>
        <w:t xml:space="preserve"> Region of Amravati district. </w:t>
      </w:r>
      <w:r w:rsidRPr="00877381">
        <w:rPr>
          <w:rFonts w:ascii="Arial" w:hAnsi="Arial" w:cs="Arial"/>
          <w:i/>
          <w:iCs/>
          <w:color w:val="auto"/>
          <w:sz w:val="20"/>
          <w:szCs w:val="20"/>
        </w:rPr>
        <w:t xml:space="preserve">Indian Research Journal of Extension Education, </w:t>
      </w:r>
      <w:r w:rsidRPr="00877381">
        <w:rPr>
          <w:rFonts w:ascii="Arial" w:hAnsi="Arial" w:cs="Arial"/>
          <w:color w:val="auto"/>
          <w:sz w:val="20"/>
          <w:szCs w:val="20"/>
        </w:rPr>
        <w:t xml:space="preserve">15(4), 10-15. </w:t>
      </w:r>
    </w:p>
    <w:p w14:paraId="0B96132D" w14:textId="77777777" w:rsidR="009C608D" w:rsidRPr="00877381" w:rsidRDefault="009C608D" w:rsidP="00BA0141">
      <w:pPr>
        <w:pStyle w:val="ListParagraph"/>
        <w:numPr>
          <w:ilvl w:val="0"/>
          <w:numId w:val="5"/>
        </w:numPr>
        <w:spacing w:after="0" w:line="240" w:lineRule="auto"/>
        <w:ind w:left="426" w:hanging="426"/>
        <w:jc w:val="both"/>
        <w:rPr>
          <w:rFonts w:ascii="Arial" w:hAnsi="Arial" w:cs="Arial"/>
          <w:sz w:val="20"/>
          <w:szCs w:val="20"/>
        </w:rPr>
      </w:pPr>
      <w:r w:rsidRPr="00877381">
        <w:rPr>
          <w:rFonts w:ascii="Arial" w:hAnsi="Arial" w:cs="Arial"/>
          <w:sz w:val="20"/>
          <w:szCs w:val="20"/>
        </w:rPr>
        <w:t xml:space="preserve">Indumathy, K., Manoharan, P.M., Sangeetha, S and M.V. Mary. 2013. “Relationship between Socio-psychologic Characteristics and Attitude of </w:t>
      </w:r>
      <w:proofErr w:type="spellStart"/>
      <w:r w:rsidRPr="00877381">
        <w:rPr>
          <w:rFonts w:ascii="Arial" w:hAnsi="Arial" w:cs="Arial"/>
          <w:sz w:val="20"/>
          <w:szCs w:val="20"/>
        </w:rPr>
        <w:t>Jawadhu</w:t>
      </w:r>
      <w:proofErr w:type="spellEnd"/>
      <w:r w:rsidRPr="00877381">
        <w:rPr>
          <w:rFonts w:ascii="Arial" w:hAnsi="Arial" w:cs="Arial"/>
          <w:sz w:val="20"/>
          <w:szCs w:val="20"/>
        </w:rPr>
        <w:t xml:space="preserve"> Tribes Towards Tribal Development Programmes</w:t>
      </w:r>
      <w:r w:rsidRPr="00877381">
        <w:rPr>
          <w:rFonts w:ascii="Arial" w:hAnsi="Arial" w:cs="Arial"/>
          <w:b/>
          <w:sz w:val="20"/>
          <w:szCs w:val="20"/>
        </w:rPr>
        <w:t>,”</w:t>
      </w:r>
      <w:r w:rsidRPr="00877381">
        <w:rPr>
          <w:rFonts w:ascii="Arial" w:hAnsi="Arial" w:cs="Arial"/>
          <w:bCs/>
          <w:sz w:val="20"/>
          <w:szCs w:val="20"/>
        </w:rPr>
        <w:t xml:space="preserve"> </w:t>
      </w:r>
      <w:r w:rsidRPr="00877381">
        <w:rPr>
          <w:rFonts w:ascii="Arial" w:hAnsi="Arial" w:cs="Arial"/>
          <w:bCs/>
          <w:i/>
          <w:sz w:val="20"/>
          <w:szCs w:val="20"/>
        </w:rPr>
        <w:t xml:space="preserve">Journal of Extension Education, </w:t>
      </w:r>
      <w:r w:rsidRPr="00877381">
        <w:rPr>
          <w:rFonts w:ascii="Arial" w:hAnsi="Arial" w:cs="Arial"/>
          <w:bCs/>
          <w:sz w:val="20"/>
          <w:szCs w:val="20"/>
        </w:rPr>
        <w:t>25</w:t>
      </w:r>
      <w:r w:rsidRPr="00877381">
        <w:rPr>
          <w:rFonts w:ascii="Arial" w:hAnsi="Arial" w:cs="Arial"/>
          <w:sz w:val="20"/>
          <w:szCs w:val="20"/>
        </w:rPr>
        <w:t xml:space="preserve">(4):5154-5159. </w:t>
      </w:r>
    </w:p>
    <w:p w14:paraId="11CDCA50" w14:textId="1FA488F6" w:rsidR="009C608D" w:rsidRDefault="009C608D" w:rsidP="00BA0141">
      <w:pPr>
        <w:pStyle w:val="ListParagraph"/>
        <w:numPr>
          <w:ilvl w:val="0"/>
          <w:numId w:val="5"/>
        </w:numPr>
        <w:spacing w:after="0" w:line="240" w:lineRule="auto"/>
        <w:ind w:left="426" w:hanging="426"/>
        <w:jc w:val="both"/>
        <w:rPr>
          <w:rFonts w:ascii="Arial" w:hAnsi="Arial" w:cs="Arial"/>
          <w:sz w:val="20"/>
          <w:szCs w:val="20"/>
        </w:rPr>
      </w:pPr>
      <w:r w:rsidRPr="00877381">
        <w:rPr>
          <w:rFonts w:ascii="Arial" w:hAnsi="Arial" w:cs="Arial"/>
          <w:sz w:val="20"/>
          <w:szCs w:val="20"/>
        </w:rPr>
        <w:t xml:space="preserve">Venkatesan, P. and M. </w:t>
      </w:r>
      <w:proofErr w:type="spellStart"/>
      <w:r w:rsidRPr="00877381">
        <w:rPr>
          <w:rFonts w:ascii="Arial" w:hAnsi="Arial" w:cs="Arial"/>
          <w:sz w:val="20"/>
          <w:szCs w:val="20"/>
        </w:rPr>
        <w:t>Sundaramari</w:t>
      </w:r>
      <w:proofErr w:type="spellEnd"/>
      <w:r w:rsidRPr="00877381">
        <w:rPr>
          <w:rFonts w:ascii="Arial" w:hAnsi="Arial" w:cs="Arial"/>
          <w:sz w:val="20"/>
          <w:szCs w:val="20"/>
        </w:rPr>
        <w:t>. (2014). “Scientific Rationality, Adoption and Perceived Effectiveness of Traditional Agricultural Practices of Cassava (</w:t>
      </w:r>
      <w:r w:rsidRPr="00877381">
        <w:rPr>
          <w:rFonts w:ascii="Arial" w:hAnsi="Arial" w:cs="Arial"/>
          <w:i/>
          <w:sz w:val="20"/>
          <w:szCs w:val="20"/>
        </w:rPr>
        <w:t>Manihot esculenta Crantz</w:t>
      </w:r>
      <w:r w:rsidRPr="00877381">
        <w:rPr>
          <w:rFonts w:ascii="Arial" w:hAnsi="Arial" w:cs="Arial"/>
          <w:sz w:val="20"/>
          <w:szCs w:val="20"/>
        </w:rPr>
        <w:t xml:space="preserve">.) in Kolli </w:t>
      </w:r>
      <w:r w:rsidRPr="00877381">
        <w:rPr>
          <w:rFonts w:ascii="Arial" w:hAnsi="Arial" w:cs="Arial"/>
          <w:sz w:val="20"/>
          <w:szCs w:val="20"/>
        </w:rPr>
        <w:lastRenderedPageBreak/>
        <w:t>Hills, India,”</w:t>
      </w:r>
      <w:r w:rsidRPr="00877381">
        <w:rPr>
          <w:rFonts w:ascii="Arial" w:hAnsi="Arial" w:cs="Arial"/>
          <w:b/>
          <w:sz w:val="20"/>
          <w:szCs w:val="20"/>
        </w:rPr>
        <w:t xml:space="preserve"> </w:t>
      </w:r>
      <w:r w:rsidRPr="00877381">
        <w:rPr>
          <w:rFonts w:ascii="Arial" w:hAnsi="Arial" w:cs="Arial"/>
          <w:bCs/>
          <w:i/>
          <w:iCs/>
          <w:sz w:val="20"/>
          <w:szCs w:val="20"/>
        </w:rPr>
        <w:t>Journal of Root Crops</w:t>
      </w:r>
      <w:r w:rsidRPr="00877381">
        <w:rPr>
          <w:rFonts w:ascii="Arial" w:hAnsi="Arial" w:cs="Arial"/>
          <w:bCs/>
          <w:sz w:val="20"/>
          <w:szCs w:val="20"/>
        </w:rPr>
        <w:t>,</w:t>
      </w:r>
      <w:r w:rsidRPr="00877381">
        <w:rPr>
          <w:rFonts w:ascii="Arial" w:hAnsi="Arial" w:cs="Arial"/>
          <w:b/>
          <w:sz w:val="20"/>
          <w:szCs w:val="20"/>
        </w:rPr>
        <w:t xml:space="preserve"> </w:t>
      </w:r>
      <w:r w:rsidRPr="00877381">
        <w:rPr>
          <w:rFonts w:ascii="Arial" w:hAnsi="Arial" w:cs="Arial"/>
          <w:bCs/>
          <w:sz w:val="20"/>
          <w:szCs w:val="20"/>
        </w:rPr>
        <w:t>40</w:t>
      </w:r>
      <w:r w:rsidRPr="00877381">
        <w:rPr>
          <w:rFonts w:ascii="Arial" w:hAnsi="Arial" w:cs="Arial"/>
          <w:sz w:val="20"/>
          <w:szCs w:val="20"/>
        </w:rPr>
        <w:t>(2):58-65.</w:t>
      </w:r>
      <w:r w:rsidR="00F40916">
        <w:rPr>
          <w:rFonts w:ascii="Arial" w:hAnsi="Arial" w:cs="Arial"/>
          <w:sz w:val="20"/>
          <w:szCs w:val="20"/>
        </w:rPr>
        <w:t xml:space="preserve"> </w:t>
      </w:r>
      <w:hyperlink r:id="rId11" w:history="1">
        <w:r w:rsidR="00F40916" w:rsidRPr="005901C0">
          <w:rPr>
            <w:rStyle w:val="Hyperlink"/>
            <w:rFonts w:ascii="Arial" w:hAnsi="Arial" w:cs="Arial"/>
            <w:sz w:val="20"/>
            <w:szCs w:val="20"/>
          </w:rPr>
          <w:t>https://journal.isrc.in/index.php/jrc/article/view/204</w:t>
        </w:r>
      </w:hyperlink>
      <w:r w:rsidR="00F40916">
        <w:rPr>
          <w:rFonts w:ascii="Arial" w:hAnsi="Arial" w:cs="Arial"/>
          <w:sz w:val="20"/>
          <w:szCs w:val="20"/>
        </w:rPr>
        <w:t xml:space="preserve"> </w:t>
      </w:r>
    </w:p>
    <w:p w14:paraId="2F7FBEA5" w14:textId="72C56759" w:rsidR="002273EB" w:rsidRDefault="002273EB" w:rsidP="00BA0141">
      <w:pPr>
        <w:pStyle w:val="ListParagraph"/>
        <w:numPr>
          <w:ilvl w:val="0"/>
          <w:numId w:val="5"/>
        </w:numPr>
        <w:spacing w:after="0" w:line="240" w:lineRule="auto"/>
        <w:ind w:left="426" w:hanging="426"/>
        <w:jc w:val="both"/>
        <w:rPr>
          <w:rFonts w:ascii="Arial" w:hAnsi="Arial" w:cs="Arial"/>
          <w:sz w:val="20"/>
          <w:szCs w:val="20"/>
        </w:rPr>
      </w:pPr>
      <w:r w:rsidRPr="002273EB">
        <w:rPr>
          <w:rFonts w:ascii="Arial" w:hAnsi="Arial" w:cs="Arial"/>
          <w:sz w:val="20"/>
          <w:szCs w:val="20"/>
        </w:rPr>
        <w:t>Kaviya, P., &amp; Durairaj, S. (2023). A Study on Profile beneficiaries of IAMWARM farmers in Tiruchirappalli District of Tamil Nadu</w:t>
      </w:r>
      <w:proofErr w:type="gramStart"/>
      <w:r w:rsidRPr="002273EB">
        <w:rPr>
          <w:rFonts w:ascii="Arial" w:hAnsi="Arial" w:cs="Arial"/>
          <w:sz w:val="20"/>
          <w:szCs w:val="20"/>
        </w:rPr>
        <w:t>.“</w:t>
      </w:r>
      <w:proofErr w:type="gramEnd"/>
      <w:r w:rsidRPr="002273EB">
        <w:rPr>
          <w:rFonts w:ascii="Arial" w:hAnsi="Arial" w:cs="Arial"/>
          <w:sz w:val="20"/>
          <w:szCs w:val="20"/>
        </w:rPr>
        <w:t>. </w:t>
      </w:r>
      <w:r w:rsidRPr="002273EB">
        <w:rPr>
          <w:rFonts w:ascii="Arial" w:hAnsi="Arial" w:cs="Arial"/>
          <w:i/>
          <w:iCs/>
          <w:sz w:val="20"/>
          <w:szCs w:val="20"/>
        </w:rPr>
        <w:t>New Era Agriculture Magazine”. E-ISSN</w:t>
      </w:r>
      <w:r w:rsidRPr="002273EB">
        <w:rPr>
          <w:rFonts w:ascii="Arial" w:hAnsi="Arial" w:cs="Arial"/>
          <w:sz w:val="20"/>
          <w:szCs w:val="20"/>
        </w:rPr>
        <w:t>, 2583-5173.</w:t>
      </w:r>
    </w:p>
    <w:p w14:paraId="7AB996E8" w14:textId="55A3B14B" w:rsidR="00827B18" w:rsidRPr="00877381" w:rsidRDefault="00827B18" w:rsidP="00BA0141">
      <w:pPr>
        <w:pStyle w:val="ListParagraph"/>
        <w:numPr>
          <w:ilvl w:val="0"/>
          <w:numId w:val="5"/>
        </w:numPr>
        <w:spacing w:after="0" w:line="240" w:lineRule="auto"/>
        <w:ind w:left="426" w:hanging="426"/>
        <w:jc w:val="both"/>
        <w:rPr>
          <w:rFonts w:ascii="Arial" w:hAnsi="Arial" w:cs="Arial"/>
          <w:sz w:val="20"/>
          <w:szCs w:val="20"/>
        </w:rPr>
      </w:pPr>
      <w:r w:rsidRPr="00827B18">
        <w:rPr>
          <w:rFonts w:ascii="Arial" w:hAnsi="Arial" w:cs="Arial"/>
          <w:sz w:val="20"/>
          <w:szCs w:val="20"/>
        </w:rPr>
        <w:t xml:space="preserve">Palanikumar, K., Manivel, N., &amp; </w:t>
      </w:r>
      <w:proofErr w:type="spellStart"/>
      <w:r w:rsidRPr="00827B18">
        <w:rPr>
          <w:rFonts w:ascii="Arial" w:hAnsi="Arial" w:cs="Arial"/>
          <w:sz w:val="20"/>
          <w:szCs w:val="20"/>
        </w:rPr>
        <w:t>Rajendren</w:t>
      </w:r>
      <w:proofErr w:type="spellEnd"/>
      <w:r w:rsidRPr="00827B18">
        <w:rPr>
          <w:rFonts w:ascii="Arial" w:hAnsi="Arial" w:cs="Arial"/>
          <w:sz w:val="20"/>
          <w:szCs w:val="20"/>
        </w:rPr>
        <w:t>, S. (2025). Traditional Medicinal Plants Utilization by Tribal Communities in Kalvarayan Hills of Tamil Nadu: An Analysis Utilization of Medicinal Plants. </w:t>
      </w:r>
      <w:r w:rsidRPr="00827B18">
        <w:rPr>
          <w:rFonts w:ascii="Arial" w:hAnsi="Arial" w:cs="Arial"/>
          <w:i/>
          <w:iCs/>
          <w:sz w:val="20"/>
          <w:szCs w:val="20"/>
        </w:rPr>
        <w:t>World Journal of Environmental Biosciences,</w:t>
      </w:r>
      <w:r w:rsidRPr="00827B18">
        <w:rPr>
          <w:rFonts w:ascii="Arial" w:hAnsi="Arial" w:cs="Arial"/>
          <w:sz w:val="20"/>
          <w:szCs w:val="20"/>
        </w:rPr>
        <w:t> </w:t>
      </w:r>
      <w:r w:rsidRPr="00827B18">
        <w:rPr>
          <w:rFonts w:ascii="Arial" w:hAnsi="Arial" w:cs="Arial"/>
          <w:i/>
          <w:iCs/>
          <w:sz w:val="20"/>
          <w:szCs w:val="20"/>
        </w:rPr>
        <w:t>14</w:t>
      </w:r>
      <w:r w:rsidRPr="00827B18">
        <w:rPr>
          <w:rFonts w:ascii="Arial" w:hAnsi="Arial" w:cs="Arial"/>
          <w:sz w:val="20"/>
          <w:szCs w:val="20"/>
        </w:rPr>
        <w:t>(4), 8-13. </w:t>
      </w:r>
      <w:hyperlink r:id="rId12" w:history="1">
        <w:r w:rsidR="00F40916" w:rsidRPr="005901C0">
          <w:rPr>
            <w:rStyle w:val="Hyperlink"/>
          </w:rPr>
          <w:t>https://environmentaljournals.org/article/traditional-medicinal-plants-utilization-by-tribal-communities-in-kalvarayan-hills-of-tamil-nadu-an-typxydyagxd2qqb</w:t>
        </w:r>
      </w:hyperlink>
      <w:r w:rsidR="00F40916">
        <w:t xml:space="preserve"> </w:t>
      </w:r>
    </w:p>
    <w:p w14:paraId="1ED72B0B" w14:textId="76F5EC4C" w:rsidR="009C608D" w:rsidRPr="00877381" w:rsidRDefault="009C608D" w:rsidP="00BA0141">
      <w:pPr>
        <w:pStyle w:val="ListParagraph"/>
        <w:numPr>
          <w:ilvl w:val="0"/>
          <w:numId w:val="5"/>
        </w:numPr>
        <w:spacing w:after="0" w:line="240" w:lineRule="auto"/>
        <w:ind w:left="426" w:hanging="426"/>
        <w:jc w:val="both"/>
        <w:rPr>
          <w:rFonts w:ascii="Arial" w:hAnsi="Arial" w:cs="Arial"/>
          <w:sz w:val="20"/>
          <w:szCs w:val="20"/>
          <w:shd w:val="clear" w:color="auto" w:fill="FFFFFF"/>
        </w:rPr>
      </w:pPr>
      <w:r w:rsidRPr="00877381">
        <w:rPr>
          <w:rFonts w:ascii="Arial" w:hAnsi="Arial" w:cs="Arial"/>
          <w:sz w:val="20"/>
          <w:szCs w:val="20"/>
        </w:rPr>
        <w:t xml:space="preserve">Chandrasekar, G. K., Satyanarayan, K., </w:t>
      </w:r>
      <w:proofErr w:type="spellStart"/>
      <w:r w:rsidRPr="00877381">
        <w:rPr>
          <w:rFonts w:ascii="Arial" w:hAnsi="Arial" w:cs="Arial"/>
          <w:sz w:val="20"/>
          <w:szCs w:val="20"/>
        </w:rPr>
        <w:t>Jagadeeswary</w:t>
      </w:r>
      <w:proofErr w:type="spellEnd"/>
      <w:r w:rsidRPr="00877381">
        <w:rPr>
          <w:rFonts w:ascii="Arial" w:hAnsi="Arial" w:cs="Arial"/>
          <w:sz w:val="20"/>
          <w:szCs w:val="20"/>
        </w:rPr>
        <w:t xml:space="preserve">, V. and J.S. Shree. 2017. Relationship between Socio-Economic and Psychological Factors of Dairy Farmers with Days open – A Study in Rural Karnataka, </w:t>
      </w:r>
      <w:r w:rsidRPr="00877381">
        <w:rPr>
          <w:rFonts w:ascii="Arial" w:hAnsi="Arial" w:cs="Arial"/>
          <w:i/>
          <w:iCs/>
          <w:sz w:val="20"/>
          <w:szCs w:val="20"/>
        </w:rPr>
        <w:t>International Journal of Pure and Applied Biological Sciences</w:t>
      </w:r>
      <w:r w:rsidRPr="00877381">
        <w:rPr>
          <w:rFonts w:ascii="Arial" w:hAnsi="Arial" w:cs="Arial"/>
          <w:sz w:val="20"/>
          <w:szCs w:val="20"/>
        </w:rPr>
        <w:t>, 5(1):171-177</w:t>
      </w:r>
      <w:r w:rsidR="00F40916">
        <w:rPr>
          <w:rFonts w:ascii="Arial" w:hAnsi="Arial" w:cs="Arial"/>
          <w:sz w:val="20"/>
          <w:szCs w:val="20"/>
        </w:rPr>
        <w:t xml:space="preserve"> </w:t>
      </w:r>
      <w:hyperlink r:id="rId13" w:history="1">
        <w:r w:rsidR="00F40916" w:rsidRPr="005901C0">
          <w:rPr>
            <w:rStyle w:val="Hyperlink"/>
            <w:rFonts w:ascii="Arial" w:hAnsi="Arial" w:cs="Arial"/>
            <w:sz w:val="20"/>
            <w:szCs w:val="20"/>
          </w:rPr>
          <w:t>https://doi.org/10.18782/2320-7051.2477</w:t>
        </w:r>
      </w:hyperlink>
      <w:r w:rsidR="00F40916">
        <w:rPr>
          <w:rFonts w:ascii="Arial" w:hAnsi="Arial" w:cs="Arial"/>
          <w:sz w:val="20"/>
          <w:szCs w:val="20"/>
        </w:rPr>
        <w:t xml:space="preserve"> </w:t>
      </w:r>
      <w:r w:rsidRPr="00877381">
        <w:rPr>
          <w:rFonts w:ascii="Arial" w:hAnsi="Arial" w:cs="Arial"/>
          <w:sz w:val="20"/>
          <w:szCs w:val="20"/>
        </w:rPr>
        <w:t>.</w:t>
      </w:r>
    </w:p>
    <w:p w14:paraId="3F9AFF84" w14:textId="28880285" w:rsidR="009C608D" w:rsidRPr="00877381" w:rsidRDefault="009C608D" w:rsidP="00BA0141">
      <w:pPr>
        <w:pStyle w:val="ListParagraph"/>
        <w:numPr>
          <w:ilvl w:val="0"/>
          <w:numId w:val="5"/>
        </w:numPr>
        <w:spacing w:after="0" w:line="240" w:lineRule="auto"/>
        <w:ind w:left="426" w:hanging="426"/>
        <w:jc w:val="both"/>
        <w:rPr>
          <w:rFonts w:ascii="Arial" w:hAnsi="Arial" w:cs="Arial"/>
          <w:sz w:val="20"/>
          <w:szCs w:val="20"/>
        </w:rPr>
      </w:pPr>
      <w:r w:rsidRPr="00877381">
        <w:rPr>
          <w:rFonts w:ascii="Arial" w:hAnsi="Arial" w:cs="Arial"/>
          <w:sz w:val="20"/>
          <w:szCs w:val="20"/>
        </w:rPr>
        <w:t xml:space="preserve">Neerja Sharma, Sanjay Khar and R.K. Arora. (2014). “Role Performance of Women in Farm Activities in Hilly Areas of District Poonch of Jammu Division,” </w:t>
      </w:r>
      <w:r w:rsidRPr="00877381">
        <w:rPr>
          <w:rFonts w:ascii="Arial" w:hAnsi="Arial" w:cs="Arial"/>
          <w:bCs/>
          <w:sz w:val="20"/>
          <w:szCs w:val="20"/>
        </w:rPr>
        <w:t>Agriculture Update, 9</w:t>
      </w:r>
      <w:r w:rsidRPr="00877381">
        <w:rPr>
          <w:rFonts w:ascii="Arial" w:hAnsi="Arial" w:cs="Arial"/>
          <w:sz w:val="20"/>
          <w:szCs w:val="20"/>
        </w:rPr>
        <w:t>(4):547-550.</w:t>
      </w:r>
      <w:r w:rsidR="00F40916">
        <w:rPr>
          <w:rFonts w:ascii="Arial" w:hAnsi="Arial" w:cs="Arial"/>
          <w:sz w:val="20"/>
          <w:szCs w:val="20"/>
        </w:rPr>
        <w:t xml:space="preserve"> </w:t>
      </w:r>
      <w:hyperlink r:id="rId14" w:history="1">
        <w:r w:rsidR="00F40916" w:rsidRPr="005901C0">
          <w:rPr>
            <w:rStyle w:val="Hyperlink"/>
            <w:rFonts w:ascii="Arial" w:hAnsi="Arial" w:cs="Arial"/>
            <w:sz w:val="20"/>
            <w:szCs w:val="20"/>
          </w:rPr>
          <w:t>https://doi.org/10.15740/HAS/AU/9.4/547-550</w:t>
        </w:r>
      </w:hyperlink>
      <w:r w:rsidR="00F40916">
        <w:rPr>
          <w:rFonts w:ascii="Arial" w:hAnsi="Arial" w:cs="Arial"/>
          <w:sz w:val="20"/>
          <w:szCs w:val="20"/>
        </w:rPr>
        <w:t xml:space="preserve"> </w:t>
      </w:r>
    </w:p>
    <w:p w14:paraId="38493F79" w14:textId="77777777" w:rsidR="009C608D" w:rsidRPr="00877381" w:rsidRDefault="009C608D" w:rsidP="00BA0141">
      <w:pPr>
        <w:pStyle w:val="ListParagraph"/>
        <w:numPr>
          <w:ilvl w:val="0"/>
          <w:numId w:val="5"/>
        </w:numPr>
        <w:spacing w:after="0" w:line="240" w:lineRule="auto"/>
        <w:ind w:left="426" w:hanging="426"/>
        <w:jc w:val="both"/>
        <w:rPr>
          <w:rFonts w:ascii="Arial" w:hAnsi="Arial" w:cs="Arial"/>
          <w:sz w:val="20"/>
          <w:szCs w:val="20"/>
        </w:rPr>
      </w:pPr>
      <w:r w:rsidRPr="00877381">
        <w:rPr>
          <w:rFonts w:ascii="Arial" w:hAnsi="Arial" w:cs="Arial"/>
          <w:sz w:val="20"/>
          <w:szCs w:val="20"/>
        </w:rPr>
        <w:t>Natarajan M, Santha Govind (2006). Indigenous agricultural</w:t>
      </w:r>
      <w:r w:rsidRPr="00877381">
        <w:rPr>
          <w:rFonts w:ascii="Arial" w:hAnsi="Arial" w:cs="Arial"/>
          <w:spacing w:val="1"/>
          <w:sz w:val="20"/>
          <w:szCs w:val="20"/>
        </w:rPr>
        <w:t xml:space="preserve"> </w:t>
      </w:r>
      <w:r w:rsidRPr="00877381">
        <w:rPr>
          <w:rFonts w:ascii="Arial" w:hAnsi="Arial" w:cs="Arial"/>
          <w:sz w:val="20"/>
          <w:szCs w:val="20"/>
        </w:rPr>
        <w:t>practices tribal</w:t>
      </w:r>
      <w:r w:rsidRPr="00877381">
        <w:rPr>
          <w:rFonts w:ascii="Arial" w:hAnsi="Arial" w:cs="Arial"/>
          <w:spacing w:val="1"/>
          <w:sz w:val="20"/>
          <w:szCs w:val="20"/>
        </w:rPr>
        <w:t xml:space="preserve"> </w:t>
      </w:r>
      <w:r w:rsidRPr="00877381">
        <w:rPr>
          <w:rFonts w:ascii="Arial" w:hAnsi="Arial" w:cs="Arial"/>
          <w:sz w:val="20"/>
          <w:szCs w:val="20"/>
        </w:rPr>
        <w:t xml:space="preserve">women. </w:t>
      </w:r>
      <w:r w:rsidRPr="00877381">
        <w:rPr>
          <w:rFonts w:ascii="Arial" w:hAnsi="Arial" w:cs="Arial"/>
          <w:i/>
          <w:iCs/>
          <w:sz w:val="20"/>
          <w:szCs w:val="20"/>
        </w:rPr>
        <w:t>Indian</w:t>
      </w:r>
      <w:r w:rsidRPr="00877381">
        <w:rPr>
          <w:rFonts w:ascii="Arial" w:hAnsi="Arial" w:cs="Arial"/>
          <w:i/>
          <w:iCs/>
          <w:spacing w:val="1"/>
          <w:sz w:val="20"/>
          <w:szCs w:val="20"/>
        </w:rPr>
        <w:t xml:space="preserve"> </w:t>
      </w:r>
      <w:r w:rsidRPr="00877381">
        <w:rPr>
          <w:rFonts w:ascii="Arial" w:hAnsi="Arial" w:cs="Arial"/>
          <w:i/>
          <w:iCs/>
          <w:sz w:val="20"/>
          <w:szCs w:val="20"/>
        </w:rPr>
        <w:t>Journal</w:t>
      </w:r>
      <w:r w:rsidRPr="00877381">
        <w:rPr>
          <w:rFonts w:ascii="Arial" w:hAnsi="Arial" w:cs="Arial"/>
          <w:i/>
          <w:iCs/>
          <w:spacing w:val="-1"/>
          <w:sz w:val="20"/>
          <w:szCs w:val="20"/>
        </w:rPr>
        <w:t xml:space="preserve"> </w:t>
      </w:r>
      <w:r w:rsidRPr="00877381">
        <w:rPr>
          <w:rFonts w:ascii="Arial" w:hAnsi="Arial" w:cs="Arial"/>
          <w:i/>
          <w:iCs/>
          <w:sz w:val="20"/>
          <w:szCs w:val="20"/>
        </w:rPr>
        <w:t>of Traditional Knowledge</w:t>
      </w:r>
      <w:r w:rsidRPr="00877381">
        <w:rPr>
          <w:rFonts w:ascii="Arial" w:hAnsi="Arial" w:cs="Arial"/>
          <w:sz w:val="20"/>
          <w:szCs w:val="20"/>
        </w:rPr>
        <w:t>. Vol. 5(1), January 2006, pp. 118-121</w:t>
      </w:r>
    </w:p>
    <w:p w14:paraId="6D14DA99" w14:textId="2556CFB7" w:rsidR="009C608D" w:rsidRPr="00877381" w:rsidRDefault="009C608D" w:rsidP="00BA0141">
      <w:pPr>
        <w:pStyle w:val="Heading5"/>
        <w:numPr>
          <w:ilvl w:val="0"/>
          <w:numId w:val="5"/>
        </w:numPr>
        <w:tabs>
          <w:tab w:val="left" w:pos="6210"/>
          <w:tab w:val="left" w:pos="6390"/>
        </w:tabs>
        <w:spacing w:before="0" w:after="0" w:line="240" w:lineRule="auto"/>
        <w:ind w:left="426" w:right="45" w:hanging="426"/>
        <w:jc w:val="both"/>
        <w:rPr>
          <w:rFonts w:ascii="Arial" w:hAnsi="Arial" w:cs="Arial"/>
          <w:color w:val="auto"/>
          <w:sz w:val="20"/>
          <w:szCs w:val="20"/>
        </w:rPr>
      </w:pPr>
      <w:proofErr w:type="spellStart"/>
      <w:r w:rsidRPr="00877381">
        <w:rPr>
          <w:rFonts w:ascii="Arial" w:hAnsi="Arial" w:cs="Arial"/>
          <w:color w:val="auto"/>
          <w:sz w:val="20"/>
          <w:szCs w:val="20"/>
        </w:rPr>
        <w:t>Sangada</w:t>
      </w:r>
      <w:proofErr w:type="spellEnd"/>
      <w:r w:rsidRPr="00877381">
        <w:rPr>
          <w:rFonts w:ascii="Arial" w:hAnsi="Arial" w:cs="Arial"/>
          <w:color w:val="auto"/>
          <w:sz w:val="20"/>
          <w:szCs w:val="20"/>
        </w:rPr>
        <w:t xml:space="preserve">, Band G. Deshmukh. 2014. “Tomato Growers with their Psychological Variables, Constraints and Suggestions,” </w:t>
      </w:r>
      <w:r w:rsidRPr="00877381">
        <w:rPr>
          <w:rFonts w:ascii="Arial" w:hAnsi="Arial" w:cs="Arial"/>
          <w:bCs/>
          <w:i/>
          <w:iCs/>
          <w:color w:val="auto"/>
          <w:sz w:val="20"/>
          <w:szCs w:val="20"/>
        </w:rPr>
        <w:t>Advance Research Journal of Social Science,</w:t>
      </w:r>
      <w:r w:rsidRPr="00877381">
        <w:rPr>
          <w:rFonts w:ascii="Arial" w:hAnsi="Arial" w:cs="Arial"/>
          <w:bCs/>
          <w:color w:val="auto"/>
          <w:sz w:val="20"/>
          <w:szCs w:val="20"/>
        </w:rPr>
        <w:t>5</w:t>
      </w:r>
      <w:r w:rsidRPr="00877381">
        <w:rPr>
          <w:rFonts w:ascii="Arial" w:hAnsi="Arial" w:cs="Arial"/>
          <w:color w:val="auto"/>
          <w:sz w:val="20"/>
          <w:szCs w:val="20"/>
        </w:rPr>
        <w:t>(2):193-197</w:t>
      </w:r>
      <w:r w:rsidR="00F40916">
        <w:rPr>
          <w:rFonts w:ascii="Arial" w:hAnsi="Arial" w:cs="Arial"/>
          <w:color w:val="auto"/>
          <w:sz w:val="20"/>
          <w:szCs w:val="20"/>
        </w:rPr>
        <w:t xml:space="preserve"> </w:t>
      </w:r>
      <w:hyperlink r:id="rId15" w:history="1">
        <w:r w:rsidR="00F40916" w:rsidRPr="005901C0">
          <w:rPr>
            <w:rStyle w:val="Hyperlink"/>
            <w:rFonts w:ascii="Arial" w:hAnsi="Arial" w:cs="Arial"/>
            <w:sz w:val="20"/>
            <w:szCs w:val="20"/>
          </w:rPr>
          <w:t>https://doi.org/10.15740/HAS/ARJSS/5.2/193-197</w:t>
        </w:r>
      </w:hyperlink>
      <w:r w:rsidR="00F40916">
        <w:rPr>
          <w:rFonts w:ascii="Arial" w:hAnsi="Arial" w:cs="Arial"/>
          <w:color w:val="auto"/>
          <w:sz w:val="20"/>
          <w:szCs w:val="20"/>
        </w:rPr>
        <w:t xml:space="preserve"> </w:t>
      </w:r>
      <w:r w:rsidRPr="00877381">
        <w:rPr>
          <w:rFonts w:ascii="Arial" w:hAnsi="Arial" w:cs="Arial"/>
          <w:color w:val="auto"/>
          <w:sz w:val="20"/>
          <w:szCs w:val="20"/>
        </w:rPr>
        <w:t>.</w:t>
      </w:r>
    </w:p>
    <w:p w14:paraId="54131106" w14:textId="1A88B68D" w:rsidR="009C608D" w:rsidRPr="00877381" w:rsidRDefault="009C608D" w:rsidP="00BA0141">
      <w:pPr>
        <w:pStyle w:val="ListParagraph"/>
        <w:numPr>
          <w:ilvl w:val="0"/>
          <w:numId w:val="5"/>
        </w:numPr>
        <w:tabs>
          <w:tab w:val="left" w:pos="90"/>
        </w:tabs>
        <w:spacing w:after="0" w:line="240" w:lineRule="auto"/>
        <w:ind w:left="426" w:hanging="426"/>
        <w:jc w:val="both"/>
        <w:rPr>
          <w:rFonts w:ascii="Arial" w:hAnsi="Arial" w:cs="Arial"/>
          <w:sz w:val="20"/>
          <w:szCs w:val="20"/>
        </w:rPr>
      </w:pPr>
      <w:r w:rsidRPr="00877381">
        <w:rPr>
          <w:rFonts w:ascii="Arial" w:hAnsi="Arial" w:cs="Arial"/>
          <w:sz w:val="20"/>
          <w:szCs w:val="20"/>
        </w:rPr>
        <w:t xml:space="preserve">Ashok </w:t>
      </w:r>
      <w:proofErr w:type="spellStart"/>
      <w:r w:rsidRPr="00877381">
        <w:rPr>
          <w:rFonts w:ascii="Arial" w:hAnsi="Arial" w:cs="Arial"/>
          <w:sz w:val="20"/>
          <w:szCs w:val="20"/>
        </w:rPr>
        <w:t>Baindha</w:t>
      </w:r>
      <w:proofErr w:type="spellEnd"/>
      <w:r w:rsidRPr="00877381">
        <w:rPr>
          <w:rFonts w:ascii="Arial" w:hAnsi="Arial" w:cs="Arial"/>
          <w:sz w:val="20"/>
          <w:szCs w:val="20"/>
        </w:rPr>
        <w:t xml:space="preserve">, Gopal </w:t>
      </w:r>
      <w:proofErr w:type="spellStart"/>
      <w:r w:rsidRPr="00877381">
        <w:rPr>
          <w:rFonts w:ascii="Arial" w:hAnsi="Arial" w:cs="Arial"/>
          <w:sz w:val="20"/>
          <w:szCs w:val="20"/>
        </w:rPr>
        <w:t>Sankhala</w:t>
      </w:r>
      <w:proofErr w:type="spellEnd"/>
      <w:r w:rsidRPr="00877381">
        <w:rPr>
          <w:rFonts w:ascii="Arial" w:hAnsi="Arial" w:cs="Arial"/>
          <w:sz w:val="20"/>
          <w:szCs w:val="20"/>
        </w:rPr>
        <w:t xml:space="preserve"> and Subhash Chand. 2019. Entrepreneurial behaviour </w:t>
      </w:r>
      <w:r w:rsidR="004839E3" w:rsidRPr="00877381">
        <w:rPr>
          <w:rFonts w:ascii="Arial" w:hAnsi="Arial" w:cs="Arial"/>
          <w:sz w:val="20"/>
          <w:szCs w:val="20"/>
        </w:rPr>
        <w:t>of Milk</w:t>
      </w:r>
      <w:r w:rsidRPr="00877381">
        <w:rPr>
          <w:rFonts w:ascii="Arial" w:hAnsi="Arial" w:cs="Arial"/>
          <w:sz w:val="20"/>
          <w:szCs w:val="20"/>
        </w:rPr>
        <w:t xml:space="preserve"> Processors, </w:t>
      </w:r>
      <w:r w:rsidRPr="00877381">
        <w:rPr>
          <w:rFonts w:ascii="Arial" w:hAnsi="Arial" w:cs="Arial"/>
          <w:i/>
          <w:iCs/>
          <w:sz w:val="20"/>
          <w:szCs w:val="20"/>
        </w:rPr>
        <w:t>Indian Research Journal Extension Education</w:t>
      </w:r>
      <w:r w:rsidRPr="00877381">
        <w:rPr>
          <w:rFonts w:ascii="Arial" w:hAnsi="Arial" w:cs="Arial"/>
          <w:sz w:val="20"/>
          <w:szCs w:val="20"/>
        </w:rPr>
        <w:t>, 19(2&amp;3): 29-31.</w:t>
      </w:r>
      <w:r w:rsidR="00F40916">
        <w:rPr>
          <w:rFonts w:ascii="Arial" w:hAnsi="Arial" w:cs="Arial"/>
          <w:sz w:val="20"/>
          <w:szCs w:val="20"/>
        </w:rPr>
        <w:t xml:space="preserve"> </w:t>
      </w:r>
      <w:hyperlink r:id="rId16" w:history="1">
        <w:r w:rsidR="00F40916" w:rsidRPr="005901C0">
          <w:rPr>
            <w:rStyle w:val="Hyperlink"/>
            <w:rFonts w:ascii="Arial" w:hAnsi="Arial" w:cs="Arial"/>
            <w:sz w:val="20"/>
            <w:szCs w:val="20"/>
          </w:rPr>
          <w:t>https://www.researchgate.net/publication/335090000_Entrepreneurial_Behaviour_of_Milk_Processors</w:t>
        </w:r>
      </w:hyperlink>
      <w:r w:rsidR="00F40916">
        <w:rPr>
          <w:rFonts w:ascii="Arial" w:hAnsi="Arial" w:cs="Arial"/>
          <w:sz w:val="20"/>
          <w:szCs w:val="20"/>
        </w:rPr>
        <w:t xml:space="preserve"> </w:t>
      </w:r>
    </w:p>
    <w:p w14:paraId="7A80ED51" w14:textId="376ADAF9" w:rsidR="009C608D" w:rsidRDefault="009C608D" w:rsidP="00BA0141">
      <w:pPr>
        <w:pStyle w:val="ListParagraph"/>
        <w:numPr>
          <w:ilvl w:val="0"/>
          <w:numId w:val="5"/>
        </w:numPr>
        <w:spacing w:after="0" w:line="240" w:lineRule="auto"/>
        <w:ind w:left="426" w:hanging="426"/>
        <w:jc w:val="both"/>
        <w:rPr>
          <w:rFonts w:ascii="Arial" w:hAnsi="Arial" w:cs="Arial"/>
          <w:sz w:val="20"/>
          <w:szCs w:val="20"/>
        </w:rPr>
      </w:pPr>
      <w:r w:rsidRPr="00877381">
        <w:rPr>
          <w:rFonts w:ascii="Arial" w:hAnsi="Arial" w:cs="Arial"/>
          <w:sz w:val="20"/>
          <w:szCs w:val="20"/>
        </w:rPr>
        <w:t>Kaviya, P., Manivannan, N., &amp; Natarajan, M. (2024). Knowledge Level of Tribal Beneficiaries towards Pradhan Mantri Kisan Samman Nidhi (PM-KISAN) Scheme. </w:t>
      </w:r>
      <w:r w:rsidRPr="00877381">
        <w:rPr>
          <w:rFonts w:ascii="Arial" w:hAnsi="Arial" w:cs="Arial"/>
          <w:i/>
          <w:iCs/>
          <w:sz w:val="20"/>
          <w:szCs w:val="20"/>
        </w:rPr>
        <w:t>International Journal of Social Science</w:t>
      </w:r>
      <w:r w:rsidRPr="00877381">
        <w:rPr>
          <w:rFonts w:ascii="Arial" w:hAnsi="Arial" w:cs="Arial"/>
          <w:sz w:val="20"/>
          <w:szCs w:val="20"/>
        </w:rPr>
        <w:t>, </w:t>
      </w:r>
      <w:r w:rsidRPr="00877381">
        <w:rPr>
          <w:rFonts w:ascii="Arial" w:hAnsi="Arial" w:cs="Arial"/>
          <w:i/>
          <w:iCs/>
          <w:sz w:val="20"/>
          <w:szCs w:val="20"/>
        </w:rPr>
        <w:t>13</w:t>
      </w:r>
      <w:r w:rsidRPr="00877381">
        <w:rPr>
          <w:rFonts w:ascii="Arial" w:hAnsi="Arial" w:cs="Arial"/>
          <w:sz w:val="20"/>
          <w:szCs w:val="20"/>
        </w:rPr>
        <w:t>(3), 135-137.</w:t>
      </w:r>
      <w:r w:rsidR="00F40916">
        <w:rPr>
          <w:rFonts w:ascii="Arial" w:hAnsi="Arial" w:cs="Arial"/>
          <w:sz w:val="20"/>
          <w:szCs w:val="20"/>
        </w:rPr>
        <w:t xml:space="preserve"> </w:t>
      </w:r>
      <w:hyperlink r:id="rId17" w:history="1">
        <w:r w:rsidR="00F40916" w:rsidRPr="005901C0">
          <w:rPr>
            <w:rStyle w:val="Hyperlink"/>
            <w:rFonts w:ascii="Arial" w:hAnsi="Arial" w:cs="Arial"/>
            <w:sz w:val="20"/>
            <w:szCs w:val="20"/>
          </w:rPr>
          <w:t>https://doi.org/10.46852/2249-6637.03.2024.5</w:t>
        </w:r>
      </w:hyperlink>
      <w:r w:rsidR="00F40916">
        <w:rPr>
          <w:rFonts w:ascii="Arial" w:hAnsi="Arial" w:cs="Arial"/>
          <w:sz w:val="20"/>
          <w:szCs w:val="20"/>
        </w:rPr>
        <w:t xml:space="preserve"> </w:t>
      </w:r>
    </w:p>
    <w:p w14:paraId="16DB20CD" w14:textId="3B5E0448" w:rsidR="00D40AE2" w:rsidRPr="00877381" w:rsidRDefault="00D40AE2" w:rsidP="00BA0141">
      <w:pPr>
        <w:pStyle w:val="ListParagraph"/>
        <w:numPr>
          <w:ilvl w:val="0"/>
          <w:numId w:val="5"/>
        </w:numPr>
        <w:spacing w:after="0" w:line="240" w:lineRule="auto"/>
        <w:ind w:left="426" w:hanging="426"/>
        <w:jc w:val="both"/>
        <w:rPr>
          <w:rFonts w:ascii="Arial" w:hAnsi="Arial" w:cs="Arial"/>
          <w:sz w:val="20"/>
          <w:szCs w:val="20"/>
        </w:rPr>
      </w:pPr>
      <w:r w:rsidRPr="00D40AE2">
        <w:rPr>
          <w:rFonts w:ascii="Arial" w:hAnsi="Arial" w:cs="Arial"/>
          <w:sz w:val="20"/>
          <w:szCs w:val="20"/>
        </w:rPr>
        <w:t xml:space="preserve">Kaviya P., N Manivannan, M Natarajan. Assessing the Socio-Economic Impact of IAMWARM on Rural Beneficiaries in Tiruchirappalli District of Tamil Nadu, India. Journal of Scientific Research and Reports, 2025, 31 (7), pp.385-392. </w:t>
      </w:r>
      <w:r w:rsidRPr="00D40AE2">
        <w:rPr>
          <w:rFonts w:ascii="Cambria Math" w:hAnsi="Cambria Math" w:cs="Cambria Math"/>
          <w:sz w:val="20"/>
          <w:szCs w:val="20"/>
        </w:rPr>
        <w:t>⟨</w:t>
      </w:r>
      <w:r w:rsidRPr="00D40AE2">
        <w:rPr>
          <w:rFonts w:ascii="Arial" w:hAnsi="Arial" w:cs="Arial"/>
          <w:sz w:val="20"/>
          <w:szCs w:val="20"/>
        </w:rPr>
        <w:t>hal-05147147</w:t>
      </w:r>
      <w:r w:rsidRPr="00D40AE2">
        <w:rPr>
          <w:rFonts w:ascii="Cambria Math" w:hAnsi="Cambria Math" w:cs="Cambria Math"/>
          <w:sz w:val="20"/>
          <w:szCs w:val="20"/>
        </w:rPr>
        <w:t>⟩</w:t>
      </w:r>
      <w:r w:rsidR="00F40916">
        <w:rPr>
          <w:rFonts w:ascii="Cambria Math" w:hAnsi="Cambria Math" w:cs="Cambria Math"/>
          <w:sz w:val="20"/>
          <w:szCs w:val="20"/>
        </w:rPr>
        <w:t xml:space="preserve"> </w:t>
      </w:r>
      <w:hyperlink r:id="rId18" w:history="1">
        <w:r w:rsidR="00F40916" w:rsidRPr="005901C0">
          <w:rPr>
            <w:rStyle w:val="Hyperlink"/>
            <w:rFonts w:ascii="Cambria Math" w:hAnsi="Cambria Math" w:cs="Cambria Math"/>
            <w:sz w:val="20"/>
            <w:szCs w:val="20"/>
          </w:rPr>
          <w:t>https://doi.org/10.9734/jsrr/2025/v31i73255</w:t>
        </w:r>
      </w:hyperlink>
      <w:r w:rsidR="00F40916">
        <w:rPr>
          <w:rFonts w:ascii="Cambria Math" w:hAnsi="Cambria Math" w:cs="Cambria Math"/>
          <w:sz w:val="20"/>
          <w:szCs w:val="20"/>
        </w:rPr>
        <w:t xml:space="preserve"> </w:t>
      </w:r>
    </w:p>
    <w:p w14:paraId="71FC7ED0" w14:textId="77777777" w:rsidR="00FE3904" w:rsidRPr="00866FBF" w:rsidRDefault="00FE3904" w:rsidP="00AF7760">
      <w:pPr>
        <w:pStyle w:val="ListParagraph"/>
        <w:rPr>
          <w:rFonts w:ascii="Arial" w:hAnsi="Arial" w:cs="Arial"/>
        </w:rPr>
      </w:pPr>
    </w:p>
    <w:p w14:paraId="708ECCD4" w14:textId="77777777" w:rsidR="009C608D" w:rsidRPr="00866FBF" w:rsidRDefault="009C608D" w:rsidP="009C608D">
      <w:pPr>
        <w:rPr>
          <w:rFonts w:ascii="Arial" w:hAnsi="Arial" w:cs="Arial"/>
        </w:rPr>
      </w:pPr>
    </w:p>
    <w:sectPr w:rsidR="009C608D" w:rsidRPr="00866FBF" w:rsidSect="009C608D">
      <w:headerReference w:type="even" r:id="rId19"/>
      <w:headerReference w:type="default" r:id="rId20"/>
      <w:footerReference w:type="even" r:id="rId21"/>
      <w:footerReference w:type="default" r:id="rId22"/>
      <w:headerReference w:type="first" r:id="rId23"/>
      <w:footerReference w:type="first" r:id="rId24"/>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17D10" w14:textId="77777777" w:rsidR="00CF6059" w:rsidRDefault="00CF6059" w:rsidP="00CF520D">
      <w:pPr>
        <w:spacing w:after="0" w:line="240" w:lineRule="auto"/>
      </w:pPr>
      <w:r>
        <w:separator/>
      </w:r>
    </w:p>
  </w:endnote>
  <w:endnote w:type="continuationSeparator" w:id="0">
    <w:p w14:paraId="78877474" w14:textId="77777777" w:rsidR="00CF6059" w:rsidRDefault="00CF6059" w:rsidP="00CF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1D889" w14:textId="77777777" w:rsidR="00704045" w:rsidRDefault="00704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5F5B3" w14:textId="77777777" w:rsidR="00704045" w:rsidRDefault="00704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D7AF" w14:textId="77777777" w:rsidR="00704045" w:rsidRDefault="00704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6015C" w14:textId="77777777" w:rsidR="00CF6059" w:rsidRDefault="00CF6059" w:rsidP="00CF520D">
      <w:pPr>
        <w:spacing w:after="0" w:line="240" w:lineRule="auto"/>
      </w:pPr>
      <w:r>
        <w:separator/>
      </w:r>
    </w:p>
  </w:footnote>
  <w:footnote w:type="continuationSeparator" w:id="0">
    <w:p w14:paraId="48A8BC25" w14:textId="77777777" w:rsidR="00CF6059" w:rsidRDefault="00CF6059" w:rsidP="00CF5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B92B2" w14:textId="3C051BF8" w:rsidR="00704045" w:rsidRDefault="00704045">
    <w:pPr>
      <w:pStyle w:val="Header"/>
    </w:pPr>
    <w:r>
      <w:rPr>
        <w:noProof/>
      </w:rPr>
      <w:pict w14:anchorId="3D6DE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5785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EDF33" w14:textId="425FAE74" w:rsidR="00704045" w:rsidRDefault="00704045">
    <w:pPr>
      <w:pStyle w:val="Header"/>
    </w:pPr>
    <w:r>
      <w:rPr>
        <w:noProof/>
      </w:rPr>
      <w:pict w14:anchorId="3D3C0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5785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C9523" w14:textId="18AE873E" w:rsidR="00704045" w:rsidRDefault="00704045">
    <w:pPr>
      <w:pStyle w:val="Header"/>
    </w:pPr>
    <w:r>
      <w:rPr>
        <w:noProof/>
      </w:rPr>
      <w:pict w14:anchorId="425D8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5785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E61B4"/>
    <w:multiLevelType w:val="hybridMultilevel"/>
    <w:tmpl w:val="15D6341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32E82C5C"/>
    <w:multiLevelType w:val="hybridMultilevel"/>
    <w:tmpl w:val="9B6041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83C0303"/>
    <w:multiLevelType w:val="hybridMultilevel"/>
    <w:tmpl w:val="B5EEFA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0BE08B3"/>
    <w:multiLevelType w:val="hybridMultilevel"/>
    <w:tmpl w:val="6B10D7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AE418FC"/>
    <w:multiLevelType w:val="hybridMultilevel"/>
    <w:tmpl w:val="AA1800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41416CE"/>
    <w:multiLevelType w:val="multilevel"/>
    <w:tmpl w:val="3BE0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1D39F9"/>
    <w:multiLevelType w:val="hybridMultilevel"/>
    <w:tmpl w:val="8D602322"/>
    <w:lvl w:ilvl="0" w:tplc="3B42D6CA">
      <w:start w:val="1"/>
      <w:numFmt w:val="decimal"/>
      <w:lvlText w:val="%1."/>
      <w:lvlJc w:val="left"/>
      <w:pPr>
        <w:ind w:left="786" w:hanging="360"/>
      </w:pPr>
      <w:rPr>
        <w:b w:val="0"/>
        <w:b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BC"/>
    <w:rsid w:val="0000068A"/>
    <w:rsid w:val="00003598"/>
    <w:rsid w:val="00023A04"/>
    <w:rsid w:val="00044082"/>
    <w:rsid w:val="00063D98"/>
    <w:rsid w:val="0006459E"/>
    <w:rsid w:val="00074A4C"/>
    <w:rsid w:val="00082850"/>
    <w:rsid w:val="00086628"/>
    <w:rsid w:val="00091286"/>
    <w:rsid w:val="000968DB"/>
    <w:rsid w:val="000974C5"/>
    <w:rsid w:val="000C5A1C"/>
    <w:rsid w:val="000D1D95"/>
    <w:rsid w:val="000F7DF3"/>
    <w:rsid w:val="001066F4"/>
    <w:rsid w:val="0011316A"/>
    <w:rsid w:val="001413C5"/>
    <w:rsid w:val="00143142"/>
    <w:rsid w:val="00156482"/>
    <w:rsid w:val="00162651"/>
    <w:rsid w:val="00182C71"/>
    <w:rsid w:val="00183C1E"/>
    <w:rsid w:val="00187E18"/>
    <w:rsid w:val="001955F7"/>
    <w:rsid w:val="001B2DB5"/>
    <w:rsid w:val="001C2690"/>
    <w:rsid w:val="001C43ED"/>
    <w:rsid w:val="001C6953"/>
    <w:rsid w:val="001D27D2"/>
    <w:rsid w:val="001E6262"/>
    <w:rsid w:val="001F6A78"/>
    <w:rsid w:val="002142EB"/>
    <w:rsid w:val="00214D60"/>
    <w:rsid w:val="00222919"/>
    <w:rsid w:val="002273EB"/>
    <w:rsid w:val="00227406"/>
    <w:rsid w:val="00263502"/>
    <w:rsid w:val="0026595C"/>
    <w:rsid w:val="00285FF7"/>
    <w:rsid w:val="002957F3"/>
    <w:rsid w:val="002A2738"/>
    <w:rsid w:val="002C2E13"/>
    <w:rsid w:val="002C3B26"/>
    <w:rsid w:val="002C6AB9"/>
    <w:rsid w:val="002E0CA1"/>
    <w:rsid w:val="002E5942"/>
    <w:rsid w:val="00302251"/>
    <w:rsid w:val="00312A40"/>
    <w:rsid w:val="003134FD"/>
    <w:rsid w:val="00315CB6"/>
    <w:rsid w:val="00325FFB"/>
    <w:rsid w:val="0033255E"/>
    <w:rsid w:val="0035026E"/>
    <w:rsid w:val="0038018A"/>
    <w:rsid w:val="003860A4"/>
    <w:rsid w:val="00395CAF"/>
    <w:rsid w:val="003B379A"/>
    <w:rsid w:val="003C03DB"/>
    <w:rsid w:val="003C538F"/>
    <w:rsid w:val="003E16A1"/>
    <w:rsid w:val="003F28AE"/>
    <w:rsid w:val="00410951"/>
    <w:rsid w:val="0043268F"/>
    <w:rsid w:val="004339D5"/>
    <w:rsid w:val="00433DD8"/>
    <w:rsid w:val="004406BA"/>
    <w:rsid w:val="00457901"/>
    <w:rsid w:val="00481E71"/>
    <w:rsid w:val="00482B5F"/>
    <w:rsid w:val="004839E3"/>
    <w:rsid w:val="0048612F"/>
    <w:rsid w:val="004A55BC"/>
    <w:rsid w:val="004B2690"/>
    <w:rsid w:val="004C74D1"/>
    <w:rsid w:val="004F28F5"/>
    <w:rsid w:val="005070AB"/>
    <w:rsid w:val="00533F96"/>
    <w:rsid w:val="00567BD2"/>
    <w:rsid w:val="0057034E"/>
    <w:rsid w:val="00581E7A"/>
    <w:rsid w:val="00585FC0"/>
    <w:rsid w:val="00595CB8"/>
    <w:rsid w:val="00596A9F"/>
    <w:rsid w:val="005B14FB"/>
    <w:rsid w:val="005B16E9"/>
    <w:rsid w:val="005D1600"/>
    <w:rsid w:val="005D4889"/>
    <w:rsid w:val="005D5C8F"/>
    <w:rsid w:val="005E6C4F"/>
    <w:rsid w:val="005F3690"/>
    <w:rsid w:val="005F4110"/>
    <w:rsid w:val="005F5282"/>
    <w:rsid w:val="005F65B3"/>
    <w:rsid w:val="005F6A83"/>
    <w:rsid w:val="0060230F"/>
    <w:rsid w:val="00621285"/>
    <w:rsid w:val="006352A1"/>
    <w:rsid w:val="00640101"/>
    <w:rsid w:val="00640F33"/>
    <w:rsid w:val="00643AC5"/>
    <w:rsid w:val="00656F0D"/>
    <w:rsid w:val="00685836"/>
    <w:rsid w:val="00693F13"/>
    <w:rsid w:val="006A3160"/>
    <w:rsid w:val="006A43B2"/>
    <w:rsid w:val="006A797E"/>
    <w:rsid w:val="006C2643"/>
    <w:rsid w:val="006C63F8"/>
    <w:rsid w:val="006F11CD"/>
    <w:rsid w:val="007033B7"/>
    <w:rsid w:val="00704045"/>
    <w:rsid w:val="00706F87"/>
    <w:rsid w:val="00720600"/>
    <w:rsid w:val="0072121B"/>
    <w:rsid w:val="00724225"/>
    <w:rsid w:val="007359B5"/>
    <w:rsid w:val="00735D51"/>
    <w:rsid w:val="0074687C"/>
    <w:rsid w:val="00747D22"/>
    <w:rsid w:val="0075217C"/>
    <w:rsid w:val="007649DD"/>
    <w:rsid w:val="00777383"/>
    <w:rsid w:val="0078065F"/>
    <w:rsid w:val="007964B8"/>
    <w:rsid w:val="00797AAE"/>
    <w:rsid w:val="007B19DD"/>
    <w:rsid w:val="007B661D"/>
    <w:rsid w:val="007C0142"/>
    <w:rsid w:val="007F1836"/>
    <w:rsid w:val="007F3163"/>
    <w:rsid w:val="007F41F6"/>
    <w:rsid w:val="00816497"/>
    <w:rsid w:val="0082146E"/>
    <w:rsid w:val="00822BCA"/>
    <w:rsid w:val="00822EAC"/>
    <w:rsid w:val="0082494F"/>
    <w:rsid w:val="00827B18"/>
    <w:rsid w:val="00843138"/>
    <w:rsid w:val="0084744C"/>
    <w:rsid w:val="0086254A"/>
    <w:rsid w:val="00866FBF"/>
    <w:rsid w:val="008753B3"/>
    <w:rsid w:val="00877381"/>
    <w:rsid w:val="00877ECC"/>
    <w:rsid w:val="008C6A66"/>
    <w:rsid w:val="008D55C9"/>
    <w:rsid w:val="008E0C3D"/>
    <w:rsid w:val="00907F8D"/>
    <w:rsid w:val="00910F68"/>
    <w:rsid w:val="00915D21"/>
    <w:rsid w:val="00916423"/>
    <w:rsid w:val="0093260F"/>
    <w:rsid w:val="00951C0C"/>
    <w:rsid w:val="00956805"/>
    <w:rsid w:val="009A2D6C"/>
    <w:rsid w:val="009C0355"/>
    <w:rsid w:val="009C571F"/>
    <w:rsid w:val="009C5B14"/>
    <w:rsid w:val="009C608D"/>
    <w:rsid w:val="009D1826"/>
    <w:rsid w:val="009D248F"/>
    <w:rsid w:val="009F755B"/>
    <w:rsid w:val="00A07AB6"/>
    <w:rsid w:val="00A11DAB"/>
    <w:rsid w:val="00A24C8D"/>
    <w:rsid w:val="00A40AE6"/>
    <w:rsid w:val="00A44FB0"/>
    <w:rsid w:val="00A6738E"/>
    <w:rsid w:val="00A67EDF"/>
    <w:rsid w:val="00A838F1"/>
    <w:rsid w:val="00A86CE9"/>
    <w:rsid w:val="00A94D21"/>
    <w:rsid w:val="00AA0DFB"/>
    <w:rsid w:val="00AA5757"/>
    <w:rsid w:val="00AC257B"/>
    <w:rsid w:val="00AC471A"/>
    <w:rsid w:val="00AD28C8"/>
    <w:rsid w:val="00AF7760"/>
    <w:rsid w:val="00B03E3D"/>
    <w:rsid w:val="00B07C99"/>
    <w:rsid w:val="00B136EA"/>
    <w:rsid w:val="00B20B4A"/>
    <w:rsid w:val="00B27BF1"/>
    <w:rsid w:val="00B410A4"/>
    <w:rsid w:val="00B52946"/>
    <w:rsid w:val="00B7138D"/>
    <w:rsid w:val="00B74787"/>
    <w:rsid w:val="00B848D8"/>
    <w:rsid w:val="00B85221"/>
    <w:rsid w:val="00BA0141"/>
    <w:rsid w:val="00BB5404"/>
    <w:rsid w:val="00BD70BC"/>
    <w:rsid w:val="00C14B8A"/>
    <w:rsid w:val="00C319FD"/>
    <w:rsid w:val="00C419AD"/>
    <w:rsid w:val="00C46FB3"/>
    <w:rsid w:val="00C4737A"/>
    <w:rsid w:val="00C51148"/>
    <w:rsid w:val="00C5614A"/>
    <w:rsid w:val="00C702DC"/>
    <w:rsid w:val="00C80468"/>
    <w:rsid w:val="00C974CF"/>
    <w:rsid w:val="00CA0B71"/>
    <w:rsid w:val="00CB2928"/>
    <w:rsid w:val="00CB30EA"/>
    <w:rsid w:val="00CC24BC"/>
    <w:rsid w:val="00CD6699"/>
    <w:rsid w:val="00CF520D"/>
    <w:rsid w:val="00CF6059"/>
    <w:rsid w:val="00D02C6A"/>
    <w:rsid w:val="00D323AB"/>
    <w:rsid w:val="00D37BEA"/>
    <w:rsid w:val="00D40AE2"/>
    <w:rsid w:val="00D62294"/>
    <w:rsid w:val="00D6798C"/>
    <w:rsid w:val="00D92547"/>
    <w:rsid w:val="00D9351A"/>
    <w:rsid w:val="00D95158"/>
    <w:rsid w:val="00DA600A"/>
    <w:rsid w:val="00DC3ABD"/>
    <w:rsid w:val="00DC5DEF"/>
    <w:rsid w:val="00DD634D"/>
    <w:rsid w:val="00DD7C84"/>
    <w:rsid w:val="00DE0F65"/>
    <w:rsid w:val="00DF05E8"/>
    <w:rsid w:val="00DF0C2C"/>
    <w:rsid w:val="00DF4E86"/>
    <w:rsid w:val="00DF7AD7"/>
    <w:rsid w:val="00E02B88"/>
    <w:rsid w:val="00E03775"/>
    <w:rsid w:val="00E14CAF"/>
    <w:rsid w:val="00E164DB"/>
    <w:rsid w:val="00E203C0"/>
    <w:rsid w:val="00E46DAF"/>
    <w:rsid w:val="00E54C22"/>
    <w:rsid w:val="00E67A1F"/>
    <w:rsid w:val="00E74CEA"/>
    <w:rsid w:val="00E81CFA"/>
    <w:rsid w:val="00E84174"/>
    <w:rsid w:val="00E85F0F"/>
    <w:rsid w:val="00E87845"/>
    <w:rsid w:val="00E87D50"/>
    <w:rsid w:val="00E91DDE"/>
    <w:rsid w:val="00EA6916"/>
    <w:rsid w:val="00ED35F2"/>
    <w:rsid w:val="00EF1EC2"/>
    <w:rsid w:val="00EF5C16"/>
    <w:rsid w:val="00F05C57"/>
    <w:rsid w:val="00F261A9"/>
    <w:rsid w:val="00F3656C"/>
    <w:rsid w:val="00F40916"/>
    <w:rsid w:val="00F54FF1"/>
    <w:rsid w:val="00F76D17"/>
    <w:rsid w:val="00F94950"/>
    <w:rsid w:val="00F9734E"/>
    <w:rsid w:val="00FA18F5"/>
    <w:rsid w:val="00FA2917"/>
    <w:rsid w:val="00FA5C06"/>
    <w:rsid w:val="00FB1424"/>
    <w:rsid w:val="00FB7051"/>
    <w:rsid w:val="00FC26C1"/>
    <w:rsid w:val="00FC61CA"/>
    <w:rsid w:val="00FD1BF4"/>
    <w:rsid w:val="00FE2665"/>
    <w:rsid w:val="00FE3904"/>
    <w:rsid w:val="00FE3DE9"/>
    <w:rsid w:val="00FF3AA5"/>
    <w:rsid w:val="00FF53A5"/>
    <w:rsid w:val="00FF5442"/>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58B94A"/>
  <w15:chartTrackingRefBased/>
  <w15:docId w15:val="{538758D8-56B3-4D70-A791-701B6EFD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0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70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D70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70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9"/>
    <w:unhideWhenUsed/>
    <w:qFormat/>
    <w:rsid w:val="00BD70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70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0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0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0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70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D70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70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9"/>
    <w:rsid w:val="00BD70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7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0BC"/>
    <w:rPr>
      <w:rFonts w:eastAsiaTheme="majorEastAsia" w:cstheme="majorBidi"/>
      <w:color w:val="272727" w:themeColor="text1" w:themeTint="D8"/>
    </w:rPr>
  </w:style>
  <w:style w:type="paragraph" w:styleId="Title">
    <w:name w:val="Title"/>
    <w:basedOn w:val="Normal"/>
    <w:next w:val="Normal"/>
    <w:link w:val="TitleChar"/>
    <w:uiPriority w:val="10"/>
    <w:qFormat/>
    <w:rsid w:val="00BD7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0BC"/>
    <w:pPr>
      <w:spacing w:before="160"/>
      <w:jc w:val="center"/>
    </w:pPr>
    <w:rPr>
      <w:i/>
      <w:iCs/>
      <w:color w:val="404040" w:themeColor="text1" w:themeTint="BF"/>
    </w:rPr>
  </w:style>
  <w:style w:type="character" w:customStyle="1" w:styleId="QuoteChar">
    <w:name w:val="Quote Char"/>
    <w:basedOn w:val="DefaultParagraphFont"/>
    <w:link w:val="Quote"/>
    <w:uiPriority w:val="29"/>
    <w:rsid w:val="00BD70BC"/>
    <w:rPr>
      <w:i/>
      <w:iCs/>
      <w:color w:val="404040" w:themeColor="text1" w:themeTint="BF"/>
    </w:rPr>
  </w:style>
  <w:style w:type="paragraph" w:styleId="ListParagraph">
    <w:name w:val="List Paragraph"/>
    <w:basedOn w:val="Normal"/>
    <w:uiPriority w:val="34"/>
    <w:qFormat/>
    <w:rsid w:val="00BD70BC"/>
    <w:pPr>
      <w:ind w:left="720"/>
      <w:contextualSpacing/>
    </w:pPr>
  </w:style>
  <w:style w:type="character" w:styleId="IntenseEmphasis">
    <w:name w:val="Intense Emphasis"/>
    <w:basedOn w:val="DefaultParagraphFont"/>
    <w:uiPriority w:val="21"/>
    <w:qFormat/>
    <w:rsid w:val="00BD70BC"/>
    <w:rPr>
      <w:i/>
      <w:iCs/>
      <w:color w:val="2F5496" w:themeColor="accent1" w:themeShade="BF"/>
    </w:rPr>
  </w:style>
  <w:style w:type="paragraph" w:styleId="IntenseQuote">
    <w:name w:val="Intense Quote"/>
    <w:basedOn w:val="Normal"/>
    <w:next w:val="Normal"/>
    <w:link w:val="IntenseQuoteChar"/>
    <w:uiPriority w:val="30"/>
    <w:qFormat/>
    <w:rsid w:val="00BD70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70BC"/>
    <w:rPr>
      <w:i/>
      <w:iCs/>
      <w:color w:val="2F5496" w:themeColor="accent1" w:themeShade="BF"/>
    </w:rPr>
  </w:style>
  <w:style w:type="character" w:styleId="IntenseReference">
    <w:name w:val="Intense Reference"/>
    <w:basedOn w:val="DefaultParagraphFont"/>
    <w:uiPriority w:val="32"/>
    <w:qFormat/>
    <w:rsid w:val="00BD70BC"/>
    <w:rPr>
      <w:b/>
      <w:bCs/>
      <w:smallCaps/>
      <w:color w:val="2F5496" w:themeColor="accent1" w:themeShade="BF"/>
      <w:spacing w:val="5"/>
    </w:rPr>
  </w:style>
  <w:style w:type="character" w:styleId="Hyperlink">
    <w:name w:val="Hyperlink"/>
    <w:basedOn w:val="DefaultParagraphFont"/>
    <w:uiPriority w:val="99"/>
    <w:unhideWhenUsed/>
    <w:rsid w:val="001C2690"/>
    <w:rPr>
      <w:color w:val="0563C1" w:themeColor="hyperlink"/>
      <w:u w:val="single"/>
    </w:rPr>
  </w:style>
  <w:style w:type="table" w:styleId="TableGrid">
    <w:name w:val="Table Grid"/>
    <w:basedOn w:val="TableNormal"/>
    <w:uiPriority w:val="59"/>
    <w:rsid w:val="00C46FB3"/>
    <w:pPr>
      <w:spacing w:after="0" w:line="240" w:lineRule="auto"/>
    </w:pPr>
    <w:rPr>
      <w:rFonts w:eastAsiaTheme="minorEastAsia"/>
      <w:kern w:val="0"/>
      <w:lang w:eastAsia="en-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5F369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5F3690"/>
    <w:rPr>
      <w:b/>
      <w:bCs/>
    </w:rPr>
  </w:style>
  <w:style w:type="paragraph" w:styleId="Header">
    <w:name w:val="header"/>
    <w:basedOn w:val="Normal"/>
    <w:link w:val="HeaderChar"/>
    <w:uiPriority w:val="99"/>
    <w:unhideWhenUsed/>
    <w:rsid w:val="00CF5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20D"/>
  </w:style>
  <w:style w:type="paragraph" w:styleId="Footer">
    <w:name w:val="footer"/>
    <w:basedOn w:val="Normal"/>
    <w:link w:val="FooterChar"/>
    <w:uiPriority w:val="99"/>
    <w:unhideWhenUsed/>
    <w:rsid w:val="00CF5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20D"/>
  </w:style>
  <w:style w:type="character" w:customStyle="1" w:styleId="Bodytext9pt2">
    <w:name w:val="Body text + 9 pt2"/>
    <w:aliases w:val="Italic2,Spacing 0 pt2"/>
    <w:basedOn w:val="DefaultParagraphFont"/>
    <w:uiPriority w:val="99"/>
    <w:rsid w:val="00187E18"/>
    <w:rPr>
      <w:rFonts w:ascii="Bookman Old Style" w:hAnsi="Bookman Old Style" w:cs="Bookman Old Style"/>
      <w:spacing w:val="0"/>
      <w:sz w:val="18"/>
      <w:szCs w:val="18"/>
      <w:shd w:val="clear" w:color="auto" w:fill="FFFFFF"/>
    </w:rPr>
  </w:style>
  <w:style w:type="character" w:customStyle="1" w:styleId="19">
    <w:name w:val="19"/>
    <w:basedOn w:val="DefaultParagraphFont"/>
    <w:rsid w:val="00581E7A"/>
    <w:rPr>
      <w:rFonts w:ascii="Bookman Old Style" w:hAnsi="Bookman Old Style" w:hint="default"/>
      <w:b/>
      <w:bCs/>
      <w:sz w:val="17"/>
      <w:szCs w:val="17"/>
      <w:shd w:val="clear" w:color="auto" w:fill="FFFFFF"/>
    </w:rPr>
  </w:style>
  <w:style w:type="character" w:styleId="UnresolvedMention">
    <w:name w:val="Unresolved Mention"/>
    <w:basedOn w:val="DefaultParagraphFont"/>
    <w:uiPriority w:val="99"/>
    <w:semiHidden/>
    <w:unhideWhenUsed/>
    <w:rsid w:val="00827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14452">
      <w:bodyDiv w:val="1"/>
      <w:marLeft w:val="0"/>
      <w:marRight w:val="0"/>
      <w:marTop w:val="0"/>
      <w:marBottom w:val="0"/>
      <w:divBdr>
        <w:top w:val="none" w:sz="0" w:space="0" w:color="auto"/>
        <w:left w:val="none" w:sz="0" w:space="0" w:color="auto"/>
        <w:bottom w:val="none" w:sz="0" w:space="0" w:color="auto"/>
        <w:right w:val="none" w:sz="0" w:space="0" w:color="auto"/>
      </w:divBdr>
    </w:div>
    <w:div w:id="393745960">
      <w:bodyDiv w:val="1"/>
      <w:marLeft w:val="0"/>
      <w:marRight w:val="0"/>
      <w:marTop w:val="0"/>
      <w:marBottom w:val="0"/>
      <w:divBdr>
        <w:top w:val="none" w:sz="0" w:space="0" w:color="auto"/>
        <w:left w:val="none" w:sz="0" w:space="0" w:color="auto"/>
        <w:bottom w:val="none" w:sz="0" w:space="0" w:color="auto"/>
        <w:right w:val="none" w:sz="0" w:space="0" w:color="auto"/>
      </w:divBdr>
    </w:div>
    <w:div w:id="424881965">
      <w:bodyDiv w:val="1"/>
      <w:marLeft w:val="0"/>
      <w:marRight w:val="0"/>
      <w:marTop w:val="0"/>
      <w:marBottom w:val="0"/>
      <w:divBdr>
        <w:top w:val="none" w:sz="0" w:space="0" w:color="auto"/>
        <w:left w:val="none" w:sz="0" w:space="0" w:color="auto"/>
        <w:bottom w:val="none" w:sz="0" w:space="0" w:color="auto"/>
        <w:right w:val="none" w:sz="0" w:space="0" w:color="auto"/>
      </w:divBdr>
    </w:div>
    <w:div w:id="476725189">
      <w:bodyDiv w:val="1"/>
      <w:marLeft w:val="0"/>
      <w:marRight w:val="0"/>
      <w:marTop w:val="0"/>
      <w:marBottom w:val="0"/>
      <w:divBdr>
        <w:top w:val="none" w:sz="0" w:space="0" w:color="auto"/>
        <w:left w:val="none" w:sz="0" w:space="0" w:color="auto"/>
        <w:bottom w:val="none" w:sz="0" w:space="0" w:color="auto"/>
        <w:right w:val="none" w:sz="0" w:space="0" w:color="auto"/>
      </w:divBdr>
    </w:div>
    <w:div w:id="546335233">
      <w:bodyDiv w:val="1"/>
      <w:marLeft w:val="0"/>
      <w:marRight w:val="0"/>
      <w:marTop w:val="0"/>
      <w:marBottom w:val="0"/>
      <w:divBdr>
        <w:top w:val="none" w:sz="0" w:space="0" w:color="auto"/>
        <w:left w:val="none" w:sz="0" w:space="0" w:color="auto"/>
        <w:bottom w:val="none" w:sz="0" w:space="0" w:color="auto"/>
        <w:right w:val="none" w:sz="0" w:space="0" w:color="auto"/>
      </w:divBdr>
    </w:div>
    <w:div w:id="572007554">
      <w:bodyDiv w:val="1"/>
      <w:marLeft w:val="0"/>
      <w:marRight w:val="0"/>
      <w:marTop w:val="0"/>
      <w:marBottom w:val="0"/>
      <w:divBdr>
        <w:top w:val="none" w:sz="0" w:space="0" w:color="auto"/>
        <w:left w:val="none" w:sz="0" w:space="0" w:color="auto"/>
        <w:bottom w:val="none" w:sz="0" w:space="0" w:color="auto"/>
        <w:right w:val="none" w:sz="0" w:space="0" w:color="auto"/>
      </w:divBdr>
    </w:div>
    <w:div w:id="582839235">
      <w:bodyDiv w:val="1"/>
      <w:marLeft w:val="0"/>
      <w:marRight w:val="0"/>
      <w:marTop w:val="0"/>
      <w:marBottom w:val="0"/>
      <w:divBdr>
        <w:top w:val="none" w:sz="0" w:space="0" w:color="auto"/>
        <w:left w:val="none" w:sz="0" w:space="0" w:color="auto"/>
        <w:bottom w:val="none" w:sz="0" w:space="0" w:color="auto"/>
        <w:right w:val="none" w:sz="0" w:space="0" w:color="auto"/>
      </w:divBdr>
    </w:div>
    <w:div w:id="633828398">
      <w:bodyDiv w:val="1"/>
      <w:marLeft w:val="0"/>
      <w:marRight w:val="0"/>
      <w:marTop w:val="0"/>
      <w:marBottom w:val="0"/>
      <w:divBdr>
        <w:top w:val="none" w:sz="0" w:space="0" w:color="auto"/>
        <w:left w:val="none" w:sz="0" w:space="0" w:color="auto"/>
        <w:bottom w:val="none" w:sz="0" w:space="0" w:color="auto"/>
        <w:right w:val="none" w:sz="0" w:space="0" w:color="auto"/>
      </w:divBdr>
    </w:div>
    <w:div w:id="666905066">
      <w:bodyDiv w:val="1"/>
      <w:marLeft w:val="0"/>
      <w:marRight w:val="0"/>
      <w:marTop w:val="0"/>
      <w:marBottom w:val="0"/>
      <w:divBdr>
        <w:top w:val="none" w:sz="0" w:space="0" w:color="auto"/>
        <w:left w:val="none" w:sz="0" w:space="0" w:color="auto"/>
        <w:bottom w:val="none" w:sz="0" w:space="0" w:color="auto"/>
        <w:right w:val="none" w:sz="0" w:space="0" w:color="auto"/>
      </w:divBdr>
    </w:div>
    <w:div w:id="725421400">
      <w:bodyDiv w:val="1"/>
      <w:marLeft w:val="0"/>
      <w:marRight w:val="0"/>
      <w:marTop w:val="0"/>
      <w:marBottom w:val="0"/>
      <w:divBdr>
        <w:top w:val="none" w:sz="0" w:space="0" w:color="auto"/>
        <w:left w:val="none" w:sz="0" w:space="0" w:color="auto"/>
        <w:bottom w:val="none" w:sz="0" w:space="0" w:color="auto"/>
        <w:right w:val="none" w:sz="0" w:space="0" w:color="auto"/>
      </w:divBdr>
    </w:div>
    <w:div w:id="873805212">
      <w:bodyDiv w:val="1"/>
      <w:marLeft w:val="0"/>
      <w:marRight w:val="0"/>
      <w:marTop w:val="0"/>
      <w:marBottom w:val="0"/>
      <w:divBdr>
        <w:top w:val="none" w:sz="0" w:space="0" w:color="auto"/>
        <w:left w:val="none" w:sz="0" w:space="0" w:color="auto"/>
        <w:bottom w:val="none" w:sz="0" w:space="0" w:color="auto"/>
        <w:right w:val="none" w:sz="0" w:space="0" w:color="auto"/>
      </w:divBdr>
    </w:div>
    <w:div w:id="949776694">
      <w:bodyDiv w:val="1"/>
      <w:marLeft w:val="0"/>
      <w:marRight w:val="0"/>
      <w:marTop w:val="0"/>
      <w:marBottom w:val="0"/>
      <w:divBdr>
        <w:top w:val="none" w:sz="0" w:space="0" w:color="auto"/>
        <w:left w:val="none" w:sz="0" w:space="0" w:color="auto"/>
        <w:bottom w:val="none" w:sz="0" w:space="0" w:color="auto"/>
        <w:right w:val="none" w:sz="0" w:space="0" w:color="auto"/>
      </w:divBdr>
    </w:div>
    <w:div w:id="1055472227">
      <w:bodyDiv w:val="1"/>
      <w:marLeft w:val="0"/>
      <w:marRight w:val="0"/>
      <w:marTop w:val="0"/>
      <w:marBottom w:val="0"/>
      <w:divBdr>
        <w:top w:val="none" w:sz="0" w:space="0" w:color="auto"/>
        <w:left w:val="none" w:sz="0" w:space="0" w:color="auto"/>
        <w:bottom w:val="none" w:sz="0" w:space="0" w:color="auto"/>
        <w:right w:val="none" w:sz="0" w:space="0" w:color="auto"/>
      </w:divBdr>
    </w:div>
    <w:div w:id="1140613239">
      <w:bodyDiv w:val="1"/>
      <w:marLeft w:val="0"/>
      <w:marRight w:val="0"/>
      <w:marTop w:val="0"/>
      <w:marBottom w:val="0"/>
      <w:divBdr>
        <w:top w:val="none" w:sz="0" w:space="0" w:color="auto"/>
        <w:left w:val="none" w:sz="0" w:space="0" w:color="auto"/>
        <w:bottom w:val="none" w:sz="0" w:space="0" w:color="auto"/>
        <w:right w:val="none" w:sz="0" w:space="0" w:color="auto"/>
      </w:divBdr>
    </w:div>
    <w:div w:id="1151363952">
      <w:bodyDiv w:val="1"/>
      <w:marLeft w:val="0"/>
      <w:marRight w:val="0"/>
      <w:marTop w:val="0"/>
      <w:marBottom w:val="0"/>
      <w:divBdr>
        <w:top w:val="none" w:sz="0" w:space="0" w:color="auto"/>
        <w:left w:val="none" w:sz="0" w:space="0" w:color="auto"/>
        <w:bottom w:val="none" w:sz="0" w:space="0" w:color="auto"/>
        <w:right w:val="none" w:sz="0" w:space="0" w:color="auto"/>
      </w:divBdr>
    </w:div>
    <w:div w:id="1210798524">
      <w:bodyDiv w:val="1"/>
      <w:marLeft w:val="0"/>
      <w:marRight w:val="0"/>
      <w:marTop w:val="0"/>
      <w:marBottom w:val="0"/>
      <w:divBdr>
        <w:top w:val="none" w:sz="0" w:space="0" w:color="auto"/>
        <w:left w:val="none" w:sz="0" w:space="0" w:color="auto"/>
        <w:bottom w:val="none" w:sz="0" w:space="0" w:color="auto"/>
        <w:right w:val="none" w:sz="0" w:space="0" w:color="auto"/>
      </w:divBdr>
    </w:div>
    <w:div w:id="1248998625">
      <w:bodyDiv w:val="1"/>
      <w:marLeft w:val="0"/>
      <w:marRight w:val="0"/>
      <w:marTop w:val="0"/>
      <w:marBottom w:val="0"/>
      <w:divBdr>
        <w:top w:val="none" w:sz="0" w:space="0" w:color="auto"/>
        <w:left w:val="none" w:sz="0" w:space="0" w:color="auto"/>
        <w:bottom w:val="none" w:sz="0" w:space="0" w:color="auto"/>
        <w:right w:val="none" w:sz="0" w:space="0" w:color="auto"/>
      </w:divBdr>
    </w:div>
    <w:div w:id="1279142487">
      <w:bodyDiv w:val="1"/>
      <w:marLeft w:val="0"/>
      <w:marRight w:val="0"/>
      <w:marTop w:val="0"/>
      <w:marBottom w:val="0"/>
      <w:divBdr>
        <w:top w:val="none" w:sz="0" w:space="0" w:color="auto"/>
        <w:left w:val="none" w:sz="0" w:space="0" w:color="auto"/>
        <w:bottom w:val="none" w:sz="0" w:space="0" w:color="auto"/>
        <w:right w:val="none" w:sz="0" w:space="0" w:color="auto"/>
      </w:divBdr>
    </w:div>
    <w:div w:id="1283461475">
      <w:bodyDiv w:val="1"/>
      <w:marLeft w:val="0"/>
      <w:marRight w:val="0"/>
      <w:marTop w:val="0"/>
      <w:marBottom w:val="0"/>
      <w:divBdr>
        <w:top w:val="none" w:sz="0" w:space="0" w:color="auto"/>
        <w:left w:val="none" w:sz="0" w:space="0" w:color="auto"/>
        <w:bottom w:val="none" w:sz="0" w:space="0" w:color="auto"/>
        <w:right w:val="none" w:sz="0" w:space="0" w:color="auto"/>
      </w:divBdr>
    </w:div>
    <w:div w:id="1344556478">
      <w:bodyDiv w:val="1"/>
      <w:marLeft w:val="0"/>
      <w:marRight w:val="0"/>
      <w:marTop w:val="0"/>
      <w:marBottom w:val="0"/>
      <w:divBdr>
        <w:top w:val="none" w:sz="0" w:space="0" w:color="auto"/>
        <w:left w:val="none" w:sz="0" w:space="0" w:color="auto"/>
        <w:bottom w:val="none" w:sz="0" w:space="0" w:color="auto"/>
        <w:right w:val="none" w:sz="0" w:space="0" w:color="auto"/>
      </w:divBdr>
    </w:div>
    <w:div w:id="1425036556">
      <w:bodyDiv w:val="1"/>
      <w:marLeft w:val="0"/>
      <w:marRight w:val="0"/>
      <w:marTop w:val="0"/>
      <w:marBottom w:val="0"/>
      <w:divBdr>
        <w:top w:val="none" w:sz="0" w:space="0" w:color="auto"/>
        <w:left w:val="none" w:sz="0" w:space="0" w:color="auto"/>
        <w:bottom w:val="none" w:sz="0" w:space="0" w:color="auto"/>
        <w:right w:val="none" w:sz="0" w:space="0" w:color="auto"/>
      </w:divBdr>
    </w:div>
    <w:div w:id="1604653537">
      <w:bodyDiv w:val="1"/>
      <w:marLeft w:val="0"/>
      <w:marRight w:val="0"/>
      <w:marTop w:val="0"/>
      <w:marBottom w:val="0"/>
      <w:divBdr>
        <w:top w:val="none" w:sz="0" w:space="0" w:color="auto"/>
        <w:left w:val="none" w:sz="0" w:space="0" w:color="auto"/>
        <w:bottom w:val="none" w:sz="0" w:space="0" w:color="auto"/>
        <w:right w:val="none" w:sz="0" w:space="0" w:color="auto"/>
      </w:divBdr>
    </w:div>
    <w:div w:id="1615407256">
      <w:bodyDiv w:val="1"/>
      <w:marLeft w:val="0"/>
      <w:marRight w:val="0"/>
      <w:marTop w:val="0"/>
      <w:marBottom w:val="0"/>
      <w:divBdr>
        <w:top w:val="none" w:sz="0" w:space="0" w:color="auto"/>
        <w:left w:val="none" w:sz="0" w:space="0" w:color="auto"/>
        <w:bottom w:val="none" w:sz="0" w:space="0" w:color="auto"/>
        <w:right w:val="none" w:sz="0" w:space="0" w:color="auto"/>
      </w:divBdr>
    </w:div>
    <w:div w:id="1752579316">
      <w:bodyDiv w:val="1"/>
      <w:marLeft w:val="0"/>
      <w:marRight w:val="0"/>
      <w:marTop w:val="0"/>
      <w:marBottom w:val="0"/>
      <w:divBdr>
        <w:top w:val="none" w:sz="0" w:space="0" w:color="auto"/>
        <w:left w:val="none" w:sz="0" w:space="0" w:color="auto"/>
        <w:bottom w:val="none" w:sz="0" w:space="0" w:color="auto"/>
        <w:right w:val="none" w:sz="0" w:space="0" w:color="auto"/>
      </w:divBdr>
      <w:divsChild>
        <w:div w:id="1668095194">
          <w:marLeft w:val="0"/>
          <w:marRight w:val="0"/>
          <w:marTop w:val="0"/>
          <w:marBottom w:val="0"/>
          <w:divBdr>
            <w:top w:val="none" w:sz="0" w:space="0" w:color="auto"/>
            <w:left w:val="none" w:sz="0" w:space="0" w:color="auto"/>
            <w:bottom w:val="none" w:sz="0" w:space="0" w:color="auto"/>
            <w:right w:val="none" w:sz="0" w:space="0" w:color="auto"/>
          </w:divBdr>
          <w:divsChild>
            <w:div w:id="2049337040">
              <w:marLeft w:val="0"/>
              <w:marRight w:val="0"/>
              <w:marTop w:val="0"/>
              <w:marBottom w:val="0"/>
              <w:divBdr>
                <w:top w:val="none" w:sz="0" w:space="0" w:color="auto"/>
                <w:left w:val="none" w:sz="0" w:space="0" w:color="auto"/>
                <w:bottom w:val="none" w:sz="0" w:space="0" w:color="auto"/>
                <w:right w:val="none" w:sz="0" w:space="0" w:color="auto"/>
              </w:divBdr>
              <w:divsChild>
                <w:div w:id="990404371">
                  <w:marLeft w:val="0"/>
                  <w:marRight w:val="0"/>
                  <w:marTop w:val="0"/>
                  <w:marBottom w:val="0"/>
                  <w:divBdr>
                    <w:top w:val="none" w:sz="0" w:space="0" w:color="auto"/>
                    <w:left w:val="none" w:sz="0" w:space="0" w:color="auto"/>
                    <w:bottom w:val="none" w:sz="0" w:space="0" w:color="auto"/>
                    <w:right w:val="none" w:sz="0" w:space="0" w:color="auto"/>
                  </w:divBdr>
                  <w:divsChild>
                    <w:div w:id="1151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00199">
      <w:bodyDiv w:val="1"/>
      <w:marLeft w:val="0"/>
      <w:marRight w:val="0"/>
      <w:marTop w:val="0"/>
      <w:marBottom w:val="0"/>
      <w:divBdr>
        <w:top w:val="none" w:sz="0" w:space="0" w:color="auto"/>
        <w:left w:val="none" w:sz="0" w:space="0" w:color="auto"/>
        <w:bottom w:val="none" w:sz="0" w:space="0" w:color="auto"/>
        <w:right w:val="none" w:sz="0" w:space="0" w:color="auto"/>
      </w:divBdr>
    </w:div>
    <w:div w:id="1903981734">
      <w:bodyDiv w:val="1"/>
      <w:marLeft w:val="0"/>
      <w:marRight w:val="0"/>
      <w:marTop w:val="0"/>
      <w:marBottom w:val="0"/>
      <w:divBdr>
        <w:top w:val="none" w:sz="0" w:space="0" w:color="auto"/>
        <w:left w:val="none" w:sz="0" w:space="0" w:color="auto"/>
        <w:bottom w:val="none" w:sz="0" w:space="0" w:color="auto"/>
        <w:right w:val="none" w:sz="0" w:space="0" w:color="auto"/>
      </w:divBdr>
      <w:divsChild>
        <w:div w:id="804349301">
          <w:marLeft w:val="0"/>
          <w:marRight w:val="0"/>
          <w:marTop w:val="0"/>
          <w:marBottom w:val="0"/>
          <w:divBdr>
            <w:top w:val="none" w:sz="0" w:space="0" w:color="auto"/>
            <w:left w:val="none" w:sz="0" w:space="0" w:color="auto"/>
            <w:bottom w:val="none" w:sz="0" w:space="0" w:color="auto"/>
            <w:right w:val="none" w:sz="0" w:space="0" w:color="auto"/>
          </w:divBdr>
          <w:divsChild>
            <w:div w:id="134572948">
              <w:marLeft w:val="0"/>
              <w:marRight w:val="0"/>
              <w:marTop w:val="0"/>
              <w:marBottom w:val="0"/>
              <w:divBdr>
                <w:top w:val="none" w:sz="0" w:space="0" w:color="auto"/>
                <w:left w:val="none" w:sz="0" w:space="0" w:color="auto"/>
                <w:bottom w:val="none" w:sz="0" w:space="0" w:color="auto"/>
                <w:right w:val="none" w:sz="0" w:space="0" w:color="auto"/>
              </w:divBdr>
              <w:divsChild>
                <w:div w:id="1680885858">
                  <w:marLeft w:val="0"/>
                  <w:marRight w:val="0"/>
                  <w:marTop w:val="0"/>
                  <w:marBottom w:val="0"/>
                  <w:divBdr>
                    <w:top w:val="none" w:sz="0" w:space="0" w:color="auto"/>
                    <w:left w:val="none" w:sz="0" w:space="0" w:color="auto"/>
                    <w:bottom w:val="none" w:sz="0" w:space="0" w:color="auto"/>
                    <w:right w:val="none" w:sz="0" w:space="0" w:color="auto"/>
                  </w:divBdr>
                  <w:divsChild>
                    <w:div w:id="103654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87505">
      <w:bodyDiv w:val="1"/>
      <w:marLeft w:val="0"/>
      <w:marRight w:val="0"/>
      <w:marTop w:val="0"/>
      <w:marBottom w:val="0"/>
      <w:divBdr>
        <w:top w:val="none" w:sz="0" w:space="0" w:color="auto"/>
        <w:left w:val="none" w:sz="0" w:space="0" w:color="auto"/>
        <w:bottom w:val="none" w:sz="0" w:space="0" w:color="auto"/>
        <w:right w:val="none" w:sz="0" w:space="0" w:color="auto"/>
      </w:divBdr>
    </w:div>
    <w:div w:id="209007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pharmajournal.com/archives/2018/vol7issue11/PartD/7-10-102-381.pdf" TargetMode="External"/><Relationship Id="rId13" Type="http://schemas.openxmlformats.org/officeDocument/2006/relationships/hyperlink" Target="https://doi.org/10.18782/2320-7051.2477" TargetMode="External"/><Relationship Id="rId18" Type="http://schemas.openxmlformats.org/officeDocument/2006/relationships/hyperlink" Target="https://doi.org/10.9734/jsrr/2025/v31i7325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researchgate.net/publication/326930000_Role_Performance_and_Knowledge_Level_of_Tribal_Women_Farmers_in_Meghalaya" TargetMode="External"/><Relationship Id="rId12" Type="http://schemas.openxmlformats.org/officeDocument/2006/relationships/hyperlink" Target="https://environmentaljournals.org/article/traditional-medicinal-plants-utilization-by-tribal-communities-in-kalvarayan-hills-of-tamil-nadu-an-typxydyagxd2qqb" TargetMode="External"/><Relationship Id="rId17" Type="http://schemas.openxmlformats.org/officeDocument/2006/relationships/hyperlink" Target="https://doi.org/10.46852/2249-6637.03.2024.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searchgate.net/publication/335090000_Entrepreneurial_Behaviour_of_Milk_Processor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isrc.in/index.php/jrc/article/view/204"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5740/HAS/ARJSS/5.2/193-197" TargetMode="External"/><Relationship Id="rId23" Type="http://schemas.openxmlformats.org/officeDocument/2006/relationships/header" Target="header3.xml"/><Relationship Id="rId10" Type="http://schemas.openxmlformats.org/officeDocument/2006/relationships/hyperlink" Target="https://doi.org/10.9790/2380-110902313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joee.org/" TargetMode="External"/><Relationship Id="rId14" Type="http://schemas.openxmlformats.org/officeDocument/2006/relationships/hyperlink" Target="https://doi.org/10.15740/HAS/AU/9.4/547-55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7</Pages>
  <Words>3404</Words>
  <Characters>19406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Kaviya Deepan</dc:creator>
  <cp:keywords/>
  <dc:description/>
  <cp:lastModifiedBy>SDI 1084</cp:lastModifiedBy>
  <cp:revision>301</cp:revision>
  <dcterms:created xsi:type="dcterms:W3CDTF">2025-01-23T04:29:00Z</dcterms:created>
  <dcterms:modified xsi:type="dcterms:W3CDTF">2025-12-31T09:09:00Z</dcterms:modified>
</cp:coreProperties>
</file>