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B5195" w14:textId="77777777" w:rsidR="00464A40" w:rsidRDefault="00464A40" w:rsidP="00801B75">
      <w:pPr>
        <w:pStyle w:val="Author"/>
        <w:spacing w:line="240" w:lineRule="auto"/>
        <w:jc w:val="left"/>
        <w:rPr>
          <w:rFonts w:ascii="Arial" w:hAnsi="Arial" w:cs="Arial"/>
          <w:bCs/>
          <w:iCs/>
          <w:kern w:val="28"/>
          <w:sz w:val="36"/>
        </w:rPr>
      </w:pPr>
      <w:r w:rsidRPr="0058505F">
        <w:rPr>
          <w:rFonts w:ascii="Arial" w:hAnsi="Arial" w:cs="Arial"/>
          <w:bCs/>
          <w:iCs/>
          <w:kern w:val="28"/>
          <w:sz w:val="36"/>
        </w:rPr>
        <w:t xml:space="preserve">Anti-Inflammatory Properties of Crude Extracts from </w:t>
      </w:r>
      <w:proofErr w:type="spellStart"/>
      <w:r w:rsidRPr="00737499">
        <w:rPr>
          <w:rFonts w:ascii="Arial" w:hAnsi="Arial" w:cs="Arial"/>
          <w:bCs/>
          <w:i/>
          <w:iCs/>
          <w:kern w:val="28"/>
          <w:sz w:val="36"/>
        </w:rPr>
        <w:t>Eragrostis</w:t>
      </w:r>
      <w:proofErr w:type="spellEnd"/>
      <w:r w:rsidRPr="00737499">
        <w:rPr>
          <w:rFonts w:ascii="Arial" w:hAnsi="Arial" w:cs="Arial"/>
          <w:bCs/>
          <w:i/>
          <w:iCs/>
          <w:kern w:val="28"/>
          <w:sz w:val="36"/>
        </w:rPr>
        <w:t xml:space="preserve"> </w:t>
      </w:r>
      <w:proofErr w:type="spellStart"/>
      <w:r w:rsidRPr="00737499">
        <w:rPr>
          <w:rFonts w:ascii="Arial" w:hAnsi="Arial" w:cs="Arial"/>
          <w:bCs/>
          <w:i/>
          <w:iCs/>
          <w:kern w:val="28"/>
          <w:sz w:val="36"/>
        </w:rPr>
        <w:t>tremula</w:t>
      </w:r>
      <w:proofErr w:type="spellEnd"/>
      <w:r w:rsidRPr="0058505F">
        <w:rPr>
          <w:rFonts w:ascii="Arial" w:hAnsi="Arial" w:cs="Arial"/>
          <w:bCs/>
          <w:iCs/>
          <w:kern w:val="28"/>
          <w:sz w:val="36"/>
        </w:rPr>
        <w:t xml:space="preserve"> Roots</w:t>
      </w:r>
    </w:p>
    <w:p w14:paraId="4D358131" w14:textId="77777777" w:rsidR="00464A40" w:rsidRDefault="00464A40" w:rsidP="00464A40">
      <w:pPr>
        <w:pStyle w:val="Author"/>
        <w:spacing w:line="240" w:lineRule="auto"/>
        <w:jc w:val="both"/>
        <w:rPr>
          <w:rFonts w:ascii="Arial" w:hAnsi="Arial" w:cs="Arial"/>
          <w:sz w:val="36"/>
        </w:rPr>
      </w:pPr>
    </w:p>
    <w:p w14:paraId="38F0A4C9" w14:textId="77777777" w:rsidR="00464A40" w:rsidRDefault="00464A40" w:rsidP="00464A40">
      <w:pPr>
        <w:rPr>
          <w:rFonts w:ascii="Arial" w:hAnsi="Arial" w:cs="Arial"/>
          <w:b/>
          <w:sz w:val="22"/>
          <w:szCs w:val="22"/>
          <w:lang w:val="en-GB"/>
        </w:rPr>
      </w:pPr>
    </w:p>
    <w:p w14:paraId="02EE757C" w14:textId="77777777" w:rsidR="00464A40" w:rsidRDefault="00464A40" w:rsidP="00464A40">
      <w:pPr>
        <w:pStyle w:val="AbstHead"/>
        <w:spacing w:after="0"/>
        <w:rPr>
          <w:rFonts w:ascii="Arial" w:hAnsi="Arial" w:cs="Arial"/>
        </w:rPr>
      </w:pPr>
      <w:r w:rsidRPr="00FB3A86">
        <w:rPr>
          <w:rFonts w:ascii="Arial" w:hAnsi="Arial" w:cs="Arial"/>
        </w:rPr>
        <w:t>ABSTRACT</w:t>
      </w:r>
      <w:r>
        <w:rPr>
          <w:rFonts w:ascii="Arial" w:hAnsi="Arial" w:cs="Arial"/>
        </w:rPr>
        <w:t xml:space="preserve"> </w:t>
      </w:r>
    </w:p>
    <w:p w14:paraId="111DCDF2" w14:textId="77777777" w:rsidR="00464A40" w:rsidRDefault="00464A40" w:rsidP="00464A40">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64A40" w:rsidRPr="001E44FE" w14:paraId="54B0F730" w14:textId="77777777" w:rsidTr="00362BE8">
        <w:tc>
          <w:tcPr>
            <w:tcW w:w="9576" w:type="dxa"/>
            <w:shd w:val="clear" w:color="auto" w:fill="F2F2F2"/>
          </w:tcPr>
          <w:p w14:paraId="3F7283B9"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szCs w:val="22"/>
              </w:rPr>
              <w:t>Aims</w:t>
            </w:r>
            <w:r w:rsidRPr="00E35666">
              <w:rPr>
                <w:rFonts w:ascii="Arial" w:eastAsia="Calibri" w:hAnsi="Arial" w:cs="Arial"/>
                <w:szCs w:val="22"/>
              </w:rPr>
              <w:t xml:space="preserve">: To evaluate </w:t>
            </w:r>
            <w:r>
              <w:rPr>
                <w:rFonts w:ascii="Arial" w:eastAsia="Calibri" w:hAnsi="Arial" w:cs="Arial"/>
                <w:szCs w:val="22"/>
              </w:rPr>
              <w:t>the anti-inflammatory activities</w:t>
            </w:r>
            <w:r w:rsidRPr="00E35666">
              <w:rPr>
                <w:rFonts w:ascii="Arial" w:eastAsia="Calibri" w:hAnsi="Arial" w:cs="Arial"/>
                <w:szCs w:val="22"/>
              </w:rPr>
              <w:t xml:space="preserve"> of crude extracts obtained from the roots of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szCs w:val="22"/>
              </w:rPr>
              <w:t xml:space="preserve"> using in-vivo experimental models.</w:t>
            </w:r>
          </w:p>
          <w:p w14:paraId="273433A4" w14:textId="77777777" w:rsidR="00464A40" w:rsidRPr="00E35666" w:rsidRDefault="00464A40" w:rsidP="00362BE8">
            <w:pPr>
              <w:pStyle w:val="Body"/>
              <w:spacing w:after="0"/>
              <w:rPr>
                <w:rFonts w:ascii="Arial" w:eastAsia="Calibri" w:hAnsi="Arial" w:cs="Arial"/>
                <w:color w:val="FF0000"/>
                <w:szCs w:val="22"/>
              </w:rPr>
            </w:pPr>
            <w:r w:rsidRPr="00E35666">
              <w:rPr>
                <w:rFonts w:ascii="Arial" w:eastAsia="Calibri" w:hAnsi="Arial" w:cs="Arial"/>
                <w:b/>
                <w:szCs w:val="22"/>
              </w:rPr>
              <w:t>Study design:</w:t>
            </w:r>
            <w:r w:rsidRPr="00E35666">
              <w:rPr>
                <w:rFonts w:ascii="Arial" w:eastAsia="Calibri" w:hAnsi="Arial" w:cs="Arial"/>
                <w:szCs w:val="22"/>
              </w:rPr>
              <w:t xml:space="preserve"> This study employed randomized, controlled in-vivo experiment, the anti-inflammatory activity of crude </w:t>
            </w:r>
            <w:proofErr w:type="spellStart"/>
            <w:r w:rsidRPr="00E52FDD">
              <w:rPr>
                <w:rFonts w:ascii="Arial" w:eastAsia="Calibri" w:hAnsi="Arial" w:cs="Arial"/>
                <w:i/>
                <w:szCs w:val="22"/>
              </w:rPr>
              <w:t>Eragrostis</w:t>
            </w:r>
            <w:proofErr w:type="spellEnd"/>
            <w:r w:rsidRPr="00E52FDD">
              <w:rPr>
                <w:rFonts w:ascii="Arial" w:eastAsia="Calibri" w:hAnsi="Arial" w:cs="Arial"/>
                <w:i/>
                <w:szCs w:val="22"/>
              </w:rPr>
              <w:t xml:space="preserve"> </w:t>
            </w:r>
            <w:proofErr w:type="spellStart"/>
            <w:r w:rsidRPr="00E52FDD">
              <w:rPr>
                <w:rFonts w:ascii="Arial" w:eastAsia="Calibri" w:hAnsi="Arial" w:cs="Arial"/>
                <w:i/>
                <w:szCs w:val="22"/>
              </w:rPr>
              <w:t>tremula</w:t>
            </w:r>
            <w:proofErr w:type="spellEnd"/>
            <w:r w:rsidRPr="00E35666">
              <w:rPr>
                <w:rFonts w:ascii="Arial" w:eastAsia="Calibri" w:hAnsi="Arial" w:cs="Arial"/>
                <w:szCs w:val="22"/>
              </w:rPr>
              <w:t xml:space="preserve"> root extracts was tested in healthy </w:t>
            </w:r>
            <w:r w:rsidRPr="00E52FDD">
              <w:rPr>
                <w:rFonts w:ascii="Arial" w:eastAsia="Calibri" w:hAnsi="Arial" w:cs="Arial"/>
                <w:szCs w:val="22"/>
              </w:rPr>
              <w:t>Sprague Dawley rat</w:t>
            </w:r>
            <w:r>
              <w:rPr>
                <w:rFonts w:ascii="Arial" w:eastAsia="Calibri" w:hAnsi="Arial" w:cs="Arial"/>
                <w:szCs w:val="22"/>
              </w:rPr>
              <w:t xml:space="preserve"> (SD rat)</w:t>
            </w:r>
            <w:r w:rsidRPr="00E35666">
              <w:rPr>
                <w:rFonts w:ascii="Arial" w:eastAsia="Calibri" w:hAnsi="Arial" w:cs="Arial"/>
                <w:szCs w:val="22"/>
              </w:rPr>
              <w:t xml:space="preserve">. </w:t>
            </w:r>
            <w:r w:rsidRPr="00E35666">
              <w:rPr>
                <w:rFonts w:ascii="Arial" w:eastAsia="Calibri" w:hAnsi="Arial" w:cs="Arial"/>
                <w:color w:val="000000" w:themeColor="text1"/>
                <w:szCs w:val="22"/>
              </w:rPr>
              <w:t>Our experimental rats were randomly divided into control and extract-treated groups. The efficacy was determined using standard acute and sub-acute inflammation models, with group outcomes analyzed statistically for significant differences.</w:t>
            </w:r>
          </w:p>
          <w:p w14:paraId="18ADCF7B"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szCs w:val="22"/>
              </w:rPr>
              <w:t>Place and Duration of Study:</w:t>
            </w:r>
            <w:r w:rsidRPr="00E35666">
              <w:rPr>
                <w:rFonts w:ascii="Arial" w:eastAsia="Calibri" w:hAnsi="Arial" w:cs="Arial"/>
                <w:szCs w:val="22"/>
              </w:rPr>
              <w:t xml:space="preserve"> Department of medical microbiology</w:t>
            </w:r>
            <w:r>
              <w:rPr>
                <w:rFonts w:ascii="Arial" w:eastAsia="Calibri" w:hAnsi="Arial" w:cs="Arial"/>
                <w:szCs w:val="22"/>
              </w:rPr>
              <w:t xml:space="preserve"> and immunology</w:t>
            </w:r>
            <w:r w:rsidRPr="00E35666">
              <w:rPr>
                <w:rFonts w:ascii="Arial" w:eastAsia="Calibri" w:hAnsi="Arial" w:cs="Arial"/>
                <w:szCs w:val="22"/>
              </w:rPr>
              <w:t>, faculty of basic clinical science, college of medical sciences. Abubakar Tafawa Balewa Universi</w:t>
            </w:r>
            <w:r>
              <w:rPr>
                <w:rFonts w:ascii="Arial" w:eastAsia="Calibri" w:hAnsi="Arial" w:cs="Arial"/>
                <w:szCs w:val="22"/>
              </w:rPr>
              <w:t>ty Bauchi, between May 2025 and January 2026</w:t>
            </w:r>
            <w:r w:rsidRPr="00E35666">
              <w:rPr>
                <w:rFonts w:ascii="Arial" w:eastAsia="Calibri" w:hAnsi="Arial" w:cs="Arial"/>
                <w:szCs w:val="22"/>
              </w:rPr>
              <w:t>.</w:t>
            </w:r>
          </w:p>
          <w:p w14:paraId="5EFD5E4D"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bCs/>
                <w:szCs w:val="22"/>
              </w:rPr>
              <w:t xml:space="preserve"> Methodology</w:t>
            </w:r>
            <w:r w:rsidRPr="00E35666">
              <w:rPr>
                <w:rFonts w:ascii="Arial" w:eastAsia="Calibri" w:hAnsi="Arial" w:cs="Arial"/>
                <w:bCs/>
                <w:szCs w:val="22"/>
              </w:rPr>
              <w:t>:</w:t>
            </w:r>
            <w:r w:rsidRPr="00E35666">
              <w:t xml:space="preserve"> </w:t>
            </w:r>
            <w:r w:rsidRPr="00E35666">
              <w:rPr>
                <w:rFonts w:ascii="Arial" w:eastAsia="Calibri" w:hAnsi="Arial" w:cs="Arial"/>
                <w:bCs/>
                <w:szCs w:val="22"/>
              </w:rPr>
              <w:t>LD</w:t>
            </w:r>
            <w:r w:rsidRPr="002E3F2E">
              <w:rPr>
                <w:rFonts w:ascii="Arial" w:eastAsia="Calibri" w:hAnsi="Arial" w:cs="Arial"/>
                <w:bCs/>
                <w:szCs w:val="22"/>
                <w:vertAlign w:val="subscript"/>
              </w:rPr>
              <w:t>50</w:t>
            </w:r>
            <w:r w:rsidRPr="00E35666">
              <w:rPr>
                <w:rFonts w:ascii="Arial" w:eastAsia="Calibri" w:hAnsi="Arial" w:cs="Arial"/>
                <w:bCs/>
                <w:szCs w:val="22"/>
              </w:rPr>
              <w:t xml:space="preserve"> determination and Acute toxicity, 20 Adult </w:t>
            </w:r>
            <w:r>
              <w:rPr>
                <w:rFonts w:ascii="Arial" w:eastAsia="Calibri" w:hAnsi="Arial" w:cs="Arial"/>
                <w:szCs w:val="22"/>
              </w:rPr>
              <w:t>SD rats</w:t>
            </w:r>
            <w:r w:rsidRPr="00E35666">
              <w:rPr>
                <w:rFonts w:ascii="Arial" w:eastAsia="Calibri" w:hAnsi="Arial" w:cs="Arial"/>
                <w:bCs/>
                <w:szCs w:val="22"/>
              </w:rPr>
              <w:t xml:space="preserve"> weighing (150-200g) were obtained and categorized into four groups with three rats in a group, apart from group which was the control, every other group was administered with 1600mg/Kg, 2900mg/kg and 5000mg/Kg respectively with crude extract, one rat per day for 3days observed for 14days and then </w:t>
            </w:r>
            <w:r>
              <w:rPr>
                <w:rFonts w:ascii="Arial" w:eastAsia="Calibri" w:hAnsi="Arial" w:cs="Arial"/>
                <w:bCs/>
                <w:szCs w:val="22"/>
              </w:rPr>
              <w:t>e</w:t>
            </w:r>
            <w:r w:rsidRPr="002E3F2E">
              <w:rPr>
                <w:rFonts w:ascii="Arial" w:eastAsia="Calibri" w:hAnsi="Arial" w:cs="Arial"/>
                <w:bCs/>
                <w:szCs w:val="22"/>
              </w:rPr>
              <w:t>uthanized</w:t>
            </w:r>
            <w:r w:rsidRPr="00E35666">
              <w:rPr>
                <w:rFonts w:ascii="Arial" w:eastAsia="Calibri" w:hAnsi="Arial" w:cs="Arial"/>
                <w:bCs/>
                <w:szCs w:val="22"/>
              </w:rPr>
              <w:t xml:space="preserve">. In sub-chronic toxicity, the same numbers of rats and groups were used but were induced with 50mg/kg, 100mg/kg and 200mg/kg respectively for a period of twenty-eight days before </w:t>
            </w:r>
            <w:r>
              <w:rPr>
                <w:rFonts w:ascii="Arial" w:eastAsia="Calibri" w:hAnsi="Arial" w:cs="Arial"/>
                <w:bCs/>
                <w:szCs w:val="22"/>
              </w:rPr>
              <w:t>e</w:t>
            </w:r>
            <w:r w:rsidRPr="002E3F2E">
              <w:rPr>
                <w:rFonts w:ascii="Arial" w:eastAsia="Calibri" w:hAnsi="Arial" w:cs="Arial"/>
                <w:bCs/>
                <w:szCs w:val="22"/>
              </w:rPr>
              <w:t>uthanized</w:t>
            </w:r>
            <w:r w:rsidRPr="00E35666">
              <w:rPr>
                <w:rFonts w:ascii="Arial" w:eastAsia="Calibri" w:hAnsi="Arial" w:cs="Arial"/>
                <w:bCs/>
                <w:szCs w:val="22"/>
              </w:rPr>
              <w:t>.</w:t>
            </w:r>
            <w:r w:rsidRPr="00E35666">
              <w:rPr>
                <w:rFonts w:ascii="Arial" w:eastAsia="Calibri" w:hAnsi="Arial" w:cs="Arial"/>
                <w:szCs w:val="22"/>
              </w:rPr>
              <w:t xml:space="preserve"> Neutrophil, Monocyte, lymphocyte was evaluated.</w:t>
            </w:r>
          </w:p>
          <w:p w14:paraId="391787CA" w14:textId="77777777" w:rsidR="00464A40" w:rsidRPr="00E35666" w:rsidRDefault="00464A40" w:rsidP="00362BE8">
            <w:pPr>
              <w:pStyle w:val="Body"/>
              <w:spacing w:after="0"/>
              <w:rPr>
                <w:rFonts w:ascii="Arial" w:eastAsia="Calibri" w:hAnsi="Arial" w:cs="Arial"/>
                <w:szCs w:val="22"/>
              </w:rPr>
            </w:pPr>
            <w:r w:rsidRPr="00E35666">
              <w:rPr>
                <w:rFonts w:ascii="Arial" w:eastAsia="Calibri" w:hAnsi="Arial" w:cs="Arial"/>
                <w:b/>
                <w:bCs/>
                <w:szCs w:val="22"/>
              </w:rPr>
              <w:t>Results:</w:t>
            </w:r>
            <w:r w:rsidRPr="00E35666">
              <w:rPr>
                <w:rFonts w:ascii="Arial" w:eastAsia="Calibri" w:hAnsi="Arial" w:cs="Arial"/>
                <w:szCs w:val="22"/>
              </w:rPr>
              <w:t xml:space="preserve"> This current study shows that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i/>
                <w:szCs w:val="22"/>
              </w:rPr>
              <w:t xml:space="preserve"> </w:t>
            </w:r>
            <w:r>
              <w:rPr>
                <w:rFonts w:ascii="Arial" w:eastAsia="Calibri" w:hAnsi="Arial" w:cs="Arial"/>
                <w:szCs w:val="22"/>
              </w:rPr>
              <w:t>ethan</w:t>
            </w:r>
            <w:r w:rsidRPr="00E35666">
              <w:rPr>
                <w:rFonts w:ascii="Arial" w:eastAsia="Calibri" w:hAnsi="Arial" w:cs="Arial"/>
                <w:szCs w:val="22"/>
              </w:rPr>
              <w:t>o</w:t>
            </w:r>
            <w:r>
              <w:rPr>
                <w:rFonts w:ascii="Arial" w:eastAsia="Calibri" w:hAnsi="Arial" w:cs="Arial"/>
                <w:szCs w:val="22"/>
              </w:rPr>
              <w:t>l</w:t>
            </w:r>
            <w:r w:rsidRPr="00E35666">
              <w:rPr>
                <w:rFonts w:ascii="Arial" w:eastAsia="Calibri" w:hAnsi="Arial" w:cs="Arial"/>
                <w:szCs w:val="22"/>
              </w:rPr>
              <w:t>ic root extract may exhibit immunostimulant potentials thus may be used to treat inflammatory</w:t>
            </w:r>
            <w:r w:rsidRPr="00E35666">
              <w:rPr>
                <w:rFonts w:ascii="Arial" w:eastAsia="Calibri" w:hAnsi="Arial" w:cs="Arial"/>
                <w:sz w:val="22"/>
                <w:szCs w:val="22"/>
              </w:rPr>
              <w:t xml:space="preserve">, </w:t>
            </w:r>
            <w:r w:rsidRPr="00E35666">
              <w:rPr>
                <w:rFonts w:ascii="Arial" w:eastAsia="Calibri" w:hAnsi="Arial" w:cs="Arial"/>
                <w:szCs w:val="22"/>
              </w:rPr>
              <w:t>swallowing digitations.  Neutrophil count decreased in group 1 and 3 when compared with the control group but not statistically significant (P&gt; 0.05).</w:t>
            </w:r>
          </w:p>
          <w:p w14:paraId="56C125BA" w14:textId="77777777" w:rsidR="00464A40" w:rsidRDefault="00464A40" w:rsidP="00362BE8">
            <w:pPr>
              <w:pStyle w:val="Body"/>
              <w:spacing w:after="0"/>
              <w:rPr>
                <w:rFonts w:ascii="Arial" w:eastAsia="Calibri" w:hAnsi="Arial" w:cs="Arial"/>
                <w:szCs w:val="22"/>
              </w:rPr>
            </w:pPr>
            <w:r w:rsidRPr="00E35666">
              <w:rPr>
                <w:rFonts w:ascii="Arial" w:eastAsia="Calibri" w:hAnsi="Arial" w:cs="Arial"/>
                <w:b/>
                <w:bCs/>
                <w:szCs w:val="22"/>
              </w:rPr>
              <w:t>Conclusion:</w:t>
            </w:r>
            <w:r w:rsidRPr="00E35666">
              <w:rPr>
                <w:rFonts w:ascii="Arial" w:eastAsia="Calibri" w:hAnsi="Arial" w:cs="Arial"/>
                <w:szCs w:val="22"/>
              </w:rPr>
              <w:t xml:space="preserve"> </w:t>
            </w:r>
            <w:proofErr w:type="spellStart"/>
            <w:r w:rsidRPr="00E35666">
              <w:rPr>
                <w:rFonts w:ascii="Arial" w:eastAsia="Calibri" w:hAnsi="Arial" w:cs="Arial"/>
                <w:i/>
                <w:szCs w:val="22"/>
              </w:rPr>
              <w:t>Eragrostis</w:t>
            </w:r>
            <w:proofErr w:type="spellEnd"/>
            <w:r w:rsidRPr="00E35666">
              <w:rPr>
                <w:rFonts w:ascii="Arial" w:eastAsia="Calibri" w:hAnsi="Arial" w:cs="Arial"/>
                <w:i/>
                <w:szCs w:val="22"/>
              </w:rPr>
              <w:t xml:space="preserve"> </w:t>
            </w:r>
            <w:proofErr w:type="spellStart"/>
            <w:r w:rsidRPr="00E35666">
              <w:rPr>
                <w:rFonts w:ascii="Arial" w:eastAsia="Calibri" w:hAnsi="Arial" w:cs="Arial"/>
                <w:i/>
                <w:szCs w:val="22"/>
              </w:rPr>
              <w:t>tremula</w:t>
            </w:r>
            <w:proofErr w:type="spellEnd"/>
            <w:r w:rsidRPr="00E35666">
              <w:rPr>
                <w:rFonts w:ascii="Arial" w:eastAsia="Calibri" w:hAnsi="Arial" w:cs="Arial"/>
                <w:szCs w:val="22"/>
              </w:rPr>
              <w:t xml:space="preserve"> root extract is non-toxic in </w:t>
            </w:r>
            <w:r>
              <w:rPr>
                <w:rFonts w:ascii="Arial" w:eastAsia="Calibri" w:hAnsi="Arial" w:cs="Arial"/>
                <w:szCs w:val="22"/>
              </w:rPr>
              <w:t>SD rats</w:t>
            </w:r>
            <w:r w:rsidRPr="00E35666">
              <w:rPr>
                <w:rFonts w:ascii="Arial" w:eastAsia="Calibri" w:hAnsi="Arial" w:cs="Arial"/>
                <w:bCs/>
                <w:szCs w:val="22"/>
              </w:rPr>
              <w:t xml:space="preserve"> </w:t>
            </w:r>
            <w:r w:rsidRPr="00E35666">
              <w:rPr>
                <w:rFonts w:ascii="Arial" w:eastAsia="Calibri" w:hAnsi="Arial" w:cs="Arial"/>
                <w:szCs w:val="22"/>
              </w:rPr>
              <w:t>and has effect of Neutrophil count level decrease in the animal but not statistically significant. Although, Lymphocyte count increase and statistically insignificant.</w:t>
            </w:r>
          </w:p>
          <w:p w14:paraId="4AD12623" w14:textId="77777777" w:rsidR="00464A40" w:rsidRPr="00BA1B01" w:rsidRDefault="00464A40" w:rsidP="00362BE8">
            <w:pPr>
              <w:pStyle w:val="Body"/>
              <w:spacing w:after="0"/>
              <w:rPr>
                <w:rFonts w:ascii="Arial" w:eastAsia="Calibri" w:hAnsi="Arial" w:cs="Arial"/>
                <w:szCs w:val="22"/>
              </w:rPr>
            </w:pPr>
          </w:p>
        </w:tc>
      </w:tr>
    </w:tbl>
    <w:p w14:paraId="2407CA8D" w14:textId="77777777" w:rsidR="00464A40" w:rsidRDefault="00464A40" w:rsidP="00464A40">
      <w:pPr>
        <w:pStyle w:val="AbstHead"/>
        <w:spacing w:after="0"/>
        <w:rPr>
          <w:rFonts w:ascii="Arial" w:hAnsi="Arial" w:cs="Arial"/>
        </w:rPr>
      </w:pPr>
    </w:p>
    <w:p w14:paraId="59F23C18" w14:textId="77777777" w:rsidR="00464A40" w:rsidRPr="00185069" w:rsidRDefault="00464A40" w:rsidP="00464A40">
      <w:pPr>
        <w:pStyle w:val="AbstHead"/>
        <w:spacing w:after="0"/>
        <w:rPr>
          <w:rFonts w:ascii="Arial" w:hAnsi="Arial" w:cs="Arial"/>
        </w:rPr>
      </w:pPr>
    </w:p>
    <w:p w14:paraId="3CF83963" w14:textId="77777777" w:rsidR="00464A40" w:rsidRDefault="00464A40" w:rsidP="00464A40">
      <w:pPr>
        <w:pStyle w:val="Body"/>
        <w:spacing w:after="0" w:line="276" w:lineRule="auto"/>
        <w:rPr>
          <w:rFonts w:ascii="Arial" w:eastAsia="Calibri" w:hAnsi="Arial" w:cs="Arial"/>
          <w:szCs w:val="22"/>
        </w:rPr>
      </w:pPr>
    </w:p>
    <w:p w14:paraId="19BE6E8C" w14:textId="77777777" w:rsidR="00464A40" w:rsidRDefault="00464A40" w:rsidP="00464A40">
      <w:pPr>
        <w:pStyle w:val="Body"/>
        <w:spacing w:after="0"/>
        <w:rPr>
          <w:rFonts w:ascii="Arial" w:hAnsi="Arial" w:cs="Arial"/>
          <w:i/>
        </w:rPr>
      </w:pPr>
      <w:r w:rsidRPr="00565E5A">
        <w:rPr>
          <w:rFonts w:ascii="Arial" w:hAnsi="Arial" w:cs="Arial"/>
          <w:b/>
          <w:i/>
        </w:rPr>
        <w:t>Keywords:</w:t>
      </w:r>
      <w:r>
        <w:rPr>
          <w:rFonts w:ascii="Arial" w:hAnsi="Arial" w:cs="Arial"/>
          <w:b/>
          <w:i/>
        </w:rPr>
        <w:t xml:space="preserve"> {</w:t>
      </w:r>
      <w:proofErr w:type="spellStart"/>
      <w:r w:rsidRPr="00D72D56">
        <w:rPr>
          <w:rFonts w:ascii="Arial" w:eastAsia="Calibri" w:hAnsi="Arial" w:cs="Arial"/>
          <w:i/>
          <w:szCs w:val="22"/>
        </w:rPr>
        <w:t>Eragrostis</w:t>
      </w:r>
      <w:proofErr w:type="spellEnd"/>
      <w:r>
        <w:rPr>
          <w:rFonts w:ascii="Arial" w:eastAsia="Calibri" w:hAnsi="Arial" w:cs="Arial"/>
          <w:i/>
          <w:szCs w:val="22"/>
        </w:rPr>
        <w:t>-</w:t>
      </w:r>
      <w:r w:rsidRPr="00D72D56">
        <w:rPr>
          <w:rFonts w:ascii="Arial" w:eastAsia="Calibri" w:hAnsi="Arial" w:cs="Arial"/>
          <w:i/>
          <w:szCs w:val="22"/>
        </w:rPr>
        <w:t xml:space="preserve"> </w:t>
      </w:r>
      <w:proofErr w:type="spellStart"/>
      <w:r w:rsidRPr="00D72D56">
        <w:rPr>
          <w:rFonts w:ascii="Arial" w:eastAsia="Calibri" w:hAnsi="Arial" w:cs="Arial"/>
          <w:i/>
          <w:szCs w:val="22"/>
        </w:rPr>
        <w:t>tremula</w:t>
      </w:r>
      <w:proofErr w:type="spellEnd"/>
      <w:r>
        <w:rPr>
          <w:rFonts w:ascii="Arial" w:eastAsia="Calibri" w:hAnsi="Arial" w:cs="Arial"/>
          <w:i/>
          <w:szCs w:val="22"/>
        </w:rPr>
        <w:t xml:space="preserve">. </w:t>
      </w:r>
      <w:r w:rsidRPr="00D72D56">
        <w:rPr>
          <w:rFonts w:ascii="Arial" w:eastAsia="Calibri" w:hAnsi="Arial" w:cs="Arial"/>
          <w:szCs w:val="22"/>
        </w:rPr>
        <w:t>anti-inflammatory</w:t>
      </w:r>
      <w:r>
        <w:rPr>
          <w:rFonts w:ascii="Arial" w:eastAsia="Calibri" w:hAnsi="Arial" w:cs="Arial"/>
          <w:szCs w:val="22"/>
        </w:rPr>
        <w:t>.</w:t>
      </w:r>
      <w:r w:rsidRPr="0061127E">
        <w:rPr>
          <w:rFonts w:ascii="Arial" w:eastAsia="Calibri" w:hAnsi="Arial" w:cs="Arial"/>
          <w:szCs w:val="22"/>
        </w:rPr>
        <w:t xml:space="preserve"> </w:t>
      </w:r>
      <w:r>
        <w:rPr>
          <w:rFonts w:ascii="Arial" w:eastAsia="Calibri" w:hAnsi="Arial" w:cs="Arial"/>
          <w:szCs w:val="22"/>
        </w:rPr>
        <w:t xml:space="preserve">Neutrophil. Monocyte. </w:t>
      </w:r>
      <w:r w:rsidRPr="00FB6C91">
        <w:rPr>
          <w:rFonts w:ascii="Arial" w:eastAsia="Calibri" w:hAnsi="Arial" w:cs="Arial"/>
          <w:szCs w:val="22"/>
        </w:rPr>
        <w:t>Lymphocyte</w:t>
      </w:r>
      <w:r>
        <w:rPr>
          <w:rFonts w:ascii="Arial" w:eastAsia="Calibri" w:hAnsi="Arial" w:cs="Arial"/>
          <w:szCs w:val="22"/>
        </w:rPr>
        <w:t xml:space="preserve"> Toxicity, SD rats</w:t>
      </w:r>
      <w:r>
        <w:rPr>
          <w:rFonts w:ascii="Arial" w:hAnsi="Arial" w:cs="Arial"/>
          <w:i/>
        </w:rPr>
        <w:t>}</w:t>
      </w:r>
    </w:p>
    <w:p w14:paraId="39A3B3B2" w14:textId="77777777" w:rsidR="00464A40" w:rsidRDefault="00464A40" w:rsidP="00464A40">
      <w:pPr>
        <w:pStyle w:val="Body"/>
        <w:spacing w:after="0"/>
        <w:rPr>
          <w:rFonts w:ascii="Arial" w:hAnsi="Arial" w:cs="Arial"/>
          <w:i/>
        </w:rPr>
      </w:pPr>
    </w:p>
    <w:p w14:paraId="58318E67" w14:textId="77777777" w:rsidR="00464A40" w:rsidRDefault="00464A40" w:rsidP="00464A40">
      <w:pPr>
        <w:pStyle w:val="AbstHead"/>
        <w:numPr>
          <w:ilvl w:val="0"/>
          <w:numId w:val="1"/>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0030DDFD" w14:textId="77777777" w:rsidR="00464A40" w:rsidRPr="00FB3A86" w:rsidRDefault="00464A40" w:rsidP="00464A40">
      <w:pPr>
        <w:pStyle w:val="AbstHead"/>
        <w:spacing w:after="0"/>
        <w:jc w:val="both"/>
        <w:rPr>
          <w:rFonts w:ascii="Arial" w:hAnsi="Arial" w:cs="Arial"/>
        </w:rPr>
      </w:pPr>
    </w:p>
    <w:p w14:paraId="6DC0DAD8" w14:textId="77777777" w:rsidR="00464A40" w:rsidRPr="00E06944" w:rsidRDefault="00464A40" w:rsidP="00464A40">
      <w:pPr>
        <w:pStyle w:val="AbstHead"/>
        <w:jc w:val="both"/>
        <w:rPr>
          <w:rFonts w:ascii="Arial" w:hAnsi="Arial" w:cs="Arial"/>
          <w:b w:val="0"/>
          <w:caps w:val="0"/>
          <w:sz w:val="20"/>
        </w:rPr>
      </w:pPr>
      <w:proofErr w:type="spellStart"/>
      <w:r w:rsidRPr="00E06944">
        <w:rPr>
          <w:rFonts w:ascii="Arial" w:hAnsi="Arial" w:cs="Arial"/>
          <w:b w:val="0"/>
          <w:caps w:val="0"/>
          <w:sz w:val="20"/>
        </w:rPr>
        <w:t>Eragrostis</w:t>
      </w:r>
      <w:proofErr w:type="spellEnd"/>
      <w:r w:rsidRPr="00E06944">
        <w:rPr>
          <w:rFonts w:ascii="Arial" w:hAnsi="Arial" w:cs="Arial"/>
          <w:b w:val="0"/>
          <w:caps w:val="0"/>
          <w:sz w:val="20"/>
        </w:rPr>
        <w:t xml:space="preserve"> </w:t>
      </w:r>
      <w:proofErr w:type="spellStart"/>
      <w:r w:rsidRPr="00E06944">
        <w:rPr>
          <w:rFonts w:ascii="Arial" w:hAnsi="Arial" w:cs="Arial"/>
          <w:b w:val="0"/>
          <w:caps w:val="0"/>
          <w:sz w:val="20"/>
        </w:rPr>
        <w:t>tremula</w:t>
      </w:r>
      <w:proofErr w:type="spellEnd"/>
      <w:r w:rsidRPr="00E06944">
        <w:rPr>
          <w:rFonts w:ascii="Arial" w:hAnsi="Arial" w:cs="Arial"/>
          <w:b w:val="0"/>
          <w:caps w:val="0"/>
          <w:sz w:val="20"/>
        </w:rPr>
        <w:t xml:space="preserve"> is a tufted annual grass belonging to the </w:t>
      </w:r>
      <w:proofErr w:type="spellStart"/>
      <w:r w:rsidRPr="00E06944">
        <w:rPr>
          <w:rFonts w:ascii="Arial" w:hAnsi="Arial" w:cs="Arial"/>
          <w:b w:val="0"/>
          <w:caps w:val="0"/>
          <w:sz w:val="20"/>
        </w:rPr>
        <w:t>Poaceae</w:t>
      </w:r>
      <w:proofErr w:type="spellEnd"/>
      <w:r w:rsidRPr="00E06944">
        <w:rPr>
          <w:rFonts w:ascii="Arial" w:hAnsi="Arial" w:cs="Arial"/>
          <w:b w:val="0"/>
          <w:caps w:val="0"/>
          <w:sz w:val="20"/>
        </w:rPr>
        <w:t xml:space="preserve"> family. It is broadly distributed throughout tropical Africa and extends into India, where it typically grows on sandy riverbanks, floodplains, lakeshores, and disturbed agricultural areas (</w:t>
      </w:r>
      <w:proofErr w:type="spellStart"/>
      <w:r w:rsidRPr="00E8650B">
        <w:rPr>
          <w:rFonts w:ascii="Arial" w:hAnsi="Arial" w:cs="Arial"/>
          <w:b w:val="0"/>
          <w:caps w:val="0"/>
          <w:sz w:val="20"/>
        </w:rPr>
        <w:t>Adachukwu</w:t>
      </w:r>
      <w:proofErr w:type="spellEnd"/>
      <w:r>
        <w:rPr>
          <w:rFonts w:ascii="Arial" w:hAnsi="Arial" w:cs="Arial"/>
          <w:b w:val="0"/>
          <w:caps w:val="0"/>
          <w:sz w:val="20"/>
        </w:rPr>
        <w:t xml:space="preserve"> </w:t>
      </w:r>
      <w:r w:rsidRPr="00E8650B">
        <w:rPr>
          <w:rFonts w:ascii="Arial" w:hAnsi="Arial" w:cs="Arial"/>
          <w:b w:val="0"/>
          <w:i/>
          <w:caps w:val="0"/>
          <w:sz w:val="20"/>
        </w:rPr>
        <w:t>et al</w:t>
      </w:r>
      <w:r>
        <w:rPr>
          <w:rFonts w:ascii="Arial" w:hAnsi="Arial" w:cs="Arial"/>
          <w:b w:val="0"/>
          <w:caps w:val="0"/>
          <w:sz w:val="20"/>
        </w:rPr>
        <w:t>., 2023</w:t>
      </w:r>
      <w:r w:rsidRPr="00E06944">
        <w:rPr>
          <w:rFonts w:ascii="Arial" w:hAnsi="Arial" w:cs="Arial"/>
          <w:b w:val="0"/>
          <w:caps w:val="0"/>
          <w:sz w:val="20"/>
        </w:rPr>
        <w:t xml:space="preserve">). In the genus </w:t>
      </w:r>
      <w:proofErr w:type="spellStart"/>
      <w:r w:rsidRPr="006276D0">
        <w:rPr>
          <w:rFonts w:ascii="Arial" w:hAnsi="Arial" w:cs="Arial"/>
          <w:b w:val="0"/>
          <w:i/>
          <w:caps w:val="0"/>
          <w:sz w:val="20"/>
        </w:rPr>
        <w:t>Eragrostis</w:t>
      </w:r>
      <w:proofErr w:type="spellEnd"/>
      <w:r w:rsidRPr="00E06944">
        <w:rPr>
          <w:rFonts w:ascii="Arial" w:hAnsi="Arial" w:cs="Arial"/>
          <w:b w:val="0"/>
          <w:caps w:val="0"/>
          <w:sz w:val="20"/>
        </w:rPr>
        <w:t xml:space="preserve"> (commonly known as lovegrasses), numerous species serve as valuable rangeland grasses, providing forage and helping maintain ground cover in semi-arid environments (</w:t>
      </w:r>
      <w:r w:rsidRPr="00534BA7">
        <w:rPr>
          <w:rFonts w:ascii="Arial" w:hAnsi="Arial" w:cs="Arial"/>
          <w:b w:val="0"/>
          <w:caps w:val="0"/>
          <w:sz w:val="20"/>
        </w:rPr>
        <w:t xml:space="preserve">Juan </w:t>
      </w:r>
      <w:r w:rsidRPr="00534BA7">
        <w:rPr>
          <w:rFonts w:ascii="Arial" w:hAnsi="Arial" w:cs="Arial"/>
          <w:b w:val="0"/>
          <w:i/>
          <w:caps w:val="0"/>
          <w:sz w:val="20"/>
        </w:rPr>
        <w:t>et al</w:t>
      </w:r>
      <w:r>
        <w:rPr>
          <w:rFonts w:ascii="Arial" w:hAnsi="Arial" w:cs="Arial"/>
          <w:b w:val="0"/>
          <w:caps w:val="0"/>
          <w:sz w:val="20"/>
        </w:rPr>
        <w:t>., 2025</w:t>
      </w:r>
      <w:r w:rsidRPr="00E06944">
        <w:rPr>
          <w:rFonts w:ascii="Arial" w:hAnsi="Arial" w:cs="Arial"/>
          <w:b w:val="0"/>
          <w:caps w:val="0"/>
          <w:sz w:val="20"/>
        </w:rPr>
        <w:t xml:space="preserve">). </w:t>
      </w:r>
      <w:proofErr w:type="spellStart"/>
      <w:r w:rsidRPr="00494AA7">
        <w:rPr>
          <w:rFonts w:ascii="Arial" w:hAnsi="Arial" w:cs="Arial"/>
          <w:b w:val="0"/>
          <w:i/>
          <w:caps w:val="0"/>
          <w:sz w:val="20"/>
        </w:rPr>
        <w:t>Eragrostis</w:t>
      </w:r>
      <w:proofErr w:type="spellEnd"/>
      <w:r w:rsidRPr="00494AA7">
        <w:rPr>
          <w:rFonts w:ascii="Arial" w:hAnsi="Arial" w:cs="Arial"/>
          <w:b w:val="0"/>
          <w:i/>
          <w:caps w:val="0"/>
          <w:sz w:val="20"/>
        </w:rPr>
        <w:t xml:space="preserve"> </w:t>
      </w:r>
      <w:proofErr w:type="spellStart"/>
      <w:r w:rsidRPr="00494AA7">
        <w:rPr>
          <w:rFonts w:ascii="Arial" w:hAnsi="Arial" w:cs="Arial"/>
          <w:b w:val="0"/>
          <w:i/>
          <w:caps w:val="0"/>
          <w:sz w:val="20"/>
        </w:rPr>
        <w:t>tremula</w:t>
      </w:r>
      <w:proofErr w:type="spellEnd"/>
      <w:r w:rsidRPr="00E06944">
        <w:rPr>
          <w:rFonts w:ascii="Arial" w:hAnsi="Arial" w:cs="Arial"/>
          <w:b w:val="0"/>
          <w:caps w:val="0"/>
          <w:sz w:val="20"/>
        </w:rPr>
        <w:t xml:space="preserve"> </w:t>
      </w:r>
      <w:r>
        <w:rPr>
          <w:rFonts w:ascii="Arial" w:hAnsi="Arial" w:cs="Arial"/>
          <w:b w:val="0"/>
          <w:caps w:val="0"/>
          <w:sz w:val="20"/>
        </w:rPr>
        <w:t>(</w:t>
      </w:r>
      <w:r w:rsidRPr="004930B9">
        <w:rPr>
          <w:rFonts w:ascii="Arial" w:hAnsi="Arial" w:cs="Arial"/>
          <w:b w:val="0"/>
          <w:i/>
          <w:caps w:val="0"/>
          <w:sz w:val="20"/>
        </w:rPr>
        <w:t>E. tremula</w:t>
      </w:r>
      <w:r>
        <w:rPr>
          <w:rFonts w:ascii="Arial" w:hAnsi="Arial" w:cs="Arial"/>
          <w:b w:val="0"/>
          <w:caps w:val="0"/>
          <w:sz w:val="20"/>
        </w:rPr>
        <w:t xml:space="preserve">) </w:t>
      </w:r>
      <w:r w:rsidRPr="00E06944">
        <w:rPr>
          <w:rFonts w:ascii="Arial" w:hAnsi="Arial" w:cs="Arial"/>
          <w:b w:val="0"/>
          <w:caps w:val="0"/>
          <w:sz w:val="20"/>
        </w:rPr>
        <w:t xml:space="preserve">forms loose, tufted clumps that can reach heights of approximately 1 meter. It has slender, narrow leaves and produces an open, airy panicle filled with numerous </w:t>
      </w:r>
      <w:proofErr w:type="spellStart"/>
      <w:r w:rsidRPr="00E06944">
        <w:rPr>
          <w:rFonts w:ascii="Arial" w:hAnsi="Arial" w:cs="Arial"/>
          <w:b w:val="0"/>
          <w:caps w:val="0"/>
          <w:sz w:val="20"/>
        </w:rPr>
        <w:t>spikelets</w:t>
      </w:r>
      <w:proofErr w:type="spellEnd"/>
      <w:r w:rsidRPr="00E06944">
        <w:rPr>
          <w:rFonts w:ascii="Arial" w:hAnsi="Arial" w:cs="Arial"/>
          <w:b w:val="0"/>
          <w:caps w:val="0"/>
          <w:sz w:val="20"/>
        </w:rPr>
        <w:t xml:space="preserve"> that quiver on their delicate stalks a characteristic that inspires both its scientific name ("tremula," meaning trembling) and its appeal as an ornamental plant (</w:t>
      </w:r>
      <w:r w:rsidRPr="005F350D">
        <w:rPr>
          <w:rFonts w:ascii="Arial" w:hAnsi="Arial" w:cs="Arial"/>
          <w:b w:val="0"/>
          <w:caps w:val="0"/>
          <w:sz w:val="20"/>
        </w:rPr>
        <w:t>Clayton</w:t>
      </w:r>
      <w:r>
        <w:rPr>
          <w:rFonts w:ascii="Arial" w:hAnsi="Arial" w:cs="Arial"/>
          <w:b w:val="0"/>
          <w:caps w:val="0"/>
          <w:sz w:val="20"/>
        </w:rPr>
        <w:t xml:space="preserve"> </w:t>
      </w:r>
      <w:r w:rsidRPr="005F350D">
        <w:rPr>
          <w:rFonts w:ascii="Arial" w:hAnsi="Arial" w:cs="Arial"/>
          <w:b w:val="0"/>
          <w:i/>
          <w:caps w:val="0"/>
          <w:sz w:val="20"/>
        </w:rPr>
        <w:t>et al.,</w:t>
      </w:r>
      <w:r>
        <w:rPr>
          <w:rFonts w:ascii="Arial" w:hAnsi="Arial" w:cs="Arial"/>
          <w:b w:val="0"/>
          <w:caps w:val="0"/>
          <w:sz w:val="20"/>
        </w:rPr>
        <w:t xml:space="preserve"> 2025</w:t>
      </w:r>
      <w:r w:rsidRPr="00E06944">
        <w:rPr>
          <w:rFonts w:ascii="Arial" w:hAnsi="Arial" w:cs="Arial"/>
          <w:b w:val="0"/>
          <w:caps w:val="0"/>
          <w:sz w:val="20"/>
        </w:rPr>
        <w:t>).</w:t>
      </w:r>
    </w:p>
    <w:p w14:paraId="1A98898F" w14:textId="77777777" w:rsidR="00464A40" w:rsidRPr="00E06944" w:rsidRDefault="00464A40" w:rsidP="00464A40">
      <w:pPr>
        <w:pStyle w:val="AbstHead"/>
        <w:jc w:val="both"/>
        <w:rPr>
          <w:rFonts w:ascii="Arial" w:hAnsi="Arial" w:cs="Arial"/>
          <w:b w:val="0"/>
          <w:caps w:val="0"/>
          <w:sz w:val="20"/>
        </w:rPr>
      </w:pPr>
      <w:r>
        <w:rPr>
          <w:rFonts w:ascii="Arial" w:hAnsi="Arial" w:cs="Arial"/>
          <w:b w:val="0"/>
          <w:caps w:val="0"/>
          <w:sz w:val="20"/>
        </w:rPr>
        <w:t>T</w:t>
      </w:r>
      <w:r w:rsidRPr="00E06944">
        <w:rPr>
          <w:rFonts w:ascii="Arial" w:hAnsi="Arial" w:cs="Arial"/>
          <w:b w:val="0"/>
          <w:caps w:val="0"/>
          <w:sz w:val="20"/>
        </w:rPr>
        <w:t xml:space="preserve">he small seeds (grains) of </w:t>
      </w:r>
      <w:proofErr w:type="spellStart"/>
      <w:r w:rsidRPr="00494AA7">
        <w:rPr>
          <w:rFonts w:ascii="Arial" w:hAnsi="Arial" w:cs="Arial"/>
          <w:b w:val="0"/>
          <w:i/>
          <w:caps w:val="0"/>
          <w:sz w:val="20"/>
        </w:rPr>
        <w:t>Eragrostis</w:t>
      </w:r>
      <w:proofErr w:type="spellEnd"/>
      <w:r w:rsidRPr="00494AA7">
        <w:rPr>
          <w:rFonts w:ascii="Arial" w:hAnsi="Arial" w:cs="Arial"/>
          <w:b w:val="0"/>
          <w:i/>
          <w:caps w:val="0"/>
          <w:sz w:val="20"/>
        </w:rPr>
        <w:t xml:space="preserve"> </w:t>
      </w:r>
      <w:proofErr w:type="spellStart"/>
      <w:r w:rsidRPr="00494AA7">
        <w:rPr>
          <w:rFonts w:ascii="Arial" w:hAnsi="Arial" w:cs="Arial"/>
          <w:b w:val="0"/>
          <w:i/>
          <w:caps w:val="0"/>
          <w:sz w:val="20"/>
        </w:rPr>
        <w:t>tremula</w:t>
      </w:r>
      <w:proofErr w:type="spellEnd"/>
      <w:r w:rsidRPr="00E06944">
        <w:rPr>
          <w:rFonts w:ascii="Arial" w:hAnsi="Arial" w:cs="Arial"/>
          <w:b w:val="0"/>
          <w:caps w:val="0"/>
          <w:sz w:val="20"/>
        </w:rPr>
        <w:t xml:space="preserve"> exhibit notable in vitro anti-inflammatory effects. These are linked to bioactive compounds such as flavonoids, tannins, and other phenolics, which also account for its potent antioxidant properties (</w:t>
      </w:r>
      <w:r>
        <w:rPr>
          <w:rFonts w:ascii="Arial" w:hAnsi="Arial" w:cs="Arial"/>
          <w:b w:val="0"/>
          <w:caps w:val="0"/>
          <w:sz w:val="20"/>
        </w:rPr>
        <w:t xml:space="preserve">Abdel-Rahman </w:t>
      </w:r>
      <w:r w:rsidRPr="00494AA7">
        <w:rPr>
          <w:rFonts w:ascii="Arial" w:hAnsi="Arial" w:cs="Arial"/>
          <w:b w:val="0"/>
          <w:i/>
          <w:caps w:val="0"/>
          <w:sz w:val="20"/>
        </w:rPr>
        <w:t>et al.,</w:t>
      </w:r>
      <w:r>
        <w:rPr>
          <w:rFonts w:ascii="Arial" w:hAnsi="Arial" w:cs="Arial"/>
          <w:b w:val="0"/>
          <w:caps w:val="0"/>
          <w:sz w:val="20"/>
        </w:rPr>
        <w:t xml:space="preserve"> 2022</w:t>
      </w:r>
      <w:r w:rsidRPr="00E06944">
        <w:rPr>
          <w:rFonts w:ascii="Arial" w:hAnsi="Arial" w:cs="Arial"/>
          <w:b w:val="0"/>
          <w:caps w:val="0"/>
          <w:sz w:val="20"/>
        </w:rPr>
        <w:t xml:space="preserve">; </w:t>
      </w:r>
      <w:r w:rsidRPr="00866D34">
        <w:rPr>
          <w:rFonts w:ascii="Arial" w:hAnsi="Arial" w:cs="Arial"/>
          <w:b w:val="0"/>
          <w:caps w:val="0"/>
          <w:sz w:val="20"/>
        </w:rPr>
        <w:t>Harborne</w:t>
      </w:r>
      <w:r>
        <w:rPr>
          <w:rFonts w:ascii="Arial" w:hAnsi="Arial" w:cs="Arial"/>
          <w:b w:val="0"/>
          <w:caps w:val="0"/>
          <w:sz w:val="20"/>
        </w:rPr>
        <w:t>, 1998</w:t>
      </w:r>
      <w:r w:rsidRPr="00E06944">
        <w:rPr>
          <w:rFonts w:ascii="Arial" w:hAnsi="Arial" w:cs="Arial"/>
          <w:b w:val="0"/>
          <w:caps w:val="0"/>
          <w:sz w:val="20"/>
        </w:rPr>
        <w:t xml:space="preserve">). However, these does not include traditional therapeutic use of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tremula</w:t>
      </w:r>
      <w:proofErr w:type="spellEnd"/>
      <w:r w:rsidRPr="00E06944">
        <w:rPr>
          <w:rFonts w:ascii="Arial" w:hAnsi="Arial" w:cs="Arial"/>
          <w:b w:val="0"/>
          <w:caps w:val="0"/>
          <w:sz w:val="20"/>
        </w:rPr>
        <w:t xml:space="preserve"> and reports on its immunomodulatory and </w:t>
      </w:r>
      <w:r w:rsidRPr="00E06944">
        <w:rPr>
          <w:rFonts w:ascii="Arial" w:hAnsi="Arial" w:cs="Arial"/>
          <w:b w:val="0"/>
          <w:caps w:val="0"/>
          <w:sz w:val="20"/>
        </w:rPr>
        <w:lastRenderedPageBreak/>
        <w:t>neuroprotective or anti</w:t>
      </w:r>
      <w:r w:rsidRPr="00E06944">
        <w:rPr>
          <w:rFonts w:ascii="Cambria Math" w:hAnsi="Cambria Math" w:cs="Cambria Math"/>
          <w:b w:val="0"/>
          <w:caps w:val="0"/>
          <w:sz w:val="20"/>
        </w:rPr>
        <w:t>‑</w:t>
      </w:r>
      <w:r w:rsidRPr="00E06944">
        <w:rPr>
          <w:rFonts w:ascii="Arial" w:hAnsi="Arial" w:cs="Arial"/>
          <w:b w:val="0"/>
          <w:caps w:val="0"/>
          <w:sz w:val="20"/>
        </w:rPr>
        <w:t>amnesic effects in experimental models (</w:t>
      </w:r>
      <w:proofErr w:type="spellStart"/>
      <w:r w:rsidRPr="00E06944">
        <w:rPr>
          <w:rFonts w:ascii="Arial" w:hAnsi="Arial" w:cs="Arial"/>
          <w:b w:val="0"/>
          <w:caps w:val="0"/>
          <w:sz w:val="20"/>
        </w:rPr>
        <w:t>Akah</w:t>
      </w:r>
      <w:proofErr w:type="spellEnd"/>
      <w:r w:rsidRPr="00E06944">
        <w:rPr>
          <w:rFonts w:ascii="Arial" w:hAnsi="Arial" w:cs="Arial"/>
          <w:b w:val="0"/>
          <w:caps w:val="0"/>
          <w:sz w:val="20"/>
        </w:rPr>
        <w:t xml:space="preserve"> and </w:t>
      </w:r>
      <w:proofErr w:type="spellStart"/>
      <w:r w:rsidRPr="00E06944">
        <w:rPr>
          <w:rFonts w:ascii="Arial" w:hAnsi="Arial" w:cs="Arial"/>
          <w:b w:val="0"/>
          <w:caps w:val="0"/>
          <w:sz w:val="20"/>
        </w:rPr>
        <w:t>Adeniji</w:t>
      </w:r>
      <w:proofErr w:type="spellEnd"/>
      <w:r w:rsidRPr="00E06944">
        <w:rPr>
          <w:rFonts w:ascii="Arial" w:hAnsi="Arial" w:cs="Arial"/>
          <w:b w:val="0"/>
          <w:caps w:val="0"/>
          <w:sz w:val="20"/>
        </w:rPr>
        <w:t>, 2025), there is still no direct experimental evidence demonstrating its anti</w:t>
      </w:r>
      <w:r w:rsidRPr="00E06944">
        <w:rPr>
          <w:rFonts w:ascii="Cambria Math" w:hAnsi="Cambria Math" w:cs="Cambria Math"/>
          <w:b w:val="0"/>
          <w:caps w:val="0"/>
          <w:sz w:val="20"/>
        </w:rPr>
        <w:t>‑</w:t>
      </w:r>
      <w:r w:rsidRPr="00E06944">
        <w:rPr>
          <w:rFonts w:ascii="Arial" w:hAnsi="Arial" w:cs="Arial"/>
          <w:b w:val="0"/>
          <w:caps w:val="0"/>
          <w:sz w:val="20"/>
        </w:rPr>
        <w:t>inflammatory activity or elucidating its underlying mechanisms, creating a critical knowledge gap that limits the rational development of this species as a potential anti</w:t>
      </w:r>
      <w:r w:rsidRPr="00E06944">
        <w:rPr>
          <w:rFonts w:ascii="Cambria Math" w:hAnsi="Cambria Math" w:cs="Cambria Math"/>
          <w:b w:val="0"/>
          <w:caps w:val="0"/>
          <w:sz w:val="20"/>
        </w:rPr>
        <w:t>‑</w:t>
      </w:r>
      <w:r w:rsidRPr="00E06944">
        <w:rPr>
          <w:rFonts w:ascii="Arial" w:hAnsi="Arial" w:cs="Arial"/>
          <w:b w:val="0"/>
          <w:caps w:val="0"/>
          <w:sz w:val="20"/>
        </w:rPr>
        <w:t xml:space="preserve">inflammatory agent. </w:t>
      </w:r>
    </w:p>
    <w:p w14:paraId="68E1E2D4" w14:textId="77777777" w:rsidR="00464A40" w:rsidRPr="00E06944" w:rsidRDefault="00464A40" w:rsidP="00464A40">
      <w:pPr>
        <w:pStyle w:val="AbstHead"/>
        <w:jc w:val="both"/>
        <w:rPr>
          <w:rFonts w:ascii="Arial" w:hAnsi="Arial" w:cs="Arial"/>
          <w:b w:val="0"/>
          <w:caps w:val="0"/>
          <w:sz w:val="20"/>
        </w:rPr>
      </w:pPr>
      <w:r w:rsidRPr="00E06944">
        <w:rPr>
          <w:rFonts w:ascii="Arial" w:hAnsi="Arial" w:cs="Arial"/>
          <w:b w:val="0"/>
          <w:caps w:val="0"/>
          <w:sz w:val="20"/>
        </w:rPr>
        <w:t xml:space="preserve">Given its multifaceted roles in ecology, traditional medicine, and socio-economic contexts,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tremula</w:t>
      </w:r>
      <w:proofErr w:type="spellEnd"/>
      <w:r w:rsidRPr="00E06944">
        <w:rPr>
          <w:rFonts w:ascii="Arial" w:hAnsi="Arial" w:cs="Arial"/>
          <w:b w:val="0"/>
          <w:caps w:val="0"/>
          <w:sz w:val="20"/>
        </w:rPr>
        <w:t xml:space="preserve"> warrants more comprehensive scientific investigation. Its pharmacological potential supported by preliminary studies on extracts showing anti-inflammatory effects, linked to phytochemicals such as flavonoids, tannins, phenols, alkaloids, saponins, and cardiac glycosides merits deeper exploration for possible integration into therapeutic applications or treatments, particularly in areas like cognitive health, inflammation-related conditions, or supportive care in resource limited settings (Sulaiman 2022). </w:t>
      </w:r>
    </w:p>
    <w:p w14:paraId="3CC7BB7A" w14:textId="77777777" w:rsidR="00464A40" w:rsidRPr="00E06944" w:rsidRDefault="00464A40" w:rsidP="00464A40">
      <w:pPr>
        <w:pStyle w:val="AbstHead"/>
        <w:jc w:val="both"/>
        <w:rPr>
          <w:rFonts w:ascii="Arial" w:hAnsi="Arial" w:cs="Arial"/>
          <w:b w:val="0"/>
          <w:caps w:val="0"/>
          <w:sz w:val="20"/>
        </w:rPr>
      </w:pPr>
      <w:r w:rsidRPr="00E06944">
        <w:rPr>
          <w:rFonts w:ascii="Arial" w:hAnsi="Arial" w:cs="Arial"/>
          <w:b w:val="0"/>
          <w:caps w:val="0"/>
          <w:sz w:val="20"/>
        </w:rPr>
        <w:t xml:space="preserve">Several species within the genus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r w:rsidRPr="00E06944">
        <w:rPr>
          <w:rFonts w:ascii="Arial" w:hAnsi="Arial" w:cs="Arial"/>
          <w:b w:val="0"/>
          <w:caps w:val="0"/>
          <w:sz w:val="20"/>
        </w:rPr>
        <w:t xml:space="preserve">have been investigated for pharmacological activities, particularly antioxidant effects, with methanolic extracts of </w:t>
      </w:r>
      <w:proofErr w:type="spellStart"/>
      <w:r w:rsidRPr="00330BD9">
        <w:rPr>
          <w:rFonts w:ascii="Arial" w:hAnsi="Arial" w:cs="Arial"/>
          <w:b w:val="0"/>
          <w:i/>
          <w:caps w:val="0"/>
          <w:sz w:val="20"/>
        </w:rPr>
        <w:t>Eragrostis</w:t>
      </w:r>
      <w:proofErr w:type="spellEnd"/>
      <w:r w:rsidRPr="00330BD9">
        <w:rPr>
          <w:rFonts w:ascii="Arial" w:hAnsi="Arial" w:cs="Arial"/>
          <w:b w:val="0"/>
          <w:i/>
          <w:caps w:val="0"/>
          <w:sz w:val="20"/>
        </w:rPr>
        <w:t xml:space="preserve"> </w:t>
      </w:r>
      <w:proofErr w:type="spellStart"/>
      <w:r w:rsidRPr="00330BD9">
        <w:rPr>
          <w:rFonts w:ascii="Arial" w:hAnsi="Arial" w:cs="Arial"/>
          <w:b w:val="0"/>
          <w:i/>
          <w:caps w:val="0"/>
          <w:sz w:val="20"/>
        </w:rPr>
        <w:t>pilosa</w:t>
      </w:r>
      <w:proofErr w:type="spellEnd"/>
      <w:r w:rsidRPr="00E06944">
        <w:rPr>
          <w:rFonts w:ascii="Arial" w:hAnsi="Arial" w:cs="Arial"/>
          <w:b w:val="0"/>
          <w:caps w:val="0"/>
          <w:sz w:val="20"/>
        </w:rPr>
        <w:t xml:space="preserve"> demonstrating significant membrane</w:t>
      </w:r>
      <w:r w:rsidRPr="00E06944">
        <w:rPr>
          <w:rFonts w:ascii="Cambria Math" w:hAnsi="Cambria Math" w:cs="Cambria Math"/>
          <w:b w:val="0"/>
          <w:caps w:val="0"/>
          <w:sz w:val="20"/>
        </w:rPr>
        <w:t>‑</w:t>
      </w:r>
      <w:r w:rsidRPr="00E06944">
        <w:rPr>
          <w:rFonts w:ascii="Arial" w:hAnsi="Arial" w:cs="Arial"/>
          <w:b w:val="0"/>
          <w:caps w:val="0"/>
          <w:sz w:val="20"/>
        </w:rPr>
        <w:t>stabilizing and antioxidant activities attributed to phenolic constituents such as flavonoids and tannins (</w:t>
      </w:r>
      <w:r w:rsidRPr="004930B9">
        <w:rPr>
          <w:rFonts w:ascii="Arial" w:hAnsi="Arial" w:cs="Arial"/>
          <w:b w:val="0"/>
          <w:caps w:val="0"/>
          <w:sz w:val="20"/>
        </w:rPr>
        <w:t xml:space="preserve">Adebayo </w:t>
      </w:r>
      <w:r w:rsidRPr="004930B9">
        <w:rPr>
          <w:rFonts w:ascii="Arial" w:hAnsi="Arial" w:cs="Arial"/>
          <w:b w:val="0"/>
          <w:i/>
          <w:caps w:val="0"/>
          <w:sz w:val="20"/>
        </w:rPr>
        <w:t>et al</w:t>
      </w:r>
      <w:r w:rsidRPr="004930B9">
        <w:rPr>
          <w:rFonts w:ascii="Arial" w:hAnsi="Arial" w:cs="Arial"/>
          <w:b w:val="0"/>
          <w:caps w:val="0"/>
          <w:sz w:val="20"/>
        </w:rPr>
        <w:t xml:space="preserve">., 2019; Rice-Evans </w:t>
      </w:r>
      <w:r w:rsidRPr="004930B9">
        <w:rPr>
          <w:rFonts w:ascii="Arial" w:hAnsi="Arial" w:cs="Arial"/>
          <w:b w:val="0"/>
          <w:i/>
          <w:caps w:val="0"/>
          <w:sz w:val="20"/>
        </w:rPr>
        <w:t>et al</w:t>
      </w:r>
      <w:r w:rsidRPr="004930B9">
        <w:rPr>
          <w:rFonts w:ascii="Arial" w:hAnsi="Arial" w:cs="Arial"/>
          <w:b w:val="0"/>
          <w:caps w:val="0"/>
          <w:sz w:val="20"/>
        </w:rPr>
        <w:t>., 1997</w:t>
      </w:r>
      <w:r w:rsidRPr="00E06944">
        <w:rPr>
          <w:rFonts w:ascii="Arial" w:hAnsi="Arial" w:cs="Arial"/>
          <w:b w:val="0"/>
          <w:caps w:val="0"/>
          <w:sz w:val="20"/>
        </w:rPr>
        <w:t>). Recent studies have explored neuroprotective or anti</w:t>
      </w:r>
      <w:r w:rsidRPr="00E06944">
        <w:rPr>
          <w:rFonts w:ascii="Cambria Math" w:hAnsi="Cambria Math" w:cs="Cambria Math"/>
          <w:b w:val="0"/>
          <w:caps w:val="0"/>
          <w:sz w:val="20"/>
        </w:rPr>
        <w:t>‑</w:t>
      </w:r>
      <w:r w:rsidRPr="00E06944">
        <w:rPr>
          <w:rFonts w:ascii="Arial" w:hAnsi="Arial" w:cs="Arial"/>
          <w:b w:val="0"/>
          <w:caps w:val="0"/>
          <w:sz w:val="20"/>
        </w:rPr>
        <w:t xml:space="preserve">amnesic effects of </w:t>
      </w:r>
      <w:r w:rsidRPr="004930B9">
        <w:rPr>
          <w:rFonts w:ascii="Arial" w:hAnsi="Arial" w:cs="Arial"/>
          <w:b w:val="0"/>
          <w:i/>
          <w:caps w:val="0"/>
          <w:sz w:val="20"/>
        </w:rPr>
        <w:t>E. tremula</w:t>
      </w:r>
      <w:r w:rsidRPr="00E06944">
        <w:rPr>
          <w:rFonts w:ascii="Arial" w:hAnsi="Arial" w:cs="Arial"/>
          <w:b w:val="0"/>
          <w:caps w:val="0"/>
          <w:sz w:val="20"/>
        </w:rPr>
        <w:t xml:space="preserve"> extracts, suggesting central nervous system activity but without directly measuring classical immunomodulatory effects on phagocytic and humoral responses leaving a clear gap for targeted studies on its anti</w:t>
      </w:r>
      <w:r w:rsidRPr="00E06944">
        <w:rPr>
          <w:rFonts w:ascii="Cambria Math" w:hAnsi="Cambria Math" w:cs="Cambria Math"/>
          <w:b w:val="0"/>
          <w:caps w:val="0"/>
          <w:sz w:val="20"/>
        </w:rPr>
        <w:t>‑</w:t>
      </w:r>
      <w:r w:rsidRPr="00E06944">
        <w:rPr>
          <w:rFonts w:ascii="Arial" w:hAnsi="Arial" w:cs="Arial"/>
          <w:b w:val="0"/>
          <w:caps w:val="0"/>
          <w:sz w:val="20"/>
        </w:rPr>
        <w:t>inflammatory activity and mechanisms.</w:t>
      </w:r>
    </w:p>
    <w:p w14:paraId="557016B4" w14:textId="77777777" w:rsidR="00464A40" w:rsidRDefault="00464A40" w:rsidP="00464A40">
      <w:pPr>
        <w:pStyle w:val="AbstHead"/>
        <w:spacing w:after="0"/>
        <w:jc w:val="both"/>
        <w:rPr>
          <w:rFonts w:ascii="Arial" w:hAnsi="Arial" w:cs="Arial"/>
          <w:i/>
        </w:rPr>
      </w:pPr>
      <w:r w:rsidRPr="00E06944">
        <w:rPr>
          <w:rFonts w:ascii="Arial" w:hAnsi="Arial" w:cs="Arial"/>
          <w:b w:val="0"/>
          <w:caps w:val="0"/>
          <w:sz w:val="20"/>
        </w:rPr>
        <w:t xml:space="preserve">Currently, there is a lack of robust scientific evidence either confirming or disproving the traditional use of </w:t>
      </w:r>
      <w:r w:rsidRPr="008C1426">
        <w:rPr>
          <w:rFonts w:ascii="Arial" w:hAnsi="Arial" w:cs="Arial"/>
          <w:b w:val="0"/>
          <w:i/>
          <w:caps w:val="0"/>
          <w:sz w:val="20"/>
        </w:rPr>
        <w:t>E. tremula</w:t>
      </w:r>
      <w:r w:rsidRPr="00E06944">
        <w:rPr>
          <w:rFonts w:ascii="Arial" w:hAnsi="Arial" w:cs="Arial"/>
          <w:b w:val="0"/>
          <w:caps w:val="0"/>
          <w:sz w:val="20"/>
        </w:rPr>
        <w:t xml:space="preserve"> as an anti-inflammatory remedy. This evidence gap hinders its rational incorporation into modern drug discovery and evidence-based herbal medicine. The present study bridges this gap by rigorously evaluating its anti-inflammatory potential using established in vivo models. In doing so, it generates essential preliminary data on its effectiveness and lays the groundwork for future investigations into its mechanisms of action, phytochemical composition, and eventual clinical applications. This work is especially timely given the growing demand for cost-effective, plant-based anti-inflammatory options to manage chronic inflammatory diseases in low-resource settings.</w:t>
      </w:r>
      <w:r>
        <w:rPr>
          <w:rFonts w:ascii="Arial" w:hAnsi="Arial" w:cs="Arial"/>
          <w:b w:val="0"/>
          <w:caps w:val="0"/>
          <w:sz w:val="20"/>
        </w:rPr>
        <w:t xml:space="preserve"> </w:t>
      </w:r>
    </w:p>
    <w:p w14:paraId="4823D9FF" w14:textId="77777777" w:rsidR="00464A40" w:rsidRPr="00E35666" w:rsidRDefault="00464A40" w:rsidP="00464A40">
      <w:pPr>
        <w:pStyle w:val="Body"/>
        <w:spacing w:after="0" w:line="276" w:lineRule="auto"/>
        <w:rPr>
          <w:rFonts w:ascii="Arial" w:eastAsia="Calibri" w:hAnsi="Arial" w:cs="Arial"/>
          <w:szCs w:val="22"/>
        </w:rPr>
      </w:pPr>
    </w:p>
    <w:p w14:paraId="226EE6FA" w14:textId="77777777" w:rsidR="00464A40" w:rsidRPr="00262819" w:rsidRDefault="00464A40" w:rsidP="00464A40">
      <w:pPr>
        <w:rPr>
          <w:rFonts w:ascii="Arial" w:hAnsi="Arial" w:cs="Arial"/>
          <w:b/>
          <w:sz w:val="22"/>
          <w:szCs w:val="22"/>
          <w:lang w:val="en-GB"/>
        </w:rPr>
      </w:pPr>
      <w:r w:rsidRPr="00262819">
        <w:rPr>
          <w:rFonts w:ascii="Arial" w:hAnsi="Arial" w:cs="Arial"/>
          <w:b/>
          <w:sz w:val="22"/>
          <w:szCs w:val="22"/>
          <w:lang w:val="en-GB"/>
        </w:rPr>
        <w:t xml:space="preserve">2. Methods </w:t>
      </w:r>
    </w:p>
    <w:p w14:paraId="139FC869" w14:textId="77777777" w:rsidR="00464A40" w:rsidRDefault="00464A40" w:rsidP="00464A40">
      <w:pPr>
        <w:rPr>
          <w:rFonts w:ascii="Arial" w:hAnsi="Arial" w:cs="Arial"/>
          <w:b/>
          <w:sz w:val="22"/>
          <w:lang w:val="en-GB"/>
        </w:rPr>
      </w:pPr>
      <w:r w:rsidRPr="00262819">
        <w:rPr>
          <w:rFonts w:ascii="Arial" w:hAnsi="Arial" w:cs="Arial"/>
          <w:b/>
          <w:sz w:val="22"/>
          <w:lang w:val="en-GB"/>
        </w:rPr>
        <w:t>2.1 Plant material</w:t>
      </w:r>
    </w:p>
    <w:p w14:paraId="73D81179" w14:textId="77777777" w:rsidR="00464A40" w:rsidRPr="00744BA8" w:rsidRDefault="00464A40" w:rsidP="00464A40">
      <w:pPr>
        <w:spacing w:before="240"/>
        <w:jc w:val="both"/>
        <w:rPr>
          <w:rFonts w:ascii="Arial" w:hAnsi="Arial" w:cs="Arial"/>
          <w:sz w:val="20"/>
          <w:szCs w:val="20"/>
          <w:lang w:val="en-GB"/>
        </w:rPr>
      </w:pPr>
      <w:r w:rsidRPr="00744BA8">
        <w:rPr>
          <w:rFonts w:ascii="Arial" w:hAnsi="Arial" w:cs="Arial"/>
          <w:sz w:val="20"/>
          <w:szCs w:val="20"/>
          <w:lang w:val="en-GB"/>
        </w:rPr>
        <w:t xml:space="preserve">Fresh </w:t>
      </w:r>
      <w:proofErr w:type="spellStart"/>
      <w:r w:rsidRPr="00744BA8">
        <w:rPr>
          <w:rFonts w:ascii="Arial" w:hAnsi="Arial" w:cs="Arial"/>
          <w:sz w:val="20"/>
          <w:szCs w:val="20"/>
          <w:lang w:val="en-GB"/>
        </w:rPr>
        <w:t>Eragrostis</w:t>
      </w:r>
      <w:proofErr w:type="spellEnd"/>
      <w:r w:rsidRPr="00744BA8">
        <w:rPr>
          <w:rFonts w:ascii="Arial" w:hAnsi="Arial" w:cs="Arial"/>
          <w:sz w:val="20"/>
          <w:szCs w:val="20"/>
          <w:lang w:val="en-GB"/>
        </w:rPr>
        <w:t xml:space="preserve"> </w:t>
      </w:r>
      <w:proofErr w:type="spellStart"/>
      <w:r w:rsidRPr="00744BA8">
        <w:rPr>
          <w:rFonts w:ascii="Arial" w:hAnsi="Arial" w:cs="Arial"/>
          <w:sz w:val="20"/>
          <w:szCs w:val="20"/>
          <w:lang w:val="en-GB"/>
        </w:rPr>
        <w:t>tremula</w:t>
      </w:r>
      <w:proofErr w:type="spellEnd"/>
      <w:r w:rsidRPr="00744BA8">
        <w:rPr>
          <w:rFonts w:ascii="Arial" w:hAnsi="Arial" w:cs="Arial"/>
          <w:sz w:val="20"/>
          <w:szCs w:val="20"/>
          <w:lang w:val="en-GB"/>
        </w:rPr>
        <w:t xml:space="preserve"> plants were collected from Gubi village in Bauchi State, Fika village in Yobe State and Kumo town in Gombe State. The collected samples were transported to the Abubakar Tafawa Balewa University Herbarium. A voucher number (ATBUDBSH1670) was issued. Roots were separated, air-dried under shade, and then coarsely powdered using a wooden mortar and pestle (</w:t>
      </w:r>
      <w:proofErr w:type="spellStart"/>
      <w:r w:rsidRPr="00744BA8">
        <w:rPr>
          <w:sz w:val="20"/>
          <w:szCs w:val="20"/>
        </w:rPr>
        <w:t>Bappah</w:t>
      </w:r>
      <w:proofErr w:type="spellEnd"/>
      <w:r w:rsidRPr="00744BA8">
        <w:rPr>
          <w:sz w:val="20"/>
          <w:szCs w:val="20"/>
        </w:rPr>
        <w:t xml:space="preserve"> </w:t>
      </w:r>
      <w:r w:rsidRPr="00744BA8">
        <w:rPr>
          <w:i/>
          <w:sz w:val="20"/>
          <w:szCs w:val="20"/>
        </w:rPr>
        <w:t>et al.,</w:t>
      </w:r>
      <w:r w:rsidRPr="00744BA8">
        <w:rPr>
          <w:sz w:val="20"/>
          <w:szCs w:val="20"/>
        </w:rPr>
        <w:t xml:space="preserve"> 2022</w:t>
      </w:r>
      <w:r w:rsidRPr="00744BA8">
        <w:rPr>
          <w:rFonts w:ascii="Arial" w:hAnsi="Arial" w:cs="Arial"/>
          <w:sz w:val="20"/>
          <w:szCs w:val="20"/>
          <w:lang w:val="en-GB"/>
        </w:rPr>
        <w:t xml:space="preserve">). </w:t>
      </w:r>
      <w:r w:rsidRPr="00744BA8">
        <w:rPr>
          <w:rFonts w:ascii="Arial" w:hAnsi="Arial" w:cs="Arial"/>
          <w:sz w:val="20"/>
          <w:szCs w:val="20"/>
        </w:rPr>
        <w:t xml:space="preserve">Aqueous, methanol and ethanolic extracts of the plant were prepared following the method of </w:t>
      </w:r>
      <w:proofErr w:type="spellStart"/>
      <w:r w:rsidRPr="00744BA8">
        <w:rPr>
          <w:sz w:val="20"/>
          <w:szCs w:val="20"/>
        </w:rPr>
        <w:t>Bappah</w:t>
      </w:r>
      <w:proofErr w:type="spellEnd"/>
      <w:r w:rsidRPr="00744BA8">
        <w:rPr>
          <w:sz w:val="20"/>
          <w:szCs w:val="20"/>
        </w:rPr>
        <w:t xml:space="preserve"> </w:t>
      </w:r>
      <w:r w:rsidRPr="00744BA8">
        <w:rPr>
          <w:i/>
          <w:sz w:val="20"/>
          <w:szCs w:val="20"/>
        </w:rPr>
        <w:t xml:space="preserve">et al. </w:t>
      </w:r>
      <w:r w:rsidRPr="00744BA8">
        <w:rPr>
          <w:rFonts w:ascii="Arial" w:hAnsi="Arial" w:cs="Arial"/>
          <w:sz w:val="20"/>
          <w:szCs w:val="20"/>
        </w:rPr>
        <w:t>(</w:t>
      </w:r>
      <w:r w:rsidRPr="00744BA8">
        <w:rPr>
          <w:sz w:val="20"/>
          <w:szCs w:val="20"/>
        </w:rPr>
        <w:t>2022</w:t>
      </w:r>
      <w:r w:rsidRPr="00744BA8">
        <w:rPr>
          <w:rFonts w:ascii="Arial" w:hAnsi="Arial" w:cs="Arial"/>
          <w:color w:val="000000" w:themeColor="text1"/>
          <w:sz w:val="20"/>
          <w:szCs w:val="20"/>
        </w:rPr>
        <w:t xml:space="preserve">), </w:t>
      </w:r>
      <w:r w:rsidRPr="00744BA8">
        <w:rPr>
          <w:rFonts w:ascii="Arial" w:hAnsi="Arial" w:cs="Arial"/>
          <w:sz w:val="20"/>
          <w:szCs w:val="20"/>
          <w:lang w:val="en-GB"/>
        </w:rPr>
        <w:t>with periodic shaking and stirring to facilitate extraction. The resulting mixture was initially filtered through cheesecloth, followed by filtration using Whatman No. 1 filter paper (24 cm diameter). The obtained filtrate was transferred to an evaporating dish and concentrated to dryness on a water bath, yielding the crude methanolic extract (</w:t>
      </w:r>
      <w:proofErr w:type="spellStart"/>
      <w:r w:rsidRPr="00744BA8">
        <w:rPr>
          <w:rFonts w:ascii="Arial" w:hAnsi="Arial" w:cs="Arial"/>
          <w:sz w:val="20"/>
          <w:szCs w:val="20"/>
          <w:lang w:val="en-GB"/>
        </w:rPr>
        <w:t>Nazifi</w:t>
      </w:r>
      <w:proofErr w:type="spellEnd"/>
      <w:r w:rsidRPr="00744BA8">
        <w:rPr>
          <w:rFonts w:ascii="Arial" w:hAnsi="Arial" w:cs="Arial"/>
          <w:sz w:val="20"/>
          <w:szCs w:val="20"/>
          <w:lang w:val="en-GB"/>
        </w:rPr>
        <w:t xml:space="preserve">, </w:t>
      </w:r>
      <w:r w:rsidRPr="00744BA8">
        <w:rPr>
          <w:rFonts w:ascii="Arial" w:hAnsi="Arial" w:cs="Arial"/>
          <w:i/>
          <w:sz w:val="20"/>
          <w:szCs w:val="20"/>
          <w:lang w:val="en-GB"/>
        </w:rPr>
        <w:t>et al</w:t>
      </w:r>
      <w:r w:rsidRPr="00744BA8">
        <w:rPr>
          <w:rFonts w:ascii="Arial" w:hAnsi="Arial" w:cs="Arial"/>
          <w:sz w:val="20"/>
          <w:szCs w:val="20"/>
          <w:lang w:val="en-GB"/>
        </w:rPr>
        <w:t>., 2023).</w:t>
      </w:r>
    </w:p>
    <w:p w14:paraId="43234B0A" w14:textId="77777777" w:rsidR="00464A40" w:rsidRPr="00744BA8" w:rsidRDefault="00464A40" w:rsidP="00464A40">
      <w:pPr>
        <w:spacing w:before="240"/>
        <w:jc w:val="both"/>
        <w:rPr>
          <w:rFonts w:ascii="Arial" w:hAnsi="Arial" w:cs="Arial"/>
          <w:b/>
          <w:sz w:val="20"/>
          <w:szCs w:val="20"/>
        </w:rPr>
      </w:pPr>
      <w:r w:rsidRPr="00744BA8">
        <w:rPr>
          <w:rFonts w:ascii="Arial" w:hAnsi="Arial" w:cs="Arial"/>
          <w:b/>
          <w:sz w:val="20"/>
          <w:szCs w:val="20"/>
          <w:lang w:val="en-GB"/>
        </w:rPr>
        <w:t xml:space="preserve">2.2. </w:t>
      </w:r>
      <w:r w:rsidRPr="00744BA8">
        <w:rPr>
          <w:rFonts w:ascii="Arial" w:hAnsi="Arial" w:cs="Arial"/>
          <w:b/>
          <w:sz w:val="20"/>
          <w:szCs w:val="20"/>
        </w:rPr>
        <w:t>Experimental animals</w:t>
      </w:r>
    </w:p>
    <w:p w14:paraId="3C0290AE" w14:textId="77777777" w:rsidR="00464A40" w:rsidRPr="00744BA8" w:rsidRDefault="00464A40" w:rsidP="00464A40">
      <w:pPr>
        <w:spacing w:before="240" w:line="240" w:lineRule="auto"/>
        <w:jc w:val="both"/>
        <w:rPr>
          <w:rFonts w:ascii="Arial" w:hAnsi="Arial" w:cs="Arial"/>
          <w:sz w:val="20"/>
          <w:szCs w:val="20"/>
          <w:lang w:val="en-GB"/>
        </w:rPr>
      </w:pPr>
      <w:r w:rsidRPr="00744BA8">
        <w:rPr>
          <w:rFonts w:ascii="Arial" w:hAnsi="Arial" w:cs="Arial"/>
          <w:sz w:val="20"/>
          <w:szCs w:val="20"/>
          <w:lang w:val="en-GB"/>
        </w:rPr>
        <w:t xml:space="preserve">Twenty (20) adult </w:t>
      </w:r>
      <w:r w:rsidRPr="00744BA8">
        <w:rPr>
          <w:rFonts w:ascii="Arial" w:eastAsia="Calibri" w:hAnsi="Arial" w:cs="Arial"/>
          <w:sz w:val="20"/>
          <w:szCs w:val="20"/>
        </w:rPr>
        <w:t>SD rat</w:t>
      </w:r>
      <w:r w:rsidRPr="00744BA8">
        <w:rPr>
          <w:rFonts w:ascii="Arial" w:hAnsi="Arial" w:cs="Arial"/>
          <w:sz w:val="20"/>
          <w:szCs w:val="20"/>
          <w:lang w:val="en-GB"/>
        </w:rPr>
        <w:t>s, weighing between 150 and 200 g, were procured from the Animal House ATBU Bauchi. The animals were housed in standard rat cages within a well-ventilated animal room maintained at a temperature range of 27–30 °C, under a natural 12-hour light/12-hour dark cycle. They had unrestricted access to tap water and standard dry rat pellet feed. Prior to the commencement of experiments, the rats were allowed a two-week acclimatization period to adapt to the housing conditions and minimize stress (</w:t>
      </w:r>
      <w:proofErr w:type="spellStart"/>
      <w:r w:rsidRPr="00744BA8">
        <w:rPr>
          <w:rFonts w:ascii="Arial" w:hAnsi="Arial" w:cs="Arial"/>
          <w:sz w:val="20"/>
          <w:szCs w:val="20"/>
          <w:lang w:val="en-GB"/>
        </w:rPr>
        <w:t>Percie</w:t>
      </w:r>
      <w:proofErr w:type="spellEnd"/>
      <w:r w:rsidRPr="00744BA8">
        <w:rPr>
          <w:rFonts w:ascii="Arial" w:hAnsi="Arial" w:cs="Arial"/>
          <w:sz w:val="20"/>
          <w:szCs w:val="20"/>
          <w:lang w:val="en-GB"/>
        </w:rPr>
        <w:t xml:space="preserve"> du </w:t>
      </w:r>
      <w:proofErr w:type="spellStart"/>
      <w:r w:rsidRPr="00744BA8">
        <w:rPr>
          <w:rFonts w:ascii="Arial" w:hAnsi="Arial" w:cs="Arial"/>
          <w:sz w:val="20"/>
          <w:szCs w:val="20"/>
          <w:lang w:val="en-GB"/>
        </w:rPr>
        <w:t>Sert</w:t>
      </w:r>
      <w:proofErr w:type="spellEnd"/>
      <w:r w:rsidRPr="00744BA8">
        <w:rPr>
          <w:rFonts w:ascii="Arial" w:hAnsi="Arial" w:cs="Arial"/>
          <w:sz w:val="20"/>
          <w:szCs w:val="20"/>
          <w:lang w:val="en-GB"/>
        </w:rPr>
        <w:t xml:space="preserve"> </w:t>
      </w:r>
      <w:r w:rsidRPr="00744BA8">
        <w:rPr>
          <w:rFonts w:ascii="Arial" w:hAnsi="Arial" w:cs="Arial"/>
          <w:i/>
          <w:sz w:val="20"/>
          <w:szCs w:val="20"/>
          <w:lang w:val="en-GB"/>
        </w:rPr>
        <w:t>et al</w:t>
      </w:r>
      <w:r w:rsidRPr="00744BA8">
        <w:rPr>
          <w:rFonts w:ascii="Arial" w:hAnsi="Arial" w:cs="Arial"/>
          <w:sz w:val="20"/>
          <w:szCs w:val="20"/>
          <w:lang w:val="en-GB"/>
        </w:rPr>
        <w:t>., 2020).</w:t>
      </w:r>
    </w:p>
    <w:p w14:paraId="49753914" w14:textId="77777777" w:rsidR="00464A40" w:rsidRPr="00744BA8" w:rsidRDefault="00464A40" w:rsidP="00464A40">
      <w:pPr>
        <w:spacing w:before="240" w:line="240" w:lineRule="auto"/>
        <w:jc w:val="both"/>
        <w:rPr>
          <w:rFonts w:ascii="Arial" w:hAnsi="Arial" w:cs="Arial"/>
          <w:sz w:val="20"/>
          <w:szCs w:val="20"/>
          <w:lang w:val="en-GB"/>
        </w:rPr>
      </w:pPr>
      <w:r w:rsidRPr="00744BA8">
        <w:rPr>
          <w:rFonts w:ascii="Arial" w:hAnsi="Arial" w:cs="Arial"/>
          <w:sz w:val="20"/>
          <w:szCs w:val="20"/>
          <w:lang w:val="en-GB"/>
        </w:rPr>
        <w:lastRenderedPageBreak/>
        <w:t>All experimental procedures strictly adhered to the guidelines approved by the Institutional Animal Ethics Committee. Furthermore, they complied with internationally recognized standards for the care and use of laboratory animals, as outlined in the Guide for the Care and Use of Laboratory Animals (National Institutes of Health, 1996 [updated from the 1992 edition commonly referenced in protocols]) and the ethical principles endorsed by the International Association for the Study of Pain (IASP) for investigations involving experimental pain in conscious animals, including the 3Rs framework (Replacement, Reduction, and Refinement) to minimize animal suffering while ensuring scientific validity. The residual filtrate was later re-constituted, taking into consideration the average weight of the albino rats and the required volume of doses. The crude extract was diluted in cold water to obtain varying concentrations of the extract per Kg body weight. It was then kept refrigerated at 4</w:t>
      </w:r>
      <w:r w:rsidRPr="00744BA8">
        <w:rPr>
          <w:rFonts w:ascii="Arial" w:hAnsi="Arial" w:cs="Arial"/>
          <w:sz w:val="20"/>
          <w:szCs w:val="20"/>
          <w:vertAlign w:val="superscript"/>
          <w:lang w:val="en-GB"/>
        </w:rPr>
        <w:t>o</w:t>
      </w:r>
      <w:r w:rsidRPr="00744BA8">
        <w:rPr>
          <w:rFonts w:ascii="Arial" w:hAnsi="Arial" w:cs="Arial"/>
          <w:sz w:val="20"/>
          <w:szCs w:val="20"/>
          <w:lang w:val="en-GB"/>
        </w:rPr>
        <w:t xml:space="preserve">C until use (Akanji </w:t>
      </w:r>
      <w:r w:rsidRPr="00744BA8">
        <w:rPr>
          <w:rFonts w:ascii="Arial" w:hAnsi="Arial" w:cs="Arial"/>
          <w:i/>
          <w:sz w:val="20"/>
          <w:szCs w:val="20"/>
          <w:lang w:val="en-GB"/>
        </w:rPr>
        <w:t>et al</w:t>
      </w:r>
      <w:r w:rsidRPr="00744BA8">
        <w:rPr>
          <w:rFonts w:ascii="Arial" w:hAnsi="Arial" w:cs="Arial"/>
          <w:sz w:val="20"/>
          <w:szCs w:val="20"/>
          <w:lang w:val="en-GB"/>
        </w:rPr>
        <w:t>., 2009).</w:t>
      </w:r>
    </w:p>
    <w:p w14:paraId="311B9440"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 Experimental design</w:t>
      </w:r>
    </w:p>
    <w:p w14:paraId="0A1328E1" w14:textId="77777777" w:rsidR="00464A40" w:rsidRPr="00AA6DAD" w:rsidRDefault="00464A40" w:rsidP="00464A40">
      <w:pPr>
        <w:spacing w:before="240" w:line="240" w:lineRule="auto"/>
        <w:jc w:val="both"/>
        <w:rPr>
          <w:rFonts w:ascii="Arial" w:hAnsi="Arial" w:cs="Arial"/>
          <w:sz w:val="22"/>
          <w:lang w:val="en-GB"/>
        </w:rPr>
      </w:pPr>
      <w:r w:rsidRPr="00AA6DAD">
        <w:rPr>
          <w:rFonts w:ascii="Arial" w:hAnsi="Arial" w:cs="Arial"/>
          <w:b/>
          <w:sz w:val="22"/>
          <w:lang w:val="en-GB"/>
        </w:rPr>
        <w:t>2.3 1. LD50 Determination / Acute toxicity studies</w:t>
      </w:r>
    </w:p>
    <w:p w14:paraId="1C13FA1C"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 xml:space="preserve">Group 1: 3 SD rats as control. </w:t>
      </w:r>
    </w:p>
    <w:p w14:paraId="456ECAC1"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3</w:t>
      </w:r>
      <w:r w:rsidRPr="00744BA8">
        <w:rPr>
          <w:sz w:val="22"/>
        </w:rPr>
        <w:t xml:space="preserve"> </w:t>
      </w:r>
      <w:r w:rsidRPr="00744BA8">
        <w:rPr>
          <w:rFonts w:ascii="Arial" w:hAnsi="Arial" w:cs="Arial"/>
          <w:sz w:val="20"/>
          <w:lang w:val="en-GB"/>
        </w:rPr>
        <w:t>SD rats were administered with 1600mg/Kg of body weight of the crude extract, one rat per day for 3days</w:t>
      </w:r>
    </w:p>
    <w:p w14:paraId="46652C00"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3</w:t>
      </w:r>
      <w:r w:rsidRPr="00744BA8">
        <w:rPr>
          <w:sz w:val="22"/>
        </w:rPr>
        <w:t xml:space="preserve"> </w:t>
      </w:r>
      <w:r w:rsidRPr="00744BA8">
        <w:rPr>
          <w:rFonts w:ascii="Arial" w:hAnsi="Arial" w:cs="Arial"/>
          <w:sz w:val="20"/>
          <w:lang w:val="en-GB"/>
        </w:rPr>
        <w:t>SD rats were administered with 2900mg/kg of body weight.</w:t>
      </w:r>
    </w:p>
    <w:p w14:paraId="3255C654"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3</w:t>
      </w:r>
      <w:r w:rsidRPr="00744BA8">
        <w:rPr>
          <w:sz w:val="22"/>
        </w:rPr>
        <w:t xml:space="preserve"> </w:t>
      </w:r>
      <w:r w:rsidRPr="00744BA8">
        <w:rPr>
          <w:rFonts w:ascii="Arial" w:hAnsi="Arial" w:cs="Arial"/>
          <w:sz w:val="20"/>
          <w:lang w:val="en-GB"/>
        </w:rPr>
        <w:t>SD rats were administered 5000mg/Kg of body weight of crude extract.</w:t>
      </w:r>
    </w:p>
    <w:p w14:paraId="1FA6658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After which both group 2, 3 and 4 animals were observed for 14days and then euthanized.</w:t>
      </w:r>
    </w:p>
    <w:p w14:paraId="4D928E51"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2.3.2 Body weight</w:t>
      </w:r>
    </w:p>
    <w:p w14:paraId="0A6A86D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Body weights of rats in all groups were recorded using a sensitive balance once before the start of dosing, twice weekly during the treatment period, and once on the day of euthanize. Doses of the extract were recalculated and adjusted based on the latest body weight to ensure accurate administration per kg body weight.</w:t>
      </w:r>
    </w:p>
    <w:p w14:paraId="33C33ED8" w14:textId="77777777" w:rsidR="00464A40" w:rsidRPr="00AA6DAD" w:rsidRDefault="00464A40" w:rsidP="00464A40">
      <w:pPr>
        <w:spacing w:before="240" w:line="240" w:lineRule="auto"/>
        <w:jc w:val="both"/>
        <w:rPr>
          <w:rFonts w:ascii="Arial" w:hAnsi="Arial" w:cs="Arial"/>
          <w:b/>
          <w:sz w:val="22"/>
          <w:lang w:val="en-GB"/>
        </w:rPr>
      </w:pPr>
      <w:r w:rsidRPr="00AA6DAD">
        <w:rPr>
          <w:rFonts w:ascii="Arial" w:hAnsi="Arial" w:cs="Arial"/>
          <w:b/>
          <w:sz w:val="22"/>
          <w:lang w:val="en-GB"/>
        </w:rPr>
        <w:t>2.3.3</w:t>
      </w:r>
      <w:r>
        <w:rPr>
          <w:rFonts w:ascii="Arial" w:hAnsi="Arial" w:cs="Arial"/>
          <w:b/>
          <w:sz w:val="22"/>
          <w:lang w:val="en-GB"/>
        </w:rPr>
        <w:t xml:space="preserve"> S</w:t>
      </w:r>
      <w:r w:rsidRPr="00AA6DAD">
        <w:rPr>
          <w:rFonts w:ascii="Arial" w:hAnsi="Arial" w:cs="Arial"/>
          <w:b/>
          <w:sz w:val="22"/>
          <w:lang w:val="en-GB"/>
        </w:rPr>
        <w:t>ub-chronic toxicity</w:t>
      </w:r>
    </w:p>
    <w:p w14:paraId="644EB76A"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Twenty (20) SD rats were used for the test in which they were grouped into 4 groups of 5 rats per group.</w:t>
      </w:r>
    </w:p>
    <w:p w14:paraId="3ADF3A45"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Group1: Control group that were given 10ml of distilled water/kg of their body weight each.</w:t>
      </w:r>
    </w:p>
    <w:p w14:paraId="20CB3DF6"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2: Test group 1 that was induced with 50mg/kg of body weight daily.</w:t>
      </w:r>
    </w:p>
    <w:p w14:paraId="3014D87D"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3: Test group 2 that were induced with 100mg/kg of body weight daily.</w:t>
      </w:r>
    </w:p>
    <w:p w14:paraId="2AC2103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Group 4: Test group 3 that were induced with 200mg/kg of body weight respectively.</w:t>
      </w:r>
    </w:p>
    <w:p w14:paraId="71F61CBF" w14:textId="77777777" w:rsidR="00464A40" w:rsidRPr="00744BA8" w:rsidRDefault="00464A40" w:rsidP="00464A40">
      <w:pPr>
        <w:spacing w:before="240" w:line="240" w:lineRule="auto"/>
        <w:jc w:val="both"/>
        <w:rPr>
          <w:rFonts w:ascii="Arial" w:hAnsi="Arial" w:cs="Arial"/>
          <w:sz w:val="20"/>
          <w:lang w:val="en-GB"/>
        </w:rPr>
      </w:pPr>
      <w:r w:rsidRPr="00744BA8">
        <w:rPr>
          <w:rFonts w:ascii="Arial" w:hAnsi="Arial" w:cs="Arial"/>
          <w:sz w:val="20"/>
          <w:lang w:val="en-GB"/>
        </w:rPr>
        <w:t>The extract was induced to the test animals for a period of twenty-eight days before sacrifice.</w:t>
      </w:r>
    </w:p>
    <w:p w14:paraId="09B9BFC1" w14:textId="77777777" w:rsidR="00464A40" w:rsidRPr="00531572" w:rsidRDefault="00464A40" w:rsidP="00464A40">
      <w:pPr>
        <w:spacing w:before="240" w:line="240" w:lineRule="auto"/>
        <w:jc w:val="both"/>
        <w:rPr>
          <w:rFonts w:ascii="Arial" w:hAnsi="Arial" w:cs="Arial"/>
          <w:b/>
          <w:sz w:val="22"/>
          <w:lang w:val="en-GB"/>
        </w:rPr>
      </w:pPr>
      <w:r w:rsidRPr="00531572">
        <w:rPr>
          <w:rFonts w:ascii="Arial" w:hAnsi="Arial" w:cs="Arial"/>
          <w:b/>
          <w:sz w:val="22"/>
          <w:lang w:val="en-GB"/>
        </w:rPr>
        <w:t>2.4</w:t>
      </w:r>
      <w:r>
        <w:rPr>
          <w:rFonts w:ascii="Arial" w:hAnsi="Arial" w:cs="Arial"/>
          <w:b/>
          <w:sz w:val="22"/>
          <w:lang w:val="en-GB"/>
        </w:rPr>
        <w:t xml:space="preserve"> B</w:t>
      </w:r>
      <w:r w:rsidRPr="00531572">
        <w:rPr>
          <w:rFonts w:ascii="Arial" w:hAnsi="Arial" w:cs="Arial"/>
          <w:b/>
          <w:sz w:val="22"/>
          <w:lang w:val="en-GB"/>
        </w:rPr>
        <w:t>lood sample collection and processing.</w:t>
      </w:r>
    </w:p>
    <w:p w14:paraId="35FE0609" w14:textId="77777777" w:rsidR="00464A40" w:rsidRPr="00744BA8" w:rsidRDefault="00464A40" w:rsidP="00464A40">
      <w:pPr>
        <w:spacing w:line="240" w:lineRule="auto"/>
        <w:jc w:val="both"/>
        <w:rPr>
          <w:rFonts w:ascii="Arial" w:hAnsi="Arial" w:cs="Arial"/>
          <w:sz w:val="20"/>
          <w:szCs w:val="20"/>
          <w:lang w:val="en-GB"/>
        </w:rPr>
      </w:pPr>
      <w:r w:rsidRPr="00744BA8">
        <w:rPr>
          <w:rFonts w:ascii="Arial" w:hAnsi="Arial" w:cs="Arial"/>
          <w:sz w:val="20"/>
          <w:szCs w:val="20"/>
          <w:lang w:val="en-GB"/>
        </w:rPr>
        <w:t>At the end of the 28-day treatment period with the extract, the rats were fasted overnight to standardize metabolic conditions. They were then anesthetized by placing each rat individually in a transparent plastic jar containing chloroform-saturated vapour until deep anaesthesia was achieved (indicated by loss of righting reflex and absence of response to stimuli) (</w:t>
      </w:r>
      <w:r w:rsidRPr="00744BA8">
        <w:rPr>
          <w:sz w:val="20"/>
          <w:szCs w:val="20"/>
        </w:rPr>
        <w:t xml:space="preserve">Yuan </w:t>
      </w:r>
      <w:r w:rsidRPr="00744BA8">
        <w:rPr>
          <w:i/>
          <w:sz w:val="20"/>
          <w:szCs w:val="20"/>
        </w:rPr>
        <w:t xml:space="preserve">et al., </w:t>
      </w:r>
      <w:r w:rsidRPr="00744BA8">
        <w:rPr>
          <w:sz w:val="20"/>
          <w:szCs w:val="20"/>
        </w:rPr>
        <w:t>2024)</w:t>
      </w:r>
      <w:r w:rsidRPr="00744BA8">
        <w:rPr>
          <w:rFonts w:ascii="Arial" w:hAnsi="Arial" w:cs="Arial"/>
          <w:sz w:val="20"/>
          <w:szCs w:val="20"/>
          <w:lang w:val="en-GB"/>
        </w:rPr>
        <w:t>. Under proper anaesthesia, blood samples were collected via cardiac puncture using a sterile needle and syringe, directly into EDTA-anticoagulated tubes to prevent clotting and preserve haematological parameters for subsequent analysis.</w:t>
      </w:r>
    </w:p>
    <w:p w14:paraId="6D3A6693" w14:textId="77777777" w:rsidR="00464A40" w:rsidRDefault="00464A40" w:rsidP="00464A40">
      <w:pPr>
        <w:spacing w:before="240" w:line="240" w:lineRule="auto"/>
        <w:jc w:val="both"/>
        <w:rPr>
          <w:rFonts w:ascii="Arial" w:hAnsi="Arial" w:cs="Arial"/>
          <w:b/>
          <w:bCs/>
          <w:sz w:val="22"/>
        </w:rPr>
      </w:pPr>
      <w:r w:rsidRPr="00200E6C">
        <w:rPr>
          <w:rFonts w:ascii="Arial" w:hAnsi="Arial" w:cs="Arial"/>
          <w:b/>
          <w:sz w:val="20"/>
          <w:lang w:val="en-GB"/>
        </w:rPr>
        <w:lastRenderedPageBreak/>
        <w:t xml:space="preserve">2.4.1 </w:t>
      </w:r>
      <w:r w:rsidRPr="00200E6C">
        <w:rPr>
          <w:rFonts w:ascii="Arial" w:hAnsi="Arial" w:cs="Arial"/>
          <w:b/>
          <w:bCs/>
          <w:sz w:val="22"/>
        </w:rPr>
        <w:t>White blood cell count</w:t>
      </w:r>
    </w:p>
    <w:p w14:paraId="747E1766"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0.38 mL of Turk’s fluid was dispensed into a small test tube, followed by the addition of 0.02 mL of well-mixed EDTA-anticoagulated venous blood. This created a 1:20 dilution (since 0.38 mL diluent + 0.02 mL blood = 0.40 mL total, with blood c</w:t>
      </w:r>
      <w:r>
        <w:rPr>
          <w:rFonts w:ascii="Arial" w:hAnsi="Arial" w:cs="Arial"/>
          <w:sz w:val="20"/>
          <w:lang w:val="en-GB"/>
        </w:rPr>
        <w:t xml:space="preserve">omprising 1/20 of the mixture) </w:t>
      </w:r>
      <w:r w:rsidRPr="00A86DD4">
        <w:rPr>
          <w:rFonts w:ascii="Arial" w:hAnsi="Arial" w:cs="Arial"/>
          <w:sz w:val="20"/>
          <w:lang w:val="en-GB"/>
        </w:rPr>
        <w:t>(Bain, Bates, &amp; Laffan, 2017)</w:t>
      </w:r>
      <w:r>
        <w:rPr>
          <w:rFonts w:ascii="Arial" w:hAnsi="Arial" w:cs="Arial"/>
          <w:sz w:val="20"/>
          <w:lang w:val="en-GB"/>
        </w:rPr>
        <w:t xml:space="preserve">. </w:t>
      </w:r>
      <w:r w:rsidRPr="002C0D8F">
        <w:rPr>
          <w:rFonts w:ascii="Arial" w:hAnsi="Arial" w:cs="Arial"/>
          <w:sz w:val="20"/>
          <w:lang w:val="en-GB"/>
        </w:rPr>
        <w:t>A thoroughly cleaned Neubauer counting chamber and its coverslip were placed on a flat, horizontal surface. The coverslip was positioned on the chamber and pressed firmly until Newton's rings (rainbow interference fringes) appeared, indicating proper contact and chamber depth.</w:t>
      </w:r>
    </w:p>
    <w:p w14:paraId="2454A9F4"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 small amount of the diluted mixture was withdrawn using a capillary tube. The chamber was then filled by holding the capillary at a 45-degree angle and touching its tip to the edge of the coverslip, allowing the fluid to flow in by capillary action without intro</w:t>
      </w:r>
      <w:r>
        <w:rPr>
          <w:rFonts w:ascii="Arial" w:hAnsi="Arial" w:cs="Arial"/>
          <w:sz w:val="20"/>
          <w:lang w:val="en-GB"/>
        </w:rPr>
        <w:t xml:space="preserve">ducing air bubbles or overflow. </w:t>
      </w:r>
      <w:r w:rsidRPr="002C0D8F">
        <w:rPr>
          <w:rFonts w:ascii="Arial" w:hAnsi="Arial" w:cs="Arial"/>
          <w:sz w:val="20"/>
          <w:lang w:val="en-GB"/>
        </w:rPr>
        <w:t>The filled chamber was left undisturbed for 2 minutes to allow the white blood cells to settle. It was then placed on the microscope stage and examined using the ×10 objective lens, with the condenser iris diaphragm closed suffici</w:t>
      </w:r>
      <w:r>
        <w:rPr>
          <w:rFonts w:ascii="Arial" w:hAnsi="Arial" w:cs="Arial"/>
          <w:sz w:val="20"/>
          <w:lang w:val="en-GB"/>
        </w:rPr>
        <w:t xml:space="preserve">ently to achieve good contrast. </w:t>
      </w:r>
      <w:r w:rsidRPr="002C0D8F">
        <w:rPr>
          <w:rFonts w:ascii="Arial" w:hAnsi="Arial" w:cs="Arial"/>
          <w:sz w:val="20"/>
          <w:lang w:val="en-GB"/>
        </w:rPr>
        <w:t>The cells appeared as distinct black dots (due to staining and nuclear visualization by Turk’s fluid, which lyses red cells and stains white cell nuclei). The white blood cells were counted in the four large corner squares of the Neubauer chamber</w:t>
      </w:r>
      <w:r>
        <w:rPr>
          <w:rFonts w:ascii="Arial" w:hAnsi="Arial" w:cs="Arial"/>
          <w:sz w:val="20"/>
          <w:lang w:val="en-GB"/>
        </w:rPr>
        <w:t xml:space="preserve"> </w:t>
      </w:r>
      <w:r w:rsidRPr="00A86DD4">
        <w:rPr>
          <w:rFonts w:ascii="Arial" w:hAnsi="Arial" w:cs="Arial"/>
          <w:sz w:val="20"/>
          <w:lang w:val="en-GB"/>
        </w:rPr>
        <w:t>(McPherson &amp; Pincus, 2017)</w:t>
      </w:r>
      <w:r w:rsidRPr="002C0D8F">
        <w:rPr>
          <w:rFonts w:ascii="Arial" w:hAnsi="Arial" w:cs="Arial"/>
          <w:sz w:val="20"/>
          <w:lang w:val="en-GB"/>
        </w:rPr>
        <w:t>.</w:t>
      </w:r>
    </w:p>
    <w:p w14:paraId="5F08BFE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white blood cell count was calculated using the formula</w:t>
      </w:r>
      <w:r w:rsidRPr="0070596B">
        <w:t xml:space="preserve"> </w:t>
      </w:r>
      <w:r w:rsidRPr="0070596B">
        <w:rPr>
          <w:rFonts w:ascii="Arial" w:hAnsi="Arial" w:cs="Arial"/>
          <w:sz w:val="20"/>
          <w:lang w:val="en-GB"/>
        </w:rPr>
        <w:t>(Bain et al., 2017)</w:t>
      </w:r>
      <w:r w:rsidRPr="002C0D8F">
        <w:rPr>
          <w:rFonts w:ascii="Arial" w:hAnsi="Arial" w:cs="Arial"/>
          <w:sz w:val="20"/>
          <w:lang w:val="en-GB"/>
        </w:rPr>
        <w:t>:</w:t>
      </w:r>
    </w:p>
    <w:p w14:paraId="6DB68E41"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White blood cell count (cells/</w:t>
      </w:r>
      <w:proofErr w:type="spellStart"/>
      <w:r w:rsidRPr="002C0D8F">
        <w:rPr>
          <w:rFonts w:ascii="Arial" w:hAnsi="Arial" w:cs="Arial"/>
          <w:sz w:val="20"/>
          <w:lang w:val="en-GB"/>
        </w:rPr>
        <w:t>μL</w:t>
      </w:r>
      <w:proofErr w:type="spellEnd"/>
      <w:r w:rsidRPr="002C0D8F">
        <w:rPr>
          <w:rFonts w:ascii="Arial" w:hAnsi="Arial" w:cs="Arial"/>
          <w:sz w:val="20"/>
          <w:lang w:val="en-GB"/>
        </w:rPr>
        <w:t xml:space="preserve"> or cells/mm³) = (Number of cells counted × Dilution factor × 10⁶) / (Area counted × Depth)</w:t>
      </w:r>
    </w:p>
    <w:p w14:paraId="0F7C3A32"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In standard practice for this met</w:t>
      </w:r>
      <w:r>
        <w:rPr>
          <w:rFonts w:ascii="Arial" w:hAnsi="Arial" w:cs="Arial"/>
          <w:sz w:val="20"/>
          <w:lang w:val="en-GB"/>
        </w:rPr>
        <w:t>hod (using a Neubauer chamber):</w:t>
      </w:r>
    </w:p>
    <w:p w14:paraId="2BD136E7"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Area counted = 4 mm² (four large corner squares, each 1 mm²)</w:t>
      </w:r>
    </w:p>
    <w:p w14:paraId="1434123D"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Depth = 0.1 mm</w:t>
      </w:r>
    </w:p>
    <w:p w14:paraId="2CAC6B3A"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Dilution factor = 20</w:t>
      </w:r>
    </w:p>
    <w:p w14:paraId="6D9A6B55" w14:textId="77777777" w:rsidR="00464A40" w:rsidRPr="002C0D8F"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The factor 10⁶ converts the count per mm³ (since 1</w:t>
      </w:r>
      <w:r>
        <w:rPr>
          <w:rFonts w:ascii="Arial" w:hAnsi="Arial" w:cs="Arial"/>
          <w:sz w:val="20"/>
          <w:lang w:val="en-GB"/>
        </w:rPr>
        <w:t xml:space="preserve"> </w:t>
      </w:r>
      <w:proofErr w:type="spellStart"/>
      <w:r>
        <w:rPr>
          <w:rFonts w:ascii="Arial" w:hAnsi="Arial" w:cs="Arial"/>
          <w:sz w:val="20"/>
          <w:lang w:val="en-GB"/>
        </w:rPr>
        <w:t>μL</w:t>
      </w:r>
      <w:proofErr w:type="spellEnd"/>
      <w:r>
        <w:rPr>
          <w:rFonts w:ascii="Arial" w:hAnsi="Arial" w:cs="Arial"/>
          <w:sz w:val="20"/>
          <w:lang w:val="en-GB"/>
        </w:rPr>
        <w:t xml:space="preserve"> = 1 mm³) to cells per </w:t>
      </w:r>
      <w:proofErr w:type="spellStart"/>
      <w:r>
        <w:rPr>
          <w:rFonts w:ascii="Arial" w:hAnsi="Arial" w:cs="Arial"/>
          <w:sz w:val="20"/>
          <w:lang w:val="en-GB"/>
        </w:rPr>
        <w:t>μL</w:t>
      </w:r>
      <w:proofErr w:type="spellEnd"/>
      <w:r>
        <w:rPr>
          <w:rFonts w:ascii="Arial" w:hAnsi="Arial" w:cs="Arial"/>
          <w:sz w:val="20"/>
          <w:lang w:val="en-GB"/>
        </w:rPr>
        <w:t>.</w:t>
      </w:r>
    </w:p>
    <w:p w14:paraId="58147EDC" w14:textId="77777777" w:rsidR="00464A40" w:rsidRDefault="00464A40" w:rsidP="00464A40">
      <w:pPr>
        <w:spacing w:before="240" w:line="240" w:lineRule="auto"/>
        <w:jc w:val="both"/>
        <w:rPr>
          <w:rFonts w:ascii="Arial" w:hAnsi="Arial" w:cs="Arial"/>
          <w:sz w:val="20"/>
          <w:lang w:val="en-GB"/>
        </w:rPr>
      </w:pPr>
      <w:r w:rsidRPr="002C0D8F">
        <w:rPr>
          <w:rFonts w:ascii="Arial" w:hAnsi="Arial" w:cs="Arial"/>
          <w:sz w:val="20"/>
          <w:lang w:val="en-GB"/>
        </w:rPr>
        <w:t>This simplifies to: WBC count = (Number of cells counted × 20 × 10⁶) / (4 × 0.1) = Number of cells counted × 50 (often expressed as "50 × N," where N is the total cells in the four squares).</w:t>
      </w:r>
    </w:p>
    <w:p w14:paraId="255395D1"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 xml:space="preserve">2.4.1 </w:t>
      </w:r>
      <w:r w:rsidRPr="00442AA1">
        <w:rPr>
          <w:rFonts w:ascii="Arial" w:hAnsi="Arial" w:cs="Arial"/>
          <w:b/>
          <w:sz w:val="20"/>
          <w:lang w:val="en-GB"/>
        </w:rPr>
        <w:t>Differential white cell counts</w:t>
      </w:r>
    </w:p>
    <w:p w14:paraId="12A728E1" w14:textId="77777777" w:rsidR="00464A40" w:rsidRPr="000B457D" w:rsidRDefault="00464A40" w:rsidP="00464A40">
      <w:pPr>
        <w:spacing w:before="240" w:line="240" w:lineRule="auto"/>
        <w:jc w:val="both"/>
        <w:rPr>
          <w:rFonts w:ascii="Arial" w:hAnsi="Arial" w:cs="Arial"/>
          <w:sz w:val="20"/>
          <w:lang w:val="en-GB"/>
        </w:rPr>
      </w:pPr>
      <w:r>
        <w:rPr>
          <w:rFonts w:ascii="Arial" w:hAnsi="Arial" w:cs="Arial"/>
          <w:sz w:val="20"/>
          <w:lang w:val="en-GB"/>
        </w:rPr>
        <w:t>T</w:t>
      </w:r>
      <w:r w:rsidRPr="000B457D">
        <w:rPr>
          <w:rFonts w:ascii="Arial" w:hAnsi="Arial" w:cs="Arial"/>
          <w:sz w:val="20"/>
          <w:lang w:val="en-GB"/>
        </w:rPr>
        <w:t xml:space="preserve">he blood </w:t>
      </w:r>
      <w:r>
        <w:rPr>
          <w:rFonts w:ascii="Arial" w:hAnsi="Arial" w:cs="Arial"/>
          <w:sz w:val="20"/>
          <w:lang w:val="en-GB"/>
        </w:rPr>
        <w:t xml:space="preserve">was smear and </w:t>
      </w:r>
      <w:r w:rsidRPr="000B457D">
        <w:rPr>
          <w:rFonts w:ascii="Arial" w:hAnsi="Arial" w:cs="Arial"/>
          <w:sz w:val="20"/>
          <w:lang w:val="en-GB"/>
        </w:rPr>
        <w:t>flooded with undiluted stain. Then, twice the volume of pH 6.8 buffered water (equivalent to twice the number of drops of stain) was added, and the slide was allowed to stain for 6 minutes. Excess stain was rinsed off, and the slide was air-dried. Next, a drop of immersion oil was applied to the lower third of the blood film, covered with a clean coverslip, and examined under the microscope. The cells were initially focused using the ×10 objective lens, with the condenser iris diaphragm adjusted (closed sufficiently) to provide clear visualization of the cells</w:t>
      </w:r>
      <w:r w:rsidRPr="00237F81">
        <w:t xml:space="preserve"> </w:t>
      </w:r>
      <w:r w:rsidRPr="00237F81">
        <w:rPr>
          <w:rFonts w:ascii="Arial" w:hAnsi="Arial" w:cs="Arial"/>
          <w:sz w:val="20"/>
        </w:rPr>
        <w:t>(</w:t>
      </w:r>
      <w:proofErr w:type="spellStart"/>
      <w:r w:rsidRPr="00237F81">
        <w:rPr>
          <w:rFonts w:ascii="Arial" w:hAnsi="Arial" w:cs="Arial"/>
          <w:sz w:val="20"/>
        </w:rPr>
        <w:t>Ochei</w:t>
      </w:r>
      <w:proofErr w:type="spellEnd"/>
      <w:r w:rsidRPr="00237F81">
        <w:rPr>
          <w:rFonts w:ascii="Arial" w:hAnsi="Arial" w:cs="Arial"/>
          <w:sz w:val="20"/>
        </w:rPr>
        <w:t xml:space="preserve"> &amp; Kolhatkar, 2000)</w:t>
      </w:r>
      <w:r>
        <w:rPr>
          <w:rFonts w:ascii="Arial" w:hAnsi="Arial" w:cs="Arial"/>
          <w:sz w:val="16"/>
          <w:lang w:val="en-GB"/>
        </w:rPr>
        <w:t>.</w:t>
      </w:r>
    </w:p>
    <w:p w14:paraId="31D7EAD3" w14:textId="77777777" w:rsidR="00464A40" w:rsidRDefault="00464A40" w:rsidP="00464A40">
      <w:pPr>
        <w:spacing w:before="240" w:line="240" w:lineRule="auto"/>
        <w:jc w:val="both"/>
        <w:rPr>
          <w:rFonts w:ascii="Arial" w:hAnsi="Arial" w:cs="Arial"/>
          <w:sz w:val="20"/>
          <w:lang w:val="en-GB"/>
        </w:rPr>
      </w:pPr>
      <w:r w:rsidRPr="000B457D">
        <w:rPr>
          <w:rFonts w:ascii="Arial" w:hAnsi="Arial" w:cs="Arial"/>
          <w:sz w:val="20"/>
          <w:lang w:val="en-GB"/>
        </w:rPr>
        <w:t>The blood film was systematically examined, white blood cells were counted in each microscopic field using a differential cell counter, and the various types of white cells observed were recorded. The absolute counts for each white cell type were then calculated by multiplying the total white blood cell (WBC) count by the decimal fraction (percentage expressed as a proportion) of each cell type counted. Any abnormalities in the white blood cells were noted</w:t>
      </w:r>
      <w:r>
        <w:rPr>
          <w:rFonts w:ascii="Arial" w:hAnsi="Arial" w:cs="Arial"/>
          <w:sz w:val="20"/>
          <w:lang w:val="en-GB"/>
        </w:rPr>
        <w:t xml:space="preserve"> and reported.</w:t>
      </w:r>
    </w:p>
    <w:p w14:paraId="43586523" w14:textId="77777777" w:rsidR="00464A40" w:rsidRDefault="00464A40" w:rsidP="00464A40">
      <w:pPr>
        <w:spacing w:before="240" w:line="240" w:lineRule="auto"/>
        <w:jc w:val="both"/>
        <w:rPr>
          <w:rFonts w:ascii="Arial" w:hAnsi="Arial" w:cs="Arial"/>
          <w:b/>
          <w:sz w:val="20"/>
          <w:lang w:val="en-GB"/>
        </w:rPr>
      </w:pPr>
      <w:r w:rsidRPr="002C0D8F">
        <w:rPr>
          <w:rFonts w:ascii="Arial" w:hAnsi="Arial" w:cs="Arial"/>
          <w:b/>
          <w:sz w:val="20"/>
          <w:lang w:val="en-GB"/>
        </w:rPr>
        <w:t>3. RESULTS AND DISCUSSION</w:t>
      </w:r>
    </w:p>
    <w:p w14:paraId="312CCA4E" w14:textId="77777777" w:rsidR="00464A40" w:rsidRPr="004A073B" w:rsidRDefault="00464A40" w:rsidP="00464A40">
      <w:pPr>
        <w:spacing w:line="240" w:lineRule="auto"/>
        <w:jc w:val="both"/>
        <w:rPr>
          <w:rFonts w:ascii="Times New Roman" w:hAnsi="Times New Roman" w:cs="Times New Roman"/>
          <w:b/>
        </w:rPr>
      </w:pPr>
      <w:r w:rsidRPr="004A073B">
        <w:rPr>
          <w:rFonts w:ascii="Times New Roman" w:hAnsi="Times New Roman" w:cs="Times New Roman"/>
          <w:b/>
        </w:rPr>
        <w:t>3.1 Physical Observations</w:t>
      </w:r>
    </w:p>
    <w:p w14:paraId="1E59DCF8" w14:textId="77777777" w:rsidR="00464A40" w:rsidRDefault="00464A40" w:rsidP="00464A40">
      <w:pPr>
        <w:spacing w:before="240" w:line="240" w:lineRule="auto"/>
        <w:jc w:val="both"/>
        <w:rPr>
          <w:rFonts w:ascii="Arial" w:hAnsi="Arial" w:cs="Arial"/>
          <w:sz w:val="20"/>
          <w:lang w:val="en-GB"/>
        </w:rPr>
      </w:pPr>
      <w:r w:rsidRPr="000B60F4">
        <w:rPr>
          <w:rFonts w:ascii="Arial" w:hAnsi="Arial" w:cs="Arial"/>
          <w:sz w:val="20"/>
          <w:lang w:val="en-GB"/>
        </w:rPr>
        <w:lastRenderedPageBreak/>
        <w:t>During the two-week acclimatization period, all animals appeared healthy, exhibiting smoothly lying fur on their backs, pinkish eyes, and normal skin coloration. They maintained good appetite and fed consistently throughout the experimental period.</w:t>
      </w:r>
      <w:r>
        <w:rPr>
          <w:rFonts w:ascii="Arial" w:hAnsi="Arial" w:cs="Arial"/>
          <w:sz w:val="20"/>
          <w:lang w:val="en-GB"/>
        </w:rPr>
        <w:t xml:space="preserve"> </w:t>
      </w:r>
      <w:r w:rsidRPr="000B60F4">
        <w:rPr>
          <w:rFonts w:ascii="Arial" w:hAnsi="Arial" w:cs="Arial"/>
          <w:sz w:val="20"/>
          <w:lang w:val="en-GB"/>
        </w:rPr>
        <w:t>Body weights were recorded daily. Animals in groups 2, 3, and 4 showed consistent weight gain throughout the acclimatization period (and presumably into the experimental phase), while group 1 (control) was not specifically mentioned in this regard.</w:t>
      </w:r>
    </w:p>
    <w:p w14:paraId="787EC645" w14:textId="77777777" w:rsidR="00464A40" w:rsidRDefault="00464A40" w:rsidP="00464A40">
      <w:pPr>
        <w:spacing w:before="240" w:line="240" w:lineRule="auto"/>
        <w:jc w:val="both"/>
        <w:rPr>
          <w:rFonts w:ascii="Arial" w:hAnsi="Arial" w:cs="Arial"/>
          <w:b/>
          <w:sz w:val="20"/>
          <w:lang w:val="en-GB"/>
        </w:rPr>
      </w:pPr>
      <w:r>
        <w:rPr>
          <w:rFonts w:ascii="Arial" w:hAnsi="Arial" w:cs="Arial"/>
          <w:b/>
          <w:sz w:val="20"/>
          <w:lang w:val="en-GB"/>
        </w:rPr>
        <w:t>3.2</w:t>
      </w:r>
      <w:r w:rsidRPr="000B60F4">
        <w:rPr>
          <w:rFonts w:ascii="Arial" w:hAnsi="Arial" w:cs="Arial"/>
          <w:b/>
          <w:sz w:val="20"/>
          <w:lang w:val="en-GB"/>
        </w:rPr>
        <w:t xml:space="preserve"> Median Lethal Dose (LD</w:t>
      </w:r>
      <w:r w:rsidRPr="00237F81">
        <w:rPr>
          <w:rFonts w:ascii="Arial" w:hAnsi="Arial" w:cs="Arial"/>
          <w:b/>
          <w:sz w:val="20"/>
          <w:vertAlign w:val="subscript"/>
          <w:lang w:val="en-GB"/>
        </w:rPr>
        <w:t>50</w:t>
      </w:r>
      <w:r w:rsidRPr="000B60F4">
        <w:rPr>
          <w:rFonts w:ascii="Arial" w:hAnsi="Arial" w:cs="Arial"/>
          <w:b/>
          <w:sz w:val="20"/>
          <w:lang w:val="en-GB"/>
        </w:rPr>
        <w:t>)</w:t>
      </w:r>
    </w:p>
    <w:p w14:paraId="32893D67" w14:textId="77777777" w:rsidR="00464A40" w:rsidRPr="00FA7622" w:rsidRDefault="00464A40" w:rsidP="00464A40">
      <w:pPr>
        <w:spacing w:before="240" w:line="240" w:lineRule="auto"/>
        <w:jc w:val="both"/>
        <w:rPr>
          <w:rFonts w:ascii="Arial" w:hAnsi="Arial" w:cs="Arial"/>
          <w:b/>
          <w:sz w:val="20"/>
          <w:lang w:val="en-GB"/>
        </w:rPr>
      </w:pPr>
      <w:r w:rsidRPr="000B60F4">
        <w:rPr>
          <w:rFonts w:ascii="Arial" w:hAnsi="Arial" w:cs="Arial"/>
          <w:sz w:val="20"/>
          <w:lang w:val="en-GB"/>
        </w:rPr>
        <w:t>The results of the acute oral toxicity study demonstrated that no mortality or abnormal behavioural signs were observed in the rats at 24 hours, 72 hours, or up to 2 weeks following oral administration of the extract in both treatment groups. Instead, a significant increase in body weight was recorded across the observation period. These findings indicate that the median lethal dose (LD</w:t>
      </w:r>
      <w:r w:rsidRPr="000B60F4">
        <w:rPr>
          <w:rFonts w:ascii="Cambria Math" w:hAnsi="Cambria Math" w:cs="Cambria Math"/>
          <w:sz w:val="20"/>
          <w:lang w:val="en-GB"/>
        </w:rPr>
        <w:t>₅₀</w:t>
      </w:r>
      <w:r w:rsidRPr="000B60F4">
        <w:rPr>
          <w:rFonts w:ascii="Arial" w:hAnsi="Arial" w:cs="Arial"/>
          <w:sz w:val="20"/>
          <w:lang w:val="en-GB"/>
        </w:rPr>
        <w:t>) of the extract exceeds 5000 mg/kg body weight</w:t>
      </w:r>
    </w:p>
    <w:p w14:paraId="56056777" w14:textId="77777777" w:rsidR="00464A40" w:rsidRPr="00FA7622" w:rsidRDefault="00464A40" w:rsidP="00464A40">
      <w:pPr>
        <w:spacing w:before="240"/>
        <w:jc w:val="both"/>
        <w:rPr>
          <w:rFonts w:ascii="Arial" w:hAnsi="Arial" w:cs="Arial"/>
          <w:b/>
          <w:sz w:val="20"/>
          <w:lang w:val="en-GB"/>
        </w:rPr>
      </w:pPr>
      <w:r w:rsidRPr="00FA7622">
        <w:rPr>
          <w:rFonts w:ascii="Arial" w:hAnsi="Arial" w:cs="Arial"/>
          <w:b/>
          <w:sz w:val="20"/>
          <w:lang w:val="en-GB"/>
        </w:rPr>
        <w:t xml:space="preserve">Table1:  Showing Median Lethal Dose (LD50) Of </w:t>
      </w:r>
      <w:proofErr w:type="spellStart"/>
      <w:r w:rsidRPr="00FA7622">
        <w:rPr>
          <w:rFonts w:ascii="Arial" w:hAnsi="Arial" w:cs="Arial"/>
          <w:b/>
          <w:sz w:val="20"/>
          <w:lang w:val="en-GB"/>
        </w:rPr>
        <w:t>Eragrostis</w:t>
      </w:r>
      <w:proofErr w:type="spellEnd"/>
      <w:r w:rsidRPr="00FA7622">
        <w:rPr>
          <w:rFonts w:ascii="Arial" w:hAnsi="Arial" w:cs="Arial"/>
          <w:b/>
          <w:sz w:val="20"/>
          <w:lang w:val="en-GB"/>
        </w:rPr>
        <w:t xml:space="preserve"> </w:t>
      </w:r>
      <w:proofErr w:type="spellStart"/>
      <w:r w:rsidRPr="00FA7622">
        <w:rPr>
          <w:rFonts w:ascii="Arial" w:hAnsi="Arial" w:cs="Arial"/>
          <w:b/>
          <w:sz w:val="20"/>
          <w:lang w:val="en-GB"/>
        </w:rPr>
        <w:t>tremula</w:t>
      </w:r>
      <w:proofErr w:type="spellEnd"/>
      <w:r w:rsidRPr="00FA7622">
        <w:rPr>
          <w:rFonts w:ascii="Arial" w:hAnsi="Arial" w:cs="Arial"/>
          <w:b/>
          <w:sz w:val="20"/>
          <w:lang w:val="en-GB"/>
        </w:rPr>
        <w:t xml:space="preserve"> Root </w:t>
      </w:r>
      <w:proofErr w:type="spellStart"/>
      <w:r w:rsidRPr="00FA7622">
        <w:rPr>
          <w:rFonts w:ascii="Arial" w:hAnsi="Arial" w:cs="Arial"/>
          <w:b/>
          <w:sz w:val="20"/>
          <w:lang w:val="en-GB"/>
        </w:rPr>
        <w:t>Extractin</w:t>
      </w:r>
      <w:proofErr w:type="spellEnd"/>
      <w:r w:rsidRPr="00FA7622">
        <w:rPr>
          <w:rFonts w:ascii="Arial" w:hAnsi="Arial" w:cs="Arial"/>
          <w:b/>
          <w:sz w:val="20"/>
          <w:lang w:val="en-GB"/>
        </w:rPr>
        <w:t xml:space="preserve"> Wistar Rats.</w:t>
      </w:r>
    </w:p>
    <w:tbl>
      <w:tblPr>
        <w:tblStyle w:val="TableGrid"/>
        <w:tblW w:w="9320" w:type="dxa"/>
        <w:tblLook w:val="04A0" w:firstRow="1" w:lastRow="0" w:firstColumn="1" w:lastColumn="0" w:noHBand="0" w:noVBand="1"/>
      </w:tblPr>
      <w:tblGrid>
        <w:gridCol w:w="1715"/>
        <w:gridCol w:w="1875"/>
        <w:gridCol w:w="2835"/>
        <w:gridCol w:w="2895"/>
      </w:tblGrid>
      <w:tr w:rsidR="00464A40" w:rsidRPr="004A073B" w14:paraId="37CEBA73" w14:textId="77777777" w:rsidTr="00362BE8">
        <w:trPr>
          <w:trHeight w:val="1032"/>
        </w:trPr>
        <w:tc>
          <w:tcPr>
            <w:tcW w:w="1715" w:type="dxa"/>
            <w:tcBorders>
              <w:top w:val="single" w:sz="4" w:space="0" w:color="auto"/>
              <w:left w:val="nil"/>
              <w:bottom w:val="single" w:sz="4" w:space="0" w:color="auto"/>
              <w:right w:val="nil"/>
            </w:tcBorders>
          </w:tcPr>
          <w:p w14:paraId="285F3246"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Group  (control)</w:t>
            </w:r>
          </w:p>
        </w:tc>
        <w:tc>
          <w:tcPr>
            <w:tcW w:w="1875" w:type="dxa"/>
            <w:tcBorders>
              <w:top w:val="single" w:sz="4" w:space="0" w:color="auto"/>
              <w:left w:val="nil"/>
              <w:bottom w:val="single" w:sz="4" w:space="0" w:color="auto"/>
              <w:right w:val="nil"/>
            </w:tcBorders>
          </w:tcPr>
          <w:p w14:paraId="67186C70"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 Abnormal behavior(24hrs)</w:t>
            </w:r>
          </w:p>
        </w:tc>
        <w:tc>
          <w:tcPr>
            <w:tcW w:w="2835" w:type="dxa"/>
            <w:tcBorders>
              <w:top w:val="single" w:sz="4" w:space="0" w:color="auto"/>
              <w:left w:val="nil"/>
              <w:bottom w:val="single" w:sz="4" w:space="0" w:color="auto"/>
              <w:right w:val="nil"/>
            </w:tcBorders>
          </w:tcPr>
          <w:p w14:paraId="2F04E9B1"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w:t>
            </w:r>
          </w:p>
          <w:p w14:paraId="6A85FF71"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Abnormal behavior(72hrs)</w:t>
            </w:r>
          </w:p>
        </w:tc>
        <w:tc>
          <w:tcPr>
            <w:tcW w:w="2895" w:type="dxa"/>
            <w:tcBorders>
              <w:top w:val="single" w:sz="4" w:space="0" w:color="auto"/>
              <w:left w:val="nil"/>
              <w:right w:val="nil"/>
            </w:tcBorders>
          </w:tcPr>
          <w:p w14:paraId="31A59194" w14:textId="77777777" w:rsidR="00464A40" w:rsidRPr="004A073B" w:rsidRDefault="00464A40" w:rsidP="00362BE8">
            <w:pPr>
              <w:pBdr>
                <w:bar w:val="single" w:sz="4" w:color="auto"/>
              </w:pBdr>
              <w:rPr>
                <w:rFonts w:ascii="Times New Roman" w:hAnsi="Times New Roman" w:cs="Times New Roman"/>
                <w:b/>
              </w:rPr>
            </w:pPr>
            <w:r w:rsidRPr="004A073B">
              <w:rPr>
                <w:rFonts w:ascii="Times New Roman" w:hAnsi="Times New Roman" w:cs="Times New Roman"/>
                <w:b/>
              </w:rPr>
              <w:t>Number of death/Abnormal behavior(14days)</w:t>
            </w:r>
          </w:p>
        </w:tc>
      </w:tr>
      <w:tr w:rsidR="00464A40" w:rsidRPr="00744BA8" w14:paraId="7FDD5F33" w14:textId="77777777" w:rsidTr="00362BE8">
        <w:trPr>
          <w:trHeight w:val="605"/>
        </w:trPr>
        <w:tc>
          <w:tcPr>
            <w:tcW w:w="1715" w:type="dxa"/>
            <w:tcBorders>
              <w:top w:val="single" w:sz="4" w:space="0" w:color="auto"/>
              <w:left w:val="nil"/>
              <w:bottom w:val="nil"/>
              <w:right w:val="nil"/>
            </w:tcBorders>
          </w:tcPr>
          <w:p w14:paraId="10D3A5E5" w14:textId="77777777" w:rsidR="00464A40" w:rsidRPr="00744BA8" w:rsidRDefault="00464A40" w:rsidP="00362BE8">
            <w:pPr>
              <w:pBdr>
                <w:bar w:val="single" w:sz="4" w:color="auto"/>
              </w:pBdr>
              <w:rPr>
                <w:rFonts w:ascii="Times New Roman" w:hAnsi="Times New Roman" w:cs="Times New Roman"/>
                <w:b/>
                <w:sz w:val="20"/>
                <w:szCs w:val="20"/>
              </w:rPr>
            </w:pPr>
            <w:r w:rsidRPr="00744BA8">
              <w:rPr>
                <w:rFonts w:ascii="Times New Roman" w:hAnsi="Times New Roman" w:cs="Times New Roman"/>
                <w:b/>
                <w:sz w:val="20"/>
                <w:szCs w:val="20"/>
              </w:rPr>
              <w:t>Group 1</w:t>
            </w:r>
          </w:p>
        </w:tc>
        <w:tc>
          <w:tcPr>
            <w:tcW w:w="1875" w:type="dxa"/>
            <w:tcBorders>
              <w:top w:val="single" w:sz="4" w:space="0" w:color="auto"/>
              <w:left w:val="nil"/>
              <w:bottom w:val="nil"/>
              <w:right w:val="nil"/>
            </w:tcBorders>
          </w:tcPr>
          <w:p w14:paraId="22900D0C" w14:textId="77777777" w:rsidR="00464A40" w:rsidRPr="00744BA8" w:rsidRDefault="00464A40" w:rsidP="00362BE8">
            <w:pPr>
              <w:pBdr>
                <w:bar w:val="single" w:sz="4" w:color="auto"/>
              </w:pBdr>
              <w:rPr>
                <w:rFonts w:ascii="Times New Roman" w:hAnsi="Times New Roman" w:cs="Times New Roman"/>
                <w:sz w:val="20"/>
                <w:szCs w:val="20"/>
              </w:rPr>
            </w:pPr>
          </w:p>
        </w:tc>
        <w:tc>
          <w:tcPr>
            <w:tcW w:w="2835" w:type="dxa"/>
            <w:tcBorders>
              <w:top w:val="single" w:sz="4" w:space="0" w:color="auto"/>
              <w:left w:val="nil"/>
              <w:bottom w:val="nil"/>
              <w:right w:val="nil"/>
            </w:tcBorders>
          </w:tcPr>
          <w:p w14:paraId="0B514A72" w14:textId="77777777" w:rsidR="00464A40" w:rsidRPr="00744BA8" w:rsidRDefault="00464A40" w:rsidP="00362BE8">
            <w:pPr>
              <w:pBdr>
                <w:bar w:val="single" w:sz="4" w:color="auto"/>
              </w:pBdr>
              <w:rPr>
                <w:rFonts w:ascii="Times New Roman" w:hAnsi="Times New Roman" w:cs="Times New Roman"/>
                <w:sz w:val="20"/>
                <w:szCs w:val="20"/>
              </w:rPr>
            </w:pPr>
          </w:p>
        </w:tc>
        <w:tc>
          <w:tcPr>
            <w:tcW w:w="2895" w:type="dxa"/>
            <w:tcBorders>
              <w:left w:val="nil"/>
              <w:bottom w:val="nil"/>
              <w:right w:val="nil"/>
            </w:tcBorders>
          </w:tcPr>
          <w:p w14:paraId="48A1BD06" w14:textId="77777777" w:rsidR="00464A40" w:rsidRPr="00744BA8" w:rsidRDefault="00464A40" w:rsidP="00362BE8">
            <w:pPr>
              <w:pBdr>
                <w:bar w:val="single" w:sz="4" w:color="auto"/>
              </w:pBdr>
              <w:rPr>
                <w:rFonts w:ascii="Times New Roman" w:hAnsi="Times New Roman" w:cs="Times New Roman"/>
                <w:sz w:val="20"/>
                <w:szCs w:val="20"/>
              </w:rPr>
            </w:pPr>
          </w:p>
        </w:tc>
      </w:tr>
      <w:tr w:rsidR="00464A40" w:rsidRPr="00744BA8" w14:paraId="73D3EE17" w14:textId="77777777" w:rsidTr="00362BE8">
        <w:trPr>
          <w:trHeight w:val="382"/>
        </w:trPr>
        <w:tc>
          <w:tcPr>
            <w:tcW w:w="1715" w:type="dxa"/>
            <w:tcBorders>
              <w:top w:val="nil"/>
              <w:left w:val="nil"/>
              <w:bottom w:val="nil"/>
              <w:right w:val="nil"/>
            </w:tcBorders>
          </w:tcPr>
          <w:p w14:paraId="6A9A27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36E783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AA1060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3E70435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737DC715" w14:textId="77777777" w:rsidTr="00362BE8">
        <w:trPr>
          <w:trHeight w:val="382"/>
        </w:trPr>
        <w:tc>
          <w:tcPr>
            <w:tcW w:w="1715" w:type="dxa"/>
            <w:tcBorders>
              <w:top w:val="nil"/>
              <w:left w:val="nil"/>
              <w:bottom w:val="nil"/>
              <w:right w:val="nil"/>
            </w:tcBorders>
          </w:tcPr>
          <w:p w14:paraId="2461DC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9631BD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A31111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576908A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61F666A" w14:textId="77777777" w:rsidTr="00362BE8">
        <w:trPr>
          <w:trHeight w:val="382"/>
        </w:trPr>
        <w:tc>
          <w:tcPr>
            <w:tcW w:w="1715" w:type="dxa"/>
            <w:tcBorders>
              <w:top w:val="nil"/>
              <w:left w:val="nil"/>
              <w:bottom w:val="nil"/>
              <w:right w:val="nil"/>
            </w:tcBorders>
          </w:tcPr>
          <w:p w14:paraId="3B4B575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5463191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78C6A227"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747BCB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34B5AA5" w14:textId="77777777" w:rsidTr="00362BE8">
        <w:trPr>
          <w:trHeight w:val="382"/>
        </w:trPr>
        <w:tc>
          <w:tcPr>
            <w:tcW w:w="1715" w:type="dxa"/>
            <w:tcBorders>
              <w:top w:val="nil"/>
              <w:left w:val="nil"/>
              <w:bottom w:val="nil"/>
              <w:right w:val="nil"/>
            </w:tcBorders>
          </w:tcPr>
          <w:p w14:paraId="4DA8B152" w14:textId="77777777" w:rsidR="00464A40" w:rsidRPr="00744BA8" w:rsidRDefault="00464A40" w:rsidP="00362BE8">
            <w:pPr>
              <w:rPr>
                <w:rFonts w:ascii="Times New Roman" w:hAnsi="Times New Roman" w:cs="Times New Roman"/>
                <w:sz w:val="20"/>
                <w:szCs w:val="20"/>
              </w:rPr>
            </w:pPr>
          </w:p>
          <w:p w14:paraId="5BA7753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2</w:t>
            </w:r>
            <w:r w:rsidRPr="00744BA8">
              <w:rPr>
                <w:rFonts w:ascii="Times New Roman" w:hAnsi="Times New Roman" w:cs="Times New Roman"/>
                <w:sz w:val="20"/>
                <w:szCs w:val="20"/>
              </w:rPr>
              <w:t xml:space="preserve"> (2000mg/kg)</w:t>
            </w:r>
          </w:p>
        </w:tc>
        <w:tc>
          <w:tcPr>
            <w:tcW w:w="1875" w:type="dxa"/>
            <w:tcBorders>
              <w:top w:val="nil"/>
              <w:left w:val="nil"/>
              <w:bottom w:val="nil"/>
              <w:right w:val="nil"/>
            </w:tcBorders>
          </w:tcPr>
          <w:p w14:paraId="4247FA45"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E59139D"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1A52531E" w14:textId="77777777" w:rsidR="00464A40" w:rsidRPr="00744BA8" w:rsidRDefault="00464A40" w:rsidP="00362BE8">
            <w:pPr>
              <w:rPr>
                <w:rFonts w:ascii="Times New Roman" w:hAnsi="Times New Roman" w:cs="Times New Roman"/>
                <w:sz w:val="20"/>
                <w:szCs w:val="20"/>
              </w:rPr>
            </w:pPr>
          </w:p>
        </w:tc>
      </w:tr>
      <w:tr w:rsidR="00464A40" w:rsidRPr="00744BA8" w14:paraId="0DCAA44B" w14:textId="77777777" w:rsidTr="00362BE8">
        <w:trPr>
          <w:trHeight w:val="382"/>
        </w:trPr>
        <w:tc>
          <w:tcPr>
            <w:tcW w:w="1715" w:type="dxa"/>
            <w:tcBorders>
              <w:top w:val="nil"/>
              <w:left w:val="nil"/>
              <w:bottom w:val="nil"/>
              <w:right w:val="nil"/>
            </w:tcBorders>
          </w:tcPr>
          <w:p w14:paraId="5CE1675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E46A16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6AA4DE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4E7C335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67C9FC50" w14:textId="77777777" w:rsidTr="00362BE8">
        <w:trPr>
          <w:trHeight w:val="382"/>
        </w:trPr>
        <w:tc>
          <w:tcPr>
            <w:tcW w:w="1715" w:type="dxa"/>
            <w:tcBorders>
              <w:top w:val="nil"/>
              <w:left w:val="nil"/>
              <w:bottom w:val="nil"/>
              <w:right w:val="nil"/>
            </w:tcBorders>
          </w:tcPr>
          <w:p w14:paraId="320D853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BBD9DF9"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44623C5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7B28CA3"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103B9257" w14:textId="77777777" w:rsidTr="00362BE8">
        <w:trPr>
          <w:trHeight w:val="382"/>
        </w:trPr>
        <w:tc>
          <w:tcPr>
            <w:tcW w:w="1715" w:type="dxa"/>
            <w:tcBorders>
              <w:top w:val="nil"/>
              <w:left w:val="nil"/>
              <w:bottom w:val="nil"/>
              <w:right w:val="nil"/>
            </w:tcBorders>
          </w:tcPr>
          <w:p w14:paraId="4AE1849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48A98F65"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2BEEE20B"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06629D5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22F04900" w14:textId="77777777" w:rsidTr="00362BE8">
        <w:trPr>
          <w:trHeight w:val="382"/>
        </w:trPr>
        <w:tc>
          <w:tcPr>
            <w:tcW w:w="1715" w:type="dxa"/>
            <w:tcBorders>
              <w:top w:val="nil"/>
              <w:left w:val="nil"/>
              <w:bottom w:val="nil"/>
              <w:right w:val="nil"/>
            </w:tcBorders>
          </w:tcPr>
          <w:p w14:paraId="5869C4C2" w14:textId="77777777" w:rsidR="00464A40" w:rsidRPr="00744BA8" w:rsidRDefault="00464A40" w:rsidP="00362BE8">
            <w:pPr>
              <w:rPr>
                <w:rFonts w:ascii="Times New Roman" w:hAnsi="Times New Roman" w:cs="Times New Roman"/>
                <w:sz w:val="20"/>
                <w:szCs w:val="20"/>
              </w:rPr>
            </w:pPr>
          </w:p>
          <w:p w14:paraId="6CAE264F"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b/>
                <w:sz w:val="20"/>
                <w:szCs w:val="20"/>
              </w:rPr>
              <w:t>Group 3</w:t>
            </w:r>
            <w:r w:rsidRPr="00744BA8">
              <w:rPr>
                <w:rFonts w:ascii="Times New Roman" w:hAnsi="Times New Roman" w:cs="Times New Roman"/>
                <w:sz w:val="20"/>
                <w:szCs w:val="20"/>
              </w:rPr>
              <w:t xml:space="preserve"> (5000mg/kg)</w:t>
            </w:r>
          </w:p>
        </w:tc>
        <w:tc>
          <w:tcPr>
            <w:tcW w:w="1875" w:type="dxa"/>
            <w:tcBorders>
              <w:top w:val="nil"/>
              <w:left w:val="nil"/>
              <w:bottom w:val="nil"/>
              <w:right w:val="nil"/>
            </w:tcBorders>
          </w:tcPr>
          <w:p w14:paraId="70008AC0" w14:textId="77777777" w:rsidR="00464A40" w:rsidRPr="00744BA8" w:rsidRDefault="00464A40" w:rsidP="00362BE8">
            <w:pPr>
              <w:rPr>
                <w:rFonts w:ascii="Times New Roman" w:hAnsi="Times New Roman" w:cs="Times New Roman"/>
                <w:sz w:val="20"/>
                <w:szCs w:val="20"/>
              </w:rPr>
            </w:pPr>
          </w:p>
        </w:tc>
        <w:tc>
          <w:tcPr>
            <w:tcW w:w="2835" w:type="dxa"/>
            <w:tcBorders>
              <w:top w:val="nil"/>
              <w:left w:val="nil"/>
              <w:bottom w:val="nil"/>
              <w:right w:val="nil"/>
            </w:tcBorders>
          </w:tcPr>
          <w:p w14:paraId="5FD7D0DF" w14:textId="77777777" w:rsidR="00464A40" w:rsidRPr="00744BA8" w:rsidRDefault="00464A40" w:rsidP="00362BE8">
            <w:pPr>
              <w:rPr>
                <w:rFonts w:ascii="Times New Roman" w:hAnsi="Times New Roman" w:cs="Times New Roman"/>
                <w:sz w:val="20"/>
                <w:szCs w:val="20"/>
              </w:rPr>
            </w:pPr>
          </w:p>
        </w:tc>
        <w:tc>
          <w:tcPr>
            <w:tcW w:w="2895" w:type="dxa"/>
            <w:tcBorders>
              <w:top w:val="nil"/>
              <w:left w:val="nil"/>
              <w:bottom w:val="nil"/>
              <w:right w:val="nil"/>
            </w:tcBorders>
          </w:tcPr>
          <w:p w14:paraId="7574F538" w14:textId="77777777" w:rsidR="00464A40" w:rsidRPr="00744BA8" w:rsidRDefault="00464A40" w:rsidP="00362BE8">
            <w:pPr>
              <w:rPr>
                <w:rFonts w:ascii="Times New Roman" w:hAnsi="Times New Roman" w:cs="Times New Roman"/>
                <w:sz w:val="20"/>
                <w:szCs w:val="20"/>
              </w:rPr>
            </w:pPr>
          </w:p>
        </w:tc>
      </w:tr>
      <w:tr w:rsidR="00464A40" w:rsidRPr="00744BA8" w14:paraId="7B41B6C7" w14:textId="77777777" w:rsidTr="00362BE8">
        <w:trPr>
          <w:trHeight w:val="241"/>
        </w:trPr>
        <w:tc>
          <w:tcPr>
            <w:tcW w:w="1715" w:type="dxa"/>
            <w:tcBorders>
              <w:top w:val="nil"/>
              <w:left w:val="nil"/>
              <w:bottom w:val="nil"/>
              <w:right w:val="nil"/>
            </w:tcBorders>
          </w:tcPr>
          <w:p w14:paraId="772D4EF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1:1</w:t>
            </w:r>
            <w:r w:rsidRPr="00744BA8">
              <w:rPr>
                <w:rFonts w:ascii="Times New Roman" w:hAnsi="Times New Roman" w:cs="Times New Roman"/>
                <w:sz w:val="20"/>
                <w:szCs w:val="20"/>
                <w:vertAlign w:val="superscript"/>
              </w:rPr>
              <w:t>st</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203ACB3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0A920E04"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2030628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472C50B7" w14:textId="77777777" w:rsidTr="00362BE8">
        <w:trPr>
          <w:trHeight w:val="241"/>
        </w:trPr>
        <w:tc>
          <w:tcPr>
            <w:tcW w:w="1715" w:type="dxa"/>
            <w:tcBorders>
              <w:top w:val="nil"/>
              <w:left w:val="nil"/>
              <w:bottom w:val="nil"/>
              <w:right w:val="nil"/>
            </w:tcBorders>
          </w:tcPr>
          <w:p w14:paraId="230DDE4A"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2:2</w:t>
            </w:r>
            <w:r w:rsidRPr="00744BA8">
              <w:rPr>
                <w:rFonts w:ascii="Times New Roman" w:hAnsi="Times New Roman" w:cs="Times New Roman"/>
                <w:sz w:val="20"/>
                <w:szCs w:val="20"/>
                <w:vertAlign w:val="superscript"/>
              </w:rPr>
              <w:t>nd</w:t>
            </w:r>
            <w:r w:rsidRPr="00744BA8">
              <w:rPr>
                <w:rFonts w:ascii="Times New Roman" w:hAnsi="Times New Roman" w:cs="Times New Roman"/>
                <w:sz w:val="20"/>
                <w:szCs w:val="20"/>
              </w:rPr>
              <w:t xml:space="preserve"> rat</w:t>
            </w:r>
          </w:p>
        </w:tc>
        <w:tc>
          <w:tcPr>
            <w:tcW w:w="1875" w:type="dxa"/>
            <w:tcBorders>
              <w:top w:val="nil"/>
              <w:left w:val="nil"/>
              <w:bottom w:val="nil"/>
              <w:right w:val="nil"/>
            </w:tcBorders>
          </w:tcPr>
          <w:p w14:paraId="6615893C"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bottom w:val="nil"/>
              <w:right w:val="nil"/>
            </w:tcBorders>
          </w:tcPr>
          <w:p w14:paraId="633EA028"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bottom w:val="nil"/>
              <w:right w:val="nil"/>
            </w:tcBorders>
          </w:tcPr>
          <w:p w14:paraId="749304C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r w:rsidR="00464A40" w:rsidRPr="00744BA8" w14:paraId="04CA132B" w14:textId="77777777" w:rsidTr="00362BE8">
        <w:trPr>
          <w:trHeight w:val="389"/>
        </w:trPr>
        <w:tc>
          <w:tcPr>
            <w:tcW w:w="1715" w:type="dxa"/>
            <w:tcBorders>
              <w:top w:val="nil"/>
              <w:left w:val="nil"/>
              <w:bottom w:val="single" w:sz="4" w:space="0" w:color="auto"/>
              <w:right w:val="nil"/>
            </w:tcBorders>
          </w:tcPr>
          <w:p w14:paraId="0A215C51"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Day 3:3</w:t>
            </w:r>
            <w:r w:rsidRPr="00744BA8">
              <w:rPr>
                <w:rFonts w:ascii="Times New Roman" w:hAnsi="Times New Roman" w:cs="Times New Roman"/>
                <w:sz w:val="20"/>
                <w:szCs w:val="20"/>
                <w:vertAlign w:val="superscript"/>
              </w:rPr>
              <w:t>rd</w:t>
            </w:r>
            <w:r w:rsidRPr="00744BA8">
              <w:rPr>
                <w:rFonts w:ascii="Times New Roman" w:hAnsi="Times New Roman" w:cs="Times New Roman"/>
                <w:sz w:val="20"/>
                <w:szCs w:val="20"/>
              </w:rPr>
              <w:t xml:space="preserve"> rat</w:t>
            </w:r>
          </w:p>
        </w:tc>
        <w:tc>
          <w:tcPr>
            <w:tcW w:w="1875" w:type="dxa"/>
            <w:tcBorders>
              <w:top w:val="nil"/>
              <w:left w:val="nil"/>
              <w:bottom w:val="single" w:sz="4" w:space="0" w:color="auto"/>
              <w:right w:val="nil"/>
            </w:tcBorders>
          </w:tcPr>
          <w:p w14:paraId="3CDF4F1E"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35" w:type="dxa"/>
            <w:tcBorders>
              <w:top w:val="nil"/>
              <w:left w:val="nil"/>
              <w:right w:val="nil"/>
            </w:tcBorders>
          </w:tcPr>
          <w:p w14:paraId="5DEAF482"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c>
          <w:tcPr>
            <w:tcW w:w="2895" w:type="dxa"/>
            <w:tcBorders>
              <w:top w:val="nil"/>
              <w:left w:val="nil"/>
              <w:right w:val="nil"/>
            </w:tcBorders>
          </w:tcPr>
          <w:p w14:paraId="19B30B6D" w14:textId="77777777" w:rsidR="00464A40" w:rsidRPr="00744BA8" w:rsidRDefault="00464A40" w:rsidP="00362BE8">
            <w:pPr>
              <w:rPr>
                <w:rFonts w:ascii="Times New Roman" w:hAnsi="Times New Roman" w:cs="Times New Roman"/>
                <w:sz w:val="20"/>
                <w:szCs w:val="20"/>
              </w:rPr>
            </w:pPr>
            <w:r w:rsidRPr="00744BA8">
              <w:rPr>
                <w:rFonts w:ascii="Times New Roman" w:hAnsi="Times New Roman" w:cs="Times New Roman"/>
                <w:sz w:val="20"/>
                <w:szCs w:val="20"/>
              </w:rPr>
              <w:t xml:space="preserve">            None</w:t>
            </w:r>
          </w:p>
        </w:tc>
      </w:tr>
    </w:tbl>
    <w:p w14:paraId="574DFF6F" w14:textId="77777777" w:rsidR="00464A40" w:rsidRPr="00744BA8" w:rsidRDefault="00464A40" w:rsidP="00464A40">
      <w:pPr>
        <w:spacing w:line="360" w:lineRule="auto"/>
        <w:jc w:val="center"/>
        <w:rPr>
          <w:rFonts w:ascii="Times New Roman" w:hAnsi="Times New Roman" w:cs="Times New Roman"/>
          <w:b/>
          <w:sz w:val="20"/>
          <w:szCs w:val="20"/>
        </w:rPr>
      </w:pPr>
    </w:p>
    <w:p w14:paraId="664D229C" w14:textId="77777777" w:rsidR="00464A40" w:rsidRPr="00096128" w:rsidRDefault="00464A40" w:rsidP="00464A40">
      <w:pPr>
        <w:spacing w:line="240" w:lineRule="auto"/>
        <w:jc w:val="both"/>
        <w:rPr>
          <w:rFonts w:ascii="Times New Roman" w:hAnsi="Times New Roman" w:cs="Times New Roman"/>
          <w:b/>
          <w:sz w:val="20"/>
        </w:rPr>
      </w:pPr>
      <w:r w:rsidRPr="00096128">
        <w:rPr>
          <w:rFonts w:ascii="Times New Roman" w:hAnsi="Times New Roman" w:cs="Times New Roman"/>
          <w:b/>
          <w:sz w:val="20"/>
        </w:rPr>
        <w:t>Table 2: Showing Mean Level of Neutrophil, Lymphocyte, Monocyte and Total leukocyte count (TLC) of Control and Test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9"/>
        <w:gridCol w:w="1873"/>
        <w:gridCol w:w="1881"/>
        <w:gridCol w:w="1868"/>
        <w:gridCol w:w="1879"/>
      </w:tblGrid>
      <w:tr w:rsidR="00464A40" w:rsidRPr="00096128" w14:paraId="75C68E3B" w14:textId="77777777" w:rsidTr="00362BE8">
        <w:tc>
          <w:tcPr>
            <w:tcW w:w="1915" w:type="dxa"/>
            <w:tcBorders>
              <w:top w:val="single" w:sz="4" w:space="0" w:color="auto"/>
              <w:bottom w:val="single" w:sz="4" w:space="0" w:color="auto"/>
            </w:tcBorders>
          </w:tcPr>
          <w:p w14:paraId="383599F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1915" w:type="dxa"/>
            <w:tcBorders>
              <w:top w:val="single" w:sz="4" w:space="0" w:color="auto"/>
              <w:bottom w:val="single" w:sz="4" w:space="0" w:color="auto"/>
            </w:tcBorders>
          </w:tcPr>
          <w:p w14:paraId="7B610DD1"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Neutrophil (%)</w:t>
            </w:r>
          </w:p>
        </w:tc>
        <w:tc>
          <w:tcPr>
            <w:tcW w:w="1915" w:type="dxa"/>
            <w:tcBorders>
              <w:top w:val="single" w:sz="4" w:space="0" w:color="auto"/>
              <w:bottom w:val="single" w:sz="4" w:space="0" w:color="auto"/>
            </w:tcBorders>
          </w:tcPr>
          <w:p w14:paraId="555C10BF"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Lymphocyte (%)</w:t>
            </w:r>
          </w:p>
        </w:tc>
        <w:tc>
          <w:tcPr>
            <w:tcW w:w="1915" w:type="dxa"/>
            <w:tcBorders>
              <w:top w:val="single" w:sz="4" w:space="0" w:color="auto"/>
              <w:bottom w:val="single" w:sz="4" w:space="0" w:color="auto"/>
            </w:tcBorders>
          </w:tcPr>
          <w:p w14:paraId="47FB591C"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Monocyte (%)</w:t>
            </w:r>
          </w:p>
        </w:tc>
        <w:tc>
          <w:tcPr>
            <w:tcW w:w="1916" w:type="dxa"/>
            <w:tcBorders>
              <w:top w:val="single" w:sz="4" w:space="0" w:color="auto"/>
              <w:bottom w:val="single" w:sz="4" w:space="0" w:color="auto"/>
            </w:tcBorders>
          </w:tcPr>
          <w:p w14:paraId="10966C54"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Total leukocyte count(TLC)</w:t>
            </w:r>
          </w:p>
        </w:tc>
      </w:tr>
      <w:tr w:rsidR="00464A40" w:rsidRPr="00096128" w14:paraId="60F7EEE9" w14:textId="77777777" w:rsidTr="00362BE8">
        <w:tc>
          <w:tcPr>
            <w:tcW w:w="1915" w:type="dxa"/>
            <w:tcBorders>
              <w:top w:val="single" w:sz="4" w:space="0" w:color="auto"/>
            </w:tcBorders>
          </w:tcPr>
          <w:p w14:paraId="5D4B64B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Control </w:t>
            </w:r>
            <w:r w:rsidRPr="00096128">
              <w:rPr>
                <w:rFonts w:ascii="Times New Roman" w:hAnsi="Times New Roman" w:cs="Times New Roman"/>
                <w:sz w:val="20"/>
                <w:szCs w:val="20"/>
              </w:rPr>
              <w:t>(n=5)</w:t>
            </w:r>
          </w:p>
        </w:tc>
        <w:tc>
          <w:tcPr>
            <w:tcW w:w="1915" w:type="dxa"/>
            <w:tcBorders>
              <w:top w:val="single" w:sz="4" w:space="0" w:color="auto"/>
            </w:tcBorders>
          </w:tcPr>
          <w:p w14:paraId="3063C74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28.00±3.10</w:t>
            </w:r>
          </w:p>
        </w:tc>
        <w:tc>
          <w:tcPr>
            <w:tcW w:w="1915" w:type="dxa"/>
            <w:tcBorders>
              <w:top w:val="single" w:sz="4" w:space="0" w:color="auto"/>
            </w:tcBorders>
          </w:tcPr>
          <w:p w14:paraId="7EE0BFD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tc>
        <w:tc>
          <w:tcPr>
            <w:tcW w:w="1915" w:type="dxa"/>
            <w:tcBorders>
              <w:top w:val="single" w:sz="4" w:space="0" w:color="auto"/>
            </w:tcBorders>
          </w:tcPr>
          <w:p w14:paraId="0F2D6FA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Borders>
              <w:top w:val="single" w:sz="4" w:space="0" w:color="auto"/>
            </w:tcBorders>
          </w:tcPr>
          <w:p w14:paraId="5D2148E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tc>
      </w:tr>
      <w:tr w:rsidR="00464A40" w:rsidRPr="00096128" w14:paraId="2B11B514" w14:textId="77777777" w:rsidTr="00362BE8">
        <w:tc>
          <w:tcPr>
            <w:tcW w:w="1915" w:type="dxa"/>
          </w:tcPr>
          <w:p w14:paraId="229544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 xml:space="preserve">Group 1 </w:t>
            </w:r>
            <w:r w:rsidRPr="00096128">
              <w:rPr>
                <w:rFonts w:ascii="Times New Roman" w:hAnsi="Times New Roman" w:cs="Times New Roman"/>
                <w:sz w:val="20"/>
                <w:szCs w:val="20"/>
              </w:rPr>
              <w:t>(n=5)</w:t>
            </w:r>
          </w:p>
        </w:tc>
        <w:tc>
          <w:tcPr>
            <w:tcW w:w="1915" w:type="dxa"/>
          </w:tcPr>
          <w:p w14:paraId="537867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24.00±2.63</w:t>
            </w:r>
          </w:p>
        </w:tc>
        <w:tc>
          <w:tcPr>
            <w:tcW w:w="1915" w:type="dxa"/>
          </w:tcPr>
          <w:p w14:paraId="4D19455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74.80±3.43</w:t>
            </w:r>
          </w:p>
        </w:tc>
        <w:tc>
          <w:tcPr>
            <w:tcW w:w="1915" w:type="dxa"/>
          </w:tcPr>
          <w:p w14:paraId="5D86DB9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19A35C1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r>
      <w:tr w:rsidR="00464A40" w:rsidRPr="00096128" w14:paraId="26A8EE6C" w14:textId="77777777" w:rsidTr="00362BE8">
        <w:tc>
          <w:tcPr>
            <w:tcW w:w="1915" w:type="dxa"/>
          </w:tcPr>
          <w:p w14:paraId="615C93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t>Group 2</w:t>
            </w:r>
            <w:r w:rsidRPr="00096128">
              <w:rPr>
                <w:rFonts w:ascii="Times New Roman" w:hAnsi="Times New Roman" w:cs="Times New Roman"/>
                <w:sz w:val="20"/>
                <w:szCs w:val="20"/>
              </w:rPr>
              <w:t xml:space="preserve"> (n=5)</w:t>
            </w:r>
          </w:p>
        </w:tc>
        <w:tc>
          <w:tcPr>
            <w:tcW w:w="1915" w:type="dxa"/>
          </w:tcPr>
          <w:p w14:paraId="378E1B1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32.00±5.58</w:t>
            </w:r>
          </w:p>
        </w:tc>
        <w:tc>
          <w:tcPr>
            <w:tcW w:w="1915" w:type="dxa"/>
          </w:tcPr>
          <w:p w14:paraId="61B340E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70.80±5.34</w:t>
            </w:r>
          </w:p>
        </w:tc>
        <w:tc>
          <w:tcPr>
            <w:tcW w:w="1915" w:type="dxa"/>
          </w:tcPr>
          <w:p w14:paraId="34CE23E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1916" w:type="dxa"/>
          </w:tcPr>
          <w:p w14:paraId="63434488"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11.08±0.85</w:t>
            </w:r>
          </w:p>
        </w:tc>
      </w:tr>
      <w:tr w:rsidR="00464A40" w:rsidRPr="00096128" w14:paraId="6A8C53B2" w14:textId="77777777" w:rsidTr="00362BE8">
        <w:tc>
          <w:tcPr>
            <w:tcW w:w="1915" w:type="dxa"/>
            <w:tcBorders>
              <w:bottom w:val="single" w:sz="4" w:space="0" w:color="auto"/>
            </w:tcBorders>
          </w:tcPr>
          <w:p w14:paraId="39CF76F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b/>
                <w:sz w:val="20"/>
                <w:szCs w:val="20"/>
              </w:rPr>
              <w:lastRenderedPageBreak/>
              <w:t xml:space="preserve">Group 3 </w:t>
            </w:r>
            <w:r w:rsidRPr="00096128">
              <w:rPr>
                <w:rFonts w:ascii="Times New Roman" w:hAnsi="Times New Roman" w:cs="Times New Roman"/>
                <w:sz w:val="20"/>
                <w:szCs w:val="20"/>
              </w:rPr>
              <w:t>(n=5)</w:t>
            </w:r>
          </w:p>
        </w:tc>
        <w:tc>
          <w:tcPr>
            <w:tcW w:w="1915" w:type="dxa"/>
            <w:tcBorders>
              <w:bottom w:val="single" w:sz="4" w:space="0" w:color="auto"/>
            </w:tcBorders>
          </w:tcPr>
          <w:p w14:paraId="67145B8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22.20±3.50</w:t>
            </w:r>
          </w:p>
        </w:tc>
        <w:tc>
          <w:tcPr>
            <w:tcW w:w="1915" w:type="dxa"/>
            <w:tcBorders>
              <w:bottom w:val="single" w:sz="4" w:space="0" w:color="auto"/>
            </w:tcBorders>
          </w:tcPr>
          <w:p w14:paraId="1308AD9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780.40±3.96</w:t>
            </w:r>
          </w:p>
        </w:tc>
        <w:tc>
          <w:tcPr>
            <w:tcW w:w="1915" w:type="dxa"/>
            <w:tcBorders>
              <w:bottom w:val="single" w:sz="4" w:space="0" w:color="auto"/>
            </w:tcBorders>
          </w:tcPr>
          <w:p w14:paraId="4EF8B91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1916" w:type="dxa"/>
            <w:tcBorders>
              <w:bottom w:val="single" w:sz="4" w:space="0" w:color="auto"/>
            </w:tcBorders>
          </w:tcPr>
          <w:p w14:paraId="36E0D65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r>
    </w:tbl>
    <w:p w14:paraId="2473D06C" w14:textId="77777777" w:rsidR="00464A40" w:rsidRPr="00096128" w:rsidRDefault="00464A40" w:rsidP="00464A40">
      <w:pPr>
        <w:spacing w:line="36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w:t>
      </w:r>
    </w:p>
    <w:p w14:paraId="0A0F8346" w14:textId="77777777" w:rsidR="00464A40" w:rsidRPr="00096128" w:rsidRDefault="00464A40" w:rsidP="00464A40">
      <w:pPr>
        <w:spacing w:line="240" w:lineRule="auto"/>
        <w:jc w:val="both"/>
        <w:rPr>
          <w:rFonts w:ascii="Times New Roman" w:hAnsi="Times New Roman" w:cs="Times New Roman"/>
          <w:sz w:val="20"/>
          <w:szCs w:val="20"/>
        </w:rPr>
      </w:pPr>
      <w:r w:rsidRPr="00096128">
        <w:rPr>
          <w:rFonts w:ascii="Times New Roman" w:hAnsi="Times New Roman" w:cs="Times New Roman"/>
          <w:b/>
          <w:sz w:val="20"/>
          <w:szCs w:val="20"/>
        </w:rPr>
        <w:t>Table 3: Comparison of Neutrophil, Lymphocyte, Monocyte and Total leukocyte count level between control and group 1 (50mg)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2329"/>
        <w:gridCol w:w="2347"/>
        <w:gridCol w:w="2339"/>
      </w:tblGrid>
      <w:tr w:rsidR="00464A40" w:rsidRPr="00096128" w14:paraId="33E571B1" w14:textId="77777777" w:rsidTr="00362BE8">
        <w:tc>
          <w:tcPr>
            <w:tcW w:w="2394" w:type="dxa"/>
            <w:tcBorders>
              <w:top w:val="single" w:sz="4" w:space="0" w:color="auto"/>
              <w:bottom w:val="single" w:sz="4" w:space="0" w:color="auto"/>
            </w:tcBorders>
          </w:tcPr>
          <w:p w14:paraId="102BC536"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CELLS</w:t>
            </w:r>
          </w:p>
        </w:tc>
        <w:tc>
          <w:tcPr>
            <w:tcW w:w="2394" w:type="dxa"/>
            <w:tcBorders>
              <w:top w:val="single" w:sz="4" w:space="0" w:color="auto"/>
              <w:bottom w:val="single" w:sz="4" w:space="0" w:color="auto"/>
            </w:tcBorders>
          </w:tcPr>
          <w:p w14:paraId="7A39659B" w14:textId="77777777" w:rsidR="00464A40" w:rsidRPr="00096128" w:rsidRDefault="00464A40" w:rsidP="00362BE8">
            <w:pPr>
              <w:spacing w:line="360" w:lineRule="auto"/>
              <w:rPr>
                <w:rFonts w:ascii="Times New Roman" w:hAnsi="Times New Roman" w:cs="Times New Roman"/>
                <w:b/>
                <w:sz w:val="20"/>
                <w:szCs w:val="20"/>
              </w:rPr>
            </w:pPr>
            <w:r w:rsidRPr="00096128">
              <w:rPr>
                <w:rFonts w:ascii="Times New Roman" w:hAnsi="Times New Roman" w:cs="Times New Roman"/>
                <w:b/>
                <w:sz w:val="20"/>
                <w:szCs w:val="20"/>
              </w:rPr>
              <w:t>Group</w:t>
            </w:r>
          </w:p>
        </w:tc>
        <w:tc>
          <w:tcPr>
            <w:tcW w:w="2394" w:type="dxa"/>
            <w:tcBorders>
              <w:top w:val="single" w:sz="4" w:space="0" w:color="auto"/>
              <w:bottom w:val="single" w:sz="4" w:space="0" w:color="auto"/>
            </w:tcBorders>
          </w:tcPr>
          <w:p w14:paraId="06FBE5F8" w14:textId="77777777" w:rsidR="00464A40" w:rsidRPr="00096128" w:rsidRDefault="00464A40" w:rsidP="00362BE8">
            <w:pPr>
              <w:spacing w:line="360" w:lineRule="auto"/>
              <w:rPr>
                <w:rFonts w:ascii="Times New Roman" w:hAnsi="Times New Roman" w:cs="Times New Roman"/>
                <w:b/>
                <w:sz w:val="20"/>
                <w:szCs w:val="20"/>
              </w:rPr>
            </w:pPr>
            <w:proofErr w:type="spellStart"/>
            <w:r w:rsidRPr="00096128">
              <w:rPr>
                <w:rFonts w:ascii="Times New Roman" w:hAnsi="Times New Roman" w:cs="Times New Roman"/>
                <w:b/>
                <w:sz w:val="20"/>
                <w:szCs w:val="20"/>
              </w:rPr>
              <w:t>Mean±SEM</w:t>
            </w:r>
            <w:proofErr w:type="spellEnd"/>
          </w:p>
        </w:tc>
        <w:tc>
          <w:tcPr>
            <w:tcW w:w="2394" w:type="dxa"/>
            <w:tcBorders>
              <w:top w:val="single" w:sz="4" w:space="0" w:color="auto"/>
              <w:bottom w:val="single" w:sz="4" w:space="0" w:color="auto"/>
            </w:tcBorders>
          </w:tcPr>
          <w:p w14:paraId="08B21BE9" w14:textId="77777777" w:rsidR="00464A40" w:rsidRPr="00096128" w:rsidRDefault="00464A40" w:rsidP="00362BE8">
            <w:pPr>
              <w:spacing w:line="360" w:lineRule="auto"/>
              <w:rPr>
                <w:rFonts w:ascii="Times New Roman" w:hAnsi="Times New Roman" w:cs="Times New Roman"/>
                <w:b/>
                <w:i/>
                <w:sz w:val="20"/>
                <w:szCs w:val="20"/>
              </w:rPr>
            </w:pPr>
            <w:r w:rsidRPr="00096128">
              <w:rPr>
                <w:rFonts w:ascii="Times New Roman" w:hAnsi="Times New Roman" w:cs="Times New Roman"/>
                <w:b/>
                <w:i/>
                <w:sz w:val="20"/>
                <w:szCs w:val="20"/>
              </w:rPr>
              <w:t>p-value</w:t>
            </w:r>
          </w:p>
        </w:tc>
      </w:tr>
      <w:tr w:rsidR="00464A40" w:rsidRPr="00096128" w14:paraId="1296B87B" w14:textId="77777777" w:rsidTr="00362BE8">
        <w:tc>
          <w:tcPr>
            <w:tcW w:w="2394" w:type="dxa"/>
            <w:tcBorders>
              <w:top w:val="single" w:sz="4" w:space="0" w:color="auto"/>
            </w:tcBorders>
          </w:tcPr>
          <w:p w14:paraId="0447680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426F588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44A4B19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top w:val="single" w:sz="4" w:space="0" w:color="auto"/>
            </w:tcBorders>
          </w:tcPr>
          <w:p w14:paraId="7D3D2F83" w14:textId="77777777" w:rsidR="00464A40" w:rsidRPr="00096128" w:rsidRDefault="00464A40" w:rsidP="00362BE8">
            <w:pPr>
              <w:spacing w:line="360" w:lineRule="auto"/>
              <w:rPr>
                <w:rFonts w:ascii="Times New Roman" w:hAnsi="Times New Roman" w:cs="Times New Roman"/>
                <w:color w:val="000000"/>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F54B000"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24</w:t>
            </w:r>
            <w:r w:rsidRPr="00096128">
              <w:rPr>
                <w:rFonts w:ascii="Times New Roman" w:hAnsi="Times New Roman" w:cs="Times New Roman"/>
                <w:sz w:val="20"/>
                <w:szCs w:val="20"/>
              </w:rPr>
              <w:t>.00±2.63</w:t>
            </w:r>
          </w:p>
        </w:tc>
        <w:tc>
          <w:tcPr>
            <w:tcW w:w="2394" w:type="dxa"/>
            <w:tcBorders>
              <w:top w:val="single" w:sz="4" w:space="0" w:color="auto"/>
            </w:tcBorders>
          </w:tcPr>
          <w:p w14:paraId="5EF0A9C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51ADC621"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5BCC5A64" w14:textId="77777777" w:rsidTr="00362BE8">
        <w:tc>
          <w:tcPr>
            <w:tcW w:w="2394" w:type="dxa"/>
          </w:tcPr>
          <w:p w14:paraId="3B300E04"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3D96864C"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52AAD917"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7F572C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4E44F9F4"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74</w:t>
            </w:r>
            <w:r w:rsidRPr="00096128">
              <w:rPr>
                <w:rFonts w:ascii="Times New Roman" w:hAnsi="Times New Roman" w:cs="Times New Roman"/>
                <w:sz w:val="20"/>
                <w:szCs w:val="20"/>
              </w:rPr>
              <w:t>.80±3.43</w:t>
            </w:r>
          </w:p>
        </w:tc>
        <w:tc>
          <w:tcPr>
            <w:tcW w:w="2394" w:type="dxa"/>
          </w:tcPr>
          <w:p w14:paraId="4735EB2B"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7A8BAF2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13F9F2C" w14:textId="77777777" w:rsidTr="00362BE8">
        <w:tc>
          <w:tcPr>
            <w:tcW w:w="2394" w:type="dxa"/>
          </w:tcPr>
          <w:p w14:paraId="49B490B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2F205C8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78B5D2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Pr>
          <w:p w14:paraId="0882338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p w14:paraId="0600AED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63416425"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5EABD60D"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A53F1F0" w14:textId="77777777" w:rsidTr="00362BE8">
        <w:tc>
          <w:tcPr>
            <w:tcW w:w="2394" w:type="dxa"/>
            <w:tcBorders>
              <w:bottom w:val="single" w:sz="4" w:space="0" w:color="auto"/>
            </w:tcBorders>
          </w:tcPr>
          <w:p w14:paraId="00CA04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611867D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 (n=5)</w:t>
            </w:r>
          </w:p>
          <w:p w14:paraId="0055A3A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 1 (n=5)</w:t>
            </w:r>
          </w:p>
        </w:tc>
        <w:tc>
          <w:tcPr>
            <w:tcW w:w="2394" w:type="dxa"/>
            <w:tcBorders>
              <w:bottom w:val="single" w:sz="4" w:space="0" w:color="auto"/>
            </w:tcBorders>
          </w:tcPr>
          <w:p w14:paraId="7074DDE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4E72517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9.13±0.45</w:t>
            </w:r>
          </w:p>
        </w:tc>
        <w:tc>
          <w:tcPr>
            <w:tcW w:w="2394" w:type="dxa"/>
            <w:tcBorders>
              <w:bottom w:val="single" w:sz="4" w:space="0" w:color="auto"/>
            </w:tcBorders>
          </w:tcPr>
          <w:p w14:paraId="12AB58C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0.237(NS)</w:t>
            </w:r>
          </w:p>
          <w:p w14:paraId="527AC13C" w14:textId="77777777" w:rsidR="00464A40" w:rsidRPr="00096128" w:rsidRDefault="00464A40" w:rsidP="00362BE8">
            <w:pPr>
              <w:spacing w:line="360" w:lineRule="auto"/>
              <w:rPr>
                <w:rFonts w:ascii="Times New Roman" w:hAnsi="Times New Roman" w:cs="Times New Roman"/>
                <w:sz w:val="20"/>
                <w:szCs w:val="20"/>
              </w:rPr>
            </w:pPr>
          </w:p>
        </w:tc>
      </w:tr>
    </w:tbl>
    <w:p w14:paraId="1175678C" w14:textId="77777777" w:rsidR="00464A40" w:rsidRPr="00096128"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significant, NS=not significant.</w:t>
      </w:r>
    </w:p>
    <w:p w14:paraId="601213CA" w14:textId="77777777" w:rsidR="00464A40" w:rsidRPr="00096128" w:rsidRDefault="00464A40" w:rsidP="00464A40">
      <w:pPr>
        <w:spacing w:line="240" w:lineRule="auto"/>
        <w:jc w:val="both"/>
        <w:rPr>
          <w:rFonts w:ascii="Times New Roman" w:hAnsi="Times New Roman" w:cs="Times New Roman"/>
          <w:b/>
          <w:sz w:val="20"/>
          <w:szCs w:val="20"/>
        </w:rPr>
      </w:pPr>
      <w:r w:rsidRPr="00096128">
        <w:rPr>
          <w:rFonts w:ascii="Times New Roman" w:hAnsi="Times New Roman" w:cs="Times New Roman"/>
          <w:b/>
          <w:sz w:val="20"/>
          <w:szCs w:val="20"/>
        </w:rPr>
        <w:t>Table 4: Showing Comparison of Neutrophil, Lymphocyte, Monocyte and Total leukocyte count(TLC) Level between Control and Group 2 (100mg)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30"/>
        <w:gridCol w:w="2345"/>
        <w:gridCol w:w="2339"/>
      </w:tblGrid>
      <w:tr w:rsidR="00464A40" w:rsidRPr="00096128" w14:paraId="399D3A8C" w14:textId="77777777" w:rsidTr="00362BE8">
        <w:tc>
          <w:tcPr>
            <w:tcW w:w="2394" w:type="dxa"/>
            <w:tcBorders>
              <w:top w:val="single" w:sz="4" w:space="0" w:color="auto"/>
              <w:bottom w:val="single" w:sz="4" w:space="0" w:color="auto"/>
            </w:tcBorders>
          </w:tcPr>
          <w:p w14:paraId="308E137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558E537D"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w:t>
            </w:r>
          </w:p>
        </w:tc>
        <w:tc>
          <w:tcPr>
            <w:tcW w:w="2394" w:type="dxa"/>
            <w:tcBorders>
              <w:top w:val="single" w:sz="4" w:space="0" w:color="auto"/>
              <w:bottom w:val="single" w:sz="4" w:space="0" w:color="auto"/>
            </w:tcBorders>
          </w:tcPr>
          <w:p w14:paraId="5025BB46" w14:textId="77777777" w:rsidR="00464A40" w:rsidRPr="00096128" w:rsidRDefault="00464A40" w:rsidP="00362BE8">
            <w:pPr>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528E569A" w14:textId="77777777" w:rsidR="00464A40" w:rsidRPr="00096128" w:rsidRDefault="00464A40" w:rsidP="00362BE8">
            <w:pPr>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1632BC02" w14:textId="77777777" w:rsidTr="00362BE8">
        <w:tc>
          <w:tcPr>
            <w:tcW w:w="2394" w:type="dxa"/>
            <w:tcBorders>
              <w:top w:val="single" w:sz="4" w:space="0" w:color="auto"/>
            </w:tcBorders>
          </w:tcPr>
          <w:p w14:paraId="5FDBD63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0FB5CF27"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4CD8D67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top w:val="single" w:sz="4" w:space="0" w:color="auto"/>
            </w:tcBorders>
          </w:tcPr>
          <w:p w14:paraId="35A8A87D"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225496A8" w14:textId="77777777" w:rsidR="00464A40" w:rsidRPr="00096128" w:rsidRDefault="00464A40" w:rsidP="00362BE8">
            <w:pPr>
              <w:rPr>
                <w:rFonts w:ascii="Times New Roman" w:hAnsi="Times New Roman" w:cs="Times New Roman"/>
                <w:sz w:val="20"/>
                <w:szCs w:val="20"/>
              </w:rPr>
            </w:pPr>
            <w:r>
              <w:rPr>
                <w:rFonts w:ascii="Times New Roman" w:hAnsi="Times New Roman" w:cs="Times New Roman"/>
                <w:sz w:val="20"/>
                <w:szCs w:val="20"/>
              </w:rPr>
              <w:t>32</w:t>
            </w:r>
            <w:r w:rsidRPr="00096128">
              <w:rPr>
                <w:rFonts w:ascii="Times New Roman" w:hAnsi="Times New Roman" w:cs="Times New Roman"/>
                <w:sz w:val="20"/>
                <w:szCs w:val="20"/>
              </w:rPr>
              <w:t>.00±5.58</w:t>
            </w:r>
          </w:p>
        </w:tc>
        <w:tc>
          <w:tcPr>
            <w:tcW w:w="2394" w:type="dxa"/>
            <w:tcBorders>
              <w:top w:val="single" w:sz="4" w:space="0" w:color="auto"/>
            </w:tcBorders>
          </w:tcPr>
          <w:p w14:paraId="22247D4E"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6CE7DDBE" w14:textId="77777777" w:rsidR="00464A40" w:rsidRPr="00096128" w:rsidRDefault="00464A40" w:rsidP="00362BE8">
            <w:pPr>
              <w:rPr>
                <w:rFonts w:ascii="Times New Roman" w:hAnsi="Times New Roman" w:cs="Times New Roman"/>
                <w:sz w:val="20"/>
                <w:szCs w:val="20"/>
              </w:rPr>
            </w:pPr>
          </w:p>
        </w:tc>
      </w:tr>
      <w:tr w:rsidR="00464A40" w:rsidRPr="00096128" w14:paraId="5DE9196C" w14:textId="77777777" w:rsidTr="00362BE8">
        <w:tc>
          <w:tcPr>
            <w:tcW w:w="2394" w:type="dxa"/>
          </w:tcPr>
          <w:p w14:paraId="3363677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0785897E"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28F855E8"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5A04626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73.00±3.40</w:t>
            </w:r>
          </w:p>
          <w:p w14:paraId="7540AB7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70.80±5.34</w:t>
            </w:r>
          </w:p>
        </w:tc>
        <w:tc>
          <w:tcPr>
            <w:tcW w:w="2394" w:type="dxa"/>
          </w:tcPr>
          <w:p w14:paraId="4CFED317"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66F4F1B2" w14:textId="77777777" w:rsidR="00464A40" w:rsidRPr="00096128" w:rsidRDefault="00464A40" w:rsidP="00362BE8">
            <w:pPr>
              <w:rPr>
                <w:rFonts w:ascii="Times New Roman" w:hAnsi="Times New Roman" w:cs="Times New Roman"/>
                <w:sz w:val="20"/>
                <w:szCs w:val="20"/>
              </w:rPr>
            </w:pPr>
          </w:p>
        </w:tc>
      </w:tr>
      <w:tr w:rsidR="00464A40" w:rsidRPr="00096128" w14:paraId="1198CA96" w14:textId="77777777" w:rsidTr="00362BE8">
        <w:tc>
          <w:tcPr>
            <w:tcW w:w="2394" w:type="dxa"/>
          </w:tcPr>
          <w:p w14:paraId="52812351"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3F34C786"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6D72523"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Pr>
          <w:p w14:paraId="66B8982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p w14:paraId="52B2650A"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0.20±0.20</w:t>
            </w:r>
          </w:p>
        </w:tc>
        <w:tc>
          <w:tcPr>
            <w:tcW w:w="2394" w:type="dxa"/>
          </w:tcPr>
          <w:p w14:paraId="20DB0C0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0E69F2EB" w14:textId="77777777" w:rsidR="00464A40" w:rsidRPr="00096128" w:rsidRDefault="00464A40" w:rsidP="00362BE8">
            <w:pPr>
              <w:rPr>
                <w:rFonts w:ascii="Times New Roman" w:hAnsi="Times New Roman" w:cs="Times New Roman"/>
                <w:sz w:val="20"/>
                <w:szCs w:val="20"/>
              </w:rPr>
            </w:pPr>
          </w:p>
        </w:tc>
      </w:tr>
      <w:tr w:rsidR="00464A40" w:rsidRPr="00096128" w14:paraId="274A3D0C" w14:textId="77777777" w:rsidTr="00362BE8">
        <w:tc>
          <w:tcPr>
            <w:tcW w:w="2394" w:type="dxa"/>
            <w:tcBorders>
              <w:bottom w:val="single" w:sz="4" w:space="0" w:color="auto"/>
            </w:tcBorders>
          </w:tcPr>
          <w:p w14:paraId="2DA08C39"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0330353C"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Control (n=5)</w:t>
            </w:r>
          </w:p>
          <w:p w14:paraId="6B77000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Group 2 (n=5)</w:t>
            </w:r>
          </w:p>
        </w:tc>
        <w:tc>
          <w:tcPr>
            <w:tcW w:w="2394" w:type="dxa"/>
            <w:tcBorders>
              <w:bottom w:val="single" w:sz="4" w:space="0" w:color="auto"/>
            </w:tcBorders>
          </w:tcPr>
          <w:p w14:paraId="4F4A214F"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11.00±0.59</w:t>
            </w:r>
          </w:p>
          <w:p w14:paraId="69ECA6CB"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11.08±0.85</w:t>
            </w:r>
          </w:p>
        </w:tc>
        <w:tc>
          <w:tcPr>
            <w:tcW w:w="2394" w:type="dxa"/>
            <w:tcBorders>
              <w:bottom w:val="single" w:sz="4" w:space="0" w:color="auto"/>
            </w:tcBorders>
          </w:tcPr>
          <w:p w14:paraId="36C7A472" w14:textId="77777777" w:rsidR="00464A40" w:rsidRPr="00096128" w:rsidRDefault="00464A40" w:rsidP="00362BE8">
            <w:pPr>
              <w:rPr>
                <w:rFonts w:ascii="Times New Roman" w:hAnsi="Times New Roman" w:cs="Times New Roman"/>
                <w:sz w:val="20"/>
                <w:szCs w:val="20"/>
              </w:rPr>
            </w:pPr>
            <w:r w:rsidRPr="00096128">
              <w:rPr>
                <w:rFonts w:ascii="Times New Roman" w:hAnsi="Times New Roman" w:cs="Times New Roman"/>
                <w:sz w:val="20"/>
                <w:szCs w:val="20"/>
              </w:rPr>
              <w:t>1.000(NS)</w:t>
            </w:r>
          </w:p>
          <w:p w14:paraId="23FC7611" w14:textId="77777777" w:rsidR="00464A40" w:rsidRPr="00096128" w:rsidRDefault="00464A40" w:rsidP="00362BE8">
            <w:pPr>
              <w:rPr>
                <w:rFonts w:ascii="Times New Roman" w:hAnsi="Times New Roman" w:cs="Times New Roman"/>
                <w:sz w:val="20"/>
                <w:szCs w:val="20"/>
              </w:rPr>
            </w:pPr>
          </w:p>
        </w:tc>
      </w:tr>
    </w:tbl>
    <w:p w14:paraId="6614CB26" w14:textId="77777777" w:rsidR="00464A40" w:rsidRPr="00761707" w:rsidRDefault="00464A40" w:rsidP="00464A40">
      <w:pPr>
        <w:spacing w:line="240" w:lineRule="auto"/>
        <w:rPr>
          <w:rFonts w:ascii="Times New Roman" w:hAnsi="Times New Roman" w:cs="Times New Roman"/>
          <w:sz w:val="20"/>
          <w:szCs w:val="20"/>
        </w:rPr>
      </w:pPr>
      <w:r w:rsidRPr="00096128">
        <w:rPr>
          <w:rFonts w:ascii="Times New Roman" w:hAnsi="Times New Roman" w:cs="Times New Roman"/>
          <w:sz w:val="20"/>
          <w:szCs w:val="20"/>
        </w:rPr>
        <w:t>Values are Mean± SEM (standard error of mean), n=number of subjects, SS=statically s</w:t>
      </w:r>
      <w:r>
        <w:rPr>
          <w:rFonts w:ascii="Times New Roman" w:hAnsi="Times New Roman" w:cs="Times New Roman"/>
          <w:sz w:val="20"/>
          <w:szCs w:val="20"/>
        </w:rPr>
        <w:t>ignificant, NS=not significant.</w:t>
      </w:r>
    </w:p>
    <w:p w14:paraId="46C2702F" w14:textId="77777777" w:rsidR="00464A40" w:rsidRPr="00096128" w:rsidRDefault="00464A40" w:rsidP="00464A40">
      <w:pPr>
        <w:spacing w:line="240" w:lineRule="auto"/>
        <w:jc w:val="both"/>
        <w:rPr>
          <w:rFonts w:ascii="Times New Roman" w:hAnsi="Times New Roman" w:cs="Times New Roman"/>
          <w:b/>
          <w:sz w:val="20"/>
          <w:szCs w:val="20"/>
        </w:rPr>
      </w:pPr>
      <w:r w:rsidRPr="00096128">
        <w:rPr>
          <w:rFonts w:ascii="Times New Roman" w:hAnsi="Times New Roman" w:cs="Times New Roman"/>
          <w:b/>
          <w:sz w:val="20"/>
          <w:szCs w:val="20"/>
        </w:rPr>
        <w:t>Table 5: Comparison of Neutrophil, Lymphocyte, Monocyte and Total leukocyte count (TLC) Level between Control and Group 3 (200mg)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4"/>
        <w:gridCol w:w="2340"/>
        <w:gridCol w:w="2334"/>
      </w:tblGrid>
      <w:tr w:rsidR="00464A40" w:rsidRPr="00096128" w14:paraId="5F532BE2" w14:textId="77777777" w:rsidTr="00362BE8">
        <w:tc>
          <w:tcPr>
            <w:tcW w:w="2394" w:type="dxa"/>
            <w:tcBorders>
              <w:top w:val="single" w:sz="4" w:space="0" w:color="auto"/>
              <w:bottom w:val="single" w:sz="4" w:space="0" w:color="auto"/>
            </w:tcBorders>
          </w:tcPr>
          <w:p w14:paraId="2C568CD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CELLS</w:t>
            </w:r>
          </w:p>
        </w:tc>
        <w:tc>
          <w:tcPr>
            <w:tcW w:w="2394" w:type="dxa"/>
            <w:tcBorders>
              <w:top w:val="single" w:sz="4" w:space="0" w:color="auto"/>
              <w:bottom w:val="single" w:sz="4" w:space="0" w:color="auto"/>
            </w:tcBorders>
          </w:tcPr>
          <w:p w14:paraId="0F6534A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Groups</w:t>
            </w:r>
          </w:p>
        </w:tc>
        <w:tc>
          <w:tcPr>
            <w:tcW w:w="2394" w:type="dxa"/>
            <w:tcBorders>
              <w:top w:val="single" w:sz="4" w:space="0" w:color="auto"/>
              <w:bottom w:val="single" w:sz="4" w:space="0" w:color="auto"/>
            </w:tcBorders>
          </w:tcPr>
          <w:p w14:paraId="38A18E69" w14:textId="77777777" w:rsidR="00464A40" w:rsidRPr="00096128" w:rsidRDefault="00464A40" w:rsidP="00362BE8">
            <w:pPr>
              <w:spacing w:line="360" w:lineRule="auto"/>
              <w:rPr>
                <w:rFonts w:ascii="Times New Roman" w:hAnsi="Times New Roman" w:cs="Times New Roman"/>
                <w:sz w:val="20"/>
                <w:szCs w:val="20"/>
              </w:rPr>
            </w:pPr>
            <w:proofErr w:type="spellStart"/>
            <w:r w:rsidRPr="00096128">
              <w:rPr>
                <w:rFonts w:ascii="Times New Roman" w:hAnsi="Times New Roman" w:cs="Times New Roman"/>
                <w:sz w:val="20"/>
                <w:szCs w:val="20"/>
              </w:rPr>
              <w:t>Mean±SEM</w:t>
            </w:r>
            <w:proofErr w:type="spellEnd"/>
          </w:p>
        </w:tc>
        <w:tc>
          <w:tcPr>
            <w:tcW w:w="2394" w:type="dxa"/>
            <w:tcBorders>
              <w:top w:val="single" w:sz="4" w:space="0" w:color="auto"/>
              <w:bottom w:val="single" w:sz="4" w:space="0" w:color="auto"/>
            </w:tcBorders>
          </w:tcPr>
          <w:p w14:paraId="28E11E46" w14:textId="77777777" w:rsidR="00464A40" w:rsidRPr="00096128" w:rsidRDefault="00464A40" w:rsidP="00362BE8">
            <w:pPr>
              <w:spacing w:line="360" w:lineRule="auto"/>
              <w:rPr>
                <w:rFonts w:ascii="Times New Roman" w:hAnsi="Times New Roman" w:cs="Times New Roman"/>
                <w:i/>
                <w:sz w:val="20"/>
                <w:szCs w:val="20"/>
              </w:rPr>
            </w:pPr>
            <w:r w:rsidRPr="00096128">
              <w:rPr>
                <w:rFonts w:ascii="Times New Roman" w:hAnsi="Times New Roman" w:cs="Times New Roman"/>
                <w:i/>
                <w:sz w:val="20"/>
                <w:szCs w:val="20"/>
              </w:rPr>
              <w:t>p-value</w:t>
            </w:r>
          </w:p>
        </w:tc>
      </w:tr>
      <w:tr w:rsidR="00464A40" w:rsidRPr="00096128" w14:paraId="733E32CB" w14:textId="77777777" w:rsidTr="00362BE8">
        <w:tc>
          <w:tcPr>
            <w:tcW w:w="2394" w:type="dxa"/>
            <w:tcBorders>
              <w:top w:val="single" w:sz="4" w:space="0" w:color="auto"/>
            </w:tcBorders>
          </w:tcPr>
          <w:p w14:paraId="14C76FB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Neutrophil (%)</w:t>
            </w:r>
          </w:p>
        </w:tc>
        <w:tc>
          <w:tcPr>
            <w:tcW w:w="2394" w:type="dxa"/>
            <w:tcBorders>
              <w:top w:val="single" w:sz="4" w:space="0" w:color="auto"/>
            </w:tcBorders>
          </w:tcPr>
          <w:p w14:paraId="4216A26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Borders>
              <w:top w:val="single" w:sz="4" w:space="0" w:color="auto"/>
            </w:tcBorders>
          </w:tcPr>
          <w:p w14:paraId="7961A6E7" w14:textId="77777777" w:rsidR="00464A40" w:rsidRPr="00096128" w:rsidRDefault="00464A40" w:rsidP="00362BE8">
            <w:pPr>
              <w:spacing w:line="360" w:lineRule="auto"/>
              <w:rPr>
                <w:rFonts w:ascii="Times New Roman" w:hAnsi="Times New Roman" w:cs="Times New Roman"/>
                <w:sz w:val="20"/>
                <w:szCs w:val="20"/>
              </w:rPr>
            </w:pPr>
            <w:r>
              <w:rPr>
                <w:rFonts w:ascii="Times New Roman" w:hAnsi="Times New Roman" w:cs="Times New Roman"/>
                <w:sz w:val="20"/>
                <w:szCs w:val="20"/>
              </w:rPr>
              <w:t>28</w:t>
            </w:r>
            <w:r w:rsidRPr="00096128">
              <w:rPr>
                <w:rFonts w:ascii="Times New Roman" w:hAnsi="Times New Roman" w:cs="Times New Roman"/>
                <w:sz w:val="20"/>
                <w:szCs w:val="20"/>
              </w:rPr>
              <w:t>.00±3.10</w:t>
            </w:r>
          </w:p>
          <w:p w14:paraId="324CE96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19.20±3.50</w:t>
            </w:r>
          </w:p>
        </w:tc>
        <w:tc>
          <w:tcPr>
            <w:tcW w:w="2394" w:type="dxa"/>
            <w:tcBorders>
              <w:top w:val="single" w:sz="4" w:space="0" w:color="auto"/>
            </w:tcBorders>
          </w:tcPr>
          <w:p w14:paraId="4BA3B7A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0.961(NS)</w:t>
            </w:r>
          </w:p>
          <w:p w14:paraId="62C9D005"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6CA342B2" w14:textId="77777777" w:rsidTr="00362BE8">
        <w:tc>
          <w:tcPr>
            <w:tcW w:w="2394" w:type="dxa"/>
          </w:tcPr>
          <w:p w14:paraId="342F93E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Lymphocyte (%)</w:t>
            </w:r>
          </w:p>
        </w:tc>
        <w:tc>
          <w:tcPr>
            <w:tcW w:w="2394" w:type="dxa"/>
          </w:tcPr>
          <w:p w14:paraId="204AC07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Pr>
          <w:p w14:paraId="6EC584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73.00±3.40</w:t>
            </w:r>
          </w:p>
          <w:p w14:paraId="2A7D8BE0"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80.40±3.96</w:t>
            </w:r>
          </w:p>
        </w:tc>
        <w:tc>
          <w:tcPr>
            <w:tcW w:w="2394" w:type="dxa"/>
          </w:tcPr>
          <w:p w14:paraId="2D6BC83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1AEC0C5E"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4EC3A966" w14:textId="77777777" w:rsidTr="00362BE8">
        <w:tc>
          <w:tcPr>
            <w:tcW w:w="2394" w:type="dxa"/>
          </w:tcPr>
          <w:p w14:paraId="4E428A9E"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Monocyte (%)</w:t>
            </w:r>
          </w:p>
        </w:tc>
        <w:tc>
          <w:tcPr>
            <w:tcW w:w="2394" w:type="dxa"/>
          </w:tcPr>
          <w:p w14:paraId="69CCB539"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Pr>
          <w:p w14:paraId="6D51462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p w14:paraId="61FCA546"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0.40±0.25</w:t>
            </w:r>
          </w:p>
        </w:tc>
        <w:tc>
          <w:tcPr>
            <w:tcW w:w="2394" w:type="dxa"/>
          </w:tcPr>
          <w:p w14:paraId="345D524F"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0.900(NS)</w:t>
            </w:r>
          </w:p>
          <w:p w14:paraId="7B2B7F68" w14:textId="77777777" w:rsidR="00464A40" w:rsidRPr="00096128" w:rsidRDefault="00464A40" w:rsidP="00362BE8">
            <w:pPr>
              <w:spacing w:line="360" w:lineRule="auto"/>
              <w:rPr>
                <w:rFonts w:ascii="Times New Roman" w:hAnsi="Times New Roman" w:cs="Times New Roman"/>
                <w:sz w:val="20"/>
                <w:szCs w:val="20"/>
              </w:rPr>
            </w:pPr>
          </w:p>
        </w:tc>
      </w:tr>
      <w:tr w:rsidR="00464A40" w:rsidRPr="00096128" w14:paraId="0E6C5E61" w14:textId="77777777" w:rsidTr="00362BE8">
        <w:tc>
          <w:tcPr>
            <w:tcW w:w="2394" w:type="dxa"/>
            <w:tcBorders>
              <w:bottom w:val="single" w:sz="4" w:space="0" w:color="auto"/>
            </w:tcBorders>
          </w:tcPr>
          <w:p w14:paraId="43468832"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TLC</w:t>
            </w:r>
          </w:p>
        </w:tc>
        <w:tc>
          <w:tcPr>
            <w:tcW w:w="2394" w:type="dxa"/>
            <w:tcBorders>
              <w:bottom w:val="single" w:sz="4" w:space="0" w:color="auto"/>
            </w:tcBorders>
          </w:tcPr>
          <w:p w14:paraId="03E3AD5A"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Control(n=5)     Group 3(n=5)</w:t>
            </w:r>
          </w:p>
        </w:tc>
        <w:tc>
          <w:tcPr>
            <w:tcW w:w="2394" w:type="dxa"/>
            <w:tcBorders>
              <w:bottom w:val="single" w:sz="4" w:space="0" w:color="auto"/>
            </w:tcBorders>
          </w:tcPr>
          <w:p w14:paraId="507DF83D"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11.00±0.59</w:t>
            </w:r>
          </w:p>
          <w:p w14:paraId="0BA90BE3"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9.98±0.48</w:t>
            </w:r>
          </w:p>
        </w:tc>
        <w:tc>
          <w:tcPr>
            <w:tcW w:w="2394" w:type="dxa"/>
            <w:tcBorders>
              <w:bottom w:val="single" w:sz="4" w:space="0" w:color="auto"/>
            </w:tcBorders>
          </w:tcPr>
          <w:p w14:paraId="6F39C121" w14:textId="77777777" w:rsidR="00464A40" w:rsidRPr="00096128" w:rsidRDefault="00464A40" w:rsidP="00362BE8">
            <w:pPr>
              <w:spacing w:line="360" w:lineRule="auto"/>
              <w:rPr>
                <w:rFonts w:ascii="Times New Roman" w:hAnsi="Times New Roman" w:cs="Times New Roman"/>
                <w:sz w:val="20"/>
                <w:szCs w:val="20"/>
              </w:rPr>
            </w:pPr>
            <w:r w:rsidRPr="00096128">
              <w:rPr>
                <w:rFonts w:ascii="Times New Roman" w:hAnsi="Times New Roman" w:cs="Times New Roman"/>
                <w:sz w:val="20"/>
                <w:szCs w:val="20"/>
              </w:rPr>
              <w:t>1.000(NS)</w:t>
            </w:r>
          </w:p>
          <w:p w14:paraId="15B2FBA3" w14:textId="77777777" w:rsidR="00464A40" w:rsidRPr="00096128" w:rsidRDefault="00464A40" w:rsidP="00362BE8">
            <w:pPr>
              <w:spacing w:line="360" w:lineRule="auto"/>
              <w:rPr>
                <w:rFonts w:ascii="Times New Roman" w:hAnsi="Times New Roman" w:cs="Times New Roman"/>
                <w:sz w:val="20"/>
                <w:szCs w:val="20"/>
              </w:rPr>
            </w:pPr>
          </w:p>
        </w:tc>
      </w:tr>
    </w:tbl>
    <w:p w14:paraId="6E6D719F" w14:textId="77777777" w:rsidR="00464A40" w:rsidRDefault="00464A40" w:rsidP="00464A40">
      <w:pPr>
        <w:spacing w:line="360" w:lineRule="auto"/>
        <w:rPr>
          <w:rFonts w:ascii="Times New Roman" w:hAnsi="Times New Roman" w:cs="Times New Roman"/>
        </w:rPr>
      </w:pPr>
      <w:r w:rsidRPr="00096128">
        <w:rPr>
          <w:rFonts w:ascii="Times New Roman" w:hAnsi="Times New Roman" w:cs="Times New Roman"/>
          <w:sz w:val="20"/>
          <w:szCs w:val="20"/>
        </w:rPr>
        <w:t>Values are Mean± SEM (standard error of mean), n=number of subjects, SS=statically significant, NS=not</w:t>
      </w:r>
      <w:r w:rsidRPr="004A073B">
        <w:rPr>
          <w:rFonts w:ascii="Times New Roman" w:hAnsi="Times New Roman" w:cs="Times New Roman"/>
        </w:rPr>
        <w:t xml:space="preserve"> </w:t>
      </w:r>
      <w:r w:rsidRPr="00096128">
        <w:rPr>
          <w:rFonts w:ascii="Times New Roman" w:hAnsi="Times New Roman" w:cs="Times New Roman"/>
          <w:sz w:val="20"/>
          <w:szCs w:val="20"/>
        </w:rPr>
        <w:t>significant.</w:t>
      </w:r>
    </w:p>
    <w:p w14:paraId="77ACDE6A" w14:textId="77777777" w:rsidR="00464A40" w:rsidRPr="00761707" w:rsidRDefault="00464A40" w:rsidP="00464A40">
      <w:pPr>
        <w:spacing w:before="240"/>
        <w:jc w:val="both"/>
        <w:rPr>
          <w:rFonts w:ascii="Times New Roman" w:hAnsi="Times New Roman" w:cs="Times New Roman"/>
          <w:sz w:val="20"/>
          <w:szCs w:val="20"/>
        </w:rPr>
      </w:pPr>
      <w:r w:rsidRPr="00761707">
        <w:rPr>
          <w:rFonts w:ascii="Times New Roman" w:hAnsi="Times New Roman" w:cs="Times New Roman"/>
          <w:sz w:val="20"/>
          <w:szCs w:val="20"/>
        </w:rPr>
        <w:lastRenderedPageBreak/>
        <w:t>Table 1 shows the mean values for various differential leukocyte counts and total leukocyte count (TLC). Neutrophil counts were lower in groups 1 and 3 relatives to the control group, although the differences were not statistically significant. The reduction was more noticeable in group 3 than in group 1. In contrast, group 2 exhibited a higher neutrophil count compared to the control, but this increase was also not statistically significant. Lymphocyte counts were elevated in groups 1 and 3 when compared with the control group, yet these changes lacked statistical significance. Group 2, however, showed a decrease in lymphocytes relative to the control, again without reaching statistical significance. Monocytes were detected in all test groups (with the highest levels observed in group 3), whereas none were present in the control group. Nonetheless, these differences remained statistically insignificant. Total leukocyte counts (TLC) were reduced across all test groups compared to the control. The most marked decrease occurred in group 1, but all reductions failed to achieve statistical significance (P &gt; 0.05).</w:t>
      </w:r>
    </w:p>
    <w:p w14:paraId="74995978"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The results presented in Table 1 </w:t>
      </w:r>
      <w:r>
        <w:rPr>
          <w:rFonts w:ascii="Times New Roman" w:hAnsi="Times New Roman" w:cs="Times New Roman"/>
          <w:sz w:val="20"/>
          <w:szCs w:val="20"/>
        </w:rPr>
        <w:t xml:space="preserve">shows </w:t>
      </w:r>
      <w:r w:rsidRPr="0034748F">
        <w:rPr>
          <w:rFonts w:ascii="Times New Roman" w:hAnsi="Times New Roman" w:cs="Times New Roman"/>
          <w:sz w:val="20"/>
          <w:szCs w:val="20"/>
        </w:rPr>
        <w:t xml:space="preserve">the root extract are highly consistent with prior toxicity evaluations of </w:t>
      </w:r>
      <w:proofErr w:type="spellStart"/>
      <w:r w:rsidRPr="0034748F">
        <w:rPr>
          <w:rFonts w:ascii="Times New Roman" w:hAnsi="Times New Roman" w:cs="Times New Roman"/>
          <w:i/>
          <w:sz w:val="20"/>
          <w:szCs w:val="20"/>
        </w:rPr>
        <w:t>Eragrostis</w:t>
      </w:r>
      <w:proofErr w:type="spellEnd"/>
      <w:r w:rsidRPr="0034748F">
        <w:rPr>
          <w:rFonts w:ascii="Times New Roman" w:hAnsi="Times New Roman" w:cs="Times New Roman"/>
          <w:i/>
          <w:sz w:val="20"/>
          <w:szCs w:val="20"/>
        </w:rPr>
        <w:t xml:space="preserve"> </w:t>
      </w:r>
      <w:proofErr w:type="spellStart"/>
      <w:r w:rsidRPr="0034748F">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across different extract types (aqueous, </w:t>
      </w:r>
      <w:proofErr w:type="spellStart"/>
      <w:r w:rsidRPr="0034748F">
        <w:rPr>
          <w:rFonts w:ascii="Times New Roman" w:hAnsi="Times New Roman" w:cs="Times New Roman"/>
          <w:sz w:val="20"/>
          <w:szCs w:val="20"/>
        </w:rPr>
        <w:t>hydro</w:t>
      </w:r>
      <w:r>
        <w:rPr>
          <w:rFonts w:ascii="Times New Roman" w:hAnsi="Times New Roman" w:cs="Times New Roman"/>
          <w:sz w:val="20"/>
          <w:szCs w:val="20"/>
        </w:rPr>
        <w:t>m</w:t>
      </w:r>
      <w:r w:rsidRPr="0034748F">
        <w:rPr>
          <w:rFonts w:ascii="Times New Roman" w:hAnsi="Times New Roman" w:cs="Times New Roman"/>
          <w:sz w:val="20"/>
          <w:szCs w:val="20"/>
        </w:rPr>
        <w:t>ethanolic</w:t>
      </w:r>
      <w:proofErr w:type="spellEnd"/>
      <w:r w:rsidRPr="0034748F">
        <w:rPr>
          <w:rFonts w:ascii="Times New Roman" w:hAnsi="Times New Roman" w:cs="Times New Roman"/>
          <w:sz w:val="20"/>
          <w:szCs w:val="20"/>
        </w:rPr>
        <w:t xml:space="preserve">, </w:t>
      </w:r>
      <w:r>
        <w:rPr>
          <w:rFonts w:ascii="Times New Roman" w:hAnsi="Times New Roman" w:cs="Times New Roman"/>
          <w:sz w:val="20"/>
          <w:szCs w:val="20"/>
        </w:rPr>
        <w:t>m</w:t>
      </w:r>
      <w:r w:rsidRPr="0034748F">
        <w:rPr>
          <w:rFonts w:ascii="Times New Roman" w:hAnsi="Times New Roman" w:cs="Times New Roman"/>
          <w:sz w:val="20"/>
          <w:szCs w:val="20"/>
        </w:rPr>
        <w:t>ethanolic</w:t>
      </w:r>
      <w:r>
        <w:rPr>
          <w:rFonts w:ascii="Times New Roman" w:hAnsi="Times New Roman" w:cs="Times New Roman"/>
          <w:sz w:val="20"/>
          <w:szCs w:val="20"/>
        </w:rPr>
        <w:t xml:space="preserve">. </w:t>
      </w:r>
      <w:r w:rsidRPr="0034748F">
        <w:rPr>
          <w:rFonts w:ascii="Times New Roman" w:hAnsi="Times New Roman" w:cs="Times New Roman"/>
          <w:sz w:val="20"/>
          <w:szCs w:val="20"/>
        </w:rPr>
        <w:t xml:space="preserve">This cumulative evidence strongly supports that </w:t>
      </w:r>
      <w:proofErr w:type="spellStart"/>
      <w:r w:rsidRPr="0034748F">
        <w:rPr>
          <w:rFonts w:ascii="Times New Roman" w:hAnsi="Times New Roman" w:cs="Times New Roman"/>
          <w:i/>
          <w:sz w:val="20"/>
          <w:szCs w:val="20"/>
        </w:rPr>
        <w:t>Eragrostis</w:t>
      </w:r>
      <w:proofErr w:type="spellEnd"/>
      <w:r w:rsidRPr="0034748F">
        <w:rPr>
          <w:rFonts w:ascii="Times New Roman" w:hAnsi="Times New Roman" w:cs="Times New Roman"/>
          <w:i/>
          <w:sz w:val="20"/>
          <w:szCs w:val="20"/>
        </w:rPr>
        <w:t xml:space="preserve"> </w:t>
      </w:r>
      <w:proofErr w:type="spellStart"/>
      <w:r w:rsidRPr="0034748F">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exhibits low acute oral toxicity, justifying its traditional use in ethno-medicine (e.g., as an antiemetic, memory enhancer, or for other purposes in regions like Nigeria) without acute lethal risks at high doses. However, while acute toxicity appears negligible, some prior subacute/chronic studies have noted subtle effects (e.g., dose-dependent changes in leukocyte counts or minor organ histology at repeated exposures), suggesting that longer-term safety assessments remain valuable for therapeutic applications. The absence of any adverse effects in this 14-day observation further corroborates the plant's favorable safety profile in acute contexts.</w:t>
      </w:r>
    </w:p>
    <w:p w14:paraId="3A0A3B4B"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These findings align closely with previous work on </w:t>
      </w:r>
      <w:proofErr w:type="spellStart"/>
      <w:r w:rsidRPr="00744BA8">
        <w:rPr>
          <w:rFonts w:ascii="Times New Roman" w:hAnsi="Times New Roman" w:cs="Times New Roman"/>
          <w:i/>
          <w:sz w:val="20"/>
          <w:szCs w:val="20"/>
        </w:rPr>
        <w:t>Eragrostis</w:t>
      </w:r>
      <w:proofErr w:type="spellEnd"/>
      <w:r w:rsidRPr="00744BA8">
        <w:rPr>
          <w:rFonts w:ascii="Times New Roman" w:hAnsi="Times New Roman" w:cs="Times New Roman"/>
          <w:i/>
          <w:sz w:val="20"/>
          <w:szCs w:val="20"/>
        </w:rPr>
        <w:t xml:space="preserve"> </w:t>
      </w:r>
      <w:proofErr w:type="spellStart"/>
      <w:r w:rsidRPr="00744BA8">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extracts: Studies on the hydroethanolic extract of the plant (whole plant or aerial parts) in Wistar rats reported an LD</w:t>
      </w:r>
      <w:r w:rsidRPr="00744BA8">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 5000 mg/kg orally, with no significant acute toxic effects, no mortality at limit doses of 5000 mg/kg, and no major alterations in hematological parameters or gross tissue morphology in acute phases (though minor histological changes in kidneys were noted in some subacute assessments at repeated lower doses)</w:t>
      </w:r>
      <w:r>
        <w:rPr>
          <w:rFonts w:ascii="Times New Roman" w:hAnsi="Times New Roman" w:cs="Times New Roman"/>
          <w:sz w:val="20"/>
          <w:szCs w:val="20"/>
        </w:rPr>
        <w:t xml:space="preserve"> (</w:t>
      </w:r>
      <w:proofErr w:type="spellStart"/>
      <w:r>
        <w:rPr>
          <w:rFonts w:ascii="Times New Roman" w:hAnsi="Times New Roman" w:cs="Times New Roman"/>
          <w:sz w:val="20"/>
          <w:szCs w:val="20"/>
        </w:rPr>
        <w:t>Nazifi</w:t>
      </w:r>
      <w:proofErr w:type="spellEnd"/>
      <w:r>
        <w:rPr>
          <w:rFonts w:ascii="Times New Roman" w:hAnsi="Times New Roman" w:cs="Times New Roman"/>
          <w:sz w:val="20"/>
          <w:szCs w:val="20"/>
        </w:rPr>
        <w:t xml:space="preserve"> </w:t>
      </w:r>
      <w:r w:rsidRPr="00744BA8">
        <w:rPr>
          <w:rFonts w:ascii="Times New Roman" w:hAnsi="Times New Roman" w:cs="Times New Roman"/>
          <w:i/>
          <w:sz w:val="20"/>
          <w:szCs w:val="20"/>
        </w:rPr>
        <w:t>et al.,</w:t>
      </w:r>
      <w:r>
        <w:rPr>
          <w:rFonts w:ascii="Times New Roman" w:hAnsi="Times New Roman" w:cs="Times New Roman"/>
          <w:sz w:val="20"/>
          <w:szCs w:val="20"/>
        </w:rPr>
        <w:t xml:space="preserve"> 2023)</w:t>
      </w:r>
      <w:r w:rsidRPr="0034748F">
        <w:rPr>
          <w:rFonts w:ascii="Times New Roman" w:hAnsi="Times New Roman" w:cs="Times New Roman"/>
          <w:sz w:val="20"/>
          <w:szCs w:val="20"/>
        </w:rPr>
        <w:t>.</w:t>
      </w:r>
    </w:p>
    <w:p w14:paraId="359178E6"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In table 2, the values presented remain within typical physiological ranges for </w:t>
      </w:r>
      <w:r>
        <w:rPr>
          <w:rFonts w:ascii="Times New Roman" w:hAnsi="Times New Roman" w:cs="Times New Roman"/>
          <w:sz w:val="20"/>
          <w:szCs w:val="20"/>
        </w:rPr>
        <w:t>SD</w:t>
      </w:r>
      <w:r w:rsidRPr="0034748F">
        <w:rPr>
          <w:rFonts w:ascii="Times New Roman" w:hAnsi="Times New Roman" w:cs="Times New Roman"/>
          <w:sz w:val="20"/>
          <w:szCs w:val="20"/>
        </w:rPr>
        <w:t xml:space="preserve"> rats (neutrophils ~20-40%, lymphocytes ~60-80%, monocytes ~0-2%, TLC ~5-15 ×10³/µL, varying by strain, age, and conditions). The standard errors indicate moderate variability, common in small-sample (n=5) studies. This reinforces the favorable safety profile of </w:t>
      </w:r>
      <w:proofErr w:type="spellStart"/>
      <w:r w:rsidRPr="0054708C">
        <w:rPr>
          <w:rFonts w:ascii="Times New Roman" w:hAnsi="Times New Roman" w:cs="Times New Roman"/>
          <w:i/>
          <w:sz w:val="20"/>
          <w:szCs w:val="20"/>
        </w:rPr>
        <w:t>Eragrostis</w:t>
      </w:r>
      <w:proofErr w:type="spellEnd"/>
      <w:r w:rsidRPr="0054708C">
        <w:rPr>
          <w:rFonts w:ascii="Times New Roman" w:hAnsi="Times New Roman" w:cs="Times New Roman"/>
          <w:i/>
          <w:sz w:val="20"/>
          <w:szCs w:val="20"/>
        </w:rPr>
        <w:t xml:space="preserve"> </w:t>
      </w:r>
      <w:proofErr w:type="spellStart"/>
      <w:r w:rsidRPr="0054708C">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observed in acute toxicity (LD</w:t>
      </w:r>
      <w:r w:rsidRPr="0054708C">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The lack of meaningful perturbations in leukocyte parameters (differential or total) indicates no evident myelotoxicity, immunosuppression, or inflammatory stimulation under these exposure conditions. This is largely concordant with prior subacute evaluations showing preserved hematological integrity, though minor dose-related leukocyte variations in some aqueous root studies highlight the value of context-specific (e.g., dose, duration, extract type) interpretation</w:t>
      </w:r>
      <w:r>
        <w:rPr>
          <w:rFonts w:ascii="Times New Roman" w:hAnsi="Times New Roman" w:cs="Times New Roman"/>
          <w:sz w:val="20"/>
          <w:szCs w:val="20"/>
        </w:rPr>
        <w:t xml:space="preserve"> (</w:t>
      </w:r>
      <w:proofErr w:type="spellStart"/>
      <w:r>
        <w:rPr>
          <w:rFonts w:ascii="Times New Roman" w:hAnsi="Times New Roman" w:cs="Times New Roman"/>
          <w:sz w:val="20"/>
          <w:szCs w:val="20"/>
        </w:rPr>
        <w:t>Awotrunde</w:t>
      </w:r>
      <w:proofErr w:type="spellEnd"/>
      <w:r>
        <w:rPr>
          <w:rFonts w:ascii="Times New Roman" w:hAnsi="Times New Roman" w:cs="Times New Roman"/>
          <w:sz w:val="20"/>
          <w:szCs w:val="20"/>
        </w:rPr>
        <w:t xml:space="preserve"> </w:t>
      </w:r>
      <w:r w:rsidRPr="0054708C">
        <w:rPr>
          <w:rFonts w:ascii="Times New Roman" w:hAnsi="Times New Roman" w:cs="Times New Roman"/>
          <w:i/>
          <w:sz w:val="20"/>
          <w:szCs w:val="20"/>
        </w:rPr>
        <w:t>et al.,</w:t>
      </w:r>
      <w:r>
        <w:rPr>
          <w:rFonts w:ascii="Times New Roman" w:hAnsi="Times New Roman" w:cs="Times New Roman"/>
          <w:sz w:val="20"/>
          <w:szCs w:val="20"/>
        </w:rPr>
        <w:t xml:space="preserve"> 2019)</w:t>
      </w:r>
      <w:r w:rsidRPr="0034748F">
        <w:rPr>
          <w:rFonts w:ascii="Times New Roman" w:hAnsi="Times New Roman" w:cs="Times New Roman"/>
          <w:sz w:val="20"/>
          <w:szCs w:val="20"/>
        </w:rPr>
        <w:t>. For therapeutic development, these data support proceeding to further targeted immunological or chronic studies if intended for repeated human use.</w:t>
      </w:r>
      <w:r>
        <w:rPr>
          <w:rFonts w:ascii="Times New Roman" w:hAnsi="Times New Roman" w:cs="Times New Roman"/>
          <w:sz w:val="20"/>
          <w:szCs w:val="20"/>
        </w:rPr>
        <w:t xml:space="preserve"> Also i</w:t>
      </w:r>
      <w:r w:rsidRPr="0034748F">
        <w:rPr>
          <w:rFonts w:ascii="Times New Roman" w:hAnsi="Times New Roman" w:cs="Times New Roman"/>
          <w:sz w:val="20"/>
          <w:szCs w:val="20"/>
        </w:rPr>
        <w:t>n studies of hydroethanolic extract (whole plant or similar) in Wistar rats under 28-day subacute protocols (e.g., doses up to 1000 mg/kg or limit at 5000 mg/kg), no significant changes were reported in total WBC, differential counts (including neutrophils, lymphocytes), or other hematological parameters compared to controls, aligning closely with the present findings of stability in leukocyte profiles.</w:t>
      </w:r>
    </w:p>
    <w:p w14:paraId="28D7E26D"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3 provides a statistical comp</w:t>
      </w:r>
      <w:r>
        <w:rPr>
          <w:rFonts w:ascii="Times New Roman" w:hAnsi="Times New Roman" w:cs="Times New Roman"/>
          <w:sz w:val="20"/>
          <w:szCs w:val="20"/>
        </w:rPr>
        <w:t>arison of leukocyte parameters</w:t>
      </w:r>
      <w:r w:rsidRPr="0034748F">
        <w:rPr>
          <w:rFonts w:ascii="Times New Roman" w:hAnsi="Times New Roman" w:cs="Times New Roman"/>
          <w:sz w:val="20"/>
          <w:szCs w:val="20"/>
        </w:rPr>
        <w:t xml:space="preserve"> neutrophil (%), lymphocyte (%), monocyte (%), and total l</w:t>
      </w:r>
      <w:r>
        <w:rPr>
          <w:rFonts w:ascii="Times New Roman" w:hAnsi="Times New Roman" w:cs="Times New Roman"/>
          <w:sz w:val="20"/>
          <w:szCs w:val="20"/>
        </w:rPr>
        <w:t xml:space="preserve">eukocyte count (TLC, ×10³/µL) </w:t>
      </w:r>
      <w:r w:rsidRPr="0034748F">
        <w:rPr>
          <w:rFonts w:ascii="Times New Roman" w:hAnsi="Times New Roman" w:cs="Times New Roman"/>
          <w:sz w:val="20"/>
          <w:szCs w:val="20"/>
        </w:rPr>
        <w:t xml:space="preserve">specifically between the control group and Group 1 (50 mg/kg </w:t>
      </w:r>
      <w:r w:rsidRPr="00786B93">
        <w:rPr>
          <w:rFonts w:ascii="Times New Roman" w:hAnsi="Times New Roman" w:cs="Times New Roman"/>
          <w:i/>
          <w:sz w:val="20"/>
          <w:szCs w:val="20"/>
        </w:rPr>
        <w:t xml:space="preserve">of </w:t>
      </w:r>
      <w:proofErr w:type="spellStart"/>
      <w:r w:rsidRPr="00786B93">
        <w:rPr>
          <w:rFonts w:ascii="Times New Roman" w:hAnsi="Times New Roman" w:cs="Times New Roman"/>
          <w:i/>
          <w:sz w:val="20"/>
          <w:szCs w:val="20"/>
        </w:rPr>
        <w:t>Eragrostis</w:t>
      </w:r>
      <w:proofErr w:type="spellEnd"/>
      <w:r w:rsidRPr="00786B93">
        <w:rPr>
          <w:rFonts w:ascii="Times New Roman" w:hAnsi="Times New Roman" w:cs="Times New Roman"/>
          <w:i/>
          <w:sz w:val="20"/>
          <w:szCs w:val="20"/>
        </w:rPr>
        <w:t xml:space="preserve"> </w:t>
      </w:r>
      <w:proofErr w:type="spellStart"/>
      <w:r w:rsidRPr="00786B93">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presumably a low-dose group in a repeated-dose or subacute toxicity study). At this low dose of 50 mg/kg (likely administered repeatedly, e.g., daily over a subacute period such as 14–28 days, following the acute LD</w:t>
      </w:r>
      <w:r w:rsidRPr="00786B93">
        <w:rPr>
          <w:rFonts w:ascii="Times New Roman" w:hAnsi="Times New Roman" w:cs="Times New Roman"/>
          <w:sz w:val="20"/>
          <w:szCs w:val="20"/>
          <w:vertAlign w:val="subscript"/>
        </w:rPr>
        <w:t xml:space="preserve">50 </w:t>
      </w:r>
      <w:r w:rsidRPr="0034748F">
        <w:rPr>
          <w:rFonts w:ascii="Times New Roman" w:hAnsi="Times New Roman" w:cs="Times New Roman"/>
          <w:sz w:val="20"/>
          <w:szCs w:val="20"/>
        </w:rPr>
        <w:t>&gt;5000 mg/kg from Table 1), the aqueous</w:t>
      </w:r>
      <w:r>
        <w:rPr>
          <w:rFonts w:ascii="Times New Roman" w:hAnsi="Times New Roman" w:cs="Times New Roman"/>
          <w:sz w:val="20"/>
          <w:szCs w:val="20"/>
        </w:rPr>
        <w:t xml:space="preserve"> and methanolic</w:t>
      </w:r>
      <w:r w:rsidRPr="0034748F">
        <w:rPr>
          <w:rFonts w:ascii="Times New Roman" w:hAnsi="Times New Roman" w:cs="Times New Roman"/>
          <w:sz w:val="20"/>
          <w:szCs w:val="20"/>
        </w:rPr>
        <w:t xml:space="preserve"> root extract of </w:t>
      </w:r>
      <w:proofErr w:type="spellStart"/>
      <w:r w:rsidRPr="00786B93">
        <w:rPr>
          <w:rFonts w:ascii="Times New Roman" w:hAnsi="Times New Roman" w:cs="Times New Roman"/>
          <w:i/>
          <w:sz w:val="20"/>
          <w:szCs w:val="20"/>
        </w:rPr>
        <w:t>Eragrostis</w:t>
      </w:r>
      <w:proofErr w:type="spellEnd"/>
      <w:r w:rsidRPr="00786B93">
        <w:rPr>
          <w:rFonts w:ascii="Times New Roman" w:hAnsi="Times New Roman" w:cs="Times New Roman"/>
          <w:i/>
          <w:sz w:val="20"/>
          <w:szCs w:val="20"/>
        </w:rPr>
        <w:t xml:space="preserve"> </w:t>
      </w:r>
      <w:proofErr w:type="spellStart"/>
      <w:r w:rsidRPr="00786B93">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induces no detectable adverse effects on the leukocyte profile. This suggests absence of myelosuppression, overt inflammation, or immune perturbation at this exposure level, reinforcing the extract's safety in hematological terms for low-dose applications.</w:t>
      </w:r>
    </w:p>
    <w:p w14:paraId="7D164563"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In studies on the aqueous root extract specifically (most directly comparable), some investigations report dose-dependent effects on leukocytes. For instance, one key study found significant decreases (p&lt;0.05) in lymphocyte and total leukocyte counts at certain doses, with no notable changes in neutrophils or mixed cells, while noting that higher doses could increase lymphocyte and TLC counts</w:t>
      </w:r>
      <w:r>
        <w:rPr>
          <w:rFonts w:ascii="Times New Roman" w:hAnsi="Times New Roman" w:cs="Times New Roman"/>
          <w:sz w:val="20"/>
          <w:szCs w:val="20"/>
        </w:rPr>
        <w:t xml:space="preserve"> (Awe &amp; Banjoko, 2013)</w:t>
      </w:r>
      <w:r w:rsidRPr="0034748F">
        <w:rPr>
          <w:rFonts w:ascii="Times New Roman" w:hAnsi="Times New Roman" w:cs="Times New Roman"/>
          <w:sz w:val="20"/>
          <w:szCs w:val="20"/>
        </w:rPr>
        <w:t>. However, the present data at 50 mg/kg show no such significant alterations, aligning instead with a "no e</w:t>
      </w:r>
      <w:r>
        <w:rPr>
          <w:rFonts w:ascii="Times New Roman" w:hAnsi="Times New Roman" w:cs="Times New Roman"/>
          <w:sz w:val="20"/>
          <w:szCs w:val="20"/>
        </w:rPr>
        <w:t xml:space="preserve">ffect" profile at lower doses </w:t>
      </w:r>
      <w:r w:rsidRPr="0034748F">
        <w:rPr>
          <w:rFonts w:ascii="Times New Roman" w:hAnsi="Times New Roman" w:cs="Times New Roman"/>
          <w:sz w:val="20"/>
          <w:szCs w:val="20"/>
        </w:rPr>
        <w:t>consistent with the dose-</w:t>
      </w:r>
      <w:r w:rsidRPr="0034748F">
        <w:rPr>
          <w:rFonts w:ascii="Times New Roman" w:hAnsi="Times New Roman" w:cs="Times New Roman"/>
          <w:sz w:val="20"/>
          <w:szCs w:val="20"/>
        </w:rPr>
        <w:lastRenderedPageBreak/>
        <w:t xml:space="preserve">dependency highlighted in that work (i.e., impacts emerging more prominently at higher exposures). Hence, the result demonstrates excellent hematological tolerability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at 50 mg/kg, with no significant deviations from control in leukocyte differentials or total count. This is concordant with the majority of prior subacute and acute toxicity data emphasizing the plant's low hematological risk profile, particularly at lower doses where effects (if any) remain negligible or non-significant. The results bolster confidence in its traditional medicinal use (e.g., in Nigerian ethnopharmacology for various ailments) at conservative dosing regimens, while underscoring the importance of dose-specifi</w:t>
      </w:r>
      <w:r>
        <w:rPr>
          <w:rFonts w:ascii="Times New Roman" w:hAnsi="Times New Roman" w:cs="Times New Roman"/>
          <w:sz w:val="20"/>
          <w:szCs w:val="20"/>
        </w:rPr>
        <w:t>c monitoring in future studies</w:t>
      </w:r>
      <w:r w:rsidRPr="0034748F">
        <w:rPr>
          <w:rFonts w:ascii="Times New Roman" w:hAnsi="Times New Roman" w:cs="Times New Roman"/>
          <w:sz w:val="20"/>
          <w:szCs w:val="20"/>
        </w:rPr>
        <w:t xml:space="preserve"> especially if higher doses or longer durations are pursued for therapeutic purposes. Cumulative evidence continues to position the extract as practically non-toxic in acute and subacute hematological contexts.</w:t>
      </w:r>
    </w:p>
    <w:p w14:paraId="5A70E65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4 presents a statistical comp</w:t>
      </w:r>
      <w:r>
        <w:rPr>
          <w:rFonts w:ascii="Times New Roman" w:hAnsi="Times New Roman" w:cs="Times New Roman"/>
          <w:sz w:val="20"/>
          <w:szCs w:val="20"/>
        </w:rPr>
        <w:t>arison of leukocyte parameters</w:t>
      </w:r>
      <w:r w:rsidRPr="0034748F">
        <w:rPr>
          <w:rFonts w:ascii="Times New Roman" w:hAnsi="Times New Roman" w:cs="Times New Roman"/>
          <w:sz w:val="20"/>
          <w:szCs w:val="20"/>
        </w:rPr>
        <w:t xml:space="preserve"> neutrophil (%), lymphocyte (%), monocyte (%), and total </w:t>
      </w:r>
      <w:r>
        <w:rPr>
          <w:rFonts w:ascii="Times New Roman" w:hAnsi="Times New Roman" w:cs="Times New Roman"/>
          <w:sz w:val="20"/>
          <w:szCs w:val="20"/>
        </w:rPr>
        <w:t>leukocyte count (TLC, ×10³/µL)</w:t>
      </w:r>
      <w:r w:rsidRPr="0034748F">
        <w:rPr>
          <w:rFonts w:ascii="Times New Roman" w:hAnsi="Times New Roman" w:cs="Times New Roman"/>
          <w:sz w:val="20"/>
          <w:szCs w:val="20"/>
        </w:rPr>
        <w:t xml:space="preserve"> between the control group and Group 2 (100 mg/kg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representing a moderate/low-intermediate dose in the subacute or repeated-dose toxicity protocol). All comparisons yield p = 1.000 (not significant), indicating no statistically significant differences between control and the 100 mg/kg treated grou</w:t>
      </w:r>
      <w:r>
        <w:rPr>
          <w:rFonts w:ascii="Times New Roman" w:hAnsi="Times New Roman" w:cs="Times New Roman"/>
          <w:sz w:val="20"/>
          <w:szCs w:val="20"/>
        </w:rPr>
        <w:t xml:space="preserve">p. The minor numerical shifts </w:t>
      </w:r>
      <w:r w:rsidRPr="0034748F">
        <w:rPr>
          <w:rFonts w:ascii="Times New Roman" w:hAnsi="Times New Roman" w:cs="Times New Roman"/>
          <w:sz w:val="20"/>
          <w:szCs w:val="20"/>
        </w:rPr>
        <w:t>slight increase in neutrophils and TLC, with a reciprocal s</w:t>
      </w:r>
      <w:r>
        <w:rPr>
          <w:rFonts w:ascii="Times New Roman" w:hAnsi="Times New Roman" w:cs="Times New Roman"/>
          <w:sz w:val="20"/>
          <w:szCs w:val="20"/>
        </w:rPr>
        <w:t xml:space="preserve">light decrease in lymphocytes </w:t>
      </w:r>
      <w:r w:rsidRPr="0034748F">
        <w:rPr>
          <w:rFonts w:ascii="Times New Roman" w:hAnsi="Times New Roman" w:cs="Times New Roman"/>
          <w:sz w:val="20"/>
          <w:szCs w:val="20"/>
        </w:rPr>
        <w:t xml:space="preserve">are negligible, show high overlap with control ranges, and remain well within normal physiological variation for </w:t>
      </w:r>
      <w:r>
        <w:rPr>
          <w:rFonts w:ascii="Times New Roman" w:hAnsi="Times New Roman" w:cs="Times New Roman"/>
          <w:sz w:val="20"/>
          <w:szCs w:val="20"/>
        </w:rPr>
        <w:t xml:space="preserve">SD </w:t>
      </w:r>
      <w:r w:rsidRPr="0034748F">
        <w:rPr>
          <w:rFonts w:ascii="Times New Roman" w:hAnsi="Times New Roman" w:cs="Times New Roman"/>
          <w:sz w:val="20"/>
          <w:szCs w:val="20"/>
        </w:rPr>
        <w:t>rats (neutrophils ~20-40%, lymphocytes ~60-80%, monocytes ~0-2%, TLC ~5-15 ×10³/µL). Monocytes are unchanged and minimal.</w:t>
      </w:r>
    </w:p>
    <w:p w14:paraId="38418FB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This </w:t>
      </w:r>
      <w:r>
        <w:rPr>
          <w:rFonts w:ascii="Times New Roman" w:hAnsi="Times New Roman" w:cs="Times New Roman"/>
          <w:sz w:val="20"/>
          <w:szCs w:val="20"/>
        </w:rPr>
        <w:t xml:space="preserve">also </w:t>
      </w:r>
      <w:r w:rsidRPr="0034748F">
        <w:rPr>
          <w:rFonts w:ascii="Times New Roman" w:hAnsi="Times New Roman" w:cs="Times New Roman"/>
          <w:sz w:val="20"/>
          <w:szCs w:val="20"/>
        </w:rPr>
        <w:t xml:space="preserve">confirms robust hematological tolerability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at 100 mg/kg, with no significant deviations from control in any leukocyte parameter. This is highly consistent with the broader literature, particularly the pattern of negligible effects at lower doses in aqueous root extract studies and the general stability seen in hydroethanolic subacute profiles. Together with prior tables (acute safety at &gt;5000 mg/kg and no effects at 50 mg/kg), these data strengthen the evidence for a favorable safety margin in hematological terms for traditional or potential therapeutic uses of the extract at conservative-to-moderate dosing. Dose-dependency noted in some prior aqueous root work suggests continued caution and monitoring at higher or prolonged exposures, but the current findings reinforce the plant's low subacute hematological risk profile.</w:t>
      </w:r>
    </w:p>
    <w:p w14:paraId="46333FD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Table 5 provides a statistical compa</w:t>
      </w:r>
      <w:r>
        <w:rPr>
          <w:rFonts w:ascii="Times New Roman" w:hAnsi="Times New Roman" w:cs="Times New Roman"/>
          <w:sz w:val="20"/>
          <w:szCs w:val="20"/>
        </w:rPr>
        <w:t>rison of leukocyte parameters neutrophil, lymphocyte, monocyte</w:t>
      </w:r>
      <w:r w:rsidRPr="0034748F">
        <w:rPr>
          <w:rFonts w:ascii="Times New Roman" w:hAnsi="Times New Roman" w:cs="Times New Roman"/>
          <w:sz w:val="20"/>
          <w:szCs w:val="20"/>
        </w:rPr>
        <w:t>, and total l</w:t>
      </w:r>
      <w:r>
        <w:rPr>
          <w:rFonts w:ascii="Times New Roman" w:hAnsi="Times New Roman" w:cs="Times New Roman"/>
          <w:sz w:val="20"/>
          <w:szCs w:val="20"/>
        </w:rPr>
        <w:t xml:space="preserve">eukocyte count (TLC, ×10³/µL) </w:t>
      </w:r>
      <w:r w:rsidRPr="0034748F">
        <w:rPr>
          <w:rFonts w:ascii="Times New Roman" w:hAnsi="Times New Roman" w:cs="Times New Roman"/>
          <w:sz w:val="20"/>
          <w:szCs w:val="20"/>
        </w:rPr>
        <w:t xml:space="preserve">between the control group and Group 3 (200 mg/kg of </w:t>
      </w:r>
      <w:proofErr w:type="spellStart"/>
      <w:r w:rsidRPr="00BE2B8E">
        <w:rPr>
          <w:rFonts w:ascii="Times New Roman" w:hAnsi="Times New Roman" w:cs="Times New Roman"/>
          <w:i/>
          <w:sz w:val="20"/>
          <w:szCs w:val="20"/>
        </w:rPr>
        <w:t>Eragrostis</w:t>
      </w:r>
      <w:proofErr w:type="spellEnd"/>
      <w:r w:rsidRPr="00BE2B8E">
        <w:rPr>
          <w:rFonts w:ascii="Times New Roman" w:hAnsi="Times New Roman" w:cs="Times New Roman"/>
          <w:i/>
          <w:sz w:val="20"/>
          <w:szCs w:val="20"/>
        </w:rPr>
        <w:t xml:space="preserve"> </w:t>
      </w:r>
      <w:proofErr w:type="spellStart"/>
      <w:r w:rsidRPr="00BE2B8E">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representing the highest dose tested in this subacute/repeated-dose series). Even at the highest tested dose of 200 mg/kg (likely daily oral administration over a subacute period, e.g., 14–28 days, post-acute LD</w:t>
      </w:r>
      <w:r w:rsidRPr="00BE2B8E">
        <w:rPr>
          <w:rFonts w:ascii="Times New Roman" w:hAnsi="Times New Roman" w:cs="Times New Roman"/>
          <w:sz w:val="20"/>
          <w:szCs w:val="20"/>
          <w:vertAlign w:val="subscript"/>
        </w:rPr>
        <w:t xml:space="preserve">50 </w:t>
      </w:r>
      <w:r w:rsidRPr="0034748F">
        <w:rPr>
          <w:rFonts w:ascii="Times New Roman" w:hAnsi="Times New Roman" w:cs="Times New Roman"/>
          <w:sz w:val="20"/>
          <w:szCs w:val="20"/>
        </w:rPr>
        <w:t xml:space="preserve">&gt;5000 mg/kg from Table 1), the aqueous root extract of </w:t>
      </w:r>
      <w:proofErr w:type="spellStart"/>
      <w:r w:rsidRPr="00176326">
        <w:rPr>
          <w:rFonts w:ascii="Times New Roman" w:hAnsi="Times New Roman" w:cs="Times New Roman"/>
          <w:i/>
          <w:sz w:val="20"/>
          <w:szCs w:val="20"/>
        </w:rPr>
        <w:t>Eragrostis</w:t>
      </w:r>
      <w:proofErr w:type="spellEnd"/>
      <w:r w:rsidRPr="00176326">
        <w:rPr>
          <w:rFonts w:ascii="Times New Roman" w:hAnsi="Times New Roman" w:cs="Times New Roman"/>
          <w:i/>
          <w:sz w:val="20"/>
          <w:szCs w:val="20"/>
        </w:rPr>
        <w:t xml:space="preserve"> </w:t>
      </w:r>
      <w:proofErr w:type="spellStart"/>
      <w:r w:rsidRPr="00176326">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produces no significant hematological alterations in leukocyte differentials or total count. This supports sustained hematological safety across the dose range (50–200 mg/kg), with no evidence of dose-dependent myelotoxicity, leukopenia, leukocytosis, or immune disruption at these levels.</w:t>
      </w:r>
    </w:p>
    <w:p w14:paraId="3724E536"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The</w:t>
      </w:r>
      <w:r>
        <w:rPr>
          <w:rFonts w:ascii="Times New Roman" w:hAnsi="Times New Roman" w:cs="Times New Roman"/>
          <w:sz w:val="20"/>
          <w:szCs w:val="20"/>
        </w:rPr>
        <w:t>se</w:t>
      </w:r>
      <w:r w:rsidRPr="0034748F">
        <w:rPr>
          <w:rFonts w:ascii="Times New Roman" w:hAnsi="Times New Roman" w:cs="Times New Roman"/>
          <w:sz w:val="20"/>
          <w:szCs w:val="20"/>
        </w:rPr>
        <w:t xml:space="preserve"> result</w:t>
      </w:r>
      <w:r>
        <w:rPr>
          <w:rFonts w:ascii="Times New Roman" w:hAnsi="Times New Roman" w:cs="Times New Roman"/>
          <w:sz w:val="20"/>
          <w:szCs w:val="20"/>
        </w:rPr>
        <w:t>s</w:t>
      </w:r>
      <w:r w:rsidRPr="0034748F">
        <w:rPr>
          <w:rFonts w:ascii="Times New Roman" w:hAnsi="Times New Roman" w:cs="Times New Roman"/>
          <w:sz w:val="20"/>
          <w:szCs w:val="20"/>
        </w:rPr>
        <w:t xml:space="preserve"> demonstrate continued excellen</w:t>
      </w:r>
      <w:r>
        <w:rPr>
          <w:rFonts w:ascii="Times New Roman" w:hAnsi="Times New Roman" w:cs="Times New Roman"/>
          <w:sz w:val="20"/>
          <w:szCs w:val="20"/>
        </w:rPr>
        <w:t xml:space="preserve">t hematological tolerability of </w:t>
      </w:r>
      <w:r w:rsidRPr="0034748F">
        <w:rPr>
          <w:rFonts w:ascii="Times New Roman" w:hAnsi="Times New Roman" w:cs="Times New Roman"/>
          <w:sz w:val="20"/>
          <w:szCs w:val="20"/>
        </w:rPr>
        <w:t>root extract at 200 mg/kg, with no significant deviations from c</w:t>
      </w:r>
      <w:r>
        <w:rPr>
          <w:rFonts w:ascii="Times New Roman" w:hAnsi="Times New Roman" w:cs="Times New Roman"/>
          <w:sz w:val="20"/>
          <w:szCs w:val="20"/>
        </w:rPr>
        <w:t>ontrol in leukocyte parameters</w:t>
      </w:r>
      <w:r w:rsidRPr="0034748F">
        <w:rPr>
          <w:rFonts w:ascii="Times New Roman" w:hAnsi="Times New Roman" w:cs="Times New Roman"/>
          <w:sz w:val="20"/>
          <w:szCs w:val="20"/>
        </w:rPr>
        <w:t xml:space="preserve"> consistent with the non-significant findings at 50 mg/kg (Table 3) and 100 mg/kg (Table 4). This cumulative profile across doses (50–200 mg/kg) and prior tables (acute LD</w:t>
      </w:r>
      <w:r w:rsidRPr="00551F20">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strengthens the evidence of low subacute hematological risk, particularly at moderate doses relevant to traditional ethnomedicinal use in regions like Nigeria. While some aqueous root-specific studies note dose-dependent leukocyte variations (often at higher levels), the current data align more closely with the broader "no major changes" pattern in </w:t>
      </w:r>
      <w:proofErr w:type="spellStart"/>
      <w:r w:rsidRPr="0034748F">
        <w:rPr>
          <w:rFonts w:ascii="Times New Roman" w:hAnsi="Times New Roman" w:cs="Times New Roman"/>
          <w:sz w:val="20"/>
          <w:szCs w:val="20"/>
        </w:rPr>
        <w:t>hydro</w:t>
      </w:r>
      <w:r>
        <w:rPr>
          <w:rFonts w:ascii="Times New Roman" w:hAnsi="Times New Roman" w:cs="Times New Roman"/>
          <w:sz w:val="20"/>
          <w:szCs w:val="20"/>
        </w:rPr>
        <w:t>m</w:t>
      </w:r>
      <w:r w:rsidRPr="0034748F">
        <w:rPr>
          <w:rFonts w:ascii="Times New Roman" w:hAnsi="Times New Roman" w:cs="Times New Roman"/>
          <w:sz w:val="20"/>
          <w:szCs w:val="20"/>
        </w:rPr>
        <w:t>ethanolic</w:t>
      </w:r>
      <w:proofErr w:type="spellEnd"/>
      <w:r w:rsidRPr="0034748F">
        <w:rPr>
          <w:rFonts w:ascii="Times New Roman" w:hAnsi="Times New Roman" w:cs="Times New Roman"/>
          <w:sz w:val="20"/>
          <w:szCs w:val="20"/>
        </w:rPr>
        <w:t xml:space="preserve"> subacute work and low-dose aqueous profiles. These results support the extract's favorable safety margin for potential therapeutic applications at conservative-to-moderate dosing, with ongoing value in higher-dose or longer-term studies to fully characterize any subtle dose thresholds. Overall, the series of tables continues to position </w:t>
      </w:r>
      <w:proofErr w:type="spellStart"/>
      <w:r w:rsidRPr="00FA4560">
        <w:rPr>
          <w:rFonts w:ascii="Times New Roman" w:hAnsi="Times New Roman" w:cs="Times New Roman"/>
          <w:i/>
          <w:sz w:val="20"/>
          <w:szCs w:val="20"/>
        </w:rPr>
        <w:t>Eragrostis</w:t>
      </w:r>
      <w:proofErr w:type="spellEnd"/>
      <w:r w:rsidRPr="00FA4560">
        <w:rPr>
          <w:rFonts w:ascii="Times New Roman" w:hAnsi="Times New Roman" w:cs="Times New Roman"/>
          <w:i/>
          <w:sz w:val="20"/>
          <w:szCs w:val="20"/>
        </w:rPr>
        <w:t xml:space="preserve"> </w:t>
      </w:r>
      <w:proofErr w:type="spellStart"/>
      <w:r w:rsidRPr="00FA4560">
        <w:rPr>
          <w:rFonts w:ascii="Times New Roman" w:hAnsi="Times New Roman" w:cs="Times New Roman"/>
          <w:i/>
          <w:sz w:val="20"/>
          <w:szCs w:val="20"/>
        </w:rPr>
        <w:t>tremula</w:t>
      </w:r>
      <w:proofErr w:type="spellEnd"/>
      <w:r w:rsidRPr="0034748F">
        <w:rPr>
          <w:rFonts w:ascii="Times New Roman" w:hAnsi="Times New Roman" w:cs="Times New Roman"/>
          <w:sz w:val="20"/>
          <w:szCs w:val="20"/>
        </w:rPr>
        <w:t xml:space="preserve"> root extract as practically non-toxic in acute and subacute hematological contexts.</w:t>
      </w:r>
    </w:p>
    <w:p w14:paraId="1D7A14BF" w14:textId="77777777" w:rsidR="00464A40" w:rsidRPr="0034748F" w:rsidRDefault="00464A40" w:rsidP="00464A40">
      <w:pPr>
        <w:spacing w:before="240" w:line="240" w:lineRule="auto"/>
        <w:jc w:val="both"/>
        <w:rPr>
          <w:rFonts w:ascii="Times New Roman" w:hAnsi="Times New Roman" w:cs="Times New Roman"/>
          <w:b/>
          <w:sz w:val="20"/>
          <w:szCs w:val="20"/>
        </w:rPr>
      </w:pPr>
      <w:r w:rsidRPr="0034748F">
        <w:rPr>
          <w:rFonts w:ascii="Times New Roman" w:hAnsi="Times New Roman" w:cs="Times New Roman"/>
          <w:b/>
          <w:sz w:val="20"/>
          <w:szCs w:val="20"/>
        </w:rPr>
        <w:t xml:space="preserve">5.0 Conclusion </w:t>
      </w:r>
    </w:p>
    <w:p w14:paraId="6F7AABD7" w14:textId="77777777" w:rsidR="00464A40" w:rsidRPr="0034748F" w:rsidRDefault="00464A40" w:rsidP="00464A40">
      <w:pPr>
        <w:spacing w:before="240" w:line="240" w:lineRule="auto"/>
        <w:jc w:val="both"/>
        <w:rPr>
          <w:rFonts w:ascii="Times New Roman" w:hAnsi="Times New Roman" w:cs="Times New Roman"/>
          <w:sz w:val="20"/>
          <w:szCs w:val="20"/>
        </w:rPr>
      </w:pPr>
      <w:r w:rsidRPr="0034748F">
        <w:rPr>
          <w:rFonts w:ascii="Times New Roman" w:hAnsi="Times New Roman" w:cs="Times New Roman"/>
          <w:sz w:val="20"/>
          <w:szCs w:val="20"/>
        </w:rPr>
        <w:t xml:space="preserve">From the results obtained in this research work, it can be concluded that </w:t>
      </w:r>
      <w:proofErr w:type="spellStart"/>
      <w:r w:rsidRPr="0034748F">
        <w:rPr>
          <w:rFonts w:ascii="Times New Roman" w:hAnsi="Times New Roman" w:cs="Times New Roman"/>
          <w:sz w:val="20"/>
          <w:szCs w:val="20"/>
        </w:rPr>
        <w:t>Eragrostis</w:t>
      </w:r>
      <w:proofErr w:type="spellEnd"/>
      <w:r w:rsidRPr="0034748F">
        <w:rPr>
          <w:rFonts w:ascii="Times New Roman" w:hAnsi="Times New Roman" w:cs="Times New Roman"/>
          <w:sz w:val="20"/>
          <w:szCs w:val="20"/>
        </w:rPr>
        <w:t xml:space="preserve"> </w:t>
      </w:r>
      <w:proofErr w:type="spellStart"/>
      <w:r w:rsidRPr="0034748F">
        <w:rPr>
          <w:rFonts w:ascii="Times New Roman" w:hAnsi="Times New Roman" w:cs="Times New Roman"/>
          <w:sz w:val="20"/>
          <w:szCs w:val="20"/>
        </w:rPr>
        <w:t>tremula</w:t>
      </w:r>
      <w:proofErr w:type="spellEnd"/>
      <w:r w:rsidRPr="0034748F">
        <w:rPr>
          <w:rFonts w:ascii="Times New Roman" w:hAnsi="Times New Roman" w:cs="Times New Roman"/>
          <w:sz w:val="20"/>
          <w:szCs w:val="20"/>
        </w:rPr>
        <w:t xml:space="preserve"> root extract is non-toxic in Wistar rats (with LD</w:t>
      </w:r>
      <w:r w:rsidRPr="00FA4560">
        <w:rPr>
          <w:rFonts w:ascii="Times New Roman" w:hAnsi="Times New Roman" w:cs="Times New Roman"/>
          <w:sz w:val="20"/>
          <w:szCs w:val="20"/>
          <w:vertAlign w:val="subscript"/>
        </w:rPr>
        <w:t>50</w:t>
      </w:r>
      <w:r w:rsidRPr="0034748F">
        <w:rPr>
          <w:rFonts w:ascii="Times New Roman" w:hAnsi="Times New Roman" w:cs="Times New Roman"/>
          <w:sz w:val="20"/>
          <w:szCs w:val="20"/>
        </w:rPr>
        <w:t xml:space="preserve"> &gt;5000 mg/kg in related studies) and induces non-statistically significant decreases in neutrophil counts, increases in lymphocyte counts, and increases in monocyte counts, indicating minimal or insignificant effects on these hematological parameters overall.</w:t>
      </w:r>
    </w:p>
    <w:p w14:paraId="1117CB59" w14:textId="77777777" w:rsidR="000D6AAA" w:rsidRDefault="000D6AAA" w:rsidP="00464A40">
      <w:pPr>
        <w:spacing w:before="240" w:line="240" w:lineRule="auto"/>
        <w:jc w:val="both"/>
        <w:rPr>
          <w:rFonts w:ascii="Times New Roman" w:hAnsi="Times New Roman" w:cs="Times New Roman"/>
          <w:b/>
          <w:sz w:val="20"/>
          <w:szCs w:val="20"/>
          <w:lang w:val="es-US"/>
        </w:rPr>
      </w:pPr>
      <w:bookmarkStart w:id="0" w:name="_GoBack"/>
      <w:bookmarkEnd w:id="0"/>
    </w:p>
    <w:p w14:paraId="689D25B8" w14:textId="77777777" w:rsidR="000D6AAA" w:rsidRPr="000D6AAA" w:rsidRDefault="000D6AAA" w:rsidP="000D6AAA">
      <w:pPr>
        <w:spacing w:before="240" w:line="240" w:lineRule="auto"/>
        <w:jc w:val="both"/>
        <w:rPr>
          <w:rFonts w:ascii="Times New Roman" w:hAnsi="Times New Roman" w:cs="Times New Roman"/>
          <w:b/>
          <w:sz w:val="20"/>
          <w:szCs w:val="20"/>
          <w:lang w:val="es-US"/>
        </w:rPr>
      </w:pPr>
      <w:r w:rsidRPr="000D6AAA">
        <w:rPr>
          <w:rFonts w:ascii="Times New Roman" w:hAnsi="Times New Roman" w:cs="Times New Roman"/>
          <w:b/>
          <w:sz w:val="20"/>
          <w:szCs w:val="20"/>
          <w:lang w:val="es-US"/>
        </w:rPr>
        <w:lastRenderedPageBreak/>
        <w:t>COMPETING INTERESTS DISCLAIMER:</w:t>
      </w:r>
    </w:p>
    <w:p w14:paraId="45365FD5" w14:textId="6FBD01A5" w:rsidR="000D6AAA" w:rsidRDefault="000D6AAA" w:rsidP="000D6AAA">
      <w:pPr>
        <w:spacing w:before="240" w:line="240" w:lineRule="auto"/>
        <w:jc w:val="both"/>
        <w:rPr>
          <w:rFonts w:ascii="Times New Roman" w:hAnsi="Times New Roman" w:cs="Times New Roman"/>
          <w:b/>
          <w:sz w:val="20"/>
          <w:szCs w:val="20"/>
          <w:lang w:val="es-US"/>
        </w:rPr>
      </w:pPr>
      <w:proofErr w:type="spellStart"/>
      <w:r w:rsidRPr="000D6AAA">
        <w:rPr>
          <w:rFonts w:ascii="Times New Roman" w:hAnsi="Times New Roman" w:cs="Times New Roman"/>
          <w:b/>
          <w:sz w:val="20"/>
          <w:szCs w:val="20"/>
          <w:lang w:val="es-US"/>
        </w:rPr>
        <w:t>Authors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declared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that</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they</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no </w:t>
      </w:r>
      <w:proofErr w:type="spellStart"/>
      <w:r w:rsidRPr="000D6AAA">
        <w:rPr>
          <w:rFonts w:ascii="Times New Roman" w:hAnsi="Times New Roman" w:cs="Times New Roman"/>
          <w:b/>
          <w:sz w:val="20"/>
          <w:szCs w:val="20"/>
          <w:lang w:val="es-US"/>
        </w:rPr>
        <w:t>known</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competing</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financial</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interests</w:t>
      </w:r>
      <w:proofErr w:type="spellEnd"/>
      <w:r w:rsidRPr="000D6AAA">
        <w:rPr>
          <w:rFonts w:ascii="Times New Roman" w:hAnsi="Times New Roman" w:cs="Times New Roman"/>
          <w:b/>
          <w:sz w:val="20"/>
          <w:szCs w:val="20"/>
          <w:lang w:val="es-US"/>
        </w:rPr>
        <w:t xml:space="preserve"> OR non-</w:t>
      </w:r>
      <w:proofErr w:type="spellStart"/>
      <w:r w:rsidRPr="000D6AAA">
        <w:rPr>
          <w:rFonts w:ascii="Times New Roman" w:hAnsi="Times New Roman" w:cs="Times New Roman"/>
          <w:b/>
          <w:sz w:val="20"/>
          <w:szCs w:val="20"/>
          <w:lang w:val="es-US"/>
        </w:rPr>
        <w:t>financial</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interests</w:t>
      </w:r>
      <w:proofErr w:type="spellEnd"/>
      <w:r w:rsidRPr="000D6AAA">
        <w:rPr>
          <w:rFonts w:ascii="Times New Roman" w:hAnsi="Times New Roman" w:cs="Times New Roman"/>
          <w:b/>
          <w:sz w:val="20"/>
          <w:szCs w:val="20"/>
          <w:lang w:val="es-US"/>
        </w:rPr>
        <w:t xml:space="preserve"> OR personal </w:t>
      </w:r>
      <w:proofErr w:type="spellStart"/>
      <w:r w:rsidRPr="000D6AAA">
        <w:rPr>
          <w:rFonts w:ascii="Times New Roman" w:hAnsi="Times New Roman" w:cs="Times New Roman"/>
          <w:b/>
          <w:sz w:val="20"/>
          <w:szCs w:val="20"/>
          <w:lang w:val="es-US"/>
        </w:rPr>
        <w:t>relationships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that</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could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have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appeared</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to</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influence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the</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work</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reported</w:t>
      </w:r>
      <w:proofErr w:type="spellEnd"/>
      <w:r w:rsidRPr="000D6AAA">
        <w:rPr>
          <w:rFonts w:ascii="Times New Roman" w:hAnsi="Times New Roman" w:cs="Times New Roman"/>
          <w:b/>
          <w:sz w:val="20"/>
          <w:szCs w:val="20"/>
          <w:lang w:val="es-US"/>
        </w:rPr>
        <w:t xml:space="preserve"> in </w:t>
      </w:r>
      <w:proofErr w:type="spellStart"/>
      <w:r w:rsidRPr="000D6AAA">
        <w:rPr>
          <w:rFonts w:ascii="Times New Roman" w:hAnsi="Times New Roman" w:cs="Times New Roman"/>
          <w:b/>
          <w:sz w:val="20"/>
          <w:szCs w:val="20"/>
          <w:lang w:val="es-US"/>
        </w:rPr>
        <w:t>this</w:t>
      </w:r>
      <w:proofErr w:type="spellEnd"/>
      <w:r w:rsidRPr="000D6AAA">
        <w:rPr>
          <w:rFonts w:ascii="Times New Roman" w:hAnsi="Times New Roman" w:cs="Times New Roman"/>
          <w:b/>
          <w:sz w:val="20"/>
          <w:szCs w:val="20"/>
          <w:lang w:val="es-US"/>
        </w:rPr>
        <w:t xml:space="preserve"> </w:t>
      </w:r>
      <w:proofErr w:type="spellStart"/>
      <w:r w:rsidRPr="000D6AAA">
        <w:rPr>
          <w:rFonts w:ascii="Times New Roman" w:hAnsi="Times New Roman" w:cs="Times New Roman"/>
          <w:b/>
          <w:sz w:val="20"/>
          <w:szCs w:val="20"/>
          <w:lang w:val="es-US"/>
        </w:rPr>
        <w:t>paper</w:t>
      </w:r>
      <w:proofErr w:type="spellEnd"/>
      <w:r w:rsidRPr="000D6AAA">
        <w:rPr>
          <w:rFonts w:ascii="Times New Roman" w:hAnsi="Times New Roman" w:cs="Times New Roman"/>
          <w:b/>
          <w:sz w:val="20"/>
          <w:szCs w:val="20"/>
          <w:lang w:val="es-US"/>
        </w:rPr>
        <w:t>.</w:t>
      </w:r>
    </w:p>
    <w:p w14:paraId="7D9B104E" w14:textId="77777777" w:rsidR="000D6AAA" w:rsidRDefault="000D6AAA" w:rsidP="00464A40">
      <w:pPr>
        <w:spacing w:before="240" w:line="240" w:lineRule="auto"/>
        <w:jc w:val="both"/>
        <w:rPr>
          <w:rFonts w:ascii="Times New Roman" w:hAnsi="Times New Roman" w:cs="Times New Roman"/>
          <w:b/>
          <w:sz w:val="20"/>
          <w:szCs w:val="20"/>
          <w:lang w:val="es-US"/>
        </w:rPr>
      </w:pPr>
    </w:p>
    <w:p w14:paraId="764BB9CF" w14:textId="52075029" w:rsidR="00464A40" w:rsidRPr="00C2404B" w:rsidRDefault="00464A40" w:rsidP="00464A40">
      <w:pPr>
        <w:spacing w:before="240" w:line="240" w:lineRule="auto"/>
        <w:jc w:val="both"/>
        <w:rPr>
          <w:rFonts w:ascii="Times New Roman" w:hAnsi="Times New Roman" w:cs="Times New Roman"/>
          <w:b/>
          <w:sz w:val="20"/>
          <w:szCs w:val="20"/>
          <w:lang w:val="es-US"/>
        </w:rPr>
      </w:pPr>
      <w:r w:rsidRPr="00C2404B">
        <w:rPr>
          <w:rFonts w:ascii="Times New Roman" w:hAnsi="Times New Roman" w:cs="Times New Roman"/>
          <w:b/>
          <w:sz w:val="20"/>
          <w:szCs w:val="20"/>
          <w:lang w:val="es-US"/>
        </w:rPr>
        <w:t>REFERENCES</w:t>
      </w:r>
    </w:p>
    <w:p w14:paraId="52242DD0"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Abdel-Rahman, R. F., Abd-El-Halim, M. M., &amp; El-</w:t>
      </w:r>
      <w:proofErr w:type="spellStart"/>
      <w:r w:rsidRPr="00C2404B">
        <w:rPr>
          <w:rFonts w:ascii="Times New Roman" w:hAnsi="Times New Roman" w:cs="Times New Roman"/>
          <w:sz w:val="20"/>
          <w:szCs w:val="20"/>
          <w:lang w:val="es-US"/>
        </w:rPr>
        <w:t>Desoky</w:t>
      </w:r>
      <w:proofErr w:type="spellEnd"/>
      <w:r w:rsidRPr="00C2404B">
        <w:rPr>
          <w:rFonts w:ascii="Times New Roman" w:hAnsi="Times New Roman" w:cs="Times New Roman"/>
          <w:sz w:val="20"/>
          <w:szCs w:val="20"/>
          <w:lang w:val="es-US"/>
        </w:rPr>
        <w:t xml:space="preserve">, A. H. (2022). </w:t>
      </w:r>
      <w:r w:rsidRPr="00C2404B">
        <w:rPr>
          <w:rFonts w:ascii="Times New Roman" w:hAnsi="Times New Roman" w:cs="Times New Roman"/>
          <w:sz w:val="20"/>
          <w:szCs w:val="20"/>
        </w:rPr>
        <w:t xml:space="preserve">Phytochemical profiling and biological evaluation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extract: Antioxidant and anti-inflammatory activities. Bulletin of the National Research Centre, 46(1), 1–12. https://doi</w:t>
      </w:r>
      <w:r>
        <w:rPr>
          <w:rFonts w:ascii="Times New Roman" w:hAnsi="Times New Roman" w:cs="Times New Roman"/>
          <w:sz w:val="20"/>
          <w:szCs w:val="20"/>
        </w:rPr>
        <w:t>.org/10.1186/s42269-022-00800-5</w:t>
      </w:r>
    </w:p>
    <w:p w14:paraId="50FE68E4"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Adachukwu</w:t>
      </w:r>
      <w:proofErr w:type="spellEnd"/>
      <w:r w:rsidRPr="00C2404B">
        <w:rPr>
          <w:rFonts w:ascii="Times New Roman" w:hAnsi="Times New Roman" w:cs="Times New Roman"/>
          <w:sz w:val="20"/>
          <w:szCs w:val="20"/>
        </w:rPr>
        <w:t xml:space="preserve">, O., </w:t>
      </w:r>
      <w:proofErr w:type="spellStart"/>
      <w:r w:rsidRPr="00C2404B">
        <w:rPr>
          <w:rFonts w:ascii="Times New Roman" w:hAnsi="Times New Roman" w:cs="Times New Roman"/>
          <w:sz w:val="20"/>
          <w:szCs w:val="20"/>
        </w:rPr>
        <w:t>Onyili</w:t>
      </w:r>
      <w:proofErr w:type="spellEnd"/>
      <w:r w:rsidRPr="00C2404B">
        <w:rPr>
          <w:rFonts w:ascii="Times New Roman" w:hAnsi="Times New Roman" w:cs="Times New Roman"/>
          <w:sz w:val="20"/>
          <w:szCs w:val="20"/>
        </w:rPr>
        <w:t xml:space="preserve">, K., </w:t>
      </w:r>
      <w:proofErr w:type="spellStart"/>
      <w:r w:rsidRPr="00C2404B">
        <w:rPr>
          <w:rFonts w:ascii="Times New Roman" w:hAnsi="Times New Roman" w:cs="Times New Roman"/>
          <w:sz w:val="20"/>
          <w:szCs w:val="20"/>
        </w:rPr>
        <w:t>Nkumah</w:t>
      </w:r>
      <w:proofErr w:type="spellEnd"/>
      <w:r w:rsidRPr="00C2404B">
        <w:rPr>
          <w:rFonts w:ascii="Times New Roman" w:hAnsi="Times New Roman" w:cs="Times New Roman"/>
          <w:sz w:val="20"/>
          <w:szCs w:val="20"/>
        </w:rPr>
        <w:t xml:space="preserve">, O., </w:t>
      </w:r>
      <w:proofErr w:type="spellStart"/>
      <w:r w:rsidRPr="00C2404B">
        <w:rPr>
          <w:rFonts w:ascii="Times New Roman" w:hAnsi="Times New Roman" w:cs="Times New Roman"/>
          <w:sz w:val="20"/>
          <w:szCs w:val="20"/>
        </w:rPr>
        <w:t>Nwakuche</w:t>
      </w:r>
      <w:proofErr w:type="spellEnd"/>
      <w:r w:rsidRPr="00C2404B">
        <w:rPr>
          <w:rFonts w:ascii="Times New Roman" w:hAnsi="Times New Roman" w:cs="Times New Roman"/>
          <w:sz w:val="20"/>
          <w:szCs w:val="20"/>
        </w:rPr>
        <w:t xml:space="preserve">, A., &amp; </w:t>
      </w:r>
      <w:proofErr w:type="spellStart"/>
      <w:r w:rsidRPr="00C2404B">
        <w:rPr>
          <w:rFonts w:ascii="Times New Roman" w:hAnsi="Times New Roman" w:cs="Times New Roman"/>
          <w:sz w:val="20"/>
          <w:szCs w:val="20"/>
        </w:rPr>
        <w:t>Iroka</w:t>
      </w:r>
      <w:proofErr w:type="spellEnd"/>
      <w:r w:rsidRPr="00C2404B">
        <w:rPr>
          <w:rFonts w:ascii="Times New Roman" w:hAnsi="Times New Roman" w:cs="Times New Roman"/>
          <w:sz w:val="20"/>
          <w:szCs w:val="20"/>
        </w:rPr>
        <w:t xml:space="preserve">, C. F. (2023). Ecological survey on species of </w:t>
      </w:r>
      <w:proofErr w:type="spellStart"/>
      <w:r w:rsidRPr="00C2404B">
        <w:rPr>
          <w:rFonts w:ascii="Times New Roman" w:hAnsi="Times New Roman" w:cs="Times New Roman"/>
          <w:sz w:val="20"/>
          <w:szCs w:val="20"/>
        </w:rPr>
        <w:t>Poaceae</w:t>
      </w:r>
      <w:proofErr w:type="spellEnd"/>
      <w:r w:rsidRPr="00C2404B">
        <w:rPr>
          <w:rFonts w:ascii="Times New Roman" w:hAnsi="Times New Roman" w:cs="Times New Roman"/>
          <w:sz w:val="20"/>
          <w:szCs w:val="20"/>
        </w:rPr>
        <w:t xml:space="preserve"> family present in Nnamdi Azikiwe University campus, </w:t>
      </w:r>
      <w:proofErr w:type="spellStart"/>
      <w:r w:rsidRPr="00C2404B">
        <w:rPr>
          <w:rFonts w:ascii="Times New Roman" w:hAnsi="Times New Roman" w:cs="Times New Roman"/>
          <w:sz w:val="20"/>
          <w:szCs w:val="20"/>
        </w:rPr>
        <w:t>Awka</w:t>
      </w:r>
      <w:proofErr w:type="spellEnd"/>
      <w:r w:rsidRPr="00C2404B">
        <w:rPr>
          <w:rFonts w:ascii="Times New Roman" w:hAnsi="Times New Roman" w:cs="Times New Roman"/>
          <w:sz w:val="20"/>
          <w:szCs w:val="20"/>
        </w:rPr>
        <w:t>, Anambra State. Asian Journal of Environment &amp; Ecology, 21, 34–42. https://doi</w:t>
      </w:r>
      <w:r>
        <w:rPr>
          <w:rFonts w:ascii="Times New Roman" w:hAnsi="Times New Roman" w:cs="Times New Roman"/>
          <w:sz w:val="20"/>
          <w:szCs w:val="20"/>
        </w:rPr>
        <w:t>.org/10.9734/ajee/2023/v21i1451</w:t>
      </w:r>
    </w:p>
    <w:p w14:paraId="4B0AD4FC" w14:textId="77777777" w:rsidR="00464A40" w:rsidRPr="00C2404B" w:rsidRDefault="00464A40" w:rsidP="00464A40">
      <w:pPr>
        <w:spacing w:before="240" w:line="240" w:lineRule="auto"/>
        <w:jc w:val="both"/>
        <w:rPr>
          <w:rFonts w:ascii="Times New Roman" w:hAnsi="Times New Roman" w:cs="Times New Roman"/>
          <w:sz w:val="20"/>
          <w:szCs w:val="20"/>
        </w:rPr>
      </w:pPr>
      <w:r w:rsidRPr="005E5009">
        <w:rPr>
          <w:rFonts w:ascii="Times New Roman" w:hAnsi="Times New Roman" w:cs="Times New Roman"/>
          <w:sz w:val="20"/>
          <w:szCs w:val="20"/>
          <w:lang w:val="en-GB"/>
        </w:rPr>
        <w:t xml:space="preserve">Adebayo, A. H., </w:t>
      </w:r>
      <w:proofErr w:type="spellStart"/>
      <w:r w:rsidRPr="005E5009">
        <w:rPr>
          <w:rFonts w:ascii="Times New Roman" w:hAnsi="Times New Roman" w:cs="Times New Roman"/>
          <w:sz w:val="20"/>
          <w:szCs w:val="20"/>
          <w:lang w:val="en-GB"/>
        </w:rPr>
        <w:t>Abolaji</w:t>
      </w:r>
      <w:proofErr w:type="spellEnd"/>
      <w:r w:rsidRPr="005E5009">
        <w:rPr>
          <w:rFonts w:ascii="Times New Roman" w:hAnsi="Times New Roman" w:cs="Times New Roman"/>
          <w:sz w:val="20"/>
          <w:szCs w:val="20"/>
          <w:lang w:val="en-GB"/>
        </w:rPr>
        <w:t xml:space="preserve">, A. O., </w:t>
      </w:r>
      <w:proofErr w:type="spellStart"/>
      <w:r w:rsidRPr="005E5009">
        <w:rPr>
          <w:rFonts w:ascii="Times New Roman" w:hAnsi="Times New Roman" w:cs="Times New Roman"/>
          <w:sz w:val="20"/>
          <w:szCs w:val="20"/>
          <w:lang w:val="en-GB"/>
        </w:rPr>
        <w:t>Opata</w:t>
      </w:r>
      <w:proofErr w:type="spellEnd"/>
      <w:r w:rsidRPr="005E5009">
        <w:rPr>
          <w:rFonts w:ascii="Times New Roman" w:hAnsi="Times New Roman" w:cs="Times New Roman"/>
          <w:sz w:val="20"/>
          <w:szCs w:val="20"/>
          <w:lang w:val="en-GB"/>
        </w:rPr>
        <w:t xml:space="preserve">, T. K., &amp; </w:t>
      </w:r>
      <w:proofErr w:type="spellStart"/>
      <w:r w:rsidRPr="005E5009">
        <w:rPr>
          <w:rFonts w:ascii="Times New Roman" w:hAnsi="Times New Roman" w:cs="Times New Roman"/>
          <w:sz w:val="20"/>
          <w:szCs w:val="20"/>
          <w:lang w:val="en-GB"/>
        </w:rPr>
        <w:t>Adegbenro</w:t>
      </w:r>
      <w:proofErr w:type="spellEnd"/>
      <w:r w:rsidRPr="005E5009">
        <w:rPr>
          <w:rFonts w:ascii="Times New Roman" w:hAnsi="Times New Roman" w:cs="Times New Roman"/>
          <w:sz w:val="20"/>
          <w:szCs w:val="20"/>
          <w:lang w:val="en-GB"/>
        </w:rPr>
        <w:t xml:space="preserve">, I. K. (2019). </w:t>
      </w:r>
      <w:r w:rsidRPr="00C2404B">
        <w:rPr>
          <w:rFonts w:ascii="Times New Roman" w:hAnsi="Times New Roman" w:cs="Times New Roman"/>
          <w:sz w:val="20"/>
          <w:szCs w:val="20"/>
        </w:rPr>
        <w:t xml:space="preserve">Phytochemical screening and antioxidant activities of methanolic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pilosa</w:t>
      </w:r>
      <w:proofErr w:type="spellEnd"/>
      <w:r w:rsidRPr="00C2404B">
        <w:rPr>
          <w:rFonts w:ascii="Times New Roman" w:hAnsi="Times New Roman" w:cs="Times New Roman"/>
          <w:sz w:val="20"/>
          <w:szCs w:val="20"/>
        </w:rPr>
        <w:t>. Journal of Medicinal P</w:t>
      </w:r>
      <w:r>
        <w:rPr>
          <w:rFonts w:ascii="Times New Roman" w:hAnsi="Times New Roman" w:cs="Times New Roman"/>
          <w:sz w:val="20"/>
          <w:szCs w:val="20"/>
        </w:rPr>
        <w:t>lants Research, 13(5), 102–109.</w:t>
      </w:r>
    </w:p>
    <w:p w14:paraId="79999F6F"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Akah</w:t>
      </w:r>
      <w:proofErr w:type="spellEnd"/>
      <w:r w:rsidRPr="00C2404B">
        <w:rPr>
          <w:rFonts w:ascii="Times New Roman" w:hAnsi="Times New Roman" w:cs="Times New Roman"/>
          <w:sz w:val="20"/>
          <w:szCs w:val="20"/>
        </w:rPr>
        <w:t xml:space="preserve">, P. A., &amp; Adeniji, J. A. (2025). Effect of aqueous root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on phagocytic function of macrophages and humoral immune response in Wistar albino rats. Sokoto Journal of Medical Laboratory Science, 10(2), 82–95. https:</w:t>
      </w:r>
      <w:r>
        <w:rPr>
          <w:rFonts w:ascii="Times New Roman" w:hAnsi="Times New Roman" w:cs="Times New Roman"/>
          <w:sz w:val="20"/>
          <w:szCs w:val="20"/>
        </w:rPr>
        <w:t>//doi.org/10.4314/sokjmls.v10i2</w:t>
      </w:r>
    </w:p>
    <w:p w14:paraId="15866801"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 xml:space="preserve">Akanji, M., Adeyemi, O., </w:t>
      </w:r>
      <w:proofErr w:type="spellStart"/>
      <w:r w:rsidRPr="00C2404B">
        <w:rPr>
          <w:rFonts w:ascii="Times New Roman" w:hAnsi="Times New Roman" w:cs="Times New Roman"/>
          <w:sz w:val="20"/>
          <w:szCs w:val="20"/>
          <w:lang w:val="es-US"/>
        </w:rPr>
        <w:t>Oguntoye</w:t>
      </w:r>
      <w:proofErr w:type="spellEnd"/>
      <w:r w:rsidRPr="00C2404B">
        <w:rPr>
          <w:rFonts w:ascii="Times New Roman" w:hAnsi="Times New Roman" w:cs="Times New Roman"/>
          <w:sz w:val="20"/>
          <w:szCs w:val="20"/>
          <w:lang w:val="es-US"/>
        </w:rPr>
        <w:t xml:space="preserve">, S., &amp; Sulaiman, F. (2009). </w:t>
      </w:r>
      <w:r w:rsidRPr="00C2404B">
        <w:rPr>
          <w:rFonts w:ascii="Times New Roman" w:hAnsi="Times New Roman" w:cs="Times New Roman"/>
          <w:sz w:val="20"/>
          <w:szCs w:val="20"/>
        </w:rPr>
        <w:t xml:space="preserve">Psidium </w:t>
      </w:r>
      <w:proofErr w:type="spellStart"/>
      <w:r w:rsidRPr="00C2404B">
        <w:rPr>
          <w:rFonts w:ascii="Times New Roman" w:hAnsi="Times New Roman" w:cs="Times New Roman"/>
          <w:sz w:val="20"/>
          <w:szCs w:val="20"/>
        </w:rPr>
        <w:t>guajava</w:t>
      </w:r>
      <w:proofErr w:type="spellEnd"/>
      <w:r w:rsidRPr="00C2404B">
        <w:rPr>
          <w:rFonts w:ascii="Times New Roman" w:hAnsi="Times New Roman" w:cs="Times New Roman"/>
          <w:sz w:val="20"/>
          <w:szCs w:val="20"/>
        </w:rPr>
        <w:t xml:space="preserve"> extract reduces </w:t>
      </w:r>
      <w:proofErr w:type="spellStart"/>
      <w:r w:rsidRPr="00C2404B">
        <w:rPr>
          <w:rFonts w:ascii="Times New Roman" w:hAnsi="Times New Roman" w:cs="Times New Roman"/>
          <w:sz w:val="20"/>
          <w:szCs w:val="20"/>
        </w:rPr>
        <w:t>trypanosomosis</w:t>
      </w:r>
      <w:proofErr w:type="spellEnd"/>
      <w:r w:rsidRPr="00C2404B">
        <w:rPr>
          <w:rFonts w:ascii="Times New Roman" w:hAnsi="Times New Roman" w:cs="Times New Roman"/>
          <w:sz w:val="20"/>
          <w:szCs w:val="20"/>
        </w:rPr>
        <w:t xml:space="preserve">-associated lipid peroxidation and raises glutathione concentrations in infected animals. EXCLI Journal, 8, 148–154. </w:t>
      </w:r>
      <w:r>
        <w:rPr>
          <w:rFonts w:ascii="Times New Roman" w:hAnsi="Times New Roman" w:cs="Times New Roman"/>
          <w:sz w:val="20"/>
          <w:szCs w:val="20"/>
        </w:rPr>
        <w:t>http://www.excli.de/volume8.php</w:t>
      </w:r>
    </w:p>
    <w:p w14:paraId="6050997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Awe, E. O., &amp; Banjoko, S. O. (2013). Biochemical and </w:t>
      </w:r>
      <w:proofErr w:type="spellStart"/>
      <w:r w:rsidRPr="00C2404B">
        <w:rPr>
          <w:rFonts w:ascii="Times New Roman" w:hAnsi="Times New Roman" w:cs="Times New Roman"/>
          <w:sz w:val="20"/>
          <w:szCs w:val="20"/>
        </w:rPr>
        <w:t>haematological</w:t>
      </w:r>
      <w:proofErr w:type="spellEnd"/>
      <w:r w:rsidRPr="00C2404B">
        <w:rPr>
          <w:rFonts w:ascii="Times New Roman" w:hAnsi="Times New Roman" w:cs="Times New Roman"/>
          <w:sz w:val="20"/>
          <w:szCs w:val="20"/>
        </w:rPr>
        <w:t xml:space="preserve"> assessment of toxic effects of the leaf ethanol extract of Petroselinum </w:t>
      </w:r>
      <w:proofErr w:type="spellStart"/>
      <w:r w:rsidRPr="00C2404B">
        <w:rPr>
          <w:rFonts w:ascii="Times New Roman" w:hAnsi="Times New Roman" w:cs="Times New Roman"/>
          <w:sz w:val="20"/>
          <w:szCs w:val="20"/>
        </w:rPr>
        <w:t>crispum</w:t>
      </w:r>
      <w:proofErr w:type="spellEnd"/>
      <w:r w:rsidRPr="00C2404B">
        <w:rPr>
          <w:rFonts w:ascii="Times New Roman" w:hAnsi="Times New Roman" w:cs="Times New Roman"/>
          <w:sz w:val="20"/>
          <w:szCs w:val="20"/>
        </w:rPr>
        <w:t xml:space="preserve"> (Mill) Nyman ex A.W. Hill (Parsley) in rats. BMC Complementary and Alternative Medicine, 13, 75. https://</w:t>
      </w:r>
      <w:r>
        <w:rPr>
          <w:rFonts w:ascii="Times New Roman" w:hAnsi="Times New Roman" w:cs="Times New Roman"/>
          <w:sz w:val="20"/>
          <w:szCs w:val="20"/>
        </w:rPr>
        <w:t>doi.org/10.1186/1472-6882-13-75</w:t>
      </w:r>
    </w:p>
    <w:p w14:paraId="0F1B9544"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Awotunde, O. S., </w:t>
      </w:r>
      <w:proofErr w:type="spellStart"/>
      <w:r w:rsidRPr="00C2404B">
        <w:rPr>
          <w:rFonts w:ascii="Times New Roman" w:hAnsi="Times New Roman" w:cs="Times New Roman"/>
          <w:sz w:val="20"/>
          <w:szCs w:val="20"/>
        </w:rPr>
        <w:t>Adewoye</w:t>
      </w:r>
      <w:proofErr w:type="spellEnd"/>
      <w:r w:rsidRPr="00C2404B">
        <w:rPr>
          <w:rFonts w:ascii="Times New Roman" w:hAnsi="Times New Roman" w:cs="Times New Roman"/>
          <w:sz w:val="20"/>
          <w:szCs w:val="20"/>
        </w:rPr>
        <w:t xml:space="preserve">, S. O., Dhanabal, P. S., &amp; </w:t>
      </w:r>
      <w:proofErr w:type="spellStart"/>
      <w:r w:rsidRPr="00C2404B">
        <w:rPr>
          <w:rFonts w:ascii="Times New Roman" w:hAnsi="Times New Roman" w:cs="Times New Roman"/>
          <w:sz w:val="20"/>
          <w:szCs w:val="20"/>
        </w:rPr>
        <w:t>Hawumba</w:t>
      </w:r>
      <w:proofErr w:type="spellEnd"/>
      <w:r w:rsidRPr="00C2404B">
        <w:rPr>
          <w:rFonts w:ascii="Times New Roman" w:hAnsi="Times New Roman" w:cs="Times New Roman"/>
          <w:sz w:val="20"/>
          <w:szCs w:val="20"/>
        </w:rPr>
        <w:t xml:space="preserve">, J. (2019). Subacute toxicity study of aqueous root extract of Terminalia </w:t>
      </w:r>
      <w:proofErr w:type="spellStart"/>
      <w:r w:rsidRPr="00C2404B">
        <w:rPr>
          <w:rFonts w:ascii="Times New Roman" w:hAnsi="Times New Roman" w:cs="Times New Roman"/>
          <w:sz w:val="20"/>
          <w:szCs w:val="20"/>
        </w:rPr>
        <w:t>schimperiana</w:t>
      </w:r>
      <w:proofErr w:type="spellEnd"/>
      <w:r w:rsidRPr="00C2404B">
        <w:rPr>
          <w:rFonts w:ascii="Times New Roman" w:hAnsi="Times New Roman" w:cs="Times New Roman"/>
          <w:sz w:val="20"/>
          <w:szCs w:val="20"/>
        </w:rPr>
        <w:t xml:space="preserve"> in male Wistar rats. Toxicology Reports, 6, 825–832. https://doi.o</w:t>
      </w:r>
      <w:r>
        <w:rPr>
          <w:rFonts w:ascii="Times New Roman" w:hAnsi="Times New Roman" w:cs="Times New Roman"/>
          <w:sz w:val="20"/>
          <w:szCs w:val="20"/>
        </w:rPr>
        <w:t>rg/10.1016/j.toxrep.2019.07.006</w:t>
      </w:r>
    </w:p>
    <w:p w14:paraId="303A05EE"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Bain, B. J., Bates, I., &amp; Laffan, M. A. (2017). Dacie and Lewis practical </w:t>
      </w:r>
      <w:proofErr w:type="spellStart"/>
      <w:r w:rsidRPr="00C2404B">
        <w:rPr>
          <w:rFonts w:ascii="Times New Roman" w:hAnsi="Times New Roman" w:cs="Times New Roman"/>
          <w:sz w:val="20"/>
          <w:szCs w:val="20"/>
        </w:rPr>
        <w:t>ha</w:t>
      </w:r>
      <w:r>
        <w:rPr>
          <w:rFonts w:ascii="Times New Roman" w:hAnsi="Times New Roman" w:cs="Times New Roman"/>
          <w:sz w:val="20"/>
          <w:szCs w:val="20"/>
        </w:rPr>
        <w:t>ematology</w:t>
      </w:r>
      <w:proofErr w:type="spellEnd"/>
      <w:r>
        <w:rPr>
          <w:rFonts w:ascii="Times New Roman" w:hAnsi="Times New Roman" w:cs="Times New Roman"/>
          <w:sz w:val="20"/>
          <w:szCs w:val="20"/>
        </w:rPr>
        <w:t xml:space="preserve"> (12th ed.). Elsevier.</w:t>
      </w:r>
    </w:p>
    <w:p w14:paraId="3D024617"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Bappah</w:t>
      </w:r>
      <w:proofErr w:type="spellEnd"/>
      <w:r w:rsidRPr="00C2404B">
        <w:rPr>
          <w:rFonts w:ascii="Times New Roman" w:hAnsi="Times New Roman" w:cs="Times New Roman"/>
          <w:sz w:val="20"/>
          <w:szCs w:val="20"/>
        </w:rPr>
        <w:t xml:space="preserve">, M., Qossim, M., </w:t>
      </w:r>
      <w:proofErr w:type="spellStart"/>
      <w:r w:rsidRPr="00C2404B">
        <w:rPr>
          <w:rFonts w:ascii="Times New Roman" w:hAnsi="Times New Roman" w:cs="Times New Roman"/>
          <w:sz w:val="20"/>
          <w:szCs w:val="20"/>
        </w:rPr>
        <w:t>Dambam</w:t>
      </w:r>
      <w:proofErr w:type="spellEnd"/>
      <w:r w:rsidRPr="00C2404B">
        <w:rPr>
          <w:rFonts w:ascii="Times New Roman" w:hAnsi="Times New Roman" w:cs="Times New Roman"/>
          <w:sz w:val="20"/>
          <w:szCs w:val="20"/>
        </w:rPr>
        <w:t xml:space="preserve">, Z., Usman, A., &amp; </w:t>
      </w:r>
      <w:proofErr w:type="spellStart"/>
      <w:r w:rsidRPr="00C2404B">
        <w:rPr>
          <w:rFonts w:ascii="Times New Roman" w:hAnsi="Times New Roman" w:cs="Times New Roman"/>
          <w:sz w:val="20"/>
          <w:szCs w:val="20"/>
        </w:rPr>
        <w:t>Awalu</w:t>
      </w:r>
      <w:proofErr w:type="spellEnd"/>
      <w:r w:rsidRPr="00C2404B">
        <w:rPr>
          <w:rFonts w:ascii="Times New Roman" w:hAnsi="Times New Roman" w:cs="Times New Roman"/>
          <w:sz w:val="20"/>
          <w:szCs w:val="20"/>
        </w:rPr>
        <w:t xml:space="preserve">, U. (2022). Antibacterial activity of alkaloid, flavonoids, and lipids from crude extracts of </w:t>
      </w:r>
      <w:proofErr w:type="spellStart"/>
      <w:r w:rsidRPr="00C2404B">
        <w:rPr>
          <w:rFonts w:ascii="Times New Roman" w:hAnsi="Times New Roman" w:cs="Times New Roman"/>
          <w:sz w:val="20"/>
          <w:szCs w:val="20"/>
        </w:rPr>
        <w:t>Azadirachta</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indica</w:t>
      </w:r>
      <w:proofErr w:type="spellEnd"/>
      <w:r w:rsidRPr="00C2404B">
        <w:rPr>
          <w:rFonts w:ascii="Times New Roman" w:hAnsi="Times New Roman" w:cs="Times New Roman"/>
          <w:sz w:val="20"/>
          <w:szCs w:val="20"/>
        </w:rPr>
        <w:t xml:space="preserve"> on some selected medically important bacteria. Journal of Biochemistry, Microbiology and Biotechnology, 10, 20–24. https://do</w:t>
      </w:r>
      <w:r>
        <w:rPr>
          <w:rFonts w:ascii="Times New Roman" w:hAnsi="Times New Roman" w:cs="Times New Roman"/>
          <w:sz w:val="20"/>
          <w:szCs w:val="20"/>
        </w:rPr>
        <w:t>i.org/10.54987/jobimb.v10i2.752</w:t>
      </w:r>
    </w:p>
    <w:p w14:paraId="1B47B6E6"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C2404B">
        <w:rPr>
          <w:rFonts w:ascii="Times New Roman" w:hAnsi="Times New Roman" w:cs="Times New Roman"/>
          <w:sz w:val="20"/>
          <w:szCs w:val="20"/>
        </w:rPr>
        <w:t>Bappah</w:t>
      </w:r>
      <w:proofErr w:type="spellEnd"/>
      <w:r w:rsidRPr="00C2404B">
        <w:rPr>
          <w:rFonts w:ascii="Times New Roman" w:hAnsi="Times New Roman" w:cs="Times New Roman"/>
          <w:sz w:val="20"/>
          <w:szCs w:val="20"/>
        </w:rPr>
        <w:t xml:space="preserve">, M., Qossim, M., </w:t>
      </w:r>
      <w:proofErr w:type="spellStart"/>
      <w:r w:rsidRPr="00C2404B">
        <w:rPr>
          <w:rFonts w:ascii="Times New Roman" w:hAnsi="Times New Roman" w:cs="Times New Roman"/>
          <w:sz w:val="20"/>
          <w:szCs w:val="20"/>
        </w:rPr>
        <w:t>Dambam</w:t>
      </w:r>
      <w:proofErr w:type="spellEnd"/>
      <w:r w:rsidRPr="00C2404B">
        <w:rPr>
          <w:rFonts w:ascii="Times New Roman" w:hAnsi="Times New Roman" w:cs="Times New Roman"/>
          <w:sz w:val="20"/>
          <w:szCs w:val="20"/>
        </w:rPr>
        <w:t xml:space="preserve">, Z., </w:t>
      </w:r>
      <w:proofErr w:type="spellStart"/>
      <w:r w:rsidRPr="00C2404B">
        <w:rPr>
          <w:rFonts w:ascii="Times New Roman" w:hAnsi="Times New Roman" w:cs="Times New Roman"/>
          <w:sz w:val="20"/>
          <w:szCs w:val="20"/>
        </w:rPr>
        <w:t>Zailani</w:t>
      </w:r>
      <w:proofErr w:type="spellEnd"/>
      <w:r w:rsidRPr="00C2404B">
        <w:rPr>
          <w:rFonts w:ascii="Times New Roman" w:hAnsi="Times New Roman" w:cs="Times New Roman"/>
          <w:sz w:val="20"/>
          <w:szCs w:val="20"/>
        </w:rPr>
        <w:t xml:space="preserve">, S., </w:t>
      </w:r>
      <w:proofErr w:type="spellStart"/>
      <w:r w:rsidRPr="00C2404B">
        <w:rPr>
          <w:rFonts w:ascii="Times New Roman" w:hAnsi="Times New Roman" w:cs="Times New Roman"/>
          <w:sz w:val="20"/>
          <w:szCs w:val="20"/>
        </w:rPr>
        <w:t>Shuiabu</w:t>
      </w:r>
      <w:proofErr w:type="spellEnd"/>
      <w:r w:rsidRPr="00C2404B">
        <w:rPr>
          <w:rFonts w:ascii="Times New Roman" w:hAnsi="Times New Roman" w:cs="Times New Roman"/>
          <w:sz w:val="20"/>
          <w:szCs w:val="20"/>
        </w:rPr>
        <w:t>, Y., &amp; Lawal, A. (2024). Assessment of antimicrobial activities of some selected medicinal plants used in the treatment of skin and wound infections in Bauchi town. European Journal of Medicinal Plants, 35, 42–56. https://doi.</w:t>
      </w:r>
      <w:r>
        <w:rPr>
          <w:rFonts w:ascii="Times New Roman" w:hAnsi="Times New Roman" w:cs="Times New Roman"/>
          <w:sz w:val="20"/>
          <w:szCs w:val="20"/>
        </w:rPr>
        <w:t>org/10.9734/ejmp/2024/v35i41197</w:t>
      </w:r>
    </w:p>
    <w:p w14:paraId="29406787"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Clayton, W. D., Vorontsova, M. S., Harman, K. T., &amp; Williamson, H. (2006–2025).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In </w:t>
      </w:r>
      <w:proofErr w:type="spellStart"/>
      <w:r w:rsidRPr="00C2404B">
        <w:rPr>
          <w:rFonts w:ascii="Times New Roman" w:hAnsi="Times New Roman" w:cs="Times New Roman"/>
          <w:sz w:val="20"/>
          <w:szCs w:val="20"/>
        </w:rPr>
        <w:t>GrassBase</w:t>
      </w:r>
      <w:proofErr w:type="spellEnd"/>
      <w:r w:rsidRPr="00C2404B">
        <w:rPr>
          <w:rFonts w:ascii="Times New Roman" w:hAnsi="Times New Roman" w:cs="Times New Roman"/>
          <w:sz w:val="20"/>
          <w:szCs w:val="20"/>
        </w:rPr>
        <w:t xml:space="preserve"> – The Online World Grass Flora. Royal Botanic Gardens, Kew. https:/</w:t>
      </w:r>
      <w:r>
        <w:rPr>
          <w:rFonts w:ascii="Times New Roman" w:hAnsi="Times New Roman" w:cs="Times New Roman"/>
          <w:sz w:val="20"/>
          <w:szCs w:val="20"/>
        </w:rPr>
        <w:t>/www.kew.org/data/grasses-db.ht</w:t>
      </w:r>
    </w:p>
    <w:p w14:paraId="26D074F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 xml:space="preserve">García-Cancel, J. G., &amp; Cox, R. D. (2025). </w:t>
      </w:r>
      <w:r w:rsidRPr="00C2404B">
        <w:rPr>
          <w:rFonts w:ascii="Times New Roman" w:hAnsi="Times New Roman" w:cs="Times New Roman"/>
          <w:sz w:val="20"/>
          <w:szCs w:val="20"/>
        </w:rPr>
        <w:t xml:space="preserve">Modeling future Lehmann </w:t>
      </w:r>
      <w:proofErr w:type="spellStart"/>
      <w:r w:rsidRPr="00C2404B">
        <w:rPr>
          <w:rFonts w:ascii="Times New Roman" w:hAnsi="Times New Roman" w:cs="Times New Roman"/>
          <w:sz w:val="20"/>
          <w:szCs w:val="20"/>
        </w:rPr>
        <w:t>lovegrass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lehmanniana</w:t>
      </w:r>
      <w:proofErr w:type="spellEnd"/>
      <w:r w:rsidRPr="00C2404B">
        <w:rPr>
          <w:rFonts w:ascii="Times New Roman" w:hAnsi="Times New Roman" w:cs="Times New Roman"/>
          <w:sz w:val="20"/>
          <w:szCs w:val="20"/>
        </w:rPr>
        <w:t>) distribution in Texas and adjacent areas. Rangeland Ecology &amp; Management, 101, 80–88. https://doi</w:t>
      </w:r>
      <w:r>
        <w:rPr>
          <w:rFonts w:ascii="Times New Roman" w:hAnsi="Times New Roman" w:cs="Times New Roman"/>
          <w:sz w:val="20"/>
          <w:szCs w:val="20"/>
        </w:rPr>
        <w:t>.org/10.1016/j.rama.2025.04.001</w:t>
      </w:r>
    </w:p>
    <w:p w14:paraId="262325A8"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Harborne, J. B. (1998). Phytochemical methods: A guide to modern techniques of plan</w:t>
      </w:r>
      <w:r>
        <w:rPr>
          <w:rFonts w:ascii="Times New Roman" w:hAnsi="Times New Roman" w:cs="Times New Roman"/>
          <w:sz w:val="20"/>
          <w:szCs w:val="20"/>
        </w:rPr>
        <w:t>t analysis (3rd ed.). Springer.</w:t>
      </w:r>
    </w:p>
    <w:p w14:paraId="2D686B49"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lastRenderedPageBreak/>
        <w:t>McPherson, R. A., &amp; Pincus, M. R. (Eds.). (2017). Henry's clinical diagnosis and management by laborator</w:t>
      </w:r>
      <w:r>
        <w:rPr>
          <w:rFonts w:ascii="Times New Roman" w:hAnsi="Times New Roman" w:cs="Times New Roman"/>
          <w:sz w:val="20"/>
          <w:szCs w:val="20"/>
        </w:rPr>
        <w:t>y methods (23rd ed.). Elsevier.</w:t>
      </w:r>
    </w:p>
    <w:p w14:paraId="19E88D6A" w14:textId="77777777" w:rsidR="00464A40" w:rsidRPr="00C2404B" w:rsidRDefault="00464A40" w:rsidP="00464A40">
      <w:pPr>
        <w:spacing w:before="240" w:line="240" w:lineRule="auto"/>
        <w:jc w:val="both"/>
        <w:rPr>
          <w:rFonts w:ascii="Times New Roman" w:hAnsi="Times New Roman" w:cs="Times New Roman"/>
          <w:sz w:val="20"/>
          <w:szCs w:val="20"/>
        </w:rPr>
      </w:pPr>
      <w:proofErr w:type="spellStart"/>
      <w:r w:rsidRPr="005E5009">
        <w:rPr>
          <w:rFonts w:ascii="Times New Roman" w:hAnsi="Times New Roman" w:cs="Times New Roman"/>
          <w:sz w:val="20"/>
          <w:szCs w:val="20"/>
          <w:lang w:val="en-GB"/>
        </w:rPr>
        <w:t>Nazifi</w:t>
      </w:r>
      <w:proofErr w:type="spellEnd"/>
      <w:r w:rsidRPr="005E5009">
        <w:rPr>
          <w:rFonts w:ascii="Times New Roman" w:hAnsi="Times New Roman" w:cs="Times New Roman"/>
          <w:sz w:val="20"/>
          <w:szCs w:val="20"/>
          <w:lang w:val="en-GB"/>
        </w:rPr>
        <w:t xml:space="preserve">, A. B., Abubakar, A., Magaji, M. G., Aliyu, M., Yaro, A. H., &amp; Danjuma, N. M. (2023). </w:t>
      </w:r>
      <w:r w:rsidRPr="00C2404B">
        <w:rPr>
          <w:rFonts w:ascii="Times New Roman" w:hAnsi="Times New Roman" w:cs="Times New Roman"/>
          <w:sz w:val="20"/>
          <w:szCs w:val="20"/>
        </w:rPr>
        <w:t xml:space="preserve">Acute and 28-day toxicity evaluation of hydroethanolic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Poaceae</w:t>
      </w:r>
      <w:proofErr w:type="spellEnd"/>
      <w:r w:rsidRPr="00C2404B">
        <w:rPr>
          <w:rFonts w:ascii="Times New Roman" w:hAnsi="Times New Roman" w:cs="Times New Roman"/>
          <w:sz w:val="20"/>
          <w:szCs w:val="20"/>
        </w:rPr>
        <w:t>) in Wistar rats. Journal of Pharmacy &amp; Bioresources, 20(3), 146–161. https://doi.org/10.4314/jpb</w:t>
      </w:r>
      <w:r>
        <w:rPr>
          <w:rFonts w:ascii="Times New Roman" w:hAnsi="Times New Roman" w:cs="Times New Roman"/>
          <w:sz w:val="20"/>
          <w:szCs w:val="20"/>
        </w:rPr>
        <w:t>.v20i3.6</w:t>
      </w:r>
    </w:p>
    <w:p w14:paraId="0985D056"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Ochei, J., &amp; Kolhatkar, A. (2000). Medical laboratory science: Theory </w:t>
      </w:r>
      <w:r>
        <w:rPr>
          <w:rFonts w:ascii="Times New Roman" w:hAnsi="Times New Roman" w:cs="Times New Roman"/>
          <w:sz w:val="20"/>
          <w:szCs w:val="20"/>
        </w:rPr>
        <w:t>and practice. Tata McGraw-Hill.</w:t>
      </w:r>
    </w:p>
    <w:p w14:paraId="6D9628E3" w14:textId="77777777" w:rsidR="00464A40" w:rsidRPr="00C2404B" w:rsidRDefault="00464A40" w:rsidP="00464A40">
      <w:pPr>
        <w:spacing w:before="240" w:line="240" w:lineRule="auto"/>
        <w:jc w:val="both"/>
        <w:rPr>
          <w:rFonts w:ascii="Times New Roman" w:hAnsi="Times New Roman" w:cs="Times New Roman"/>
          <w:sz w:val="20"/>
          <w:szCs w:val="20"/>
          <w:lang w:val="es-US"/>
        </w:rPr>
      </w:pPr>
      <w:proofErr w:type="spellStart"/>
      <w:r w:rsidRPr="005E5009">
        <w:rPr>
          <w:rFonts w:ascii="Times New Roman" w:hAnsi="Times New Roman" w:cs="Times New Roman"/>
          <w:sz w:val="20"/>
          <w:szCs w:val="20"/>
          <w:lang w:val="en-GB"/>
        </w:rPr>
        <w:t>Percie</w:t>
      </w:r>
      <w:proofErr w:type="spellEnd"/>
      <w:r w:rsidRPr="005E5009">
        <w:rPr>
          <w:rFonts w:ascii="Times New Roman" w:hAnsi="Times New Roman" w:cs="Times New Roman"/>
          <w:sz w:val="20"/>
          <w:szCs w:val="20"/>
          <w:lang w:val="en-GB"/>
        </w:rPr>
        <w:t xml:space="preserve"> du </w:t>
      </w:r>
      <w:proofErr w:type="spellStart"/>
      <w:r w:rsidRPr="005E5009">
        <w:rPr>
          <w:rFonts w:ascii="Times New Roman" w:hAnsi="Times New Roman" w:cs="Times New Roman"/>
          <w:sz w:val="20"/>
          <w:szCs w:val="20"/>
          <w:lang w:val="en-GB"/>
        </w:rPr>
        <w:t>Sert</w:t>
      </w:r>
      <w:proofErr w:type="spellEnd"/>
      <w:r w:rsidRPr="005E5009">
        <w:rPr>
          <w:rFonts w:ascii="Times New Roman" w:hAnsi="Times New Roman" w:cs="Times New Roman"/>
          <w:sz w:val="20"/>
          <w:szCs w:val="20"/>
          <w:lang w:val="en-GB"/>
        </w:rPr>
        <w:t xml:space="preserve">, N., et al. </w:t>
      </w:r>
      <w:r w:rsidRPr="00C2404B">
        <w:rPr>
          <w:rFonts w:ascii="Times New Roman" w:hAnsi="Times New Roman" w:cs="Times New Roman"/>
          <w:sz w:val="20"/>
          <w:szCs w:val="20"/>
        </w:rPr>
        <w:t xml:space="preserve">(2020). The ARRIVE guidelines 2.0: Updated guidelines for reporting animal research. </w:t>
      </w:r>
      <w:proofErr w:type="spellStart"/>
      <w:r w:rsidRPr="00C2404B">
        <w:rPr>
          <w:rFonts w:ascii="Times New Roman" w:hAnsi="Times New Roman" w:cs="Times New Roman"/>
          <w:sz w:val="20"/>
          <w:szCs w:val="20"/>
          <w:lang w:val="es-US"/>
        </w:rPr>
        <w:t>PLoS</w:t>
      </w:r>
      <w:proofErr w:type="spellEnd"/>
      <w:r w:rsidRPr="00C2404B">
        <w:rPr>
          <w:rFonts w:ascii="Times New Roman" w:hAnsi="Times New Roman" w:cs="Times New Roman"/>
          <w:sz w:val="20"/>
          <w:szCs w:val="20"/>
          <w:lang w:val="es-US"/>
        </w:rPr>
        <w:t xml:space="preserve"> </w:t>
      </w:r>
      <w:proofErr w:type="spellStart"/>
      <w:r w:rsidRPr="00C2404B">
        <w:rPr>
          <w:rFonts w:ascii="Times New Roman" w:hAnsi="Times New Roman" w:cs="Times New Roman"/>
          <w:sz w:val="20"/>
          <w:szCs w:val="20"/>
          <w:lang w:val="es-US"/>
        </w:rPr>
        <w:t>Biology</w:t>
      </w:r>
      <w:proofErr w:type="spellEnd"/>
      <w:r w:rsidRPr="00C2404B">
        <w:rPr>
          <w:rFonts w:ascii="Times New Roman" w:hAnsi="Times New Roman" w:cs="Times New Roman"/>
          <w:sz w:val="20"/>
          <w:szCs w:val="20"/>
          <w:lang w:val="es-US"/>
        </w:rPr>
        <w:t>, 18(7), e3000410. https://doi.o</w:t>
      </w:r>
      <w:r>
        <w:rPr>
          <w:rFonts w:ascii="Times New Roman" w:hAnsi="Times New Roman" w:cs="Times New Roman"/>
          <w:sz w:val="20"/>
          <w:szCs w:val="20"/>
          <w:lang w:val="es-US"/>
        </w:rPr>
        <w:t>rg/10.1371/journal.pbio.3000410</w:t>
      </w:r>
    </w:p>
    <w:p w14:paraId="34AB8EC4"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lang w:val="es-US"/>
        </w:rPr>
        <w:t xml:space="preserve">Rice-Evans, C. A., Miller, N. J., &amp; </w:t>
      </w:r>
      <w:proofErr w:type="spellStart"/>
      <w:r w:rsidRPr="00C2404B">
        <w:rPr>
          <w:rFonts w:ascii="Times New Roman" w:hAnsi="Times New Roman" w:cs="Times New Roman"/>
          <w:sz w:val="20"/>
          <w:szCs w:val="20"/>
          <w:lang w:val="es-US"/>
        </w:rPr>
        <w:t>Paganga</w:t>
      </w:r>
      <w:proofErr w:type="spellEnd"/>
      <w:r w:rsidRPr="00C2404B">
        <w:rPr>
          <w:rFonts w:ascii="Times New Roman" w:hAnsi="Times New Roman" w:cs="Times New Roman"/>
          <w:sz w:val="20"/>
          <w:szCs w:val="20"/>
          <w:lang w:val="es-US"/>
        </w:rPr>
        <w:t xml:space="preserve">, G. (1997). </w:t>
      </w:r>
      <w:r w:rsidRPr="00C2404B">
        <w:rPr>
          <w:rFonts w:ascii="Times New Roman" w:hAnsi="Times New Roman" w:cs="Times New Roman"/>
          <w:sz w:val="20"/>
          <w:szCs w:val="20"/>
        </w:rPr>
        <w:t>Antioxidant properties of phenolic compounds. Trends in Plant Science, 2(4), 152–159. https://doi.or</w:t>
      </w:r>
      <w:r>
        <w:rPr>
          <w:rFonts w:ascii="Times New Roman" w:hAnsi="Times New Roman" w:cs="Times New Roman"/>
          <w:sz w:val="20"/>
          <w:szCs w:val="20"/>
        </w:rPr>
        <w:t>g/10.1016/S1360-1385(97)01018-2</w:t>
      </w:r>
    </w:p>
    <w:p w14:paraId="3490CA3F"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Sulaiman Aliyu, M. (2022). Ameliorative effect of ethanol extract of </w:t>
      </w:r>
      <w:proofErr w:type="spellStart"/>
      <w:r w:rsidRPr="00C2404B">
        <w:rPr>
          <w:rFonts w:ascii="Times New Roman" w:hAnsi="Times New Roman" w:cs="Times New Roman"/>
          <w:sz w:val="20"/>
          <w:szCs w:val="20"/>
        </w:rPr>
        <w:t>Eragrostis</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tremula</w:t>
      </w:r>
      <w:proofErr w:type="spellEnd"/>
      <w:r w:rsidRPr="00C2404B">
        <w:rPr>
          <w:rFonts w:ascii="Times New Roman" w:hAnsi="Times New Roman" w:cs="Times New Roman"/>
          <w:sz w:val="20"/>
          <w:szCs w:val="20"/>
        </w:rPr>
        <w:t xml:space="preserve"> </w:t>
      </w:r>
      <w:proofErr w:type="spellStart"/>
      <w:r w:rsidRPr="00C2404B">
        <w:rPr>
          <w:rFonts w:ascii="Times New Roman" w:hAnsi="Times New Roman" w:cs="Times New Roman"/>
          <w:sz w:val="20"/>
          <w:szCs w:val="20"/>
        </w:rPr>
        <w:t>Hochst</w:t>
      </w:r>
      <w:proofErr w:type="spellEnd"/>
      <w:r w:rsidRPr="00C2404B">
        <w:rPr>
          <w:rFonts w:ascii="Times New Roman" w:hAnsi="Times New Roman" w:cs="Times New Roman"/>
          <w:sz w:val="20"/>
          <w:szCs w:val="20"/>
        </w:rPr>
        <w:t xml:space="preserve">. ex </w:t>
      </w:r>
      <w:proofErr w:type="spellStart"/>
      <w:r w:rsidRPr="00C2404B">
        <w:rPr>
          <w:rFonts w:ascii="Times New Roman" w:hAnsi="Times New Roman" w:cs="Times New Roman"/>
          <w:sz w:val="20"/>
          <w:szCs w:val="20"/>
        </w:rPr>
        <w:t>Steud</w:t>
      </w:r>
      <w:proofErr w:type="spellEnd"/>
      <w:r w:rsidRPr="00C2404B">
        <w:rPr>
          <w:rFonts w:ascii="Times New Roman" w:hAnsi="Times New Roman" w:cs="Times New Roman"/>
          <w:sz w:val="20"/>
          <w:szCs w:val="20"/>
        </w:rPr>
        <w:t>. against diazepam-induced amnesia in mice. Bulletin of the National Research Centre. https://doi</w:t>
      </w:r>
      <w:r>
        <w:rPr>
          <w:rFonts w:ascii="Times New Roman" w:hAnsi="Times New Roman" w:cs="Times New Roman"/>
          <w:sz w:val="20"/>
          <w:szCs w:val="20"/>
        </w:rPr>
        <w:t>.org/10.1186/S42269-022-00800-5</w:t>
      </w:r>
    </w:p>
    <w:p w14:paraId="31ABB2F2"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Yuan, Y., Li, S., Wu, L., &amp; Wang, J. (2024). The efficient method to get better raw brain signal on rat anesthetics experiment. Journal of Pharmacological and Toxicological Methods, 129, 107551. https://doi.</w:t>
      </w:r>
      <w:r>
        <w:rPr>
          <w:rFonts w:ascii="Times New Roman" w:hAnsi="Times New Roman" w:cs="Times New Roman"/>
          <w:sz w:val="20"/>
          <w:szCs w:val="20"/>
        </w:rPr>
        <w:t>org/10.1016/j.vascn.2024.107551</w:t>
      </w:r>
    </w:p>
    <w:p w14:paraId="22FCC283" w14:textId="77777777" w:rsidR="00464A40" w:rsidRPr="00C2404B" w:rsidRDefault="00464A40" w:rsidP="00464A40">
      <w:pPr>
        <w:spacing w:before="240" w:line="240" w:lineRule="auto"/>
        <w:jc w:val="both"/>
        <w:rPr>
          <w:rFonts w:ascii="Times New Roman" w:hAnsi="Times New Roman" w:cs="Times New Roman"/>
          <w:sz w:val="20"/>
          <w:szCs w:val="20"/>
        </w:rPr>
      </w:pPr>
      <w:r w:rsidRPr="00C2404B">
        <w:rPr>
          <w:rFonts w:ascii="Times New Roman" w:hAnsi="Times New Roman" w:cs="Times New Roman"/>
          <w:sz w:val="20"/>
          <w:szCs w:val="20"/>
        </w:rPr>
        <w:t xml:space="preserve">Zailani, S. B., </w:t>
      </w:r>
      <w:proofErr w:type="spellStart"/>
      <w:r w:rsidRPr="00C2404B">
        <w:rPr>
          <w:rFonts w:ascii="Times New Roman" w:hAnsi="Times New Roman" w:cs="Times New Roman"/>
          <w:sz w:val="20"/>
          <w:szCs w:val="20"/>
        </w:rPr>
        <w:t>Shuiabu</w:t>
      </w:r>
      <w:proofErr w:type="spellEnd"/>
      <w:r w:rsidRPr="00C2404B">
        <w:rPr>
          <w:rFonts w:ascii="Times New Roman" w:hAnsi="Times New Roman" w:cs="Times New Roman"/>
          <w:sz w:val="20"/>
          <w:szCs w:val="20"/>
        </w:rPr>
        <w:t>, Y. U., Adamu, M. B., Mudathir, Q., Zakari, N. D., Lawal, A. S., &amp; Muhammad, L. (2024). Assessment of antimicrobial activities of some selected medicinal plants used in the treatment of skin and wound infection in Bauchi town, Bauchi State, Nigeria. European Journal of Medicinal Plants, 35, 42–56. https://doi.org/10.9734/ejmp/2024/v35i41197</w:t>
      </w:r>
    </w:p>
    <w:p w14:paraId="55BED1D6" w14:textId="77777777" w:rsidR="00464A40" w:rsidRPr="0034748F" w:rsidRDefault="00464A40" w:rsidP="00464A40">
      <w:pPr>
        <w:spacing w:before="240" w:line="240" w:lineRule="auto"/>
        <w:jc w:val="both"/>
        <w:rPr>
          <w:rFonts w:ascii="Times New Roman" w:hAnsi="Times New Roman" w:cs="Times New Roman"/>
          <w:b/>
          <w:sz w:val="20"/>
          <w:szCs w:val="20"/>
        </w:rPr>
      </w:pPr>
    </w:p>
    <w:p w14:paraId="1484EC11" w14:textId="77777777" w:rsidR="00A7459F" w:rsidRDefault="00A7459F"/>
    <w:sectPr w:rsidR="00A745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E0D4" w14:textId="77777777" w:rsidR="00B85A20" w:rsidRDefault="00B85A20" w:rsidP="007C4B28">
      <w:pPr>
        <w:spacing w:after="0" w:line="240" w:lineRule="auto"/>
      </w:pPr>
      <w:r>
        <w:separator/>
      </w:r>
    </w:p>
  </w:endnote>
  <w:endnote w:type="continuationSeparator" w:id="0">
    <w:p w14:paraId="6C0288E6" w14:textId="77777777" w:rsidR="00B85A20" w:rsidRDefault="00B85A20" w:rsidP="007C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FCAE" w14:textId="77777777" w:rsidR="007C4B28" w:rsidRDefault="007C4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3DFF" w14:textId="77777777" w:rsidR="007C4B28" w:rsidRDefault="007C4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9B84" w14:textId="77777777" w:rsidR="007C4B28" w:rsidRDefault="007C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BACC" w14:textId="77777777" w:rsidR="00B85A20" w:rsidRDefault="00B85A20" w:rsidP="007C4B28">
      <w:pPr>
        <w:spacing w:after="0" w:line="240" w:lineRule="auto"/>
      </w:pPr>
      <w:r>
        <w:separator/>
      </w:r>
    </w:p>
  </w:footnote>
  <w:footnote w:type="continuationSeparator" w:id="0">
    <w:p w14:paraId="395C6A62" w14:textId="77777777" w:rsidR="00B85A20" w:rsidRDefault="00B85A20" w:rsidP="007C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6728" w14:textId="00F3E23A" w:rsidR="007C4B28" w:rsidRDefault="007C4B28">
    <w:pPr>
      <w:pStyle w:val="Header"/>
    </w:pPr>
    <w:r>
      <w:rPr>
        <w:noProof/>
      </w:rPr>
      <w:pict w14:anchorId="5625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1450" w14:textId="772BB19E" w:rsidR="007C4B28" w:rsidRDefault="007C4B28">
    <w:pPr>
      <w:pStyle w:val="Header"/>
    </w:pPr>
    <w:r>
      <w:rPr>
        <w:noProof/>
      </w:rPr>
      <w:pict w14:anchorId="7187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1778" w14:textId="3DD863FD" w:rsidR="007C4B28" w:rsidRDefault="007C4B28">
    <w:pPr>
      <w:pStyle w:val="Header"/>
    </w:pPr>
    <w:r>
      <w:rPr>
        <w:noProof/>
      </w:rPr>
      <w:pict w14:anchorId="6D785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B06"/>
    <w:multiLevelType w:val="hybridMultilevel"/>
    <w:tmpl w:val="55DE82B6"/>
    <w:lvl w:ilvl="0" w:tplc="0832B5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40"/>
    <w:rsid w:val="000D6AAA"/>
    <w:rsid w:val="00464A40"/>
    <w:rsid w:val="007C4B28"/>
    <w:rsid w:val="00801B75"/>
    <w:rsid w:val="009B7B8C"/>
    <w:rsid w:val="00A7459F"/>
    <w:rsid w:val="00B85A20"/>
    <w:rsid w:val="00BF1BC2"/>
    <w:rsid w:val="00D75956"/>
    <w:rsid w:val="00D8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67CF48"/>
  <w15:chartTrackingRefBased/>
  <w15:docId w15:val="{A66955F6-75D1-49BA-8329-B4972A1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A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64A40"/>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464A40"/>
    <w:pPr>
      <w:spacing w:after="240" w:line="240" w:lineRule="exact"/>
      <w:jc w:val="right"/>
    </w:pPr>
    <w:rPr>
      <w:rFonts w:ascii="Helvetica" w:eastAsia="Times New Roman" w:hAnsi="Helvetica" w:cs="Times New Roman"/>
      <w:kern w:val="0"/>
      <w:sz w:val="20"/>
      <w:szCs w:val="20"/>
      <w14:ligatures w14:val="none"/>
    </w:rPr>
  </w:style>
  <w:style w:type="paragraph" w:customStyle="1" w:styleId="AbstHead">
    <w:name w:val="Abst Head"/>
    <w:basedOn w:val="Normal"/>
    <w:rsid w:val="00464A40"/>
    <w:pPr>
      <w:keepNext/>
      <w:spacing w:after="240" w:line="240" w:lineRule="auto"/>
    </w:pPr>
    <w:rPr>
      <w:rFonts w:ascii="Helvetica" w:eastAsia="Times New Roman" w:hAnsi="Helvetica" w:cs="Times New Roman"/>
      <w:b/>
      <w:caps/>
      <w:kern w:val="0"/>
      <w:sz w:val="22"/>
      <w:szCs w:val="20"/>
      <w14:ligatures w14:val="none"/>
    </w:rPr>
  </w:style>
  <w:style w:type="paragraph" w:customStyle="1" w:styleId="Body">
    <w:name w:val="Body"/>
    <w:basedOn w:val="Normal"/>
    <w:rsid w:val="00464A40"/>
    <w:pPr>
      <w:spacing w:after="240" w:line="240" w:lineRule="auto"/>
      <w:jc w:val="both"/>
    </w:pPr>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801B75"/>
    <w:rPr>
      <w:color w:val="0563C1" w:themeColor="hyperlink"/>
      <w:u w:val="single"/>
    </w:rPr>
  </w:style>
  <w:style w:type="character" w:styleId="UnresolvedMention">
    <w:name w:val="Unresolved Mention"/>
    <w:basedOn w:val="DefaultParagraphFont"/>
    <w:uiPriority w:val="99"/>
    <w:semiHidden/>
    <w:unhideWhenUsed/>
    <w:rsid w:val="00801B75"/>
    <w:rPr>
      <w:color w:val="605E5C"/>
      <w:shd w:val="clear" w:color="auto" w:fill="E1DFDD"/>
    </w:rPr>
  </w:style>
  <w:style w:type="paragraph" w:styleId="Header">
    <w:name w:val="header"/>
    <w:basedOn w:val="Normal"/>
    <w:link w:val="HeaderChar"/>
    <w:uiPriority w:val="99"/>
    <w:unhideWhenUsed/>
    <w:rsid w:val="007C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B28"/>
  </w:style>
  <w:style w:type="paragraph" w:styleId="Footer">
    <w:name w:val="footer"/>
    <w:basedOn w:val="Normal"/>
    <w:link w:val="FooterChar"/>
    <w:uiPriority w:val="99"/>
    <w:unhideWhenUsed/>
    <w:rsid w:val="007C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5002</Words>
  <Characters>28518</Characters>
  <Application>Microsoft Office Word</Application>
  <DocSecurity>0</DocSecurity>
  <Lines>237</Lines>
  <Paragraphs>66</Paragraphs>
  <ScaleCrop>false</ScaleCrop>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1084</cp:lastModifiedBy>
  <cp:revision>10</cp:revision>
  <dcterms:created xsi:type="dcterms:W3CDTF">2026-02-21T13:28:00Z</dcterms:created>
  <dcterms:modified xsi:type="dcterms:W3CDTF">2026-02-24T07:56:00Z</dcterms:modified>
</cp:coreProperties>
</file>