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41FDE" w14:textId="62043C12" w:rsidR="00576C90" w:rsidRDefault="00576C90" w:rsidP="0048387A">
      <w:pPr>
        <w:spacing w:line="360" w:lineRule="auto"/>
        <w:jc w:val="center"/>
        <w:rPr>
          <w:rFonts w:ascii="Arial" w:hAnsi="Arial" w:cs="Arial"/>
          <w:b/>
          <w:sz w:val="24"/>
          <w:szCs w:val="24"/>
        </w:rPr>
      </w:pPr>
      <w:r>
        <w:rPr>
          <w:rFonts w:ascii="Arial" w:hAnsi="Arial" w:cs="Arial"/>
        </w:rPr>
        <w:t>Original Research Article</w:t>
      </w:r>
    </w:p>
    <w:p w14:paraId="42C148D6" w14:textId="34FE30D5" w:rsidR="0048387A" w:rsidRPr="0048387A" w:rsidRDefault="0048387A" w:rsidP="0048387A">
      <w:pPr>
        <w:spacing w:line="360" w:lineRule="auto"/>
        <w:jc w:val="center"/>
        <w:rPr>
          <w:rFonts w:ascii="Arial" w:hAnsi="Arial" w:cs="Arial"/>
          <w:b/>
          <w:sz w:val="24"/>
          <w:szCs w:val="24"/>
        </w:rPr>
      </w:pPr>
      <w:r w:rsidRPr="0048387A">
        <w:rPr>
          <w:rFonts w:ascii="Arial" w:hAnsi="Arial" w:cs="Arial"/>
          <w:b/>
          <w:sz w:val="24"/>
          <w:szCs w:val="24"/>
        </w:rPr>
        <w:t>Evaluation of Two Shade Tabs Placement Positions and Ability of Different Cadres of Dental Staff to Perform Shade Selection Procedure</w:t>
      </w:r>
    </w:p>
    <w:p w14:paraId="6DA762C5" w14:textId="77777777" w:rsidR="00A258C3" w:rsidRPr="00790ADA" w:rsidRDefault="00A258C3" w:rsidP="00441B6F">
      <w:pPr>
        <w:pStyle w:val="Author"/>
        <w:spacing w:line="240" w:lineRule="auto"/>
        <w:jc w:val="both"/>
        <w:rPr>
          <w:rFonts w:ascii="Arial" w:hAnsi="Arial" w:cs="Arial"/>
          <w:sz w:val="36"/>
        </w:rPr>
      </w:pPr>
    </w:p>
    <w:p w14:paraId="1AF4C41E" w14:textId="2B90CB44" w:rsidR="00633614" w:rsidRDefault="00633614" w:rsidP="00441B6F">
      <w:pPr>
        <w:pStyle w:val="Affiliation"/>
        <w:spacing w:after="0" w:line="240" w:lineRule="auto"/>
        <w:rPr>
          <w:rFonts w:ascii="Arial" w:hAnsi="Arial" w:cs="Arial"/>
          <w:i/>
        </w:rPr>
      </w:pPr>
    </w:p>
    <w:p w14:paraId="3B14658D" w14:textId="77777777" w:rsidR="00790ADA" w:rsidRDefault="00790ADA" w:rsidP="00441B6F">
      <w:pPr>
        <w:pStyle w:val="Affiliation"/>
        <w:spacing w:after="0" w:line="240" w:lineRule="auto"/>
        <w:jc w:val="both"/>
        <w:rPr>
          <w:rFonts w:ascii="Arial" w:hAnsi="Arial" w:cs="Arial"/>
        </w:rPr>
      </w:pPr>
    </w:p>
    <w:p w14:paraId="1888A3F9" w14:textId="77777777" w:rsidR="002C57D2" w:rsidRPr="00FB3A86" w:rsidRDefault="002C57D2" w:rsidP="00441B6F">
      <w:pPr>
        <w:pStyle w:val="Affiliation"/>
        <w:spacing w:after="0" w:line="240" w:lineRule="auto"/>
        <w:jc w:val="both"/>
        <w:rPr>
          <w:rFonts w:ascii="Arial" w:hAnsi="Arial" w:cs="Arial"/>
        </w:rPr>
      </w:pPr>
    </w:p>
    <w:p w14:paraId="4D074173" w14:textId="77777777" w:rsidR="00B01FCD" w:rsidRPr="00FB3A86" w:rsidRDefault="009814BC" w:rsidP="00441B6F">
      <w:pPr>
        <w:pStyle w:val="Copyright"/>
        <w:spacing w:after="0" w:line="240" w:lineRule="auto"/>
        <w:jc w:val="both"/>
        <w:rPr>
          <w:rFonts w:ascii="Arial" w:hAnsi="Arial" w:cs="Arial"/>
        </w:rPr>
        <w:sectPr w:rsidR="00B01FCD" w:rsidRPr="00FB3A86" w:rsidSect="000E3D7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9461182">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2A66C93F" w14:textId="37ABBC2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443420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61C30A9" w14:textId="77777777" w:rsidTr="001E44FE">
        <w:tc>
          <w:tcPr>
            <w:tcW w:w="9576" w:type="dxa"/>
            <w:shd w:val="clear" w:color="auto" w:fill="F2F2F2"/>
          </w:tcPr>
          <w:p w14:paraId="69FAC5EB" w14:textId="77777777" w:rsidR="00A03B96" w:rsidRDefault="00A03B96" w:rsidP="00441B6F">
            <w:pPr>
              <w:pStyle w:val="Body"/>
              <w:spacing w:after="0"/>
              <w:rPr>
                <w:rFonts w:ascii="Arial" w:eastAsia="Calibri" w:hAnsi="Arial" w:cs="Arial"/>
                <w:szCs w:val="22"/>
              </w:rPr>
            </w:pPr>
          </w:p>
          <w:p w14:paraId="4BFAC02F" w14:textId="77777777" w:rsidR="003F5B61" w:rsidRPr="003F5B61" w:rsidRDefault="003F5B61" w:rsidP="003F5B61">
            <w:pPr>
              <w:spacing w:line="480" w:lineRule="auto"/>
              <w:jc w:val="both"/>
              <w:rPr>
                <w:rFonts w:ascii="Arial" w:hAnsi="Arial" w:cs="Arial"/>
                <w:sz w:val="22"/>
                <w:szCs w:val="22"/>
              </w:rPr>
            </w:pPr>
            <w:r w:rsidRPr="003F5B61">
              <w:rPr>
                <w:rFonts w:ascii="Arial" w:hAnsi="Arial" w:cs="Arial"/>
                <w:b/>
                <w:sz w:val="22"/>
                <w:szCs w:val="22"/>
              </w:rPr>
              <w:t xml:space="preserve">Aims: </w:t>
            </w:r>
            <w:r w:rsidRPr="003F5B61">
              <w:rPr>
                <w:rFonts w:ascii="Arial" w:hAnsi="Arial" w:cs="Arial"/>
                <w:sz w:val="22"/>
                <w:szCs w:val="22"/>
              </w:rPr>
              <w:t xml:space="preserve">to assess the influence of shade tabs placement position on accuracy of tooth shade determination and to compare the shade selection ability of dental students, dental surgery technicians (DSTs), registrars and senior registrars (SRs). </w:t>
            </w:r>
          </w:p>
          <w:p w14:paraId="6DABB6E5" w14:textId="77777777" w:rsidR="003F5B61" w:rsidRPr="003F5B61" w:rsidRDefault="003F5B61" w:rsidP="003F5B61">
            <w:pPr>
              <w:spacing w:line="480" w:lineRule="auto"/>
              <w:jc w:val="both"/>
              <w:rPr>
                <w:rFonts w:ascii="Arial" w:hAnsi="Arial" w:cs="Arial"/>
                <w:sz w:val="22"/>
                <w:szCs w:val="22"/>
              </w:rPr>
            </w:pPr>
            <w:r w:rsidRPr="003F5B61">
              <w:rPr>
                <w:rFonts w:ascii="Arial" w:hAnsi="Arial" w:cs="Arial"/>
                <w:b/>
                <w:bCs/>
                <w:sz w:val="22"/>
                <w:szCs w:val="22"/>
              </w:rPr>
              <w:t xml:space="preserve">Study Design: </w:t>
            </w:r>
            <w:r w:rsidRPr="003F5B61">
              <w:rPr>
                <w:rFonts w:ascii="Arial" w:hAnsi="Arial" w:cs="Arial"/>
                <w:sz w:val="22"/>
                <w:szCs w:val="22"/>
              </w:rPr>
              <w:t>Cross-sectional</w:t>
            </w:r>
          </w:p>
          <w:p w14:paraId="6F9457A4" w14:textId="77777777" w:rsidR="003F5B61" w:rsidRPr="003F5B61" w:rsidRDefault="003F5B61" w:rsidP="003F5B61">
            <w:pPr>
              <w:spacing w:line="480" w:lineRule="auto"/>
              <w:jc w:val="both"/>
              <w:rPr>
                <w:rFonts w:ascii="Arial" w:hAnsi="Arial" w:cs="Arial"/>
                <w:b/>
                <w:bCs/>
                <w:sz w:val="22"/>
                <w:szCs w:val="22"/>
              </w:rPr>
            </w:pPr>
            <w:r w:rsidRPr="003F5B61">
              <w:rPr>
                <w:rFonts w:ascii="Arial" w:hAnsi="Arial" w:cs="Arial"/>
                <w:b/>
                <w:bCs/>
                <w:sz w:val="22"/>
                <w:szCs w:val="22"/>
              </w:rPr>
              <w:t xml:space="preserve">Place and Duration of Study: </w:t>
            </w:r>
            <w:r w:rsidRPr="003F5B61">
              <w:rPr>
                <w:rFonts w:ascii="Arial" w:hAnsi="Arial" w:cs="Arial"/>
                <w:sz w:val="22"/>
                <w:szCs w:val="22"/>
              </w:rPr>
              <w:t>Department of Restorative Dentistry, University of Port Harcourt Teaching Hospital, between December 2005 and January 2026</w:t>
            </w:r>
          </w:p>
          <w:p w14:paraId="28F31083" w14:textId="77777777" w:rsidR="003F5B61" w:rsidRPr="003F5B61" w:rsidRDefault="003F5B61" w:rsidP="003F5B61">
            <w:pPr>
              <w:shd w:val="clear" w:color="auto" w:fill="FFFFFF"/>
              <w:spacing w:before="240" w:after="240" w:line="480" w:lineRule="auto"/>
              <w:jc w:val="both"/>
              <w:rPr>
                <w:rFonts w:ascii="Arial" w:hAnsi="Arial" w:cs="Arial"/>
                <w:sz w:val="22"/>
                <w:szCs w:val="22"/>
              </w:rPr>
            </w:pPr>
            <w:r w:rsidRPr="003F5B61">
              <w:rPr>
                <w:rFonts w:ascii="Arial" w:hAnsi="Arial" w:cs="Arial"/>
                <w:b/>
                <w:bCs/>
                <w:sz w:val="22"/>
                <w:szCs w:val="22"/>
              </w:rPr>
              <w:t xml:space="preserve">Methodology: </w:t>
            </w:r>
            <w:r w:rsidRPr="003F5B61">
              <w:rPr>
                <w:rFonts w:ascii="Arial" w:hAnsi="Arial" w:cs="Arial"/>
                <w:sz w:val="22"/>
                <w:szCs w:val="22"/>
              </w:rPr>
              <w:t>Six</w:t>
            </w:r>
            <w:r w:rsidRPr="003F5B61">
              <w:rPr>
                <w:rFonts w:ascii="Arial" w:hAnsi="Arial" w:cs="Arial"/>
                <w:b/>
                <w:bCs/>
                <w:sz w:val="22"/>
                <w:szCs w:val="22"/>
              </w:rPr>
              <w:t xml:space="preserve"> </w:t>
            </w:r>
            <w:r w:rsidRPr="003F5B61">
              <w:rPr>
                <w:rFonts w:ascii="Arial" w:hAnsi="Arial" w:cs="Arial"/>
                <w:sz w:val="22"/>
                <w:szCs w:val="22"/>
              </w:rPr>
              <w:t>participants each from among</w:t>
            </w:r>
            <w:r w:rsidRPr="003F5B61">
              <w:rPr>
                <w:rFonts w:ascii="Arial" w:hAnsi="Arial" w:cs="Arial"/>
                <w:b/>
                <w:bCs/>
                <w:sz w:val="22"/>
                <w:szCs w:val="22"/>
              </w:rPr>
              <w:t>:</w:t>
            </w:r>
            <w:r w:rsidRPr="003F5B61">
              <w:rPr>
                <w:rFonts w:ascii="Arial" w:hAnsi="Arial" w:cs="Arial"/>
                <w:color w:val="000000"/>
                <w:sz w:val="22"/>
                <w:szCs w:val="22"/>
                <w:lang w:val="en-GB"/>
              </w:rPr>
              <w:t xml:space="preserve"> dental students, DSTs, registrars and SRs were requested to match shade A1, B2 and C2 in a bench setting using vita Classica. They were divided into two groups, A &amp; B. In group A, the shade tab being matched is placed by the side of the reference shade tab on the shade guide while in group B the shade tab is placed parallel and close to the edge of the chosen shade tab. </w:t>
            </w:r>
            <w:r w:rsidRPr="003F5B61">
              <w:rPr>
                <w:rFonts w:ascii="Arial" w:hAnsi="Arial" w:cs="Arial"/>
                <w:sz w:val="22"/>
                <w:szCs w:val="22"/>
              </w:rPr>
              <w:t xml:space="preserve">The percentage of correct response and the mean were obtained. The mean was compared between the two groups (Independent T-test), and within each group (ANOVA). </w:t>
            </w:r>
            <w:r w:rsidRPr="003F5B61">
              <w:rPr>
                <w:rFonts w:ascii="Arial" w:hAnsi="Arial" w:cs="Arial"/>
                <w:i/>
                <w:iCs/>
                <w:sz w:val="22"/>
                <w:szCs w:val="22"/>
              </w:rPr>
              <w:t>P</w:t>
            </w:r>
            <w:r w:rsidRPr="003F5B61">
              <w:rPr>
                <w:rFonts w:ascii="Arial" w:hAnsi="Arial" w:cs="Arial"/>
                <w:sz w:val="22"/>
                <w:szCs w:val="22"/>
              </w:rPr>
              <w:t xml:space="preserve"> was set at 0.05. </w:t>
            </w:r>
          </w:p>
          <w:p w14:paraId="0FCD34A7" w14:textId="77777777" w:rsidR="003F5B61" w:rsidRPr="003F5B61" w:rsidRDefault="003F5B61" w:rsidP="003F5B61">
            <w:pPr>
              <w:shd w:val="clear" w:color="auto" w:fill="FFFFFF"/>
              <w:spacing w:before="240" w:after="240" w:line="480" w:lineRule="auto"/>
              <w:jc w:val="both"/>
              <w:rPr>
                <w:rFonts w:ascii="Arial" w:hAnsi="Arial" w:cs="Arial"/>
                <w:sz w:val="22"/>
                <w:szCs w:val="22"/>
              </w:rPr>
            </w:pPr>
            <w:r w:rsidRPr="003F5B61">
              <w:rPr>
                <w:rFonts w:ascii="Arial" w:hAnsi="Arial" w:cs="Arial"/>
                <w:b/>
                <w:bCs/>
                <w:sz w:val="22"/>
                <w:szCs w:val="22"/>
              </w:rPr>
              <w:t>Results:</w:t>
            </w:r>
            <w:r w:rsidRPr="003F5B61">
              <w:rPr>
                <w:rFonts w:ascii="Arial" w:hAnsi="Arial" w:cs="Arial"/>
                <w:sz w:val="22"/>
                <w:szCs w:val="22"/>
              </w:rPr>
              <w:t xml:space="preserve"> Two students in group A and none in group B correctly identified shade A1. One student in group A identified each of B2 and C2. Two DSTs (66.67%) in group A and 1 in group B, identified shade 1. One DST in group A identified shade </w:t>
            </w:r>
            <w:r w:rsidRPr="003F5B61">
              <w:rPr>
                <w:rFonts w:ascii="Arial" w:hAnsi="Arial" w:cs="Arial"/>
                <w:sz w:val="22"/>
                <w:szCs w:val="22"/>
              </w:rPr>
              <w:lastRenderedPageBreak/>
              <w:t>2. Two registrars in group B identified shade 1 and two in group A identified B2. In group B, all the SRs identified shade 1 and one identified shade 2. In group A, 1 identified C2 correctly. There was no statistically significant difference in the mean percent score of correct response between the groups (</w:t>
            </w:r>
            <w:r w:rsidRPr="003F5B61">
              <w:rPr>
                <w:rFonts w:ascii="Arial" w:hAnsi="Arial" w:cs="Arial"/>
                <w:i/>
                <w:iCs/>
                <w:sz w:val="22"/>
                <w:szCs w:val="22"/>
              </w:rPr>
              <w:t>P</w:t>
            </w:r>
            <w:r w:rsidRPr="003F5B61">
              <w:rPr>
                <w:rFonts w:ascii="Arial" w:hAnsi="Arial" w:cs="Arial"/>
                <w:sz w:val="22"/>
                <w:szCs w:val="22"/>
              </w:rPr>
              <w:t>=</w:t>
            </w:r>
            <w:r w:rsidRPr="003F5B61">
              <w:rPr>
                <w:rFonts w:ascii="Arial" w:hAnsi="Arial" w:cs="Arial"/>
                <w:color w:val="000000"/>
                <w:sz w:val="22"/>
                <w:szCs w:val="22"/>
              </w:rPr>
              <w:t>0.512</w:t>
            </w:r>
            <w:r w:rsidRPr="003F5B61">
              <w:rPr>
                <w:rFonts w:ascii="Arial" w:hAnsi="Arial" w:cs="Arial"/>
                <w:sz w:val="22"/>
                <w:szCs w:val="22"/>
              </w:rPr>
              <w:t>) and across the categories in groups A (</w:t>
            </w:r>
            <w:r w:rsidRPr="003F5B61">
              <w:rPr>
                <w:rFonts w:ascii="Arial" w:hAnsi="Arial" w:cs="Arial"/>
                <w:i/>
                <w:iCs/>
                <w:sz w:val="22"/>
                <w:szCs w:val="22"/>
              </w:rPr>
              <w:t>P</w:t>
            </w:r>
            <w:r w:rsidRPr="003F5B61">
              <w:rPr>
                <w:rFonts w:ascii="Arial" w:hAnsi="Arial" w:cs="Arial"/>
                <w:sz w:val="22"/>
                <w:szCs w:val="22"/>
              </w:rPr>
              <w:t>=</w:t>
            </w:r>
            <w:r w:rsidRPr="003F5B61">
              <w:rPr>
                <w:rFonts w:ascii="Arial" w:hAnsi="Arial" w:cs="Arial"/>
                <w:color w:val="000000"/>
                <w:sz w:val="22"/>
                <w:szCs w:val="22"/>
              </w:rPr>
              <w:t>0.557</w:t>
            </w:r>
            <w:r w:rsidRPr="003F5B61">
              <w:rPr>
                <w:rFonts w:ascii="Arial" w:hAnsi="Arial" w:cs="Arial"/>
                <w:sz w:val="22"/>
                <w:szCs w:val="22"/>
              </w:rPr>
              <w:t>) and B (</w:t>
            </w:r>
            <w:r w:rsidRPr="003F5B61">
              <w:rPr>
                <w:rFonts w:ascii="Arial" w:hAnsi="Arial" w:cs="Arial"/>
                <w:i/>
                <w:iCs/>
                <w:sz w:val="22"/>
                <w:szCs w:val="22"/>
              </w:rPr>
              <w:t>P</w:t>
            </w:r>
            <w:r w:rsidRPr="003F5B61">
              <w:rPr>
                <w:rFonts w:ascii="Arial" w:hAnsi="Arial" w:cs="Arial"/>
                <w:sz w:val="22"/>
                <w:szCs w:val="22"/>
              </w:rPr>
              <w:t>=</w:t>
            </w:r>
            <w:r w:rsidRPr="003F5B61">
              <w:rPr>
                <w:rFonts w:ascii="Arial" w:hAnsi="Arial" w:cs="Arial"/>
                <w:color w:val="000000"/>
                <w:sz w:val="22"/>
                <w:szCs w:val="22"/>
              </w:rPr>
              <w:t>0.565</w:t>
            </w:r>
            <w:r w:rsidRPr="003F5B61">
              <w:rPr>
                <w:rFonts w:ascii="Arial" w:hAnsi="Arial" w:cs="Arial"/>
                <w:sz w:val="22"/>
                <w:szCs w:val="22"/>
              </w:rPr>
              <w:t>).</w:t>
            </w:r>
          </w:p>
          <w:p w14:paraId="64AC6E9C" w14:textId="4BEBD88D" w:rsidR="003F5B61" w:rsidRPr="00BA1B01" w:rsidRDefault="003F5B61" w:rsidP="003F5B61">
            <w:pPr>
              <w:spacing w:line="480" w:lineRule="auto"/>
              <w:jc w:val="both"/>
              <w:rPr>
                <w:rFonts w:ascii="Arial" w:eastAsia="Calibri" w:hAnsi="Arial" w:cs="Arial"/>
                <w:szCs w:val="22"/>
              </w:rPr>
            </w:pPr>
            <w:r w:rsidRPr="008E32B7">
              <w:rPr>
                <w:rFonts w:ascii="Arial" w:hAnsi="Arial" w:cs="Arial"/>
                <w:b/>
                <w:bCs/>
                <w:sz w:val="24"/>
                <w:szCs w:val="24"/>
              </w:rPr>
              <w:t xml:space="preserve">Conclusion: </w:t>
            </w:r>
            <w:r>
              <w:rPr>
                <w:rFonts w:ascii="Arial" w:hAnsi="Arial" w:cs="Arial"/>
                <w:sz w:val="24"/>
                <w:szCs w:val="24"/>
              </w:rPr>
              <w:t>S</w:t>
            </w:r>
            <w:r w:rsidRPr="008E32B7">
              <w:rPr>
                <w:rFonts w:ascii="Arial" w:hAnsi="Arial" w:cs="Arial"/>
                <w:sz w:val="24"/>
                <w:szCs w:val="24"/>
              </w:rPr>
              <w:t>hade tab placement position and professional background did not make a statistically significant impact on the final results.</w:t>
            </w:r>
          </w:p>
        </w:tc>
      </w:tr>
    </w:tbl>
    <w:p w14:paraId="4283A301" w14:textId="77777777" w:rsidR="00636EB2" w:rsidRDefault="00636EB2" w:rsidP="00441B6F">
      <w:pPr>
        <w:pStyle w:val="Body"/>
        <w:spacing w:after="0"/>
        <w:rPr>
          <w:rFonts w:ascii="Arial" w:hAnsi="Arial" w:cs="Arial"/>
          <w:i/>
        </w:rPr>
      </w:pPr>
    </w:p>
    <w:p w14:paraId="4F112E83" w14:textId="49043450" w:rsidR="00A24E7E" w:rsidRDefault="00A24E7E" w:rsidP="00441B6F">
      <w:pPr>
        <w:pStyle w:val="Body"/>
        <w:spacing w:after="0"/>
        <w:rPr>
          <w:rFonts w:ascii="Arial" w:hAnsi="Arial" w:cs="Arial"/>
          <w:i/>
        </w:rPr>
      </w:pPr>
      <w:r>
        <w:rPr>
          <w:rFonts w:ascii="Arial" w:hAnsi="Arial" w:cs="Arial"/>
          <w:i/>
        </w:rPr>
        <w:t>Keywords: [</w:t>
      </w:r>
      <w:r w:rsidR="00F37D36" w:rsidRPr="00F37D36">
        <w:rPr>
          <w:rFonts w:ascii="Arial" w:hAnsi="Arial" w:cs="Arial"/>
        </w:rPr>
        <w:t>Education, Shade guide, shade matching, Tooth shade selection</w:t>
      </w:r>
      <w:r>
        <w:rPr>
          <w:rFonts w:ascii="Arial" w:hAnsi="Arial" w:cs="Arial"/>
          <w:i/>
        </w:rPr>
        <w:t>}</w:t>
      </w:r>
      <w:r w:rsidR="0066510A">
        <w:rPr>
          <w:rFonts w:ascii="Arial" w:hAnsi="Arial" w:cs="Arial"/>
          <w:i/>
        </w:rPr>
        <w:t xml:space="preserve"> </w:t>
      </w:r>
    </w:p>
    <w:p w14:paraId="61322690" w14:textId="3C7207CE" w:rsidR="00790ADA" w:rsidRDefault="00790ADA" w:rsidP="00441B6F">
      <w:pPr>
        <w:pStyle w:val="Body"/>
        <w:spacing w:after="0"/>
        <w:rPr>
          <w:rFonts w:ascii="Arial" w:hAnsi="Arial" w:cs="Arial"/>
          <w:i/>
        </w:rPr>
      </w:pPr>
    </w:p>
    <w:p w14:paraId="14CAC102" w14:textId="77777777" w:rsidR="00F37D36" w:rsidRDefault="00F37D36" w:rsidP="00441B6F">
      <w:pPr>
        <w:pStyle w:val="Body"/>
        <w:spacing w:after="0"/>
        <w:rPr>
          <w:rFonts w:ascii="Arial" w:hAnsi="Arial" w:cs="Arial"/>
          <w:i/>
        </w:rPr>
      </w:pPr>
    </w:p>
    <w:p w14:paraId="1FD7EF00" w14:textId="77777777" w:rsidR="0024282C" w:rsidRDefault="0024282C" w:rsidP="00441B6F">
      <w:pPr>
        <w:pStyle w:val="Body"/>
        <w:spacing w:after="0"/>
        <w:rPr>
          <w:rFonts w:ascii="Arial" w:hAnsi="Arial" w:cs="Arial"/>
          <w:i/>
          <w:sz w:val="18"/>
        </w:rPr>
      </w:pPr>
    </w:p>
    <w:p w14:paraId="39F89A8F" w14:textId="77777777" w:rsidR="00505F06" w:rsidRPr="00A24E7E" w:rsidRDefault="00505F06" w:rsidP="00441B6F">
      <w:pPr>
        <w:pStyle w:val="Body"/>
        <w:spacing w:after="0"/>
        <w:rPr>
          <w:rFonts w:ascii="Arial" w:hAnsi="Arial" w:cs="Arial"/>
          <w:i/>
        </w:rPr>
      </w:pPr>
    </w:p>
    <w:p w14:paraId="114E2556" w14:textId="07C86C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DFB0F5B" w14:textId="77777777" w:rsidR="00790ADA" w:rsidRPr="00FB3A86" w:rsidRDefault="00790ADA" w:rsidP="00441B6F">
      <w:pPr>
        <w:pStyle w:val="AbstHead"/>
        <w:spacing w:after="0"/>
        <w:jc w:val="both"/>
        <w:rPr>
          <w:rFonts w:ascii="Arial" w:hAnsi="Arial" w:cs="Arial"/>
        </w:rPr>
      </w:pPr>
    </w:p>
    <w:p w14:paraId="372C16E0" w14:textId="1E6FD382" w:rsidR="00B01FCD" w:rsidRDefault="00B95236" w:rsidP="00EE3AD1">
      <w:pPr>
        <w:pStyle w:val="Body"/>
        <w:spacing w:after="0"/>
        <w:rPr>
          <w:rFonts w:ascii="Arial" w:hAnsi="Arial" w:cs="Arial"/>
        </w:rPr>
      </w:pPr>
      <w:r w:rsidRPr="00B95236">
        <w:rPr>
          <w:rFonts w:ascii="Arial" w:hAnsi="Arial" w:cs="Arial"/>
        </w:rPr>
        <w:t xml:space="preserve">. </w:t>
      </w:r>
    </w:p>
    <w:p w14:paraId="0AB18C40" w14:textId="77777777" w:rsidR="00EE3AD1" w:rsidRPr="00EE3AD1" w:rsidRDefault="00EE3AD1" w:rsidP="00EE3AD1">
      <w:pPr>
        <w:spacing w:line="480" w:lineRule="auto"/>
        <w:jc w:val="both"/>
        <w:rPr>
          <w:rFonts w:ascii="Times New Roman" w:hAnsi="Times New Roman"/>
          <w:bCs/>
          <w:sz w:val="22"/>
          <w:szCs w:val="22"/>
        </w:rPr>
      </w:pPr>
      <w:r w:rsidRPr="00EE3AD1">
        <w:rPr>
          <w:rFonts w:ascii="Times New Roman" w:hAnsi="Times New Roman"/>
          <w:bCs/>
          <w:sz w:val="22"/>
          <w:szCs w:val="22"/>
        </w:rPr>
        <w:t>Many patients are increasingly requesting for dental prosthesis that are perfectly in harmony with their natural tooth colour,</w:t>
      </w:r>
      <w:r w:rsidRPr="00EE3AD1">
        <w:rPr>
          <w:rFonts w:ascii="Times New Roman" w:hAnsi="Times New Roman"/>
          <w:bCs/>
          <w:sz w:val="22"/>
          <w:szCs w:val="22"/>
          <w:vertAlign w:val="superscript"/>
        </w:rPr>
        <w:t xml:space="preserve">1 </w:t>
      </w:r>
      <w:r w:rsidRPr="00EE3AD1">
        <w:rPr>
          <w:rFonts w:ascii="Times New Roman" w:hAnsi="Times New Roman"/>
          <w:bCs/>
          <w:sz w:val="22"/>
          <w:szCs w:val="22"/>
        </w:rPr>
        <w:t>and dentists are expected to provide aesthetic restorations that meet this requirement.</w:t>
      </w:r>
      <w:r w:rsidRPr="00EE3AD1">
        <w:rPr>
          <w:rFonts w:ascii="Times New Roman" w:hAnsi="Times New Roman"/>
          <w:bCs/>
          <w:sz w:val="22"/>
          <w:szCs w:val="22"/>
          <w:vertAlign w:val="superscript"/>
        </w:rPr>
        <w:t>2</w:t>
      </w:r>
      <w:r w:rsidRPr="00EE3AD1">
        <w:rPr>
          <w:rFonts w:ascii="Times New Roman" w:hAnsi="Times New Roman"/>
          <w:bCs/>
          <w:sz w:val="22"/>
          <w:szCs w:val="22"/>
        </w:rPr>
        <w:t xml:space="preserve"> Failure to meet the aesthetic expectations of these patients is a major reason why they express dissatisfaction with their aesthetic dental restoration.</w:t>
      </w:r>
      <w:r w:rsidRPr="00EE3AD1">
        <w:rPr>
          <w:rFonts w:ascii="Times New Roman" w:hAnsi="Times New Roman"/>
          <w:bCs/>
          <w:sz w:val="22"/>
          <w:szCs w:val="22"/>
          <w:vertAlign w:val="superscript"/>
        </w:rPr>
        <w:t>3</w:t>
      </w:r>
      <w:r w:rsidRPr="00EE3AD1">
        <w:rPr>
          <w:rFonts w:ascii="Times New Roman" w:hAnsi="Times New Roman"/>
          <w:bCs/>
          <w:sz w:val="22"/>
          <w:szCs w:val="22"/>
        </w:rPr>
        <w:t xml:space="preserve"> The most common method of determining tooth shade selection for dental aesthetic restoration is the visual or subjective method.</w:t>
      </w:r>
      <w:r w:rsidRPr="00EE3AD1">
        <w:rPr>
          <w:rFonts w:ascii="Times New Roman" w:hAnsi="Times New Roman"/>
          <w:bCs/>
          <w:sz w:val="22"/>
          <w:szCs w:val="22"/>
          <w:vertAlign w:val="superscript"/>
        </w:rPr>
        <w:t>3-5</w:t>
      </w:r>
      <w:r w:rsidRPr="00EE3AD1">
        <w:rPr>
          <w:rFonts w:ascii="Times New Roman" w:hAnsi="Times New Roman"/>
          <w:color w:val="000000"/>
          <w:sz w:val="22"/>
          <w:szCs w:val="22"/>
          <w:lang w:val="en-GB"/>
        </w:rPr>
        <w:t>It is believed that the visual or manual tooth shade selection method is not accurate because perception of tooth shade and its interpretation is variable and besides it may be influenced by environmental factors and variables such as fatigue of the human eye, aging, emotion, colour blindness and so on</w:t>
      </w:r>
      <w:r w:rsidRPr="00EE3AD1">
        <w:rPr>
          <w:rFonts w:ascii="Times New Roman" w:hAnsi="Times New Roman"/>
          <w:color w:val="000000"/>
          <w:sz w:val="22"/>
          <w:szCs w:val="22"/>
          <w:vertAlign w:val="superscript"/>
          <w:lang w:val="en-GB"/>
        </w:rPr>
        <w:t>2,6-8</w:t>
      </w:r>
    </w:p>
    <w:p w14:paraId="585E1FAE" w14:textId="77777777" w:rsidR="00EE3AD1" w:rsidRPr="00EE3AD1" w:rsidRDefault="00EE3AD1" w:rsidP="00EE3AD1">
      <w:pPr>
        <w:shd w:val="clear" w:color="auto" w:fill="FFFFFF"/>
        <w:spacing w:before="240" w:after="240" w:line="480" w:lineRule="auto"/>
        <w:jc w:val="both"/>
        <w:rPr>
          <w:rFonts w:ascii="Times New Roman" w:hAnsi="Times New Roman"/>
          <w:sz w:val="22"/>
          <w:szCs w:val="22"/>
          <w:vertAlign w:val="superscript"/>
        </w:rPr>
      </w:pPr>
      <w:r w:rsidRPr="00EE3AD1">
        <w:rPr>
          <w:rFonts w:ascii="Times New Roman" w:hAnsi="Times New Roman"/>
          <w:sz w:val="22"/>
          <w:szCs w:val="22"/>
        </w:rPr>
        <w:t>Several authorities had reported that shade selection is based on the understanding of scientific principles of color science</w:t>
      </w:r>
      <w:r w:rsidRPr="00EE3AD1">
        <w:rPr>
          <w:rFonts w:ascii="Times New Roman" w:hAnsi="Times New Roman"/>
          <w:sz w:val="22"/>
          <w:szCs w:val="22"/>
          <w:vertAlign w:val="superscript"/>
        </w:rPr>
        <w:t>2,7,9</w:t>
      </w:r>
      <w:r w:rsidRPr="00EE3AD1">
        <w:rPr>
          <w:rFonts w:ascii="Times New Roman" w:hAnsi="Times New Roman"/>
          <w:sz w:val="22"/>
          <w:szCs w:val="22"/>
        </w:rPr>
        <w:t xml:space="preserve"> and it is believed for a long time that ability to determine tooth shade is better in younger age group, in females, with experience and higher </w:t>
      </w:r>
      <w:r w:rsidRPr="00EE3AD1">
        <w:rPr>
          <w:rFonts w:ascii="Times New Roman" w:hAnsi="Times New Roman"/>
          <w:sz w:val="22"/>
          <w:szCs w:val="22"/>
        </w:rPr>
        <w:lastRenderedPageBreak/>
        <w:t>education.</w:t>
      </w:r>
      <w:r w:rsidRPr="00EE3AD1">
        <w:rPr>
          <w:rFonts w:ascii="Times New Roman" w:hAnsi="Times New Roman"/>
          <w:sz w:val="22"/>
          <w:szCs w:val="22"/>
          <w:vertAlign w:val="superscript"/>
        </w:rPr>
        <w:t>3-8</w:t>
      </w:r>
      <w:r w:rsidRPr="00EE3AD1">
        <w:rPr>
          <w:rFonts w:ascii="Times New Roman" w:hAnsi="Times New Roman"/>
          <w:sz w:val="22"/>
          <w:szCs w:val="22"/>
        </w:rPr>
        <w:t xml:space="preserve"> However, several other studies have proven otherwise.</w:t>
      </w:r>
      <w:r w:rsidRPr="00EE3AD1">
        <w:rPr>
          <w:rFonts w:ascii="Times New Roman" w:hAnsi="Times New Roman"/>
          <w:sz w:val="22"/>
          <w:szCs w:val="22"/>
          <w:vertAlign w:val="superscript"/>
        </w:rPr>
        <w:t>3,12-15</w:t>
      </w:r>
      <w:r w:rsidRPr="00EE3AD1">
        <w:rPr>
          <w:rFonts w:ascii="Times New Roman" w:hAnsi="Times New Roman"/>
          <w:sz w:val="22"/>
          <w:szCs w:val="22"/>
        </w:rPr>
        <w:t>Students had been found to outperformed experienced specialists and females didn’t always perform better than males in tooth shade selection.</w:t>
      </w:r>
      <w:r w:rsidRPr="00EE3AD1">
        <w:rPr>
          <w:rFonts w:ascii="Times New Roman" w:hAnsi="Times New Roman"/>
          <w:sz w:val="22"/>
          <w:szCs w:val="22"/>
          <w:vertAlign w:val="superscript"/>
        </w:rPr>
        <w:t xml:space="preserve">3,11-15 </w:t>
      </w:r>
      <w:r w:rsidRPr="00EE3AD1">
        <w:rPr>
          <w:rFonts w:ascii="Times New Roman" w:hAnsi="Times New Roman"/>
          <w:sz w:val="22"/>
          <w:szCs w:val="22"/>
        </w:rPr>
        <w:t>According to Paravina,</w:t>
      </w:r>
      <w:r w:rsidRPr="00EE3AD1">
        <w:rPr>
          <w:rFonts w:ascii="Times New Roman" w:hAnsi="Times New Roman"/>
          <w:sz w:val="22"/>
          <w:szCs w:val="22"/>
          <w:vertAlign w:val="superscript"/>
        </w:rPr>
        <w:t>15</w:t>
      </w:r>
      <w:r w:rsidRPr="00EE3AD1">
        <w:rPr>
          <w:rFonts w:ascii="Times New Roman" w:hAnsi="Times New Roman"/>
          <w:sz w:val="22"/>
          <w:szCs w:val="22"/>
        </w:rPr>
        <w:t xml:space="preserve"> reports associating female and experience with better ability to select shade correctly are myths. If indeed age, gender, education, professional background and experience are significantly associated with tooth shade selection, consistent results would have been obtained. According to </w:t>
      </w:r>
      <w:proofErr w:type="spellStart"/>
      <w:r w:rsidRPr="00EE3AD1">
        <w:rPr>
          <w:rFonts w:ascii="Times New Roman" w:hAnsi="Times New Roman"/>
          <w:sz w:val="22"/>
          <w:szCs w:val="22"/>
        </w:rPr>
        <w:t>Jouhar</w:t>
      </w:r>
      <w:proofErr w:type="spellEnd"/>
      <w:r w:rsidRPr="00EE3AD1">
        <w:rPr>
          <w:rFonts w:ascii="Times New Roman" w:hAnsi="Times New Roman"/>
          <w:sz w:val="22"/>
          <w:szCs w:val="22"/>
        </w:rPr>
        <w:t xml:space="preserve"> et al., 2022,</w:t>
      </w:r>
      <w:r w:rsidRPr="00EE3AD1">
        <w:rPr>
          <w:rFonts w:ascii="Times New Roman" w:hAnsi="Times New Roman"/>
          <w:sz w:val="22"/>
          <w:szCs w:val="22"/>
          <w:vertAlign w:val="superscript"/>
        </w:rPr>
        <w:t xml:space="preserve"> </w:t>
      </w:r>
      <w:r w:rsidRPr="00EE3AD1">
        <w:rPr>
          <w:rFonts w:ascii="Times New Roman" w:hAnsi="Times New Roman"/>
          <w:sz w:val="22"/>
          <w:szCs w:val="22"/>
        </w:rPr>
        <w:t>it is not yet clear whether ability at shade selection is inherent or can be developed. Some authors have also described shade selection as both art and science.</w:t>
      </w:r>
      <w:r w:rsidRPr="00EE3AD1">
        <w:rPr>
          <w:rFonts w:ascii="Times New Roman" w:hAnsi="Times New Roman"/>
          <w:sz w:val="22"/>
          <w:szCs w:val="22"/>
          <w:vertAlign w:val="superscript"/>
        </w:rPr>
        <w:t>16</w:t>
      </w:r>
    </w:p>
    <w:p w14:paraId="2DF24B66" w14:textId="77777777" w:rsidR="00EE3AD1" w:rsidRPr="00EE3AD1" w:rsidRDefault="00EE3AD1" w:rsidP="00EE3AD1">
      <w:pPr>
        <w:shd w:val="clear" w:color="auto" w:fill="FFFFFF"/>
        <w:spacing w:before="240" w:after="240" w:line="480" w:lineRule="auto"/>
        <w:jc w:val="both"/>
        <w:rPr>
          <w:rFonts w:ascii="Times New Roman" w:hAnsi="Times New Roman"/>
          <w:b/>
          <w:bCs/>
          <w:color w:val="000000"/>
          <w:sz w:val="22"/>
          <w:szCs w:val="22"/>
          <w:lang w:val="en-GB"/>
        </w:rPr>
      </w:pPr>
      <w:r w:rsidRPr="00EE3AD1">
        <w:rPr>
          <w:rFonts w:ascii="Times New Roman" w:hAnsi="Times New Roman"/>
          <w:sz w:val="22"/>
          <w:szCs w:val="22"/>
        </w:rPr>
        <w:t xml:space="preserve"> Visual tooth shade selection therefore remains a challenging task for dentists and shade mismatch continues to affect outcome of prosthetic restoration.</w:t>
      </w:r>
      <w:r w:rsidRPr="00EE3AD1">
        <w:rPr>
          <w:rFonts w:ascii="Times New Roman" w:hAnsi="Times New Roman"/>
          <w:sz w:val="22"/>
          <w:szCs w:val="22"/>
          <w:vertAlign w:val="superscript"/>
        </w:rPr>
        <w:t>2</w:t>
      </w:r>
      <w:r w:rsidRPr="00EE3AD1">
        <w:rPr>
          <w:rFonts w:ascii="Times New Roman" w:hAnsi="Times New Roman"/>
          <w:sz w:val="22"/>
          <w:szCs w:val="22"/>
        </w:rPr>
        <w:t xml:space="preserve"> One of the factors contributing to inconsistent results in visual shade selection may be attributed to the lack of universal shade selection protocol. A school of thought believes that the shade tab should be placed by the side of the natural tooth being used for shade matching</w:t>
      </w:r>
      <w:r w:rsidRPr="00EE3AD1">
        <w:rPr>
          <w:rFonts w:ascii="Times New Roman" w:hAnsi="Times New Roman"/>
          <w:sz w:val="22"/>
          <w:szCs w:val="22"/>
          <w:vertAlign w:val="superscript"/>
        </w:rPr>
        <w:t>7</w:t>
      </w:r>
      <w:r w:rsidRPr="00EE3AD1">
        <w:rPr>
          <w:rFonts w:ascii="Times New Roman" w:hAnsi="Times New Roman"/>
          <w:sz w:val="22"/>
          <w:szCs w:val="22"/>
        </w:rPr>
        <w:t xml:space="preserve"> while another school of thought advocated that shade tab should</w:t>
      </w:r>
      <w:r w:rsidRPr="00EE3AD1">
        <w:rPr>
          <w:rFonts w:ascii="Times New Roman" w:hAnsi="Times New Roman"/>
          <w:color w:val="000000"/>
          <w:sz w:val="22"/>
          <w:szCs w:val="22"/>
        </w:rPr>
        <w:t xml:space="preserve"> always be placed either above or below the tooth to be matched and never adjacent to the reference tooth to avoid binocular effect.</w:t>
      </w:r>
      <w:r w:rsidRPr="00EE3AD1">
        <w:rPr>
          <w:rFonts w:ascii="Times New Roman" w:hAnsi="Times New Roman"/>
          <w:color w:val="000000"/>
          <w:sz w:val="22"/>
          <w:szCs w:val="22"/>
          <w:vertAlign w:val="superscript"/>
        </w:rPr>
        <w:t>17</w:t>
      </w:r>
      <w:r w:rsidRPr="00EE3AD1">
        <w:rPr>
          <w:rFonts w:ascii="Times New Roman" w:hAnsi="Times New Roman"/>
          <w:color w:val="000000"/>
          <w:sz w:val="22"/>
          <w:szCs w:val="22"/>
        </w:rPr>
        <w:t xml:space="preserve"> There is dearth of study presently on the influence of shade tab placement position on accuracy of tooth shade selection and in our environment, studies on </w:t>
      </w:r>
      <w:r w:rsidRPr="00EE3AD1">
        <w:rPr>
          <w:rFonts w:ascii="Times New Roman" w:hAnsi="Times New Roman"/>
          <w:sz w:val="22"/>
          <w:szCs w:val="22"/>
        </w:rPr>
        <w:t xml:space="preserve">the influence of level of education and professional background on ability to accurately determine tooth shade is rare. This study was designed to assess the influence of shade tabs placement position on accuracy of tooth shade determination and to compare the shade selection ability of dental students, dental surgery technicians (DSTs), dental registrars and dental senior registrars. </w:t>
      </w:r>
    </w:p>
    <w:p w14:paraId="15C78AAA" w14:textId="77777777" w:rsidR="00EE3AD1" w:rsidRDefault="00EE3AD1" w:rsidP="00EE3AD1">
      <w:pPr>
        <w:pStyle w:val="Body"/>
        <w:spacing w:after="0"/>
        <w:rPr>
          <w:rFonts w:ascii="Arial" w:hAnsi="Arial" w:cs="Arial"/>
        </w:rPr>
      </w:pPr>
    </w:p>
    <w:p w14:paraId="3176738E" w14:textId="77777777" w:rsidR="00790ADA" w:rsidRPr="00FB3A86" w:rsidRDefault="00790ADA" w:rsidP="00441B6F">
      <w:pPr>
        <w:pStyle w:val="Body"/>
        <w:spacing w:after="0"/>
        <w:rPr>
          <w:rFonts w:ascii="Arial" w:hAnsi="Arial" w:cs="Arial"/>
        </w:rPr>
      </w:pPr>
    </w:p>
    <w:p w14:paraId="283BE2CF" w14:textId="70DB4C95"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1C78D8F9" w14:textId="77777777" w:rsidR="00790ADA" w:rsidRPr="00FB3A86" w:rsidRDefault="00790ADA" w:rsidP="00441B6F">
      <w:pPr>
        <w:pStyle w:val="AbstHead"/>
        <w:spacing w:after="0"/>
        <w:jc w:val="both"/>
        <w:rPr>
          <w:rFonts w:ascii="Arial" w:hAnsi="Arial" w:cs="Arial"/>
        </w:rPr>
      </w:pPr>
    </w:p>
    <w:p w14:paraId="367EBF42" w14:textId="77777777" w:rsidR="00EE3AD1" w:rsidRPr="00EE3AD1" w:rsidRDefault="00EE3AD1" w:rsidP="00EE3AD1">
      <w:pPr>
        <w:shd w:val="clear" w:color="auto" w:fill="FFFFFF"/>
        <w:spacing w:before="240" w:after="240" w:line="480" w:lineRule="auto"/>
        <w:jc w:val="both"/>
        <w:rPr>
          <w:rFonts w:ascii="Times New Roman" w:hAnsi="Times New Roman"/>
          <w:color w:val="000000"/>
          <w:sz w:val="22"/>
          <w:szCs w:val="22"/>
          <w:lang w:val="en-GB"/>
        </w:rPr>
      </w:pPr>
      <w:r w:rsidRPr="00EE3AD1">
        <w:rPr>
          <w:rFonts w:ascii="Times New Roman" w:hAnsi="Times New Roman"/>
          <w:color w:val="000000"/>
          <w:sz w:val="22"/>
          <w:szCs w:val="22"/>
          <w:lang w:val="en-GB"/>
        </w:rPr>
        <w:t xml:space="preserve">The study was a cross sectional survey involving tooth shade selection in a bench setting among clinical dental students, DSTs, dental registrars and senior registrars training at a Teaching Hospital in Rivers State, Nigeria. All the participants were involved in general restorative care services. </w:t>
      </w:r>
      <w:r w:rsidRPr="00EE3AD1">
        <w:rPr>
          <w:rFonts w:ascii="Times New Roman" w:hAnsi="Times New Roman"/>
          <w:bCs/>
          <w:sz w:val="22"/>
          <w:szCs w:val="22"/>
        </w:rPr>
        <w:t xml:space="preserve">The students and members of staff were invited to participate in the study after informing them about the study and the objective. Those who were willing to participate in the study were recruited and those who declined participation were excluded. Confidentiality of the participants was assured and the participants were free to withdraw from the study anytime without any consequences. Ethical clearance for the study was obtained from the Ethics and Research Committee of the University of Port Harcourt Teaching Hospital. </w:t>
      </w:r>
      <w:r w:rsidRPr="00EE3AD1">
        <w:rPr>
          <w:rFonts w:ascii="Times New Roman" w:hAnsi="Times New Roman"/>
          <w:color w:val="000000"/>
          <w:sz w:val="22"/>
          <w:szCs w:val="22"/>
          <w:lang w:val="en-GB"/>
        </w:rPr>
        <w:t xml:space="preserve">The participants were requested to match three masked shade tabs, A1, B2, and C2, randomly selected from vita classical shade guide against the shade tabs in another vita classical shade guide following the standard protocol for shade selection. The selected shade tabs were labelled 1, 2 and 3 respectively. </w:t>
      </w:r>
    </w:p>
    <w:p w14:paraId="377C1DF8" w14:textId="77777777" w:rsidR="00EE3AD1" w:rsidRPr="00EE3AD1" w:rsidRDefault="00EE3AD1" w:rsidP="00EE3AD1">
      <w:pPr>
        <w:shd w:val="clear" w:color="auto" w:fill="FFFFFF"/>
        <w:spacing w:before="240" w:after="240" w:line="480" w:lineRule="auto"/>
        <w:jc w:val="both"/>
        <w:rPr>
          <w:rFonts w:ascii="Times New Roman" w:hAnsi="Times New Roman"/>
          <w:color w:val="000000"/>
          <w:sz w:val="22"/>
          <w:szCs w:val="22"/>
          <w:vertAlign w:val="superscript"/>
          <w:lang w:val="en-GB"/>
        </w:rPr>
      </w:pPr>
      <w:r w:rsidRPr="00EE3AD1">
        <w:rPr>
          <w:rFonts w:ascii="Times New Roman" w:hAnsi="Times New Roman"/>
          <w:color w:val="000000"/>
          <w:sz w:val="22"/>
          <w:szCs w:val="22"/>
          <w:lang w:val="en-GB"/>
        </w:rPr>
        <w:t xml:space="preserve"> Twenty-four participants comprising six clinical dental students, six DSTs, six dental registrars, and six senior registrars who agreed to participate in the study were recruited. The six participants in each category were randomly divided into two groups, A and B, with each group having three participants. The three participants in each category were requested to match each of the three masked vita classical shade tabs one after the other independently and select the respective tooth shade tab that matched each of the shade tabs provided using another vita classical shade guide. Afterwards, the members in each category came together to work as a group to do the shade selection. The participants in group A were instructed to perform the exercise by placing the shade tab being matched by the side of the shade tab chosen on the shade guide in the same anatomical orientation while the participants in group </w:t>
      </w:r>
      <w:r w:rsidRPr="00EE3AD1">
        <w:rPr>
          <w:rFonts w:ascii="Times New Roman" w:hAnsi="Times New Roman"/>
          <w:color w:val="000000"/>
          <w:sz w:val="22"/>
          <w:szCs w:val="22"/>
          <w:lang w:val="en-GB"/>
        </w:rPr>
        <w:lastRenderedPageBreak/>
        <w:t>B were instructed to place the incisal edge of the shade tab being matched close to and parallel to the edge of the shade tab of their choice on the shade guide.</w:t>
      </w:r>
    </w:p>
    <w:p w14:paraId="2F968883" w14:textId="77777777" w:rsidR="00EE3AD1" w:rsidRPr="00EE3AD1" w:rsidRDefault="00EE3AD1" w:rsidP="00EE3AD1">
      <w:pPr>
        <w:shd w:val="clear" w:color="auto" w:fill="FFFFFF"/>
        <w:spacing w:before="240" w:after="240" w:line="480" w:lineRule="auto"/>
        <w:jc w:val="both"/>
        <w:rPr>
          <w:rFonts w:ascii="Times New Roman" w:hAnsi="Times New Roman"/>
          <w:i/>
          <w:iCs/>
          <w:sz w:val="22"/>
          <w:szCs w:val="22"/>
        </w:rPr>
      </w:pPr>
      <w:r w:rsidRPr="00EE3AD1">
        <w:rPr>
          <w:rFonts w:ascii="Times New Roman" w:hAnsi="Times New Roman"/>
          <w:bCs/>
          <w:sz w:val="22"/>
          <w:szCs w:val="22"/>
        </w:rPr>
        <w:t xml:space="preserve"> The age, sex, category, and group of each of the participants were recorded in the data collection form. </w:t>
      </w:r>
      <w:r w:rsidRPr="00EE3AD1">
        <w:rPr>
          <w:rFonts w:ascii="Times New Roman" w:hAnsi="Times New Roman"/>
          <w:color w:val="000000"/>
          <w:sz w:val="22"/>
          <w:szCs w:val="22"/>
        </w:rPr>
        <w:t>The clinical area used for shade selection had a grey background and all the participants were in their clinic wears and they wore minimal or no jewelry. The shade selection was done close to the window using daylight between 11am and 2pm. The shade guide was placed between   28 and 33cm from the assessor and at the observer’s eye level so that the most colo</w:t>
      </w:r>
      <w:r w:rsidRPr="00EE3AD1">
        <w:rPr>
          <w:rFonts w:ascii="Times New Roman" w:hAnsi="Times New Roman"/>
          <w:color w:val="000000"/>
          <w:sz w:val="22"/>
          <w:szCs w:val="22"/>
          <w:lang w:val="en-GB"/>
        </w:rPr>
        <w:t>u</w:t>
      </w:r>
      <w:r w:rsidRPr="00EE3AD1">
        <w:rPr>
          <w:rFonts w:ascii="Times New Roman" w:hAnsi="Times New Roman"/>
          <w:color w:val="000000"/>
          <w:sz w:val="22"/>
          <w:szCs w:val="22"/>
        </w:rPr>
        <w:t xml:space="preserve">r-sensitive part of the retina is used. The comparison was done within 7s to avoid eye fatigue and the eyes were rested by focusing on a neutral grey surface in-between tooth shade comparison since these balances all the </w:t>
      </w:r>
      <w:proofErr w:type="spellStart"/>
      <w:r w:rsidRPr="00EE3AD1">
        <w:rPr>
          <w:rFonts w:ascii="Times New Roman" w:hAnsi="Times New Roman"/>
          <w:color w:val="000000"/>
          <w:sz w:val="22"/>
          <w:szCs w:val="22"/>
        </w:rPr>
        <w:t>colour</w:t>
      </w:r>
      <w:proofErr w:type="spellEnd"/>
      <w:r w:rsidRPr="00EE3AD1">
        <w:rPr>
          <w:rFonts w:ascii="Times New Roman" w:hAnsi="Times New Roman"/>
          <w:color w:val="000000"/>
          <w:sz w:val="22"/>
          <w:szCs w:val="22"/>
        </w:rPr>
        <w:t xml:space="preserve"> sensors of the retina and re-sensitizes the eye to the yellow color of the tooth.</w:t>
      </w:r>
      <w:r w:rsidRPr="00EE3AD1">
        <w:rPr>
          <w:rFonts w:ascii="Times New Roman" w:hAnsi="Times New Roman"/>
          <w:color w:val="000000"/>
          <w:sz w:val="22"/>
          <w:szCs w:val="22"/>
          <w:vertAlign w:val="superscript"/>
        </w:rPr>
        <w:t>17</w:t>
      </w:r>
      <w:r w:rsidRPr="00EE3AD1">
        <w:rPr>
          <w:rFonts w:ascii="Times New Roman" w:hAnsi="Times New Roman"/>
          <w:color w:val="000000"/>
          <w:sz w:val="22"/>
          <w:szCs w:val="22"/>
        </w:rPr>
        <w:t xml:space="preserve"> </w:t>
      </w:r>
    </w:p>
    <w:p w14:paraId="3CFFE620" w14:textId="77777777" w:rsidR="00EE3AD1" w:rsidRPr="00EE3AD1" w:rsidRDefault="00EE3AD1" w:rsidP="00EE3AD1">
      <w:pPr>
        <w:shd w:val="clear" w:color="auto" w:fill="FFFFFF"/>
        <w:spacing w:before="240" w:after="240" w:line="480" w:lineRule="auto"/>
        <w:jc w:val="both"/>
        <w:rPr>
          <w:rFonts w:ascii="Times New Roman" w:hAnsi="Times New Roman"/>
          <w:b/>
          <w:bCs/>
          <w:sz w:val="22"/>
          <w:szCs w:val="22"/>
        </w:rPr>
      </w:pPr>
      <w:r w:rsidRPr="00EE3AD1">
        <w:rPr>
          <w:rFonts w:ascii="Times New Roman" w:hAnsi="Times New Roman"/>
          <w:b/>
          <w:bCs/>
          <w:sz w:val="22"/>
          <w:szCs w:val="22"/>
        </w:rPr>
        <w:t>Statistical analysis</w:t>
      </w:r>
    </w:p>
    <w:p w14:paraId="402C3FFA" w14:textId="77777777" w:rsidR="00EE3AD1" w:rsidRPr="00EE3AD1" w:rsidRDefault="00EE3AD1" w:rsidP="00EE3AD1">
      <w:pPr>
        <w:shd w:val="clear" w:color="auto" w:fill="FFFFFF"/>
        <w:spacing w:before="240" w:after="240" w:line="480" w:lineRule="auto"/>
        <w:jc w:val="both"/>
        <w:rPr>
          <w:rFonts w:ascii="Times New Roman" w:hAnsi="Times New Roman"/>
          <w:sz w:val="22"/>
          <w:szCs w:val="22"/>
        </w:rPr>
      </w:pPr>
      <w:r w:rsidRPr="00EE3AD1">
        <w:rPr>
          <w:rFonts w:ascii="Times New Roman" w:hAnsi="Times New Roman"/>
          <w:sz w:val="22"/>
          <w:szCs w:val="22"/>
        </w:rPr>
        <w:t>The data was analyzed with the Statistical Package for Social Sciences (SPSS Inc. Chicago Illinois, USA) version 21.0. The level of significance was set at 0.05. The percentage of correct response (No of assessors out of the three in each category who identified the shade correctly divided by 3 multiply by 100%) for each of the three selected shades was obtained. The mean percentage of correct response for each group was compared between the two groups, A and B (Independent T-test), and within each group (ANOVA). The accuracy of the shade selected by each category of assessors in each group was also recorded.</w:t>
      </w:r>
    </w:p>
    <w:p w14:paraId="76C7FF5F" w14:textId="77777777" w:rsidR="00790ADA" w:rsidRPr="00FB3A86" w:rsidRDefault="00790ADA" w:rsidP="00441B6F">
      <w:pPr>
        <w:pStyle w:val="Body"/>
        <w:spacing w:after="0"/>
        <w:rPr>
          <w:rFonts w:ascii="Arial" w:hAnsi="Arial" w:cs="Arial"/>
        </w:rPr>
      </w:pPr>
    </w:p>
    <w:p w14:paraId="719CDC1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9B54770" w14:textId="77777777" w:rsidR="00790ADA" w:rsidRPr="00FB3A86" w:rsidRDefault="00790ADA" w:rsidP="00441B6F">
      <w:pPr>
        <w:pStyle w:val="Head1"/>
        <w:spacing w:after="0"/>
        <w:jc w:val="both"/>
        <w:rPr>
          <w:rFonts w:ascii="Arial" w:hAnsi="Arial" w:cs="Arial"/>
        </w:rPr>
      </w:pPr>
    </w:p>
    <w:p w14:paraId="2DB7BFDB" w14:textId="77777777" w:rsidR="00EE3AD1" w:rsidRPr="00AD2DF9" w:rsidRDefault="00EE3AD1" w:rsidP="00EE3AD1">
      <w:pPr>
        <w:shd w:val="clear" w:color="auto" w:fill="FFFFFF"/>
        <w:spacing w:before="240" w:after="240" w:line="480" w:lineRule="auto"/>
        <w:jc w:val="both"/>
        <w:rPr>
          <w:rFonts w:ascii="Arial" w:hAnsi="Arial" w:cs="Arial"/>
          <w:sz w:val="22"/>
          <w:szCs w:val="22"/>
        </w:rPr>
      </w:pPr>
      <w:r w:rsidRPr="00AD2DF9">
        <w:rPr>
          <w:rFonts w:ascii="Arial" w:hAnsi="Arial" w:cs="Arial"/>
          <w:b/>
          <w:bCs/>
          <w:sz w:val="22"/>
          <w:szCs w:val="22"/>
        </w:rPr>
        <w:t>Results:</w:t>
      </w:r>
      <w:r w:rsidRPr="00AD2DF9">
        <w:rPr>
          <w:rFonts w:ascii="Arial" w:hAnsi="Arial" w:cs="Arial"/>
          <w:sz w:val="22"/>
          <w:szCs w:val="22"/>
        </w:rPr>
        <w:t xml:space="preserve"> Twenty-four respondents participated in the study. Seventeen (70.8%) of these participants were females while only seven (29.2%) were males. The age range was 22yrs to 45yrs while the median age was 32yrs.</w:t>
      </w:r>
    </w:p>
    <w:p w14:paraId="7D480853" w14:textId="77777777" w:rsidR="00EE3AD1" w:rsidRPr="00AD2DF9" w:rsidRDefault="00EE3AD1" w:rsidP="00EE3AD1">
      <w:pPr>
        <w:shd w:val="clear" w:color="auto" w:fill="FFFFFF"/>
        <w:spacing w:before="240" w:after="240" w:line="480" w:lineRule="auto"/>
        <w:jc w:val="both"/>
        <w:rPr>
          <w:rFonts w:ascii="Arial" w:hAnsi="Arial" w:cs="Arial"/>
          <w:sz w:val="22"/>
          <w:szCs w:val="22"/>
        </w:rPr>
      </w:pPr>
      <w:r w:rsidRPr="00AD2DF9">
        <w:rPr>
          <w:rFonts w:ascii="Arial" w:hAnsi="Arial" w:cs="Arial"/>
          <w:sz w:val="22"/>
          <w:szCs w:val="22"/>
        </w:rPr>
        <w:t>In the category of clinical dental students, two participants in group A (66.67%) independently and correctly identified shade A1. The final shade selected by the students in group A for shade A1 was correct. In group B, no student was able to correctly identify shade A1, but the overall shade selected for shade A1 was correct. For shade 2(B2), only 1 student (33.3%) in group A identified the tooth correctly. The overall shade selected by the group was wrong. In group B, no student matched shade B2 correctly and the overall shade selected was also wrong. For the 3</w:t>
      </w:r>
      <w:r w:rsidRPr="00AD2DF9">
        <w:rPr>
          <w:rFonts w:ascii="Arial" w:hAnsi="Arial" w:cs="Arial"/>
          <w:sz w:val="22"/>
          <w:szCs w:val="22"/>
          <w:vertAlign w:val="superscript"/>
        </w:rPr>
        <w:t>rd</w:t>
      </w:r>
      <w:r w:rsidRPr="00AD2DF9">
        <w:rPr>
          <w:rFonts w:ascii="Arial" w:hAnsi="Arial" w:cs="Arial"/>
          <w:sz w:val="22"/>
          <w:szCs w:val="22"/>
        </w:rPr>
        <w:t xml:space="preserve"> shade (C2), one student (33.33%) in group A identified the shade correctly but the overall shade selected by the group was not correct. In group B, nobody among the students identified the shade correctly (Table 1).</w:t>
      </w:r>
    </w:p>
    <w:p w14:paraId="4F745B34" w14:textId="77777777" w:rsidR="00EE3AD1" w:rsidRPr="00AD2DF9" w:rsidRDefault="00EE3AD1" w:rsidP="00EE3AD1">
      <w:pPr>
        <w:shd w:val="clear" w:color="auto" w:fill="FFFFFF"/>
        <w:spacing w:before="240" w:after="240" w:line="480" w:lineRule="auto"/>
        <w:jc w:val="both"/>
        <w:rPr>
          <w:rFonts w:ascii="Arial" w:hAnsi="Arial" w:cs="Arial"/>
          <w:sz w:val="22"/>
          <w:szCs w:val="22"/>
        </w:rPr>
      </w:pPr>
      <w:r w:rsidRPr="00AD2DF9">
        <w:rPr>
          <w:rFonts w:ascii="Arial" w:hAnsi="Arial" w:cs="Arial"/>
          <w:sz w:val="22"/>
          <w:szCs w:val="22"/>
        </w:rPr>
        <w:t>For the DST category, two participants (66.67%) in group A, identified shade 1 correctly, but the overall shade selected was wrong. In group B however, only one person (33.33%) identified shade 1 accurately and the final shade selected by the group was not accurate. For shade 2, 1 DST in group A identified the shade correctly. In both groups, the overall shade selected for shade 2 and shade 3 were wrong.</w:t>
      </w:r>
    </w:p>
    <w:p w14:paraId="3DDBA7E4" w14:textId="77777777" w:rsidR="00EE3AD1" w:rsidRPr="00AD2DF9" w:rsidRDefault="00EE3AD1" w:rsidP="00EE3AD1">
      <w:pPr>
        <w:shd w:val="clear" w:color="auto" w:fill="FFFFFF"/>
        <w:spacing w:before="240" w:after="240" w:line="480" w:lineRule="auto"/>
        <w:jc w:val="both"/>
        <w:rPr>
          <w:rFonts w:ascii="Arial" w:hAnsi="Arial" w:cs="Arial"/>
          <w:sz w:val="22"/>
          <w:szCs w:val="22"/>
        </w:rPr>
      </w:pPr>
      <w:r w:rsidRPr="00AD2DF9">
        <w:rPr>
          <w:rFonts w:ascii="Arial" w:hAnsi="Arial" w:cs="Arial"/>
          <w:sz w:val="22"/>
          <w:szCs w:val="22"/>
        </w:rPr>
        <w:t xml:space="preserve">In the dental registrar category, no participant in group A got shade A1 correctly and the final shade selected by the group was not accurate, but in group B, two participants (66.67%) identified the shade accurately and the final shade selected by </w:t>
      </w:r>
      <w:r w:rsidRPr="00AD2DF9">
        <w:rPr>
          <w:rFonts w:ascii="Arial" w:hAnsi="Arial" w:cs="Arial"/>
          <w:sz w:val="22"/>
          <w:szCs w:val="22"/>
        </w:rPr>
        <w:lastRenderedPageBreak/>
        <w:t>the group was correct. For shade 2, 66.67% of the participants in group A got the shade right and the final shade chosen by the group was correct. In group B, no participant got the shade right. For the 3</w:t>
      </w:r>
      <w:r w:rsidRPr="00AD2DF9">
        <w:rPr>
          <w:rFonts w:ascii="Arial" w:hAnsi="Arial" w:cs="Arial"/>
          <w:sz w:val="22"/>
          <w:szCs w:val="22"/>
          <w:vertAlign w:val="superscript"/>
        </w:rPr>
        <w:t xml:space="preserve">rd </w:t>
      </w:r>
      <w:r w:rsidRPr="00AD2DF9">
        <w:rPr>
          <w:rFonts w:ascii="Arial" w:hAnsi="Arial" w:cs="Arial"/>
          <w:sz w:val="22"/>
          <w:szCs w:val="22"/>
        </w:rPr>
        <w:t>shade, none of the participants in both groups identified C2 accurately.</w:t>
      </w:r>
    </w:p>
    <w:p w14:paraId="2EC4B30A" w14:textId="77777777" w:rsidR="00EE3AD1" w:rsidRPr="00AD2DF9" w:rsidRDefault="00EE3AD1" w:rsidP="00EE3AD1">
      <w:pPr>
        <w:shd w:val="clear" w:color="auto" w:fill="FFFFFF"/>
        <w:spacing w:before="240" w:after="240" w:line="480" w:lineRule="auto"/>
        <w:jc w:val="both"/>
        <w:rPr>
          <w:rFonts w:ascii="Arial" w:hAnsi="Arial" w:cs="Arial"/>
          <w:b/>
          <w:bCs/>
          <w:sz w:val="22"/>
          <w:szCs w:val="22"/>
        </w:rPr>
      </w:pPr>
      <w:r w:rsidRPr="00AD2DF9">
        <w:rPr>
          <w:rFonts w:ascii="Arial" w:hAnsi="Arial" w:cs="Arial"/>
          <w:sz w:val="22"/>
          <w:szCs w:val="22"/>
        </w:rPr>
        <w:t>For the last category of assessors, none of the senior registrars in group A identified shade A1 accurately and the final shade selected by the group was incorrect. In group B, all the three participants identified the shade correctly (100%). For shade 2, none of the participants in group A got it right and the final shade was also wrong. In group B, one of the senior registrars identified the tooth correctly (33.37%). For the last shade, one of the senior registrars in group A identified shade C2 correctly but none in group B identified it accurately. The final shade selected by each group was wrong (Table 1).</w:t>
      </w:r>
    </w:p>
    <w:p w14:paraId="4B155EF9" w14:textId="77777777" w:rsidR="00EE3AD1" w:rsidRPr="00AD2DF9" w:rsidRDefault="00EE3AD1" w:rsidP="00EE3AD1">
      <w:pPr>
        <w:jc w:val="center"/>
        <w:rPr>
          <w:rFonts w:ascii="Arial" w:hAnsi="Arial" w:cs="Arial"/>
          <w:b/>
          <w:bCs/>
          <w:sz w:val="22"/>
          <w:szCs w:val="22"/>
        </w:rPr>
      </w:pPr>
    </w:p>
    <w:p w14:paraId="0DE95638" w14:textId="77777777" w:rsidR="00EE3AD1" w:rsidRPr="00AD2DF9" w:rsidRDefault="00EE3AD1" w:rsidP="00EE3AD1">
      <w:pPr>
        <w:jc w:val="center"/>
        <w:rPr>
          <w:rFonts w:ascii="Arial" w:hAnsi="Arial" w:cs="Arial"/>
          <w:sz w:val="22"/>
          <w:szCs w:val="22"/>
        </w:rPr>
      </w:pPr>
      <w:r w:rsidRPr="00AD2DF9">
        <w:rPr>
          <w:rFonts w:ascii="Arial" w:hAnsi="Arial" w:cs="Arial"/>
          <w:b/>
          <w:bCs/>
          <w:sz w:val="22"/>
          <w:szCs w:val="22"/>
        </w:rPr>
        <w:t xml:space="preserve">Table 1: </w:t>
      </w:r>
      <w:r w:rsidRPr="00AD2DF9">
        <w:rPr>
          <w:rFonts w:ascii="Arial" w:hAnsi="Arial" w:cs="Arial"/>
          <w:sz w:val="22"/>
          <w:szCs w:val="22"/>
        </w:rPr>
        <w:t>Distribution of Shade Selected by Each Category of Assessors</w:t>
      </w:r>
    </w:p>
    <w:p w14:paraId="4B9D5B10" w14:textId="77777777" w:rsidR="00EE3AD1" w:rsidRPr="00AD2DF9" w:rsidRDefault="00EE3AD1" w:rsidP="00EE3AD1">
      <w:pPr>
        <w:jc w:val="center"/>
        <w:rPr>
          <w:rFonts w:ascii="Arial" w:hAnsi="Arial" w:cs="Arial"/>
          <w:sz w:val="22"/>
          <w:szCs w:val="22"/>
        </w:rPr>
      </w:pPr>
    </w:p>
    <w:p w14:paraId="6EBB61E8" w14:textId="77777777" w:rsidR="00EE3AD1" w:rsidRPr="00AD2DF9" w:rsidRDefault="00EE3AD1" w:rsidP="00EE3AD1">
      <w:pPr>
        <w:jc w:val="center"/>
        <w:rPr>
          <w:rFonts w:ascii="Arial" w:hAnsi="Arial" w:cs="Arial"/>
          <w:sz w:val="22"/>
          <w:szCs w:val="22"/>
        </w:rPr>
      </w:pPr>
    </w:p>
    <w:p w14:paraId="25A7ED1B" w14:textId="77777777" w:rsidR="00EE3AD1" w:rsidRPr="00AD2DF9" w:rsidRDefault="00EE3AD1" w:rsidP="00EE3AD1">
      <w:pPr>
        <w:jc w:val="both"/>
        <w:rPr>
          <w:rFonts w:ascii="Arial" w:hAnsi="Arial" w:cs="Arial"/>
          <w:b/>
          <w:bCs/>
          <w:sz w:val="22"/>
          <w:szCs w:val="22"/>
        </w:rPr>
      </w:pPr>
    </w:p>
    <w:tbl>
      <w:tblPr>
        <w:tblW w:w="9905"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515"/>
        <w:gridCol w:w="720"/>
        <w:gridCol w:w="720"/>
        <w:gridCol w:w="720"/>
        <w:gridCol w:w="720"/>
        <w:gridCol w:w="720"/>
        <w:gridCol w:w="720"/>
        <w:gridCol w:w="720"/>
        <w:gridCol w:w="720"/>
        <w:gridCol w:w="810"/>
        <w:gridCol w:w="820"/>
      </w:tblGrid>
      <w:tr w:rsidR="00EE3AD1" w:rsidRPr="00AD2DF9" w14:paraId="1D9D7585" w14:textId="77777777" w:rsidTr="000C6347">
        <w:trPr>
          <w:jc w:val="center"/>
        </w:trPr>
        <w:tc>
          <w:tcPr>
            <w:tcW w:w="2515" w:type="dxa"/>
            <w:vMerge w:val="restart"/>
          </w:tcPr>
          <w:p w14:paraId="363FE6F9" w14:textId="77777777" w:rsidR="00EE3AD1" w:rsidRPr="00AD2DF9" w:rsidRDefault="00EE3AD1" w:rsidP="000C6347">
            <w:pPr>
              <w:jc w:val="both"/>
              <w:rPr>
                <w:rFonts w:ascii="Arial" w:hAnsi="Arial" w:cs="Arial"/>
                <w:b/>
                <w:bCs/>
                <w:sz w:val="22"/>
                <w:szCs w:val="22"/>
              </w:rPr>
            </w:pPr>
            <w:bookmarkStart w:id="1" w:name="_Hlk223183257"/>
            <w:r w:rsidRPr="00AD2DF9">
              <w:rPr>
                <w:rFonts w:ascii="Arial" w:hAnsi="Arial" w:cs="Arial"/>
                <w:b/>
                <w:bCs/>
                <w:sz w:val="22"/>
                <w:szCs w:val="22"/>
              </w:rPr>
              <w:t>Category of Assessors</w:t>
            </w:r>
          </w:p>
        </w:tc>
        <w:tc>
          <w:tcPr>
            <w:tcW w:w="1440" w:type="dxa"/>
            <w:gridSpan w:val="2"/>
          </w:tcPr>
          <w:p w14:paraId="4C8CA0D8"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Shade selected by assessor 1 in group A and B</w:t>
            </w:r>
          </w:p>
        </w:tc>
        <w:tc>
          <w:tcPr>
            <w:tcW w:w="1440" w:type="dxa"/>
            <w:gridSpan w:val="2"/>
          </w:tcPr>
          <w:p w14:paraId="4A0355C3"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Shade selected by assessor 2 in group A and B</w:t>
            </w:r>
          </w:p>
        </w:tc>
        <w:tc>
          <w:tcPr>
            <w:tcW w:w="1440" w:type="dxa"/>
            <w:gridSpan w:val="2"/>
          </w:tcPr>
          <w:p w14:paraId="7CFDE4C4"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Shade selected by assessor 3 in group A and B</w:t>
            </w:r>
          </w:p>
        </w:tc>
        <w:tc>
          <w:tcPr>
            <w:tcW w:w="1440" w:type="dxa"/>
            <w:gridSpan w:val="2"/>
          </w:tcPr>
          <w:p w14:paraId="333E259F"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Final shade selected by each category of assessors in group A and B</w:t>
            </w:r>
          </w:p>
        </w:tc>
        <w:tc>
          <w:tcPr>
            <w:tcW w:w="1630" w:type="dxa"/>
            <w:gridSpan w:val="2"/>
          </w:tcPr>
          <w:p w14:paraId="72360652" w14:textId="77777777" w:rsidR="00EE3AD1" w:rsidRPr="00AD2DF9" w:rsidRDefault="00EE3AD1" w:rsidP="000C6347">
            <w:pPr>
              <w:rPr>
                <w:rFonts w:ascii="Arial" w:hAnsi="Arial" w:cs="Arial"/>
                <w:b/>
                <w:bCs/>
                <w:sz w:val="22"/>
                <w:szCs w:val="22"/>
              </w:rPr>
            </w:pPr>
            <w:r w:rsidRPr="00AD2DF9">
              <w:rPr>
                <w:rFonts w:ascii="Arial" w:hAnsi="Arial" w:cs="Arial"/>
                <w:b/>
                <w:bCs/>
                <w:sz w:val="22"/>
                <w:szCs w:val="22"/>
              </w:rPr>
              <w:t>Percentage (%) of correct response for each category of assessors</w:t>
            </w:r>
          </w:p>
        </w:tc>
      </w:tr>
      <w:tr w:rsidR="00EE3AD1" w:rsidRPr="00AD2DF9" w14:paraId="7688ACA7" w14:textId="77777777" w:rsidTr="000C6347">
        <w:trPr>
          <w:jc w:val="center"/>
        </w:trPr>
        <w:tc>
          <w:tcPr>
            <w:tcW w:w="2515" w:type="dxa"/>
            <w:vMerge/>
          </w:tcPr>
          <w:p w14:paraId="3CB2415D" w14:textId="77777777" w:rsidR="00EE3AD1" w:rsidRPr="00AD2DF9" w:rsidRDefault="00EE3AD1" w:rsidP="000C6347">
            <w:pPr>
              <w:jc w:val="both"/>
              <w:rPr>
                <w:rFonts w:ascii="Arial" w:hAnsi="Arial" w:cs="Arial"/>
                <w:b/>
                <w:bCs/>
                <w:sz w:val="22"/>
                <w:szCs w:val="22"/>
              </w:rPr>
            </w:pPr>
          </w:p>
        </w:tc>
        <w:tc>
          <w:tcPr>
            <w:tcW w:w="720" w:type="dxa"/>
          </w:tcPr>
          <w:p w14:paraId="1D8262A8"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A</w:t>
            </w:r>
          </w:p>
        </w:tc>
        <w:tc>
          <w:tcPr>
            <w:tcW w:w="720" w:type="dxa"/>
          </w:tcPr>
          <w:p w14:paraId="2E0F80A7"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B</w:t>
            </w:r>
          </w:p>
        </w:tc>
        <w:tc>
          <w:tcPr>
            <w:tcW w:w="720" w:type="dxa"/>
          </w:tcPr>
          <w:p w14:paraId="23C7544C"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A</w:t>
            </w:r>
          </w:p>
        </w:tc>
        <w:tc>
          <w:tcPr>
            <w:tcW w:w="720" w:type="dxa"/>
          </w:tcPr>
          <w:p w14:paraId="30F9A1FB"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B</w:t>
            </w:r>
          </w:p>
        </w:tc>
        <w:tc>
          <w:tcPr>
            <w:tcW w:w="720" w:type="dxa"/>
          </w:tcPr>
          <w:p w14:paraId="73C7E0C3"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A</w:t>
            </w:r>
          </w:p>
        </w:tc>
        <w:tc>
          <w:tcPr>
            <w:tcW w:w="720" w:type="dxa"/>
          </w:tcPr>
          <w:p w14:paraId="56069D16"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B</w:t>
            </w:r>
          </w:p>
        </w:tc>
        <w:tc>
          <w:tcPr>
            <w:tcW w:w="720" w:type="dxa"/>
          </w:tcPr>
          <w:p w14:paraId="56C545C2"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A</w:t>
            </w:r>
          </w:p>
        </w:tc>
        <w:tc>
          <w:tcPr>
            <w:tcW w:w="720" w:type="dxa"/>
          </w:tcPr>
          <w:p w14:paraId="69120B7A"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B</w:t>
            </w:r>
          </w:p>
        </w:tc>
        <w:tc>
          <w:tcPr>
            <w:tcW w:w="810" w:type="dxa"/>
          </w:tcPr>
          <w:p w14:paraId="744F25A7"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A</w:t>
            </w:r>
          </w:p>
        </w:tc>
        <w:tc>
          <w:tcPr>
            <w:tcW w:w="820" w:type="dxa"/>
          </w:tcPr>
          <w:p w14:paraId="1B646BCF" w14:textId="77777777" w:rsidR="00EE3AD1" w:rsidRPr="00AD2DF9" w:rsidRDefault="00EE3AD1" w:rsidP="000C6347">
            <w:pPr>
              <w:jc w:val="both"/>
              <w:rPr>
                <w:rFonts w:ascii="Arial" w:hAnsi="Arial" w:cs="Arial"/>
                <w:b/>
                <w:bCs/>
                <w:sz w:val="22"/>
                <w:szCs w:val="22"/>
              </w:rPr>
            </w:pPr>
            <w:r w:rsidRPr="00AD2DF9">
              <w:rPr>
                <w:rFonts w:ascii="Arial" w:hAnsi="Arial" w:cs="Arial"/>
                <w:b/>
                <w:bCs/>
                <w:sz w:val="22"/>
                <w:szCs w:val="22"/>
              </w:rPr>
              <w:t>B</w:t>
            </w:r>
          </w:p>
        </w:tc>
      </w:tr>
      <w:tr w:rsidR="00EE3AD1" w:rsidRPr="00AD2DF9" w14:paraId="67252E3D" w14:textId="77777777" w:rsidTr="000C6347">
        <w:trPr>
          <w:jc w:val="center"/>
        </w:trPr>
        <w:tc>
          <w:tcPr>
            <w:tcW w:w="9905" w:type="dxa"/>
            <w:gridSpan w:val="11"/>
          </w:tcPr>
          <w:p w14:paraId="7454754E" w14:textId="77777777" w:rsidR="00EE3AD1" w:rsidRPr="00AD2DF9" w:rsidRDefault="00EE3AD1" w:rsidP="000C6347">
            <w:pPr>
              <w:jc w:val="both"/>
              <w:rPr>
                <w:rFonts w:ascii="Arial" w:hAnsi="Arial" w:cs="Arial"/>
                <w:sz w:val="22"/>
                <w:szCs w:val="22"/>
              </w:rPr>
            </w:pPr>
            <w:r w:rsidRPr="00AD2DF9">
              <w:rPr>
                <w:rFonts w:ascii="Arial" w:hAnsi="Arial" w:cs="Arial"/>
                <w:b/>
                <w:bCs/>
                <w:sz w:val="22"/>
                <w:szCs w:val="22"/>
              </w:rPr>
              <w:t>STUDENTS</w:t>
            </w:r>
          </w:p>
        </w:tc>
      </w:tr>
      <w:tr w:rsidR="00EE3AD1" w:rsidRPr="00AD2DF9" w14:paraId="540A9993" w14:textId="77777777" w:rsidTr="000C6347">
        <w:trPr>
          <w:jc w:val="center"/>
        </w:trPr>
        <w:tc>
          <w:tcPr>
            <w:tcW w:w="2515" w:type="dxa"/>
          </w:tcPr>
          <w:p w14:paraId="186BD29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1</w:t>
            </w:r>
          </w:p>
        </w:tc>
        <w:tc>
          <w:tcPr>
            <w:tcW w:w="720" w:type="dxa"/>
          </w:tcPr>
          <w:p w14:paraId="7B7A00E7"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1281A44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12879268"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7608611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D2</w:t>
            </w:r>
          </w:p>
        </w:tc>
        <w:tc>
          <w:tcPr>
            <w:tcW w:w="720" w:type="dxa"/>
          </w:tcPr>
          <w:p w14:paraId="3A82A4B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40F62B8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3EF14146"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4861E2BC"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810" w:type="dxa"/>
          </w:tcPr>
          <w:p w14:paraId="6E442AFF"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66.67</w:t>
            </w:r>
          </w:p>
        </w:tc>
        <w:tc>
          <w:tcPr>
            <w:tcW w:w="820" w:type="dxa"/>
          </w:tcPr>
          <w:p w14:paraId="48327DA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r>
      <w:tr w:rsidR="00EE3AD1" w:rsidRPr="00AD2DF9" w14:paraId="0B755B39" w14:textId="77777777" w:rsidTr="000C6347">
        <w:trPr>
          <w:jc w:val="center"/>
        </w:trPr>
        <w:tc>
          <w:tcPr>
            <w:tcW w:w="2515" w:type="dxa"/>
          </w:tcPr>
          <w:p w14:paraId="35B2818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2</w:t>
            </w:r>
          </w:p>
        </w:tc>
        <w:tc>
          <w:tcPr>
            <w:tcW w:w="720" w:type="dxa"/>
          </w:tcPr>
          <w:p w14:paraId="1C2106A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D2</w:t>
            </w:r>
          </w:p>
        </w:tc>
        <w:tc>
          <w:tcPr>
            <w:tcW w:w="720" w:type="dxa"/>
          </w:tcPr>
          <w:p w14:paraId="3A099F0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1E27496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6438D208"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72DE6B46"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59C64B9F"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275001E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4364FCE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810" w:type="dxa"/>
          </w:tcPr>
          <w:p w14:paraId="14467CBD"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33.33</w:t>
            </w:r>
          </w:p>
        </w:tc>
        <w:tc>
          <w:tcPr>
            <w:tcW w:w="820" w:type="dxa"/>
          </w:tcPr>
          <w:p w14:paraId="6F2C243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r>
      <w:tr w:rsidR="00EE3AD1" w:rsidRPr="00AD2DF9" w14:paraId="655A0CA4" w14:textId="77777777" w:rsidTr="000C6347">
        <w:trPr>
          <w:jc w:val="center"/>
        </w:trPr>
        <w:tc>
          <w:tcPr>
            <w:tcW w:w="2515" w:type="dxa"/>
          </w:tcPr>
          <w:p w14:paraId="30395115"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3</w:t>
            </w:r>
          </w:p>
        </w:tc>
        <w:tc>
          <w:tcPr>
            <w:tcW w:w="720" w:type="dxa"/>
          </w:tcPr>
          <w:p w14:paraId="21E84F06"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D3</w:t>
            </w:r>
          </w:p>
        </w:tc>
        <w:tc>
          <w:tcPr>
            <w:tcW w:w="720" w:type="dxa"/>
          </w:tcPr>
          <w:p w14:paraId="682C5C17"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08D5C01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D3</w:t>
            </w:r>
          </w:p>
        </w:tc>
        <w:tc>
          <w:tcPr>
            <w:tcW w:w="720" w:type="dxa"/>
          </w:tcPr>
          <w:p w14:paraId="0B35FA4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30CE84A7"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C2</w:t>
            </w:r>
          </w:p>
        </w:tc>
        <w:tc>
          <w:tcPr>
            <w:tcW w:w="720" w:type="dxa"/>
          </w:tcPr>
          <w:p w14:paraId="7DC3C9DD"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5B24234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1469A47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810" w:type="dxa"/>
          </w:tcPr>
          <w:p w14:paraId="33D7755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33.33</w:t>
            </w:r>
          </w:p>
        </w:tc>
        <w:tc>
          <w:tcPr>
            <w:tcW w:w="820" w:type="dxa"/>
          </w:tcPr>
          <w:p w14:paraId="6BBDA46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r>
      <w:tr w:rsidR="00EE3AD1" w:rsidRPr="00AD2DF9" w14:paraId="09E2CEFE" w14:textId="77777777" w:rsidTr="000C6347">
        <w:trPr>
          <w:jc w:val="center"/>
        </w:trPr>
        <w:tc>
          <w:tcPr>
            <w:tcW w:w="9905" w:type="dxa"/>
            <w:gridSpan w:val="11"/>
          </w:tcPr>
          <w:p w14:paraId="4AA3D302" w14:textId="77777777" w:rsidR="00EE3AD1" w:rsidRPr="00AD2DF9" w:rsidRDefault="00EE3AD1" w:rsidP="000C6347">
            <w:pPr>
              <w:jc w:val="both"/>
              <w:rPr>
                <w:rFonts w:ascii="Arial" w:hAnsi="Arial" w:cs="Arial"/>
                <w:sz w:val="22"/>
                <w:szCs w:val="22"/>
              </w:rPr>
            </w:pPr>
            <w:r w:rsidRPr="00AD2DF9">
              <w:rPr>
                <w:rFonts w:ascii="Arial" w:hAnsi="Arial" w:cs="Arial"/>
                <w:b/>
                <w:bCs/>
                <w:sz w:val="22"/>
                <w:szCs w:val="22"/>
              </w:rPr>
              <w:t>DENTAL SURGERY TECHNICIANS</w:t>
            </w:r>
          </w:p>
        </w:tc>
      </w:tr>
      <w:tr w:rsidR="00EE3AD1" w:rsidRPr="00AD2DF9" w14:paraId="036FB584" w14:textId="77777777" w:rsidTr="000C6347">
        <w:trPr>
          <w:jc w:val="center"/>
        </w:trPr>
        <w:tc>
          <w:tcPr>
            <w:tcW w:w="2515" w:type="dxa"/>
          </w:tcPr>
          <w:p w14:paraId="5D2BA2E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1</w:t>
            </w:r>
          </w:p>
        </w:tc>
        <w:tc>
          <w:tcPr>
            <w:tcW w:w="720" w:type="dxa"/>
          </w:tcPr>
          <w:p w14:paraId="6E14DCA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31617B4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03C3752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7C729755"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5324983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3DF0EF1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5F122A0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56E2A64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810" w:type="dxa"/>
          </w:tcPr>
          <w:p w14:paraId="5012E9C8"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66.67</w:t>
            </w:r>
          </w:p>
        </w:tc>
        <w:tc>
          <w:tcPr>
            <w:tcW w:w="820" w:type="dxa"/>
          </w:tcPr>
          <w:p w14:paraId="009F89A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33.33</w:t>
            </w:r>
          </w:p>
        </w:tc>
      </w:tr>
      <w:tr w:rsidR="00EE3AD1" w:rsidRPr="00AD2DF9" w14:paraId="0572A657" w14:textId="77777777" w:rsidTr="000C6347">
        <w:trPr>
          <w:jc w:val="center"/>
        </w:trPr>
        <w:tc>
          <w:tcPr>
            <w:tcW w:w="2515" w:type="dxa"/>
          </w:tcPr>
          <w:p w14:paraId="6F933C2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2</w:t>
            </w:r>
          </w:p>
        </w:tc>
        <w:tc>
          <w:tcPr>
            <w:tcW w:w="720" w:type="dxa"/>
          </w:tcPr>
          <w:p w14:paraId="7E76A5A5"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28BD9BDC"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0D11169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639BBC1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688BFBD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5D499BD5"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6BEC18B6"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5B7CF24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810" w:type="dxa"/>
          </w:tcPr>
          <w:p w14:paraId="6366966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33.33</w:t>
            </w:r>
          </w:p>
        </w:tc>
        <w:tc>
          <w:tcPr>
            <w:tcW w:w="820" w:type="dxa"/>
          </w:tcPr>
          <w:p w14:paraId="71A5EC9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r>
      <w:tr w:rsidR="00EE3AD1" w:rsidRPr="00AD2DF9" w14:paraId="11E750D9" w14:textId="77777777" w:rsidTr="000C6347">
        <w:trPr>
          <w:jc w:val="center"/>
        </w:trPr>
        <w:tc>
          <w:tcPr>
            <w:tcW w:w="2515" w:type="dxa"/>
          </w:tcPr>
          <w:p w14:paraId="1A641BB8"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3</w:t>
            </w:r>
          </w:p>
        </w:tc>
        <w:tc>
          <w:tcPr>
            <w:tcW w:w="720" w:type="dxa"/>
          </w:tcPr>
          <w:p w14:paraId="0D881998"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D3</w:t>
            </w:r>
          </w:p>
        </w:tc>
        <w:tc>
          <w:tcPr>
            <w:tcW w:w="720" w:type="dxa"/>
          </w:tcPr>
          <w:p w14:paraId="394A9517"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7D466805"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111191C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D2</w:t>
            </w:r>
          </w:p>
        </w:tc>
        <w:tc>
          <w:tcPr>
            <w:tcW w:w="720" w:type="dxa"/>
          </w:tcPr>
          <w:p w14:paraId="6A11A8C0"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4283AF75"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B3</w:t>
            </w:r>
          </w:p>
        </w:tc>
        <w:tc>
          <w:tcPr>
            <w:tcW w:w="720" w:type="dxa"/>
          </w:tcPr>
          <w:p w14:paraId="50EEEFF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79780BF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810" w:type="dxa"/>
          </w:tcPr>
          <w:p w14:paraId="0D6F5ED8"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c>
          <w:tcPr>
            <w:tcW w:w="820" w:type="dxa"/>
          </w:tcPr>
          <w:p w14:paraId="049637CC"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r>
      <w:tr w:rsidR="00EE3AD1" w:rsidRPr="00AD2DF9" w14:paraId="36AEC2EC" w14:textId="77777777" w:rsidTr="000C6347">
        <w:trPr>
          <w:jc w:val="center"/>
        </w:trPr>
        <w:tc>
          <w:tcPr>
            <w:tcW w:w="9905" w:type="dxa"/>
            <w:gridSpan w:val="11"/>
          </w:tcPr>
          <w:p w14:paraId="72155019" w14:textId="77777777" w:rsidR="00EE3AD1" w:rsidRPr="00AD2DF9" w:rsidRDefault="00EE3AD1" w:rsidP="000C6347">
            <w:pPr>
              <w:jc w:val="both"/>
              <w:rPr>
                <w:rFonts w:ascii="Arial" w:hAnsi="Arial" w:cs="Arial"/>
                <w:sz w:val="22"/>
                <w:szCs w:val="22"/>
              </w:rPr>
            </w:pPr>
            <w:r w:rsidRPr="00AD2DF9">
              <w:rPr>
                <w:rFonts w:ascii="Arial" w:hAnsi="Arial" w:cs="Arial"/>
                <w:b/>
                <w:bCs/>
                <w:sz w:val="22"/>
                <w:szCs w:val="22"/>
              </w:rPr>
              <w:t>REGISTRARS</w:t>
            </w:r>
          </w:p>
        </w:tc>
      </w:tr>
      <w:tr w:rsidR="00EE3AD1" w:rsidRPr="00AD2DF9" w14:paraId="5296FD7B" w14:textId="77777777" w:rsidTr="000C6347">
        <w:trPr>
          <w:jc w:val="center"/>
        </w:trPr>
        <w:tc>
          <w:tcPr>
            <w:tcW w:w="2515" w:type="dxa"/>
          </w:tcPr>
          <w:p w14:paraId="6978AAA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lastRenderedPageBreak/>
              <w:t>Shade 1</w:t>
            </w:r>
          </w:p>
        </w:tc>
        <w:tc>
          <w:tcPr>
            <w:tcW w:w="720" w:type="dxa"/>
          </w:tcPr>
          <w:p w14:paraId="5538B1F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7B10725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40FFB8D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2D6206C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24AA42B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32CDC16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1A80F68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607EE47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810" w:type="dxa"/>
          </w:tcPr>
          <w:p w14:paraId="7F0FD5B6"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c>
          <w:tcPr>
            <w:tcW w:w="820" w:type="dxa"/>
          </w:tcPr>
          <w:p w14:paraId="1D86AC9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66.67</w:t>
            </w:r>
          </w:p>
        </w:tc>
      </w:tr>
      <w:tr w:rsidR="00EE3AD1" w:rsidRPr="00AD2DF9" w14:paraId="47200172" w14:textId="77777777" w:rsidTr="000C6347">
        <w:trPr>
          <w:jc w:val="center"/>
        </w:trPr>
        <w:tc>
          <w:tcPr>
            <w:tcW w:w="2515" w:type="dxa"/>
          </w:tcPr>
          <w:p w14:paraId="05874A7A"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2</w:t>
            </w:r>
          </w:p>
        </w:tc>
        <w:tc>
          <w:tcPr>
            <w:tcW w:w="720" w:type="dxa"/>
          </w:tcPr>
          <w:p w14:paraId="3240E84A"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7F1C1AAC"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743836BC"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2B98CD0C"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1FFF1DDA"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1928FB88"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544640E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26340BF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810" w:type="dxa"/>
          </w:tcPr>
          <w:p w14:paraId="35BB27B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66.67</w:t>
            </w:r>
          </w:p>
        </w:tc>
        <w:tc>
          <w:tcPr>
            <w:tcW w:w="820" w:type="dxa"/>
          </w:tcPr>
          <w:p w14:paraId="67EE96E7"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r>
      <w:tr w:rsidR="00EE3AD1" w:rsidRPr="00AD2DF9" w14:paraId="28175EBC" w14:textId="77777777" w:rsidTr="000C6347">
        <w:trPr>
          <w:jc w:val="center"/>
        </w:trPr>
        <w:tc>
          <w:tcPr>
            <w:tcW w:w="2515" w:type="dxa"/>
          </w:tcPr>
          <w:p w14:paraId="31E450FA"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3</w:t>
            </w:r>
          </w:p>
        </w:tc>
        <w:tc>
          <w:tcPr>
            <w:tcW w:w="720" w:type="dxa"/>
          </w:tcPr>
          <w:p w14:paraId="1F03432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A3</w:t>
            </w:r>
          </w:p>
        </w:tc>
        <w:tc>
          <w:tcPr>
            <w:tcW w:w="720" w:type="dxa"/>
          </w:tcPr>
          <w:p w14:paraId="5B337805"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60903DA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B3</w:t>
            </w:r>
          </w:p>
        </w:tc>
        <w:tc>
          <w:tcPr>
            <w:tcW w:w="720" w:type="dxa"/>
          </w:tcPr>
          <w:p w14:paraId="1899B70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5C0EC04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D3</w:t>
            </w:r>
          </w:p>
        </w:tc>
        <w:tc>
          <w:tcPr>
            <w:tcW w:w="720" w:type="dxa"/>
          </w:tcPr>
          <w:p w14:paraId="3CF3945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D2</w:t>
            </w:r>
          </w:p>
        </w:tc>
        <w:tc>
          <w:tcPr>
            <w:tcW w:w="720" w:type="dxa"/>
          </w:tcPr>
          <w:p w14:paraId="678E0BE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4F6B1E9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810" w:type="dxa"/>
          </w:tcPr>
          <w:p w14:paraId="5B807A5D"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c>
          <w:tcPr>
            <w:tcW w:w="820" w:type="dxa"/>
          </w:tcPr>
          <w:p w14:paraId="6AE32BE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r>
      <w:tr w:rsidR="00EE3AD1" w:rsidRPr="00AD2DF9" w14:paraId="6AC4A198" w14:textId="77777777" w:rsidTr="000C6347">
        <w:trPr>
          <w:jc w:val="center"/>
        </w:trPr>
        <w:tc>
          <w:tcPr>
            <w:tcW w:w="9905" w:type="dxa"/>
            <w:gridSpan w:val="11"/>
          </w:tcPr>
          <w:p w14:paraId="239A1FDA" w14:textId="77777777" w:rsidR="00EE3AD1" w:rsidRPr="00AD2DF9" w:rsidRDefault="00EE3AD1" w:rsidP="000C6347">
            <w:pPr>
              <w:jc w:val="both"/>
              <w:rPr>
                <w:rFonts w:ascii="Arial" w:hAnsi="Arial" w:cs="Arial"/>
                <w:sz w:val="22"/>
                <w:szCs w:val="22"/>
              </w:rPr>
            </w:pPr>
            <w:r w:rsidRPr="00AD2DF9">
              <w:rPr>
                <w:rFonts w:ascii="Arial" w:hAnsi="Arial" w:cs="Arial"/>
                <w:b/>
                <w:bCs/>
                <w:sz w:val="22"/>
                <w:szCs w:val="22"/>
              </w:rPr>
              <w:t>SENIOR REGISTRARS</w:t>
            </w:r>
          </w:p>
        </w:tc>
      </w:tr>
      <w:tr w:rsidR="00EE3AD1" w:rsidRPr="00AD2DF9" w14:paraId="5C8BD8EC" w14:textId="77777777" w:rsidTr="000C6347">
        <w:trPr>
          <w:jc w:val="center"/>
        </w:trPr>
        <w:tc>
          <w:tcPr>
            <w:tcW w:w="2515" w:type="dxa"/>
          </w:tcPr>
          <w:p w14:paraId="1478354A"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1</w:t>
            </w:r>
          </w:p>
        </w:tc>
        <w:tc>
          <w:tcPr>
            <w:tcW w:w="720" w:type="dxa"/>
          </w:tcPr>
          <w:p w14:paraId="62A10F1A"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D2</w:t>
            </w:r>
          </w:p>
        </w:tc>
        <w:tc>
          <w:tcPr>
            <w:tcW w:w="720" w:type="dxa"/>
          </w:tcPr>
          <w:p w14:paraId="57CD53A0"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7B0E12A3"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D2</w:t>
            </w:r>
          </w:p>
        </w:tc>
        <w:tc>
          <w:tcPr>
            <w:tcW w:w="720" w:type="dxa"/>
          </w:tcPr>
          <w:p w14:paraId="65EDFE8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764AA967"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B1</w:t>
            </w:r>
          </w:p>
        </w:tc>
        <w:tc>
          <w:tcPr>
            <w:tcW w:w="720" w:type="dxa"/>
          </w:tcPr>
          <w:p w14:paraId="2951DA3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442E3FE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D2</w:t>
            </w:r>
          </w:p>
        </w:tc>
        <w:tc>
          <w:tcPr>
            <w:tcW w:w="720" w:type="dxa"/>
          </w:tcPr>
          <w:p w14:paraId="3D55A64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810" w:type="dxa"/>
          </w:tcPr>
          <w:p w14:paraId="19D7EDB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c>
          <w:tcPr>
            <w:tcW w:w="820" w:type="dxa"/>
          </w:tcPr>
          <w:p w14:paraId="0BC69697"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100</w:t>
            </w:r>
          </w:p>
        </w:tc>
      </w:tr>
      <w:tr w:rsidR="00EE3AD1" w:rsidRPr="00AD2DF9" w14:paraId="2A74F178" w14:textId="77777777" w:rsidTr="000C6347">
        <w:trPr>
          <w:jc w:val="center"/>
        </w:trPr>
        <w:tc>
          <w:tcPr>
            <w:tcW w:w="2515" w:type="dxa"/>
          </w:tcPr>
          <w:p w14:paraId="7C0DCD2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2</w:t>
            </w:r>
          </w:p>
        </w:tc>
        <w:tc>
          <w:tcPr>
            <w:tcW w:w="720" w:type="dxa"/>
          </w:tcPr>
          <w:p w14:paraId="3884D8FE"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D3</w:t>
            </w:r>
          </w:p>
        </w:tc>
        <w:tc>
          <w:tcPr>
            <w:tcW w:w="720" w:type="dxa"/>
          </w:tcPr>
          <w:p w14:paraId="5B85512D"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24882170"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A1</w:t>
            </w:r>
          </w:p>
        </w:tc>
        <w:tc>
          <w:tcPr>
            <w:tcW w:w="720" w:type="dxa"/>
          </w:tcPr>
          <w:p w14:paraId="1577835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24F70058"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32D4F1F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B2</w:t>
            </w:r>
          </w:p>
        </w:tc>
        <w:tc>
          <w:tcPr>
            <w:tcW w:w="720" w:type="dxa"/>
          </w:tcPr>
          <w:p w14:paraId="2E540500"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68508A2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810" w:type="dxa"/>
          </w:tcPr>
          <w:p w14:paraId="74D1842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c>
          <w:tcPr>
            <w:tcW w:w="820" w:type="dxa"/>
          </w:tcPr>
          <w:p w14:paraId="24C8125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33.33</w:t>
            </w:r>
          </w:p>
        </w:tc>
      </w:tr>
      <w:tr w:rsidR="00EE3AD1" w:rsidRPr="00AD2DF9" w14:paraId="10BA5C33" w14:textId="77777777" w:rsidTr="000C6347">
        <w:trPr>
          <w:jc w:val="center"/>
        </w:trPr>
        <w:tc>
          <w:tcPr>
            <w:tcW w:w="2515" w:type="dxa"/>
          </w:tcPr>
          <w:p w14:paraId="63605C36"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Shade 3</w:t>
            </w:r>
          </w:p>
        </w:tc>
        <w:tc>
          <w:tcPr>
            <w:tcW w:w="720" w:type="dxa"/>
          </w:tcPr>
          <w:p w14:paraId="02BE78BC"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A3</w:t>
            </w:r>
          </w:p>
        </w:tc>
        <w:tc>
          <w:tcPr>
            <w:tcW w:w="720" w:type="dxa"/>
          </w:tcPr>
          <w:p w14:paraId="602A7419"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C1</w:t>
            </w:r>
          </w:p>
        </w:tc>
        <w:tc>
          <w:tcPr>
            <w:tcW w:w="720" w:type="dxa"/>
          </w:tcPr>
          <w:p w14:paraId="57B4DEF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D3</w:t>
            </w:r>
          </w:p>
        </w:tc>
        <w:tc>
          <w:tcPr>
            <w:tcW w:w="720" w:type="dxa"/>
          </w:tcPr>
          <w:p w14:paraId="50D997B2"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D4</w:t>
            </w:r>
          </w:p>
        </w:tc>
        <w:tc>
          <w:tcPr>
            <w:tcW w:w="720" w:type="dxa"/>
          </w:tcPr>
          <w:p w14:paraId="469D60D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C2</w:t>
            </w:r>
          </w:p>
        </w:tc>
        <w:tc>
          <w:tcPr>
            <w:tcW w:w="720" w:type="dxa"/>
          </w:tcPr>
          <w:p w14:paraId="1E9884B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720" w:type="dxa"/>
          </w:tcPr>
          <w:p w14:paraId="5C279F24"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A3</w:t>
            </w:r>
          </w:p>
        </w:tc>
        <w:tc>
          <w:tcPr>
            <w:tcW w:w="720" w:type="dxa"/>
          </w:tcPr>
          <w:p w14:paraId="7711194B"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A2</w:t>
            </w:r>
          </w:p>
        </w:tc>
        <w:tc>
          <w:tcPr>
            <w:tcW w:w="810" w:type="dxa"/>
          </w:tcPr>
          <w:p w14:paraId="66043DB1"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33.33</w:t>
            </w:r>
          </w:p>
        </w:tc>
        <w:tc>
          <w:tcPr>
            <w:tcW w:w="820" w:type="dxa"/>
          </w:tcPr>
          <w:p w14:paraId="4BBF9B6C" w14:textId="77777777" w:rsidR="00EE3AD1" w:rsidRPr="00AD2DF9" w:rsidRDefault="00EE3AD1" w:rsidP="000C6347">
            <w:pPr>
              <w:jc w:val="both"/>
              <w:rPr>
                <w:rFonts w:ascii="Arial" w:hAnsi="Arial" w:cs="Arial"/>
                <w:sz w:val="22"/>
                <w:szCs w:val="22"/>
              </w:rPr>
            </w:pPr>
            <w:r w:rsidRPr="00AD2DF9">
              <w:rPr>
                <w:rFonts w:ascii="Arial" w:hAnsi="Arial" w:cs="Arial"/>
                <w:sz w:val="22"/>
                <w:szCs w:val="22"/>
              </w:rPr>
              <w:t>0</w:t>
            </w:r>
          </w:p>
        </w:tc>
      </w:tr>
    </w:tbl>
    <w:bookmarkEnd w:id="1"/>
    <w:p w14:paraId="586FBB76" w14:textId="77777777" w:rsidR="00EE3AD1" w:rsidRPr="00AD2DF9" w:rsidRDefault="00EE3AD1" w:rsidP="00EE3AD1">
      <w:pPr>
        <w:shd w:val="clear" w:color="auto" w:fill="FFFFFF"/>
        <w:spacing w:before="240" w:after="240" w:line="360" w:lineRule="auto"/>
        <w:jc w:val="both"/>
        <w:rPr>
          <w:rFonts w:ascii="Arial" w:hAnsi="Arial" w:cs="Arial"/>
          <w:sz w:val="22"/>
          <w:szCs w:val="22"/>
        </w:rPr>
      </w:pPr>
      <w:r w:rsidRPr="00AD2DF9">
        <w:rPr>
          <w:rFonts w:ascii="Arial" w:hAnsi="Arial" w:cs="Arial"/>
          <w:sz w:val="22"/>
          <w:szCs w:val="22"/>
        </w:rPr>
        <w:t>Key: Shade 1(A1), Shade 2 (B2), Shade 3 (C2)</w:t>
      </w:r>
    </w:p>
    <w:p w14:paraId="51777AC7" w14:textId="77777777" w:rsidR="00EE3AD1" w:rsidRPr="00AD2DF9" w:rsidRDefault="00EE3AD1" w:rsidP="00EE3AD1">
      <w:pPr>
        <w:shd w:val="clear" w:color="auto" w:fill="FFFFFF"/>
        <w:spacing w:before="240" w:after="240" w:line="360" w:lineRule="auto"/>
        <w:jc w:val="both"/>
        <w:rPr>
          <w:rFonts w:ascii="Arial" w:hAnsi="Arial" w:cs="Arial"/>
          <w:sz w:val="22"/>
          <w:szCs w:val="22"/>
        </w:rPr>
      </w:pPr>
    </w:p>
    <w:p w14:paraId="6FAE071F" w14:textId="77777777" w:rsidR="00EE3AD1" w:rsidRPr="00AD2DF9" w:rsidRDefault="00EE3AD1" w:rsidP="00EE3AD1">
      <w:pPr>
        <w:shd w:val="clear" w:color="auto" w:fill="FFFFFF"/>
        <w:spacing w:before="240" w:after="240" w:line="360" w:lineRule="auto"/>
        <w:jc w:val="both"/>
        <w:rPr>
          <w:rFonts w:ascii="Arial" w:hAnsi="Arial" w:cs="Arial"/>
          <w:sz w:val="22"/>
          <w:szCs w:val="22"/>
        </w:rPr>
      </w:pPr>
    </w:p>
    <w:p w14:paraId="02542082" w14:textId="77777777" w:rsidR="00EE3AD1" w:rsidRPr="00AD2DF9" w:rsidRDefault="00EE3AD1" w:rsidP="00EE3AD1">
      <w:pPr>
        <w:shd w:val="clear" w:color="auto" w:fill="FFFFFF"/>
        <w:spacing w:before="240" w:after="240" w:line="360" w:lineRule="auto"/>
        <w:jc w:val="both"/>
        <w:rPr>
          <w:rFonts w:ascii="Arial" w:hAnsi="Arial" w:cs="Arial"/>
          <w:sz w:val="22"/>
          <w:szCs w:val="22"/>
        </w:rPr>
      </w:pPr>
    </w:p>
    <w:p w14:paraId="706FD299" w14:textId="77777777" w:rsidR="00EE3AD1" w:rsidRPr="00AD2DF9" w:rsidRDefault="00EE3AD1" w:rsidP="00EE3AD1">
      <w:pPr>
        <w:jc w:val="center"/>
        <w:rPr>
          <w:rFonts w:ascii="Arial" w:hAnsi="Arial" w:cs="Arial"/>
          <w:b/>
          <w:bCs/>
          <w:sz w:val="22"/>
          <w:szCs w:val="22"/>
        </w:rPr>
      </w:pPr>
      <w:r w:rsidRPr="00AD2DF9">
        <w:rPr>
          <w:rFonts w:ascii="Arial" w:hAnsi="Arial" w:cs="Arial"/>
          <w:b/>
          <w:bCs/>
          <w:sz w:val="22"/>
          <w:szCs w:val="22"/>
        </w:rPr>
        <w:t>Table 2: Comparison of the mean percentage (SD) of correct response between group A and group B</w:t>
      </w:r>
    </w:p>
    <w:p w14:paraId="0CEF1A58" w14:textId="77777777" w:rsidR="00EE3AD1" w:rsidRPr="00AD2DF9" w:rsidRDefault="00EE3AD1" w:rsidP="00EE3AD1">
      <w:pPr>
        <w:rPr>
          <w:rFonts w:ascii="Arial" w:hAnsi="Arial" w:cs="Arial"/>
          <w:sz w:val="22"/>
          <w:szCs w:val="22"/>
        </w:rPr>
      </w:pPr>
    </w:p>
    <w:p w14:paraId="4BD25598" w14:textId="77777777" w:rsidR="00EE3AD1" w:rsidRPr="00AD2DF9" w:rsidRDefault="00EE3AD1" w:rsidP="00EE3AD1">
      <w:pPr>
        <w:rPr>
          <w:rFonts w:ascii="Arial" w:hAnsi="Arial" w:cs="Arial"/>
          <w:sz w:val="22"/>
          <w:szCs w:val="22"/>
        </w:rPr>
      </w:pPr>
    </w:p>
    <w:tbl>
      <w:tblPr>
        <w:tblW w:w="6530" w:type="dxa"/>
        <w:tblInd w:w="1300" w:type="dxa"/>
        <w:tblLook w:val="04A0" w:firstRow="1" w:lastRow="0" w:firstColumn="1" w:lastColumn="0" w:noHBand="0" w:noVBand="1"/>
      </w:tblPr>
      <w:tblGrid>
        <w:gridCol w:w="1104"/>
        <w:gridCol w:w="1335"/>
        <w:gridCol w:w="1883"/>
        <w:gridCol w:w="1104"/>
        <w:gridCol w:w="1104"/>
      </w:tblGrid>
      <w:tr w:rsidR="00EE3AD1" w:rsidRPr="00AD2DF9" w14:paraId="07BD3458" w14:textId="77777777" w:rsidTr="000C6347">
        <w:trPr>
          <w:trHeight w:val="861"/>
        </w:trPr>
        <w:tc>
          <w:tcPr>
            <w:tcW w:w="1104" w:type="dxa"/>
            <w:tcBorders>
              <w:top w:val="single" w:sz="4" w:space="0" w:color="auto"/>
              <w:left w:val="nil"/>
              <w:bottom w:val="single" w:sz="4" w:space="0" w:color="auto"/>
              <w:right w:val="nil"/>
            </w:tcBorders>
            <w:noWrap/>
            <w:vAlign w:val="center"/>
            <w:hideMark/>
          </w:tcPr>
          <w:p w14:paraId="5F2A87D3"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Groups</w:t>
            </w:r>
          </w:p>
        </w:tc>
        <w:tc>
          <w:tcPr>
            <w:tcW w:w="1335" w:type="dxa"/>
            <w:tcBorders>
              <w:top w:val="single" w:sz="4" w:space="0" w:color="auto"/>
              <w:left w:val="nil"/>
              <w:bottom w:val="single" w:sz="4" w:space="0" w:color="auto"/>
              <w:right w:val="nil"/>
            </w:tcBorders>
            <w:vAlign w:val="center"/>
          </w:tcPr>
          <w:p w14:paraId="7DA9A129"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Range</w:t>
            </w:r>
          </w:p>
        </w:tc>
        <w:tc>
          <w:tcPr>
            <w:tcW w:w="1883" w:type="dxa"/>
            <w:tcBorders>
              <w:top w:val="single" w:sz="4" w:space="0" w:color="auto"/>
              <w:left w:val="nil"/>
              <w:bottom w:val="single" w:sz="4" w:space="0" w:color="auto"/>
              <w:right w:val="nil"/>
            </w:tcBorders>
            <w:noWrap/>
            <w:vAlign w:val="center"/>
            <w:hideMark/>
          </w:tcPr>
          <w:p w14:paraId="6F98973B"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t xml:space="preserve">      Mean ±SD</w:t>
            </w:r>
          </w:p>
        </w:tc>
        <w:tc>
          <w:tcPr>
            <w:tcW w:w="1104" w:type="dxa"/>
            <w:tcBorders>
              <w:top w:val="single" w:sz="4" w:space="0" w:color="auto"/>
              <w:left w:val="nil"/>
              <w:bottom w:val="single" w:sz="4" w:space="0" w:color="auto"/>
              <w:right w:val="nil"/>
            </w:tcBorders>
            <w:noWrap/>
            <w:vAlign w:val="center"/>
            <w:hideMark/>
          </w:tcPr>
          <w:p w14:paraId="4BEE9DA8" w14:textId="77777777" w:rsidR="00EE3AD1" w:rsidRPr="00AD2DF9" w:rsidRDefault="00EE3AD1" w:rsidP="000C6347">
            <w:pPr>
              <w:jc w:val="center"/>
              <w:rPr>
                <w:rFonts w:ascii="Arial" w:hAnsi="Arial" w:cs="Arial"/>
                <w:i/>
                <w:iCs/>
                <w:color w:val="000000"/>
                <w:sz w:val="22"/>
                <w:szCs w:val="22"/>
              </w:rPr>
            </w:pPr>
            <w:r w:rsidRPr="00AD2DF9">
              <w:rPr>
                <w:rFonts w:ascii="Arial" w:hAnsi="Arial" w:cs="Arial"/>
                <w:i/>
                <w:iCs/>
                <w:color w:val="000000"/>
                <w:sz w:val="22"/>
                <w:szCs w:val="22"/>
              </w:rPr>
              <w:t>U</w:t>
            </w:r>
          </w:p>
        </w:tc>
        <w:tc>
          <w:tcPr>
            <w:tcW w:w="1104" w:type="dxa"/>
            <w:tcBorders>
              <w:top w:val="single" w:sz="4" w:space="0" w:color="auto"/>
              <w:left w:val="nil"/>
              <w:bottom w:val="single" w:sz="4" w:space="0" w:color="auto"/>
              <w:right w:val="nil"/>
            </w:tcBorders>
            <w:noWrap/>
            <w:vAlign w:val="center"/>
            <w:hideMark/>
          </w:tcPr>
          <w:p w14:paraId="1C230D2D"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P-value</w:t>
            </w:r>
          </w:p>
        </w:tc>
      </w:tr>
      <w:tr w:rsidR="00EE3AD1" w:rsidRPr="00AD2DF9" w14:paraId="7B1743BC" w14:textId="77777777" w:rsidTr="000C6347">
        <w:trPr>
          <w:trHeight w:val="861"/>
        </w:trPr>
        <w:tc>
          <w:tcPr>
            <w:tcW w:w="1104" w:type="dxa"/>
            <w:tcBorders>
              <w:top w:val="nil"/>
              <w:left w:val="nil"/>
              <w:bottom w:val="nil"/>
              <w:right w:val="nil"/>
            </w:tcBorders>
            <w:noWrap/>
            <w:vAlign w:val="center"/>
            <w:hideMark/>
          </w:tcPr>
          <w:p w14:paraId="008DC1E7"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Group A</w:t>
            </w:r>
          </w:p>
        </w:tc>
        <w:tc>
          <w:tcPr>
            <w:tcW w:w="1335" w:type="dxa"/>
            <w:tcBorders>
              <w:top w:val="nil"/>
              <w:left w:val="nil"/>
              <w:bottom w:val="nil"/>
              <w:right w:val="nil"/>
            </w:tcBorders>
            <w:vAlign w:val="center"/>
          </w:tcPr>
          <w:p w14:paraId="59547BA8"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0 - 66.67</w:t>
            </w:r>
          </w:p>
        </w:tc>
        <w:tc>
          <w:tcPr>
            <w:tcW w:w="1883" w:type="dxa"/>
            <w:tcBorders>
              <w:top w:val="nil"/>
              <w:left w:val="nil"/>
              <w:bottom w:val="nil"/>
              <w:right w:val="nil"/>
            </w:tcBorders>
            <w:noWrap/>
            <w:vAlign w:val="center"/>
            <w:hideMark/>
          </w:tcPr>
          <w:p w14:paraId="1918B37A"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27.78 ±27.83</w:t>
            </w:r>
          </w:p>
        </w:tc>
        <w:tc>
          <w:tcPr>
            <w:tcW w:w="1104" w:type="dxa"/>
            <w:tcBorders>
              <w:top w:val="nil"/>
              <w:left w:val="nil"/>
              <w:bottom w:val="nil"/>
              <w:right w:val="nil"/>
            </w:tcBorders>
            <w:noWrap/>
            <w:vAlign w:val="center"/>
            <w:hideMark/>
          </w:tcPr>
          <w:p w14:paraId="63AA0D49"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0.666 </w:t>
            </w:r>
          </w:p>
        </w:tc>
        <w:tc>
          <w:tcPr>
            <w:tcW w:w="1104" w:type="dxa"/>
            <w:tcBorders>
              <w:top w:val="nil"/>
              <w:left w:val="nil"/>
              <w:bottom w:val="nil"/>
              <w:right w:val="nil"/>
            </w:tcBorders>
            <w:noWrap/>
            <w:vAlign w:val="center"/>
            <w:hideMark/>
          </w:tcPr>
          <w:p w14:paraId="0DCC8BAE"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0.512 </w:t>
            </w:r>
          </w:p>
        </w:tc>
      </w:tr>
      <w:tr w:rsidR="00EE3AD1" w:rsidRPr="00AD2DF9" w14:paraId="0E0C526C" w14:textId="77777777" w:rsidTr="000C6347">
        <w:trPr>
          <w:trHeight w:val="861"/>
        </w:trPr>
        <w:tc>
          <w:tcPr>
            <w:tcW w:w="1104" w:type="dxa"/>
            <w:tcBorders>
              <w:top w:val="nil"/>
              <w:left w:val="nil"/>
              <w:bottom w:val="single" w:sz="4" w:space="0" w:color="auto"/>
              <w:right w:val="nil"/>
            </w:tcBorders>
            <w:noWrap/>
            <w:vAlign w:val="center"/>
            <w:hideMark/>
          </w:tcPr>
          <w:p w14:paraId="468E85F9"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t>Group B</w:t>
            </w:r>
          </w:p>
        </w:tc>
        <w:tc>
          <w:tcPr>
            <w:tcW w:w="1335" w:type="dxa"/>
            <w:tcBorders>
              <w:top w:val="nil"/>
              <w:left w:val="nil"/>
              <w:bottom w:val="single" w:sz="4" w:space="0" w:color="auto"/>
              <w:right w:val="nil"/>
            </w:tcBorders>
            <w:vAlign w:val="center"/>
          </w:tcPr>
          <w:p w14:paraId="64B672E7"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100</w:t>
            </w:r>
          </w:p>
        </w:tc>
        <w:tc>
          <w:tcPr>
            <w:tcW w:w="1883" w:type="dxa"/>
            <w:tcBorders>
              <w:top w:val="nil"/>
              <w:left w:val="nil"/>
              <w:bottom w:val="single" w:sz="4" w:space="0" w:color="auto"/>
              <w:right w:val="nil"/>
            </w:tcBorders>
            <w:noWrap/>
            <w:vAlign w:val="center"/>
            <w:hideMark/>
          </w:tcPr>
          <w:p w14:paraId="4662F2C4"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19.44 ±33.21</w:t>
            </w:r>
          </w:p>
        </w:tc>
        <w:tc>
          <w:tcPr>
            <w:tcW w:w="1104" w:type="dxa"/>
            <w:tcBorders>
              <w:top w:val="nil"/>
              <w:left w:val="nil"/>
              <w:bottom w:val="single" w:sz="4" w:space="0" w:color="auto"/>
              <w:right w:val="nil"/>
            </w:tcBorders>
            <w:noWrap/>
            <w:vAlign w:val="center"/>
            <w:hideMark/>
          </w:tcPr>
          <w:p w14:paraId="5D0823CA"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 </w:t>
            </w:r>
          </w:p>
        </w:tc>
        <w:tc>
          <w:tcPr>
            <w:tcW w:w="1104" w:type="dxa"/>
            <w:tcBorders>
              <w:top w:val="nil"/>
              <w:left w:val="nil"/>
              <w:bottom w:val="single" w:sz="4" w:space="0" w:color="auto"/>
              <w:right w:val="nil"/>
            </w:tcBorders>
            <w:noWrap/>
            <w:vAlign w:val="center"/>
            <w:hideMark/>
          </w:tcPr>
          <w:p w14:paraId="1C51ED61"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 </w:t>
            </w:r>
          </w:p>
        </w:tc>
      </w:tr>
      <w:tr w:rsidR="00EE3AD1" w:rsidRPr="00AD2DF9" w14:paraId="259DE5DE" w14:textId="77777777" w:rsidTr="000C6347">
        <w:trPr>
          <w:trHeight w:val="170"/>
        </w:trPr>
        <w:tc>
          <w:tcPr>
            <w:tcW w:w="4322" w:type="dxa"/>
            <w:gridSpan w:val="3"/>
            <w:tcBorders>
              <w:top w:val="single" w:sz="4" w:space="0" w:color="auto"/>
              <w:left w:val="nil"/>
              <w:right w:val="nil"/>
            </w:tcBorders>
            <w:noWrap/>
            <w:vAlign w:val="center"/>
          </w:tcPr>
          <w:p w14:paraId="09C2A4D9" w14:textId="77777777" w:rsidR="00EE3AD1" w:rsidRPr="00AD2DF9" w:rsidRDefault="00EE3AD1" w:rsidP="000C6347">
            <w:pPr>
              <w:jc w:val="both"/>
              <w:rPr>
                <w:rFonts w:ascii="Arial" w:hAnsi="Arial" w:cs="Arial"/>
                <w:color w:val="000000"/>
                <w:sz w:val="22"/>
                <w:szCs w:val="22"/>
              </w:rPr>
            </w:pPr>
            <w:r w:rsidRPr="00AD2DF9">
              <w:rPr>
                <w:rFonts w:ascii="Arial" w:hAnsi="Arial" w:cs="Arial"/>
                <w:color w:val="000000"/>
                <w:sz w:val="22"/>
                <w:szCs w:val="22"/>
              </w:rPr>
              <w:t>Two Independent t- test</w:t>
            </w:r>
          </w:p>
        </w:tc>
        <w:tc>
          <w:tcPr>
            <w:tcW w:w="1104" w:type="dxa"/>
            <w:tcBorders>
              <w:top w:val="single" w:sz="4" w:space="0" w:color="auto"/>
              <w:left w:val="nil"/>
              <w:right w:val="nil"/>
            </w:tcBorders>
            <w:noWrap/>
            <w:vAlign w:val="center"/>
          </w:tcPr>
          <w:p w14:paraId="0B3AC15F" w14:textId="77777777" w:rsidR="00EE3AD1" w:rsidRPr="00AD2DF9" w:rsidRDefault="00EE3AD1" w:rsidP="000C6347">
            <w:pPr>
              <w:jc w:val="both"/>
              <w:rPr>
                <w:rFonts w:ascii="Arial" w:hAnsi="Arial" w:cs="Arial"/>
                <w:color w:val="000000"/>
                <w:sz w:val="22"/>
                <w:szCs w:val="22"/>
              </w:rPr>
            </w:pPr>
          </w:p>
        </w:tc>
        <w:tc>
          <w:tcPr>
            <w:tcW w:w="1104" w:type="dxa"/>
            <w:tcBorders>
              <w:top w:val="single" w:sz="4" w:space="0" w:color="auto"/>
              <w:left w:val="nil"/>
              <w:right w:val="nil"/>
            </w:tcBorders>
            <w:noWrap/>
            <w:vAlign w:val="center"/>
          </w:tcPr>
          <w:p w14:paraId="68191740" w14:textId="77777777" w:rsidR="00EE3AD1" w:rsidRPr="00AD2DF9" w:rsidRDefault="00EE3AD1" w:rsidP="000C6347">
            <w:pPr>
              <w:jc w:val="both"/>
              <w:rPr>
                <w:rFonts w:ascii="Arial" w:hAnsi="Arial" w:cs="Arial"/>
                <w:color w:val="000000"/>
                <w:sz w:val="22"/>
                <w:szCs w:val="22"/>
              </w:rPr>
            </w:pPr>
          </w:p>
        </w:tc>
      </w:tr>
    </w:tbl>
    <w:p w14:paraId="3588338A" w14:textId="77777777" w:rsidR="00EE3AD1" w:rsidRPr="00AD2DF9" w:rsidRDefault="00EE3AD1" w:rsidP="00EE3AD1">
      <w:pPr>
        <w:rPr>
          <w:rFonts w:ascii="Arial" w:hAnsi="Arial" w:cs="Arial"/>
          <w:sz w:val="22"/>
          <w:szCs w:val="22"/>
        </w:rPr>
      </w:pPr>
    </w:p>
    <w:p w14:paraId="452E1052" w14:textId="77777777" w:rsidR="00EE3AD1" w:rsidRPr="00AD2DF9" w:rsidRDefault="00EE3AD1" w:rsidP="00EE3AD1">
      <w:pPr>
        <w:spacing w:line="480" w:lineRule="auto"/>
        <w:jc w:val="both"/>
        <w:rPr>
          <w:rFonts w:ascii="Arial" w:hAnsi="Arial" w:cs="Arial"/>
          <w:sz w:val="22"/>
          <w:szCs w:val="22"/>
        </w:rPr>
      </w:pPr>
      <w:r w:rsidRPr="00AD2DF9">
        <w:rPr>
          <w:rFonts w:ascii="Arial" w:hAnsi="Arial" w:cs="Arial"/>
          <w:sz w:val="22"/>
          <w:szCs w:val="22"/>
        </w:rPr>
        <w:t xml:space="preserve">Even though group A recorded a higher mean percentage of correct response, independent t-test shows that the difference in the mean percentage of correct response for group A and group B is not statistically significant, </w:t>
      </w:r>
      <w:r w:rsidRPr="00AD2DF9">
        <w:rPr>
          <w:rFonts w:ascii="Arial" w:hAnsi="Arial" w:cs="Arial"/>
          <w:i/>
          <w:iCs/>
          <w:sz w:val="22"/>
          <w:szCs w:val="22"/>
        </w:rPr>
        <w:t>P</w:t>
      </w:r>
      <w:r w:rsidRPr="00AD2DF9">
        <w:rPr>
          <w:rFonts w:ascii="Arial" w:hAnsi="Arial" w:cs="Arial"/>
          <w:sz w:val="22"/>
          <w:szCs w:val="22"/>
        </w:rPr>
        <w:t>=0.512 (Table 2).</w:t>
      </w:r>
    </w:p>
    <w:p w14:paraId="1334F5CE" w14:textId="77777777" w:rsidR="00EE3AD1" w:rsidRPr="00AD2DF9" w:rsidRDefault="00EE3AD1" w:rsidP="00EE3AD1">
      <w:pPr>
        <w:rPr>
          <w:rFonts w:ascii="Arial" w:hAnsi="Arial" w:cs="Arial"/>
          <w:sz w:val="22"/>
          <w:szCs w:val="22"/>
        </w:rPr>
      </w:pPr>
    </w:p>
    <w:p w14:paraId="71C69568" w14:textId="77777777" w:rsidR="00EE3AD1" w:rsidRPr="00AD2DF9" w:rsidRDefault="00EE3AD1" w:rsidP="00EE3AD1">
      <w:pPr>
        <w:rPr>
          <w:rFonts w:ascii="Arial" w:hAnsi="Arial" w:cs="Arial"/>
          <w:sz w:val="22"/>
          <w:szCs w:val="22"/>
        </w:rPr>
      </w:pPr>
    </w:p>
    <w:p w14:paraId="6A5EB21C" w14:textId="77777777" w:rsidR="00EE3AD1" w:rsidRPr="00AD2DF9" w:rsidRDefault="00EE3AD1" w:rsidP="00EE3AD1">
      <w:pPr>
        <w:jc w:val="center"/>
        <w:rPr>
          <w:rFonts w:ascii="Arial" w:hAnsi="Arial" w:cs="Arial"/>
          <w:b/>
          <w:bCs/>
          <w:sz w:val="22"/>
          <w:szCs w:val="22"/>
        </w:rPr>
      </w:pPr>
      <w:r w:rsidRPr="00AD2DF9">
        <w:rPr>
          <w:rFonts w:ascii="Arial" w:hAnsi="Arial" w:cs="Arial"/>
          <w:b/>
          <w:bCs/>
          <w:sz w:val="22"/>
          <w:szCs w:val="22"/>
        </w:rPr>
        <w:t>Table 3: Comparison of the mean percentage (SD) of correct response within each study group</w:t>
      </w:r>
    </w:p>
    <w:p w14:paraId="4DE3DBC6" w14:textId="77777777" w:rsidR="00EE3AD1" w:rsidRPr="00AD2DF9" w:rsidRDefault="00EE3AD1" w:rsidP="00EE3AD1">
      <w:pPr>
        <w:jc w:val="center"/>
        <w:rPr>
          <w:rFonts w:ascii="Arial" w:hAnsi="Arial" w:cs="Arial"/>
          <w:b/>
          <w:bCs/>
          <w:sz w:val="22"/>
          <w:szCs w:val="22"/>
        </w:rPr>
      </w:pPr>
    </w:p>
    <w:p w14:paraId="39732195" w14:textId="77777777" w:rsidR="00EE3AD1" w:rsidRPr="00AD2DF9" w:rsidRDefault="00EE3AD1" w:rsidP="00EE3AD1">
      <w:pPr>
        <w:rPr>
          <w:rFonts w:ascii="Arial" w:hAnsi="Arial" w:cs="Arial"/>
          <w:sz w:val="22"/>
          <w:szCs w:val="22"/>
        </w:rPr>
      </w:pPr>
    </w:p>
    <w:tbl>
      <w:tblPr>
        <w:tblW w:w="8312" w:type="dxa"/>
        <w:jc w:val="center"/>
        <w:tblLook w:val="04A0" w:firstRow="1" w:lastRow="0" w:firstColumn="1" w:lastColumn="0" w:noHBand="0" w:noVBand="1"/>
      </w:tblPr>
      <w:tblGrid>
        <w:gridCol w:w="1944"/>
        <w:gridCol w:w="1592"/>
        <w:gridCol w:w="1592"/>
        <w:gridCol w:w="1592"/>
        <w:gridCol w:w="1592"/>
      </w:tblGrid>
      <w:tr w:rsidR="00EE3AD1" w:rsidRPr="00AD2DF9" w14:paraId="353362A1" w14:textId="77777777" w:rsidTr="000C6347">
        <w:trPr>
          <w:trHeight w:val="758"/>
          <w:jc w:val="center"/>
        </w:trPr>
        <w:tc>
          <w:tcPr>
            <w:tcW w:w="1944" w:type="dxa"/>
            <w:tcBorders>
              <w:top w:val="single" w:sz="4" w:space="0" w:color="auto"/>
              <w:left w:val="nil"/>
              <w:bottom w:val="nil"/>
              <w:right w:val="nil"/>
            </w:tcBorders>
            <w:noWrap/>
            <w:vAlign w:val="center"/>
            <w:hideMark/>
          </w:tcPr>
          <w:p w14:paraId="10DC2520"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lastRenderedPageBreak/>
              <w:t> </w:t>
            </w:r>
          </w:p>
        </w:tc>
        <w:tc>
          <w:tcPr>
            <w:tcW w:w="3184" w:type="dxa"/>
            <w:gridSpan w:val="2"/>
            <w:tcBorders>
              <w:top w:val="single" w:sz="4" w:space="0" w:color="auto"/>
              <w:left w:val="nil"/>
              <w:bottom w:val="single" w:sz="4" w:space="0" w:color="auto"/>
              <w:right w:val="nil"/>
            </w:tcBorders>
            <w:noWrap/>
            <w:vAlign w:val="center"/>
            <w:hideMark/>
          </w:tcPr>
          <w:p w14:paraId="688907DA"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Group A</w:t>
            </w:r>
          </w:p>
        </w:tc>
        <w:tc>
          <w:tcPr>
            <w:tcW w:w="3184" w:type="dxa"/>
            <w:gridSpan w:val="2"/>
            <w:tcBorders>
              <w:top w:val="single" w:sz="4" w:space="0" w:color="auto"/>
              <w:left w:val="nil"/>
              <w:bottom w:val="single" w:sz="4" w:space="0" w:color="auto"/>
              <w:right w:val="nil"/>
            </w:tcBorders>
            <w:noWrap/>
            <w:vAlign w:val="center"/>
            <w:hideMark/>
          </w:tcPr>
          <w:p w14:paraId="6BFF1E1E"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Group B </w:t>
            </w:r>
          </w:p>
        </w:tc>
      </w:tr>
      <w:tr w:rsidR="00EE3AD1" w:rsidRPr="00AD2DF9" w14:paraId="119EDF7F" w14:textId="77777777" w:rsidTr="000C6347">
        <w:trPr>
          <w:trHeight w:val="758"/>
          <w:jc w:val="center"/>
        </w:trPr>
        <w:tc>
          <w:tcPr>
            <w:tcW w:w="1944" w:type="dxa"/>
            <w:tcBorders>
              <w:top w:val="nil"/>
              <w:left w:val="nil"/>
              <w:bottom w:val="single" w:sz="4" w:space="0" w:color="auto"/>
              <w:right w:val="nil"/>
            </w:tcBorders>
            <w:noWrap/>
            <w:vAlign w:val="center"/>
            <w:hideMark/>
          </w:tcPr>
          <w:p w14:paraId="0F5B8C8A" w14:textId="77777777" w:rsidR="00EE3AD1" w:rsidRPr="00AD2DF9" w:rsidRDefault="00EE3AD1" w:rsidP="000C6347">
            <w:pPr>
              <w:rPr>
                <w:rFonts w:ascii="Arial" w:hAnsi="Arial" w:cs="Arial"/>
                <w:color w:val="000000"/>
                <w:sz w:val="22"/>
                <w:szCs w:val="22"/>
              </w:rPr>
            </w:pPr>
            <w:r w:rsidRPr="00AD2DF9">
              <w:rPr>
                <w:rFonts w:ascii="Arial" w:hAnsi="Arial" w:cs="Arial"/>
                <w:bCs/>
                <w:sz w:val="22"/>
                <w:szCs w:val="22"/>
              </w:rPr>
              <w:t>Category of Assessors</w:t>
            </w:r>
          </w:p>
        </w:tc>
        <w:tc>
          <w:tcPr>
            <w:tcW w:w="1592" w:type="dxa"/>
            <w:tcBorders>
              <w:top w:val="single" w:sz="4" w:space="0" w:color="auto"/>
              <w:left w:val="nil"/>
              <w:bottom w:val="single" w:sz="4" w:space="0" w:color="auto"/>
              <w:right w:val="nil"/>
            </w:tcBorders>
            <w:noWrap/>
            <w:vAlign w:val="center"/>
            <w:hideMark/>
          </w:tcPr>
          <w:p w14:paraId="462B39A3"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Range</w:t>
            </w:r>
          </w:p>
        </w:tc>
        <w:tc>
          <w:tcPr>
            <w:tcW w:w="1592" w:type="dxa"/>
            <w:tcBorders>
              <w:top w:val="single" w:sz="4" w:space="0" w:color="auto"/>
              <w:left w:val="nil"/>
              <w:bottom w:val="single" w:sz="4" w:space="0" w:color="auto"/>
              <w:right w:val="nil"/>
            </w:tcBorders>
            <w:noWrap/>
            <w:vAlign w:val="center"/>
            <w:hideMark/>
          </w:tcPr>
          <w:p w14:paraId="034F0234"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Mean ±SD</w:t>
            </w:r>
          </w:p>
        </w:tc>
        <w:tc>
          <w:tcPr>
            <w:tcW w:w="1592" w:type="dxa"/>
            <w:tcBorders>
              <w:top w:val="single" w:sz="4" w:space="0" w:color="auto"/>
              <w:left w:val="nil"/>
              <w:bottom w:val="single" w:sz="4" w:space="0" w:color="auto"/>
              <w:right w:val="nil"/>
            </w:tcBorders>
            <w:noWrap/>
            <w:vAlign w:val="center"/>
            <w:hideMark/>
          </w:tcPr>
          <w:p w14:paraId="09142C28"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Range</w:t>
            </w:r>
          </w:p>
        </w:tc>
        <w:tc>
          <w:tcPr>
            <w:tcW w:w="1592" w:type="dxa"/>
            <w:tcBorders>
              <w:top w:val="single" w:sz="4" w:space="0" w:color="auto"/>
              <w:left w:val="nil"/>
              <w:bottom w:val="single" w:sz="4" w:space="0" w:color="auto"/>
              <w:right w:val="nil"/>
            </w:tcBorders>
            <w:noWrap/>
            <w:vAlign w:val="center"/>
            <w:hideMark/>
          </w:tcPr>
          <w:p w14:paraId="65EEB4E7"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Mean ±SD</w:t>
            </w:r>
          </w:p>
        </w:tc>
      </w:tr>
      <w:tr w:rsidR="00EE3AD1" w:rsidRPr="00AD2DF9" w14:paraId="7A32B4CD" w14:textId="77777777" w:rsidTr="000C6347">
        <w:trPr>
          <w:trHeight w:val="758"/>
          <w:jc w:val="center"/>
        </w:trPr>
        <w:tc>
          <w:tcPr>
            <w:tcW w:w="1944" w:type="dxa"/>
            <w:tcBorders>
              <w:top w:val="nil"/>
              <w:left w:val="nil"/>
              <w:bottom w:val="nil"/>
              <w:right w:val="nil"/>
            </w:tcBorders>
            <w:noWrap/>
            <w:vAlign w:val="center"/>
            <w:hideMark/>
          </w:tcPr>
          <w:p w14:paraId="16F0D0AC"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t>Students</w:t>
            </w:r>
          </w:p>
        </w:tc>
        <w:tc>
          <w:tcPr>
            <w:tcW w:w="1592" w:type="dxa"/>
            <w:tcBorders>
              <w:top w:val="nil"/>
              <w:left w:val="nil"/>
              <w:bottom w:val="nil"/>
              <w:right w:val="nil"/>
            </w:tcBorders>
            <w:noWrap/>
            <w:vAlign w:val="center"/>
            <w:hideMark/>
          </w:tcPr>
          <w:p w14:paraId="2F821F8A"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33.33 - 66.67</w:t>
            </w:r>
          </w:p>
        </w:tc>
        <w:tc>
          <w:tcPr>
            <w:tcW w:w="1592" w:type="dxa"/>
            <w:tcBorders>
              <w:top w:val="nil"/>
              <w:left w:val="nil"/>
              <w:bottom w:val="nil"/>
              <w:right w:val="nil"/>
            </w:tcBorders>
            <w:noWrap/>
            <w:vAlign w:val="center"/>
            <w:hideMark/>
          </w:tcPr>
          <w:p w14:paraId="2E00CECB"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44.44 ±19.25</w:t>
            </w:r>
          </w:p>
        </w:tc>
        <w:tc>
          <w:tcPr>
            <w:tcW w:w="1592" w:type="dxa"/>
            <w:tcBorders>
              <w:top w:val="nil"/>
              <w:left w:val="nil"/>
              <w:bottom w:val="nil"/>
              <w:right w:val="nil"/>
            </w:tcBorders>
            <w:noWrap/>
            <w:vAlign w:val="center"/>
            <w:hideMark/>
          </w:tcPr>
          <w:p w14:paraId="700A1D88"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0</w:t>
            </w:r>
          </w:p>
        </w:tc>
        <w:tc>
          <w:tcPr>
            <w:tcW w:w="1592" w:type="dxa"/>
            <w:tcBorders>
              <w:top w:val="nil"/>
              <w:left w:val="nil"/>
              <w:bottom w:val="nil"/>
              <w:right w:val="nil"/>
            </w:tcBorders>
            <w:noWrap/>
            <w:vAlign w:val="center"/>
            <w:hideMark/>
          </w:tcPr>
          <w:p w14:paraId="4F1BD7CD"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±0</w:t>
            </w:r>
          </w:p>
        </w:tc>
      </w:tr>
      <w:tr w:rsidR="00EE3AD1" w:rsidRPr="00AD2DF9" w14:paraId="3383B33E" w14:textId="77777777" w:rsidTr="000C6347">
        <w:trPr>
          <w:trHeight w:val="758"/>
          <w:jc w:val="center"/>
        </w:trPr>
        <w:tc>
          <w:tcPr>
            <w:tcW w:w="1944" w:type="dxa"/>
            <w:tcBorders>
              <w:top w:val="nil"/>
              <w:left w:val="nil"/>
              <w:bottom w:val="nil"/>
              <w:right w:val="nil"/>
            </w:tcBorders>
            <w:noWrap/>
            <w:vAlign w:val="center"/>
            <w:hideMark/>
          </w:tcPr>
          <w:p w14:paraId="064F1ACE"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t>Dental Surgery Technician</w:t>
            </w:r>
          </w:p>
        </w:tc>
        <w:tc>
          <w:tcPr>
            <w:tcW w:w="1592" w:type="dxa"/>
            <w:tcBorders>
              <w:top w:val="nil"/>
              <w:left w:val="nil"/>
              <w:bottom w:val="nil"/>
              <w:right w:val="nil"/>
            </w:tcBorders>
            <w:noWrap/>
            <w:vAlign w:val="center"/>
            <w:hideMark/>
          </w:tcPr>
          <w:p w14:paraId="23C40DE8"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0 - 66.67</w:t>
            </w:r>
          </w:p>
        </w:tc>
        <w:tc>
          <w:tcPr>
            <w:tcW w:w="1592" w:type="dxa"/>
            <w:tcBorders>
              <w:top w:val="nil"/>
              <w:left w:val="nil"/>
              <w:bottom w:val="nil"/>
              <w:right w:val="nil"/>
            </w:tcBorders>
            <w:noWrap/>
            <w:vAlign w:val="center"/>
            <w:hideMark/>
          </w:tcPr>
          <w:p w14:paraId="3356322F"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33.33 ±33.34</w:t>
            </w:r>
          </w:p>
        </w:tc>
        <w:tc>
          <w:tcPr>
            <w:tcW w:w="1592" w:type="dxa"/>
            <w:tcBorders>
              <w:top w:val="nil"/>
              <w:left w:val="nil"/>
              <w:bottom w:val="nil"/>
              <w:right w:val="nil"/>
            </w:tcBorders>
            <w:noWrap/>
            <w:vAlign w:val="center"/>
            <w:hideMark/>
          </w:tcPr>
          <w:p w14:paraId="0CCFF1B2"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0 - 33.33</w:t>
            </w:r>
          </w:p>
        </w:tc>
        <w:tc>
          <w:tcPr>
            <w:tcW w:w="1592" w:type="dxa"/>
            <w:tcBorders>
              <w:top w:val="nil"/>
              <w:left w:val="nil"/>
              <w:bottom w:val="nil"/>
              <w:right w:val="nil"/>
            </w:tcBorders>
            <w:noWrap/>
            <w:vAlign w:val="center"/>
            <w:hideMark/>
          </w:tcPr>
          <w:p w14:paraId="2077EB1E"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11.11 ±19.24</w:t>
            </w:r>
          </w:p>
        </w:tc>
      </w:tr>
      <w:tr w:rsidR="00EE3AD1" w:rsidRPr="00AD2DF9" w14:paraId="714D806F" w14:textId="77777777" w:rsidTr="000C6347">
        <w:trPr>
          <w:trHeight w:val="758"/>
          <w:jc w:val="center"/>
        </w:trPr>
        <w:tc>
          <w:tcPr>
            <w:tcW w:w="1944" w:type="dxa"/>
            <w:tcBorders>
              <w:top w:val="nil"/>
              <w:left w:val="nil"/>
              <w:bottom w:val="nil"/>
              <w:right w:val="nil"/>
            </w:tcBorders>
            <w:noWrap/>
            <w:vAlign w:val="center"/>
            <w:hideMark/>
          </w:tcPr>
          <w:p w14:paraId="5E802717"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t>Registrars</w:t>
            </w:r>
          </w:p>
        </w:tc>
        <w:tc>
          <w:tcPr>
            <w:tcW w:w="1592" w:type="dxa"/>
            <w:tcBorders>
              <w:top w:val="nil"/>
              <w:left w:val="nil"/>
              <w:bottom w:val="nil"/>
              <w:right w:val="nil"/>
            </w:tcBorders>
            <w:noWrap/>
            <w:vAlign w:val="center"/>
            <w:hideMark/>
          </w:tcPr>
          <w:p w14:paraId="756887D3"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0 - 66.67</w:t>
            </w:r>
          </w:p>
        </w:tc>
        <w:tc>
          <w:tcPr>
            <w:tcW w:w="1592" w:type="dxa"/>
            <w:tcBorders>
              <w:top w:val="nil"/>
              <w:left w:val="nil"/>
              <w:bottom w:val="nil"/>
              <w:right w:val="nil"/>
            </w:tcBorders>
            <w:noWrap/>
            <w:vAlign w:val="center"/>
            <w:hideMark/>
          </w:tcPr>
          <w:p w14:paraId="462FAE20"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22.22 ±38.49</w:t>
            </w:r>
          </w:p>
        </w:tc>
        <w:tc>
          <w:tcPr>
            <w:tcW w:w="1592" w:type="dxa"/>
            <w:tcBorders>
              <w:top w:val="nil"/>
              <w:left w:val="nil"/>
              <w:bottom w:val="nil"/>
              <w:right w:val="nil"/>
            </w:tcBorders>
            <w:noWrap/>
            <w:vAlign w:val="center"/>
            <w:hideMark/>
          </w:tcPr>
          <w:p w14:paraId="2E37E0DC"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0 - 66.67</w:t>
            </w:r>
          </w:p>
        </w:tc>
        <w:tc>
          <w:tcPr>
            <w:tcW w:w="1592" w:type="dxa"/>
            <w:tcBorders>
              <w:top w:val="nil"/>
              <w:left w:val="nil"/>
              <w:bottom w:val="nil"/>
              <w:right w:val="nil"/>
            </w:tcBorders>
            <w:noWrap/>
            <w:vAlign w:val="center"/>
            <w:hideMark/>
          </w:tcPr>
          <w:p w14:paraId="30BA2C98"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22.22 ±38.49</w:t>
            </w:r>
          </w:p>
        </w:tc>
      </w:tr>
      <w:tr w:rsidR="00EE3AD1" w:rsidRPr="00AD2DF9" w14:paraId="2FDAB394" w14:textId="77777777" w:rsidTr="000C6347">
        <w:trPr>
          <w:trHeight w:val="758"/>
          <w:jc w:val="center"/>
        </w:trPr>
        <w:tc>
          <w:tcPr>
            <w:tcW w:w="1944" w:type="dxa"/>
            <w:tcBorders>
              <w:top w:val="nil"/>
              <w:left w:val="nil"/>
              <w:bottom w:val="nil"/>
              <w:right w:val="nil"/>
            </w:tcBorders>
            <w:noWrap/>
            <w:vAlign w:val="center"/>
            <w:hideMark/>
          </w:tcPr>
          <w:p w14:paraId="45450B86"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t>Senior Registrars</w:t>
            </w:r>
          </w:p>
        </w:tc>
        <w:tc>
          <w:tcPr>
            <w:tcW w:w="1592" w:type="dxa"/>
            <w:tcBorders>
              <w:top w:val="nil"/>
              <w:left w:val="nil"/>
              <w:bottom w:val="nil"/>
              <w:right w:val="nil"/>
            </w:tcBorders>
            <w:noWrap/>
            <w:vAlign w:val="center"/>
            <w:hideMark/>
          </w:tcPr>
          <w:p w14:paraId="04D7EE6C"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0 - 33.33</w:t>
            </w:r>
          </w:p>
        </w:tc>
        <w:tc>
          <w:tcPr>
            <w:tcW w:w="1592" w:type="dxa"/>
            <w:tcBorders>
              <w:top w:val="nil"/>
              <w:left w:val="nil"/>
              <w:bottom w:val="nil"/>
              <w:right w:val="nil"/>
            </w:tcBorders>
            <w:noWrap/>
            <w:vAlign w:val="center"/>
            <w:hideMark/>
          </w:tcPr>
          <w:p w14:paraId="6AE2576F"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11.11 ±19.24</w:t>
            </w:r>
          </w:p>
        </w:tc>
        <w:tc>
          <w:tcPr>
            <w:tcW w:w="1592" w:type="dxa"/>
            <w:tcBorders>
              <w:top w:val="nil"/>
              <w:left w:val="nil"/>
              <w:bottom w:val="nil"/>
              <w:right w:val="nil"/>
            </w:tcBorders>
            <w:noWrap/>
            <w:vAlign w:val="center"/>
            <w:hideMark/>
          </w:tcPr>
          <w:p w14:paraId="084131FE"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 – 100</w:t>
            </w:r>
          </w:p>
        </w:tc>
        <w:tc>
          <w:tcPr>
            <w:tcW w:w="1592" w:type="dxa"/>
            <w:tcBorders>
              <w:top w:val="nil"/>
              <w:left w:val="nil"/>
              <w:bottom w:val="nil"/>
              <w:right w:val="nil"/>
            </w:tcBorders>
            <w:noWrap/>
            <w:vAlign w:val="center"/>
            <w:hideMark/>
          </w:tcPr>
          <w:p w14:paraId="482789B5"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44.44 ±50.92</w:t>
            </w:r>
          </w:p>
        </w:tc>
      </w:tr>
      <w:tr w:rsidR="00EE3AD1" w:rsidRPr="00AD2DF9" w14:paraId="11B72E89" w14:textId="77777777" w:rsidTr="000C6347">
        <w:trPr>
          <w:trHeight w:val="758"/>
          <w:jc w:val="center"/>
        </w:trPr>
        <w:tc>
          <w:tcPr>
            <w:tcW w:w="1944" w:type="dxa"/>
            <w:tcBorders>
              <w:top w:val="nil"/>
              <w:left w:val="nil"/>
              <w:bottom w:val="nil"/>
              <w:right w:val="nil"/>
            </w:tcBorders>
            <w:noWrap/>
            <w:vAlign w:val="center"/>
            <w:hideMark/>
          </w:tcPr>
          <w:p w14:paraId="742811E6"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t>F(df)</w:t>
            </w:r>
          </w:p>
        </w:tc>
        <w:tc>
          <w:tcPr>
            <w:tcW w:w="1592" w:type="dxa"/>
            <w:tcBorders>
              <w:top w:val="nil"/>
              <w:left w:val="nil"/>
              <w:bottom w:val="nil"/>
              <w:right w:val="nil"/>
            </w:tcBorders>
            <w:noWrap/>
            <w:vAlign w:val="center"/>
          </w:tcPr>
          <w:p w14:paraId="40439C4A" w14:textId="77777777" w:rsidR="00EE3AD1" w:rsidRPr="00AD2DF9" w:rsidRDefault="00EE3AD1" w:rsidP="000C6347">
            <w:pPr>
              <w:jc w:val="center"/>
              <w:rPr>
                <w:rFonts w:ascii="Arial" w:hAnsi="Arial" w:cs="Arial"/>
                <w:sz w:val="22"/>
                <w:szCs w:val="22"/>
              </w:rPr>
            </w:pPr>
          </w:p>
        </w:tc>
        <w:tc>
          <w:tcPr>
            <w:tcW w:w="1592" w:type="dxa"/>
            <w:tcBorders>
              <w:top w:val="nil"/>
              <w:left w:val="nil"/>
              <w:bottom w:val="nil"/>
              <w:right w:val="nil"/>
            </w:tcBorders>
            <w:noWrap/>
            <w:vAlign w:val="center"/>
            <w:hideMark/>
          </w:tcPr>
          <w:p w14:paraId="7CCFA6E9" w14:textId="77777777" w:rsidR="00EE3AD1" w:rsidRPr="00AD2DF9" w:rsidRDefault="00EE3AD1" w:rsidP="000C6347">
            <w:pPr>
              <w:jc w:val="center"/>
              <w:rPr>
                <w:rFonts w:ascii="Arial" w:hAnsi="Arial" w:cs="Arial"/>
                <w:sz w:val="22"/>
                <w:szCs w:val="22"/>
              </w:rPr>
            </w:pPr>
            <w:r w:rsidRPr="00AD2DF9">
              <w:rPr>
                <w:rFonts w:ascii="Arial" w:hAnsi="Arial" w:cs="Arial"/>
                <w:sz w:val="22"/>
                <w:szCs w:val="22"/>
              </w:rPr>
              <w:t>0.741(3, 8)</w:t>
            </w:r>
          </w:p>
        </w:tc>
        <w:tc>
          <w:tcPr>
            <w:tcW w:w="1592" w:type="dxa"/>
            <w:tcBorders>
              <w:top w:val="nil"/>
              <w:left w:val="nil"/>
              <w:bottom w:val="nil"/>
              <w:right w:val="nil"/>
            </w:tcBorders>
            <w:noWrap/>
            <w:vAlign w:val="center"/>
            <w:hideMark/>
          </w:tcPr>
          <w:p w14:paraId="4543254A" w14:textId="77777777" w:rsidR="00EE3AD1" w:rsidRPr="00AD2DF9" w:rsidRDefault="00EE3AD1" w:rsidP="000C6347">
            <w:pPr>
              <w:jc w:val="center"/>
              <w:rPr>
                <w:rFonts w:ascii="Arial" w:hAnsi="Arial" w:cs="Arial"/>
                <w:sz w:val="22"/>
                <w:szCs w:val="22"/>
              </w:rPr>
            </w:pPr>
          </w:p>
        </w:tc>
        <w:tc>
          <w:tcPr>
            <w:tcW w:w="1592" w:type="dxa"/>
            <w:tcBorders>
              <w:top w:val="nil"/>
              <w:left w:val="nil"/>
              <w:bottom w:val="nil"/>
              <w:right w:val="nil"/>
            </w:tcBorders>
            <w:noWrap/>
            <w:vAlign w:val="center"/>
            <w:hideMark/>
          </w:tcPr>
          <w:p w14:paraId="3BFA7069" w14:textId="77777777" w:rsidR="00EE3AD1" w:rsidRPr="00AD2DF9" w:rsidRDefault="00EE3AD1" w:rsidP="000C6347">
            <w:pPr>
              <w:jc w:val="center"/>
              <w:rPr>
                <w:rFonts w:ascii="Arial" w:hAnsi="Arial" w:cs="Arial"/>
                <w:sz w:val="22"/>
                <w:szCs w:val="22"/>
              </w:rPr>
            </w:pPr>
            <w:r w:rsidRPr="00AD2DF9">
              <w:rPr>
                <w:rFonts w:ascii="Arial" w:hAnsi="Arial" w:cs="Arial"/>
                <w:sz w:val="22"/>
                <w:szCs w:val="22"/>
              </w:rPr>
              <w:t>0.972(3, 8)</w:t>
            </w:r>
          </w:p>
        </w:tc>
      </w:tr>
      <w:tr w:rsidR="00EE3AD1" w:rsidRPr="00AD2DF9" w14:paraId="7F22AD82" w14:textId="77777777" w:rsidTr="000C6347">
        <w:trPr>
          <w:trHeight w:val="758"/>
          <w:jc w:val="center"/>
        </w:trPr>
        <w:tc>
          <w:tcPr>
            <w:tcW w:w="1944" w:type="dxa"/>
            <w:tcBorders>
              <w:top w:val="nil"/>
              <w:left w:val="nil"/>
              <w:bottom w:val="single" w:sz="4" w:space="0" w:color="auto"/>
              <w:right w:val="nil"/>
            </w:tcBorders>
            <w:noWrap/>
            <w:vAlign w:val="center"/>
            <w:hideMark/>
          </w:tcPr>
          <w:p w14:paraId="3B80EEB3" w14:textId="77777777" w:rsidR="00EE3AD1" w:rsidRPr="00AD2DF9" w:rsidRDefault="00EE3AD1" w:rsidP="000C6347">
            <w:pPr>
              <w:rPr>
                <w:rFonts w:ascii="Arial" w:hAnsi="Arial" w:cs="Arial"/>
                <w:color w:val="000000"/>
                <w:sz w:val="22"/>
                <w:szCs w:val="22"/>
              </w:rPr>
            </w:pPr>
            <w:r w:rsidRPr="00AD2DF9">
              <w:rPr>
                <w:rFonts w:ascii="Arial" w:hAnsi="Arial" w:cs="Arial"/>
                <w:color w:val="000000"/>
                <w:sz w:val="22"/>
                <w:szCs w:val="22"/>
              </w:rPr>
              <w:t> P-value</w:t>
            </w:r>
          </w:p>
        </w:tc>
        <w:tc>
          <w:tcPr>
            <w:tcW w:w="1592" w:type="dxa"/>
            <w:tcBorders>
              <w:top w:val="nil"/>
              <w:left w:val="nil"/>
              <w:bottom w:val="single" w:sz="4" w:space="0" w:color="auto"/>
              <w:right w:val="nil"/>
            </w:tcBorders>
            <w:noWrap/>
            <w:vAlign w:val="center"/>
          </w:tcPr>
          <w:p w14:paraId="5C5213F4" w14:textId="77777777" w:rsidR="00EE3AD1" w:rsidRPr="00AD2DF9" w:rsidRDefault="00EE3AD1" w:rsidP="000C6347">
            <w:pPr>
              <w:jc w:val="center"/>
              <w:rPr>
                <w:rFonts w:ascii="Arial" w:hAnsi="Arial" w:cs="Arial"/>
                <w:color w:val="000000"/>
                <w:sz w:val="22"/>
                <w:szCs w:val="22"/>
              </w:rPr>
            </w:pPr>
          </w:p>
        </w:tc>
        <w:tc>
          <w:tcPr>
            <w:tcW w:w="1592" w:type="dxa"/>
            <w:tcBorders>
              <w:top w:val="nil"/>
              <w:left w:val="nil"/>
              <w:bottom w:val="single" w:sz="4" w:space="0" w:color="auto"/>
              <w:right w:val="nil"/>
            </w:tcBorders>
            <w:noWrap/>
            <w:vAlign w:val="center"/>
            <w:hideMark/>
          </w:tcPr>
          <w:p w14:paraId="53D46A0E"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0.557</w:t>
            </w:r>
          </w:p>
        </w:tc>
        <w:tc>
          <w:tcPr>
            <w:tcW w:w="1592" w:type="dxa"/>
            <w:tcBorders>
              <w:top w:val="nil"/>
              <w:left w:val="nil"/>
              <w:bottom w:val="single" w:sz="4" w:space="0" w:color="auto"/>
              <w:right w:val="nil"/>
            </w:tcBorders>
            <w:noWrap/>
            <w:vAlign w:val="center"/>
            <w:hideMark/>
          </w:tcPr>
          <w:p w14:paraId="16F582F0" w14:textId="77777777" w:rsidR="00EE3AD1" w:rsidRPr="00AD2DF9" w:rsidRDefault="00EE3AD1" w:rsidP="000C6347">
            <w:pPr>
              <w:jc w:val="center"/>
              <w:rPr>
                <w:rFonts w:ascii="Arial" w:hAnsi="Arial" w:cs="Arial"/>
                <w:color w:val="000000"/>
                <w:sz w:val="22"/>
                <w:szCs w:val="22"/>
              </w:rPr>
            </w:pPr>
          </w:p>
        </w:tc>
        <w:tc>
          <w:tcPr>
            <w:tcW w:w="1592" w:type="dxa"/>
            <w:tcBorders>
              <w:top w:val="nil"/>
              <w:left w:val="nil"/>
              <w:bottom w:val="single" w:sz="4" w:space="0" w:color="auto"/>
              <w:right w:val="nil"/>
            </w:tcBorders>
            <w:noWrap/>
            <w:vAlign w:val="center"/>
            <w:hideMark/>
          </w:tcPr>
          <w:p w14:paraId="63AD0195" w14:textId="77777777" w:rsidR="00EE3AD1" w:rsidRPr="00AD2DF9" w:rsidRDefault="00EE3AD1" w:rsidP="000C6347">
            <w:pPr>
              <w:jc w:val="center"/>
              <w:rPr>
                <w:rFonts w:ascii="Arial" w:hAnsi="Arial" w:cs="Arial"/>
                <w:color w:val="000000"/>
                <w:sz w:val="22"/>
                <w:szCs w:val="22"/>
              </w:rPr>
            </w:pPr>
            <w:r w:rsidRPr="00AD2DF9">
              <w:rPr>
                <w:rFonts w:ascii="Arial" w:hAnsi="Arial" w:cs="Arial"/>
                <w:color w:val="000000"/>
                <w:sz w:val="22"/>
                <w:szCs w:val="22"/>
              </w:rPr>
              <w:t>0.565</w:t>
            </w:r>
          </w:p>
        </w:tc>
      </w:tr>
      <w:tr w:rsidR="00EE3AD1" w:rsidRPr="00AD2DF9" w14:paraId="44617143" w14:textId="77777777" w:rsidTr="000C6347">
        <w:trPr>
          <w:trHeight w:val="233"/>
          <w:jc w:val="center"/>
        </w:trPr>
        <w:tc>
          <w:tcPr>
            <w:tcW w:w="8312" w:type="dxa"/>
            <w:gridSpan w:val="5"/>
            <w:tcBorders>
              <w:top w:val="single" w:sz="4" w:space="0" w:color="auto"/>
              <w:left w:val="nil"/>
              <w:right w:val="nil"/>
            </w:tcBorders>
            <w:noWrap/>
            <w:vAlign w:val="center"/>
          </w:tcPr>
          <w:p w14:paraId="70674225" w14:textId="77777777" w:rsidR="00EE3AD1" w:rsidRPr="00AD2DF9" w:rsidRDefault="00EE3AD1" w:rsidP="000C6347">
            <w:pPr>
              <w:jc w:val="both"/>
              <w:rPr>
                <w:rFonts w:ascii="Arial" w:hAnsi="Arial" w:cs="Arial"/>
                <w:color w:val="000000"/>
                <w:sz w:val="22"/>
                <w:szCs w:val="22"/>
              </w:rPr>
            </w:pPr>
            <w:r w:rsidRPr="00AD2DF9">
              <w:rPr>
                <w:rFonts w:ascii="Arial" w:hAnsi="Arial" w:cs="Arial"/>
                <w:color w:val="000000"/>
                <w:sz w:val="22"/>
                <w:szCs w:val="22"/>
              </w:rPr>
              <w:t>One- Way ANOVA</w:t>
            </w:r>
          </w:p>
        </w:tc>
      </w:tr>
    </w:tbl>
    <w:p w14:paraId="6942FFDD" w14:textId="77777777" w:rsidR="00EE3AD1" w:rsidRPr="00AD2DF9" w:rsidRDefault="00EE3AD1" w:rsidP="00EE3AD1">
      <w:pPr>
        <w:rPr>
          <w:rFonts w:ascii="Arial" w:hAnsi="Arial" w:cs="Arial"/>
          <w:sz w:val="22"/>
          <w:szCs w:val="22"/>
        </w:rPr>
      </w:pPr>
    </w:p>
    <w:p w14:paraId="4A5EAA09" w14:textId="77777777" w:rsidR="00EE3AD1" w:rsidRPr="00AD2DF9" w:rsidRDefault="00EE3AD1" w:rsidP="00EE3AD1">
      <w:pPr>
        <w:rPr>
          <w:rFonts w:ascii="Arial" w:hAnsi="Arial" w:cs="Arial"/>
          <w:sz w:val="22"/>
          <w:szCs w:val="22"/>
        </w:rPr>
      </w:pPr>
    </w:p>
    <w:p w14:paraId="2CADF290" w14:textId="77777777" w:rsidR="00EE3AD1" w:rsidRPr="00AD2DF9" w:rsidRDefault="00EE3AD1" w:rsidP="00EE3AD1">
      <w:pPr>
        <w:spacing w:line="480" w:lineRule="auto"/>
        <w:jc w:val="both"/>
        <w:rPr>
          <w:rFonts w:ascii="Arial" w:hAnsi="Arial" w:cs="Arial"/>
          <w:sz w:val="22"/>
          <w:szCs w:val="22"/>
        </w:rPr>
      </w:pPr>
      <w:r w:rsidRPr="00AD2DF9">
        <w:rPr>
          <w:rFonts w:ascii="Arial" w:hAnsi="Arial" w:cs="Arial"/>
          <w:sz w:val="22"/>
          <w:szCs w:val="22"/>
        </w:rPr>
        <w:t>In group A, the students had the highest mean percentage of correct response while the senior registrars had the least. In group B, a reverse pattern was recorded. Multiple comparison ANOVA shows no statistically significant difference in the mean percentage of correct response among the different categories of assessors in group A (</w:t>
      </w:r>
      <w:r w:rsidRPr="00AD2DF9">
        <w:rPr>
          <w:rFonts w:ascii="Arial" w:hAnsi="Arial" w:cs="Arial"/>
          <w:i/>
          <w:iCs/>
          <w:sz w:val="22"/>
          <w:szCs w:val="22"/>
        </w:rPr>
        <w:t>P</w:t>
      </w:r>
      <w:r w:rsidRPr="00AD2DF9">
        <w:rPr>
          <w:rFonts w:ascii="Arial" w:hAnsi="Arial" w:cs="Arial"/>
          <w:sz w:val="22"/>
          <w:szCs w:val="22"/>
        </w:rPr>
        <w:t>=0.557) and in group (</w:t>
      </w:r>
      <w:r w:rsidRPr="00AD2DF9">
        <w:rPr>
          <w:rFonts w:ascii="Arial" w:hAnsi="Arial" w:cs="Arial"/>
          <w:i/>
          <w:iCs/>
          <w:sz w:val="22"/>
          <w:szCs w:val="22"/>
        </w:rPr>
        <w:t>P</w:t>
      </w:r>
      <w:r w:rsidRPr="00AD2DF9">
        <w:rPr>
          <w:rFonts w:ascii="Arial" w:hAnsi="Arial" w:cs="Arial"/>
          <w:sz w:val="22"/>
          <w:szCs w:val="22"/>
        </w:rPr>
        <w:t>=0.565).</w:t>
      </w:r>
    </w:p>
    <w:p w14:paraId="283F493E" w14:textId="77777777" w:rsidR="00EE3AD1" w:rsidRPr="00AD2DF9" w:rsidRDefault="00EE3AD1" w:rsidP="00EE3AD1">
      <w:pPr>
        <w:shd w:val="clear" w:color="auto" w:fill="FFFFFF"/>
        <w:spacing w:before="240" w:after="240" w:line="480" w:lineRule="auto"/>
        <w:jc w:val="both"/>
        <w:rPr>
          <w:rFonts w:ascii="Arial" w:hAnsi="Arial" w:cs="Arial"/>
          <w:b/>
          <w:bCs/>
          <w:sz w:val="22"/>
          <w:szCs w:val="22"/>
        </w:rPr>
      </w:pPr>
      <w:r w:rsidRPr="00AD2DF9">
        <w:rPr>
          <w:rFonts w:ascii="Arial" w:hAnsi="Arial" w:cs="Arial"/>
          <w:b/>
          <w:bCs/>
          <w:sz w:val="22"/>
          <w:szCs w:val="22"/>
        </w:rPr>
        <w:t>Discussion</w:t>
      </w:r>
    </w:p>
    <w:p w14:paraId="1EE99B94" w14:textId="77777777" w:rsidR="00EE3AD1" w:rsidRPr="00AD2DF9" w:rsidRDefault="00EE3AD1" w:rsidP="00EE3AD1">
      <w:pPr>
        <w:shd w:val="clear" w:color="auto" w:fill="FFFFFF"/>
        <w:spacing w:before="240" w:after="240" w:line="480" w:lineRule="auto"/>
        <w:jc w:val="both"/>
        <w:rPr>
          <w:rFonts w:ascii="Arial" w:hAnsi="Arial" w:cs="Arial"/>
          <w:sz w:val="22"/>
          <w:szCs w:val="22"/>
        </w:rPr>
      </w:pPr>
      <w:r w:rsidRPr="00AD2DF9">
        <w:rPr>
          <w:rFonts w:ascii="Arial" w:hAnsi="Arial" w:cs="Arial"/>
          <w:sz w:val="22"/>
          <w:szCs w:val="22"/>
        </w:rPr>
        <w:t xml:space="preserve">This study was conducted to assess the influence of shade tabs placement position on the accuracy of shade determination as well as the influence of education and professional background on outcome of shade determination. In this study, dental students were able to identify shade A1 correctly in both </w:t>
      </w:r>
      <w:proofErr w:type="gramStart"/>
      <w:r w:rsidRPr="00AD2DF9">
        <w:rPr>
          <w:rFonts w:ascii="Arial" w:hAnsi="Arial" w:cs="Arial"/>
          <w:sz w:val="22"/>
          <w:szCs w:val="22"/>
        </w:rPr>
        <w:t>group</w:t>
      </w:r>
      <w:proofErr w:type="gramEnd"/>
      <w:r w:rsidRPr="00AD2DF9">
        <w:rPr>
          <w:rFonts w:ascii="Arial" w:hAnsi="Arial" w:cs="Arial"/>
          <w:sz w:val="22"/>
          <w:szCs w:val="22"/>
        </w:rPr>
        <w:t xml:space="preserve">. The DSTs were not </w:t>
      </w:r>
      <w:r w:rsidRPr="00AD2DF9">
        <w:rPr>
          <w:rFonts w:ascii="Arial" w:hAnsi="Arial" w:cs="Arial"/>
          <w:sz w:val="22"/>
          <w:szCs w:val="22"/>
        </w:rPr>
        <w:lastRenderedPageBreak/>
        <w:t>able to identify any shade correctly as a group, but two independently identified shade A1 correctly. It has been stated that three tooth shade assessors are better than one or two</w:t>
      </w:r>
      <w:r w:rsidRPr="00AD2DF9">
        <w:rPr>
          <w:rFonts w:ascii="Arial" w:hAnsi="Arial" w:cs="Arial"/>
          <w:sz w:val="22"/>
          <w:szCs w:val="22"/>
          <w:vertAlign w:val="superscript"/>
        </w:rPr>
        <w:t>18</w:t>
      </w:r>
      <w:r w:rsidRPr="00AD2DF9">
        <w:rPr>
          <w:rFonts w:ascii="Arial" w:hAnsi="Arial" w:cs="Arial"/>
          <w:sz w:val="22"/>
          <w:szCs w:val="22"/>
        </w:rPr>
        <w:t xml:space="preserve"> in case there is a disagreement, two consistent results will most likely indicate the correct answer. This principle was not applied by the DSTs in this case thus making them to be the only group that did not identify any shade correctly. It is better to stick to the protocol of shade selection as much as possible. </w:t>
      </w:r>
    </w:p>
    <w:p w14:paraId="03023E42" w14:textId="77777777" w:rsidR="00EE3AD1" w:rsidRPr="00AD2DF9" w:rsidRDefault="00EE3AD1" w:rsidP="00EE3AD1">
      <w:pPr>
        <w:shd w:val="clear" w:color="auto" w:fill="FFFFFF"/>
        <w:spacing w:before="240" w:after="240" w:line="480" w:lineRule="auto"/>
        <w:jc w:val="both"/>
        <w:rPr>
          <w:rFonts w:ascii="Arial" w:hAnsi="Arial" w:cs="Arial"/>
          <w:sz w:val="22"/>
          <w:szCs w:val="22"/>
        </w:rPr>
      </w:pPr>
      <w:r w:rsidRPr="00AD2DF9">
        <w:rPr>
          <w:rFonts w:ascii="Arial" w:hAnsi="Arial" w:cs="Arial"/>
          <w:sz w:val="22"/>
          <w:szCs w:val="22"/>
        </w:rPr>
        <w:t>In the registrar category, group B identified shade A1 accurately while group A identified shade B2 correctly. Only the registrars were able to identify two shades correctly. The accuracy of the shade tabs obtained in this study appeared to be lower in this study compared to similar other studies.</w:t>
      </w:r>
      <w:r w:rsidRPr="00AD2DF9">
        <w:rPr>
          <w:rFonts w:ascii="Arial" w:hAnsi="Arial" w:cs="Arial"/>
          <w:sz w:val="22"/>
          <w:szCs w:val="22"/>
          <w:vertAlign w:val="superscript"/>
        </w:rPr>
        <w:t>3,7-9</w:t>
      </w:r>
      <w:r w:rsidRPr="00AD2DF9">
        <w:rPr>
          <w:rFonts w:ascii="Arial" w:hAnsi="Arial" w:cs="Arial"/>
          <w:sz w:val="22"/>
          <w:szCs w:val="22"/>
        </w:rPr>
        <w:t xml:space="preserve"> This may be as a result of the difference in the methodology. In addition, the participants involved in tooth shade studies are usually screened for </w:t>
      </w:r>
      <w:proofErr w:type="spellStart"/>
      <w:r w:rsidRPr="00AD2DF9">
        <w:rPr>
          <w:rFonts w:ascii="Arial" w:hAnsi="Arial" w:cs="Arial"/>
          <w:sz w:val="22"/>
          <w:szCs w:val="22"/>
        </w:rPr>
        <w:t>colour</w:t>
      </w:r>
      <w:proofErr w:type="spellEnd"/>
      <w:r w:rsidRPr="00AD2DF9">
        <w:rPr>
          <w:rFonts w:ascii="Arial" w:hAnsi="Arial" w:cs="Arial"/>
          <w:sz w:val="22"/>
          <w:szCs w:val="22"/>
        </w:rPr>
        <w:t xml:space="preserve"> vision impairments, which was deliberately not done in this study because the practice of screening out those who are </w:t>
      </w:r>
      <w:proofErr w:type="spellStart"/>
      <w:r w:rsidRPr="00AD2DF9">
        <w:rPr>
          <w:rFonts w:ascii="Arial" w:hAnsi="Arial" w:cs="Arial"/>
          <w:sz w:val="22"/>
          <w:szCs w:val="22"/>
        </w:rPr>
        <w:t>colour</w:t>
      </w:r>
      <w:proofErr w:type="spellEnd"/>
      <w:r w:rsidRPr="00AD2DF9">
        <w:rPr>
          <w:rFonts w:ascii="Arial" w:hAnsi="Arial" w:cs="Arial"/>
          <w:sz w:val="22"/>
          <w:szCs w:val="22"/>
        </w:rPr>
        <w:t xml:space="preserve"> blind makes it impossible to relate the findings from such studies to real life practice since dental workforce are not mandatorily screened for </w:t>
      </w:r>
      <w:proofErr w:type="spellStart"/>
      <w:r w:rsidRPr="00AD2DF9">
        <w:rPr>
          <w:rFonts w:ascii="Arial" w:hAnsi="Arial" w:cs="Arial"/>
          <w:sz w:val="22"/>
          <w:szCs w:val="22"/>
        </w:rPr>
        <w:t>colour</w:t>
      </w:r>
      <w:proofErr w:type="spellEnd"/>
      <w:r w:rsidRPr="00AD2DF9">
        <w:rPr>
          <w:rFonts w:ascii="Arial" w:hAnsi="Arial" w:cs="Arial"/>
          <w:sz w:val="22"/>
          <w:szCs w:val="22"/>
        </w:rPr>
        <w:t xml:space="preserve"> vision impairment before they start work. In the recent past, female dental students and residents in our </w:t>
      </w:r>
      <w:proofErr w:type="spellStart"/>
      <w:r w:rsidRPr="00AD2DF9">
        <w:rPr>
          <w:rFonts w:ascii="Arial" w:hAnsi="Arial" w:cs="Arial"/>
          <w:sz w:val="22"/>
          <w:szCs w:val="22"/>
        </w:rPr>
        <w:t>centre</w:t>
      </w:r>
      <w:proofErr w:type="spellEnd"/>
      <w:r w:rsidRPr="00AD2DF9">
        <w:rPr>
          <w:rFonts w:ascii="Arial" w:hAnsi="Arial" w:cs="Arial"/>
          <w:sz w:val="22"/>
          <w:szCs w:val="22"/>
        </w:rPr>
        <w:t xml:space="preserve"> tend to outnumber the males thus accounting for the skewed distribution of the participants in this study. Since many females were involved in this study, it is our believe that the influence of </w:t>
      </w:r>
      <w:proofErr w:type="spellStart"/>
      <w:r w:rsidRPr="00AD2DF9">
        <w:rPr>
          <w:rFonts w:ascii="Arial" w:hAnsi="Arial" w:cs="Arial"/>
          <w:sz w:val="22"/>
          <w:szCs w:val="22"/>
        </w:rPr>
        <w:t>colour</w:t>
      </w:r>
      <w:proofErr w:type="spellEnd"/>
      <w:r w:rsidRPr="00AD2DF9">
        <w:rPr>
          <w:rFonts w:ascii="Arial" w:hAnsi="Arial" w:cs="Arial"/>
          <w:sz w:val="22"/>
          <w:szCs w:val="22"/>
        </w:rPr>
        <w:t xml:space="preserve"> blindness on the results is reduced since the females generally have a lower risk.</w:t>
      </w:r>
      <w:r w:rsidRPr="00AD2DF9">
        <w:rPr>
          <w:rFonts w:ascii="Arial" w:hAnsi="Arial" w:cs="Arial"/>
          <w:sz w:val="22"/>
          <w:szCs w:val="22"/>
          <w:vertAlign w:val="superscript"/>
        </w:rPr>
        <w:t>19</w:t>
      </w:r>
    </w:p>
    <w:p w14:paraId="081B1404" w14:textId="77777777" w:rsidR="00EE3AD1" w:rsidRPr="00AD2DF9" w:rsidRDefault="00EE3AD1" w:rsidP="00EE3AD1">
      <w:pPr>
        <w:shd w:val="clear" w:color="auto" w:fill="FFFFFF"/>
        <w:spacing w:before="240" w:after="240" w:line="480" w:lineRule="auto"/>
        <w:jc w:val="both"/>
        <w:rPr>
          <w:rFonts w:ascii="Arial" w:hAnsi="Arial" w:cs="Arial"/>
          <w:color w:val="000000"/>
          <w:sz w:val="22"/>
          <w:szCs w:val="22"/>
        </w:rPr>
      </w:pPr>
      <w:r w:rsidRPr="00AD2DF9">
        <w:rPr>
          <w:rFonts w:ascii="Arial" w:hAnsi="Arial" w:cs="Arial"/>
          <w:sz w:val="22"/>
          <w:szCs w:val="22"/>
        </w:rPr>
        <w:t>In terms of the mean percentage of correct response, higher mean value (</w:t>
      </w:r>
      <w:r w:rsidRPr="00AD2DF9">
        <w:rPr>
          <w:rFonts w:ascii="Arial" w:hAnsi="Arial" w:cs="Arial"/>
          <w:color w:val="000000"/>
          <w:sz w:val="22"/>
          <w:szCs w:val="22"/>
        </w:rPr>
        <w:t>27.78 ±27.83) was recorded in group A but student t-test did not reveal a statistically significant difference (</w:t>
      </w:r>
      <w:r w:rsidRPr="00AD2DF9">
        <w:rPr>
          <w:rFonts w:ascii="Arial" w:hAnsi="Arial" w:cs="Arial"/>
          <w:i/>
          <w:iCs/>
          <w:color w:val="000000"/>
          <w:sz w:val="22"/>
          <w:szCs w:val="22"/>
        </w:rPr>
        <w:t>P</w:t>
      </w:r>
      <w:r w:rsidRPr="00AD2DF9">
        <w:rPr>
          <w:rFonts w:ascii="Arial" w:hAnsi="Arial" w:cs="Arial"/>
          <w:color w:val="000000"/>
          <w:sz w:val="22"/>
          <w:szCs w:val="22"/>
        </w:rPr>
        <w:t xml:space="preserve">=0.512) between the two groups thus suggesting that similar results were recorded in the two groups. However, it appears the students and </w:t>
      </w:r>
      <w:r w:rsidRPr="00AD2DF9">
        <w:rPr>
          <w:rFonts w:ascii="Arial" w:hAnsi="Arial" w:cs="Arial"/>
          <w:color w:val="000000"/>
          <w:sz w:val="22"/>
          <w:szCs w:val="22"/>
        </w:rPr>
        <w:lastRenderedPageBreak/>
        <w:t>DSTs in group A performed better than those in group B while the registrars and senior registrars in group B performed better than those in A. The outcome may be a reflection of what these categories of assessors are practicing presently. When the performance of the different categories of assessors were assessed, there was no statistically significant difference within each group. Nonetheless, the students in group A had the best result while the senior registrars had the least score. However, the reverse was the case in group B suggesting that the protocol employed had some limited degree of influence on the results.</w:t>
      </w:r>
    </w:p>
    <w:p w14:paraId="483611A4" w14:textId="4E228C85" w:rsidR="00EE3AD1" w:rsidRPr="00EE3AD1" w:rsidRDefault="00EE3AD1" w:rsidP="00EE3AD1">
      <w:pPr>
        <w:shd w:val="clear" w:color="auto" w:fill="FFFFFF"/>
        <w:spacing w:before="240" w:after="240" w:line="480" w:lineRule="auto"/>
        <w:jc w:val="both"/>
        <w:rPr>
          <w:rFonts w:ascii="Arial" w:hAnsi="Arial" w:cs="Arial"/>
          <w:sz w:val="22"/>
          <w:szCs w:val="22"/>
        </w:rPr>
      </w:pPr>
      <w:r w:rsidRPr="00AD2DF9">
        <w:rPr>
          <w:rFonts w:ascii="Arial" w:hAnsi="Arial" w:cs="Arial"/>
          <w:color w:val="000000"/>
          <w:sz w:val="22"/>
          <w:szCs w:val="22"/>
        </w:rPr>
        <w:t xml:space="preserve">This result lends credence to the report that level of dental education and professional background may not necessarily translate to better performance in tooth shade selection. In previous studies, contradictory results were presented in this regard. </w:t>
      </w:r>
      <w:r w:rsidRPr="00AD2DF9">
        <w:rPr>
          <w:rFonts w:ascii="Arial" w:hAnsi="Arial" w:cs="Arial"/>
          <w:sz w:val="22"/>
          <w:szCs w:val="22"/>
        </w:rPr>
        <w:t>Capa et al.</w:t>
      </w:r>
      <w:r w:rsidRPr="00AD2DF9">
        <w:rPr>
          <w:rFonts w:ascii="Arial" w:hAnsi="Arial" w:cs="Arial"/>
          <w:sz w:val="22"/>
          <w:szCs w:val="22"/>
          <w:vertAlign w:val="superscript"/>
        </w:rPr>
        <w:t>9</w:t>
      </w:r>
      <w:r w:rsidRPr="00AD2DF9">
        <w:rPr>
          <w:rFonts w:ascii="Arial" w:hAnsi="Arial" w:cs="Arial"/>
          <w:sz w:val="22"/>
          <w:szCs w:val="22"/>
        </w:rPr>
        <w:t xml:space="preserve"> reported that professionals who routinely perform restorative procedures performed better than other categories of dental professionals and laypersons who participated in the study. This was contrary to the findings presented by Della et al.</w:t>
      </w:r>
      <w:r w:rsidRPr="00AD2DF9">
        <w:rPr>
          <w:rFonts w:ascii="Arial" w:hAnsi="Arial" w:cs="Arial"/>
          <w:sz w:val="22"/>
          <w:szCs w:val="22"/>
          <w:vertAlign w:val="superscript"/>
        </w:rPr>
        <w:t xml:space="preserve">10 </w:t>
      </w:r>
      <w:r w:rsidRPr="00AD2DF9">
        <w:rPr>
          <w:rFonts w:ascii="Arial" w:hAnsi="Arial" w:cs="Arial"/>
          <w:sz w:val="22"/>
          <w:szCs w:val="22"/>
        </w:rPr>
        <w:t xml:space="preserve">where non dental observers performed better than professionals in some areas of the study. Likewise, </w:t>
      </w:r>
      <w:proofErr w:type="spellStart"/>
      <w:r w:rsidRPr="00AD2DF9">
        <w:rPr>
          <w:rFonts w:ascii="Arial" w:hAnsi="Arial" w:cs="Arial"/>
          <w:sz w:val="22"/>
          <w:szCs w:val="22"/>
        </w:rPr>
        <w:t>Sinmazisik</w:t>
      </w:r>
      <w:proofErr w:type="spellEnd"/>
      <w:r w:rsidRPr="00AD2DF9">
        <w:rPr>
          <w:rFonts w:ascii="Arial" w:hAnsi="Arial" w:cs="Arial"/>
          <w:sz w:val="22"/>
          <w:szCs w:val="22"/>
        </w:rPr>
        <w:t xml:space="preserve"> et al.</w:t>
      </w:r>
      <w:r w:rsidRPr="00AD2DF9">
        <w:rPr>
          <w:rFonts w:ascii="Arial" w:hAnsi="Arial" w:cs="Arial"/>
          <w:sz w:val="22"/>
          <w:szCs w:val="22"/>
          <w:vertAlign w:val="superscript"/>
        </w:rPr>
        <w:t>11</w:t>
      </w:r>
      <w:r w:rsidRPr="00AD2DF9">
        <w:rPr>
          <w:rFonts w:ascii="Arial" w:hAnsi="Arial" w:cs="Arial"/>
          <w:sz w:val="22"/>
          <w:szCs w:val="22"/>
        </w:rPr>
        <w:t xml:space="preserve"> found that DSTs in training recorded better success in shade selection than qualified dentists.  The most awkward in terms of this pattern of results was the findings by </w:t>
      </w:r>
      <w:proofErr w:type="spellStart"/>
      <w:r w:rsidRPr="00AD2DF9">
        <w:rPr>
          <w:rFonts w:ascii="Arial" w:hAnsi="Arial" w:cs="Arial"/>
          <w:sz w:val="22"/>
          <w:szCs w:val="22"/>
        </w:rPr>
        <w:t>Udiljak</w:t>
      </w:r>
      <w:proofErr w:type="spellEnd"/>
      <w:r w:rsidRPr="00AD2DF9">
        <w:rPr>
          <w:rFonts w:ascii="Arial" w:hAnsi="Arial" w:cs="Arial"/>
          <w:sz w:val="22"/>
          <w:szCs w:val="22"/>
        </w:rPr>
        <w:t xml:space="preserve"> et al.</w:t>
      </w:r>
      <w:r w:rsidRPr="00AD2DF9">
        <w:rPr>
          <w:rFonts w:ascii="Arial" w:hAnsi="Arial" w:cs="Arial"/>
          <w:sz w:val="22"/>
          <w:szCs w:val="22"/>
          <w:vertAlign w:val="superscript"/>
        </w:rPr>
        <w:t>3</w:t>
      </w:r>
      <w:r w:rsidRPr="00AD2DF9">
        <w:rPr>
          <w:rFonts w:ascii="Arial" w:hAnsi="Arial" w:cs="Arial"/>
          <w:sz w:val="22"/>
          <w:szCs w:val="22"/>
        </w:rPr>
        <w:t xml:space="preserve"> where</w:t>
      </w:r>
      <w:r w:rsidRPr="00AD2DF9">
        <w:rPr>
          <w:rFonts w:ascii="Arial" w:hAnsi="Arial" w:cs="Arial"/>
          <w:sz w:val="22"/>
          <w:szCs w:val="22"/>
          <w:vertAlign w:val="superscript"/>
        </w:rPr>
        <w:t xml:space="preserve"> </w:t>
      </w:r>
      <w:r w:rsidRPr="00AD2DF9">
        <w:rPr>
          <w:rFonts w:ascii="Arial" w:hAnsi="Arial" w:cs="Arial"/>
          <w:sz w:val="22"/>
          <w:szCs w:val="22"/>
        </w:rPr>
        <w:t>dental students did better than specialist prosthodontists in tooth shade selection test. We advise clinicians to involve their patients and as many people as possible before shade selection procedure is finalized.</w:t>
      </w:r>
    </w:p>
    <w:p w14:paraId="5D4F9116" w14:textId="33BEEEB9" w:rsidR="00EE3AD1" w:rsidRPr="00AD2DF9" w:rsidRDefault="00EE3AD1" w:rsidP="00EE3AD1">
      <w:pPr>
        <w:spacing w:line="480" w:lineRule="auto"/>
        <w:jc w:val="both"/>
        <w:rPr>
          <w:rFonts w:ascii="Arial" w:hAnsi="Arial" w:cs="Arial"/>
          <w:sz w:val="22"/>
          <w:szCs w:val="22"/>
        </w:rPr>
      </w:pPr>
      <w:r w:rsidRPr="00AD2DF9">
        <w:rPr>
          <w:rFonts w:ascii="Arial" w:hAnsi="Arial" w:cs="Arial"/>
          <w:sz w:val="22"/>
          <w:szCs w:val="22"/>
        </w:rPr>
        <w:t>.</w:t>
      </w:r>
    </w:p>
    <w:p w14:paraId="4C2E0C96" w14:textId="77777777" w:rsidR="00E053D0" w:rsidRDefault="00E053D0" w:rsidP="00441B6F">
      <w:pPr>
        <w:pStyle w:val="Body"/>
        <w:spacing w:after="0"/>
        <w:rPr>
          <w:rFonts w:ascii="Arial" w:hAnsi="Arial" w:cs="Arial"/>
        </w:rPr>
      </w:pPr>
    </w:p>
    <w:p w14:paraId="1DA5A2C6" w14:textId="77777777" w:rsidR="00790ADA" w:rsidRPr="00FB3A86" w:rsidRDefault="00790ADA" w:rsidP="00441B6F">
      <w:pPr>
        <w:pStyle w:val="Body"/>
        <w:spacing w:after="0"/>
        <w:rPr>
          <w:rFonts w:ascii="Arial" w:hAnsi="Arial" w:cs="Arial"/>
        </w:rPr>
      </w:pPr>
    </w:p>
    <w:p w14:paraId="766235F5"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30BCE267" w14:textId="77777777" w:rsidR="00790ADA" w:rsidRPr="00FB3A86" w:rsidRDefault="00790ADA" w:rsidP="00441B6F">
      <w:pPr>
        <w:pStyle w:val="ConcHead"/>
        <w:spacing w:after="0"/>
        <w:jc w:val="both"/>
        <w:rPr>
          <w:rFonts w:ascii="Arial" w:hAnsi="Arial" w:cs="Arial"/>
        </w:rPr>
      </w:pPr>
    </w:p>
    <w:p w14:paraId="7BF3314D" w14:textId="0E6D097E" w:rsidR="00790ADA" w:rsidRDefault="00EE3AD1" w:rsidP="00441B6F">
      <w:pPr>
        <w:pStyle w:val="Body"/>
        <w:spacing w:after="0"/>
        <w:rPr>
          <w:rFonts w:ascii="Arial" w:hAnsi="Arial" w:cs="Arial"/>
          <w:sz w:val="22"/>
          <w:szCs w:val="22"/>
        </w:rPr>
      </w:pPr>
      <w:r w:rsidRPr="00AD2DF9">
        <w:rPr>
          <w:rFonts w:ascii="Arial" w:hAnsi="Arial" w:cs="Arial"/>
          <w:sz w:val="22"/>
          <w:szCs w:val="22"/>
        </w:rPr>
        <w:t>The shade tab placement position and the professional background of the assessors did not make a statistically significant impact on the overall performance of the participants</w:t>
      </w:r>
    </w:p>
    <w:p w14:paraId="0811D515" w14:textId="77777777" w:rsidR="005625A3" w:rsidRPr="00FB3A86" w:rsidRDefault="005625A3" w:rsidP="00441B6F">
      <w:pPr>
        <w:pStyle w:val="Body"/>
        <w:spacing w:after="0"/>
        <w:rPr>
          <w:rFonts w:ascii="Arial" w:hAnsi="Arial" w:cs="Arial"/>
        </w:rPr>
      </w:pPr>
    </w:p>
    <w:p w14:paraId="3489FCB8" w14:textId="77777777" w:rsidR="002B685A" w:rsidRDefault="002B685A" w:rsidP="00441B6F">
      <w:pPr>
        <w:pStyle w:val="ReferHead"/>
        <w:spacing w:after="0"/>
        <w:jc w:val="both"/>
        <w:rPr>
          <w:rFonts w:ascii="Arial" w:hAnsi="Arial" w:cs="Arial"/>
          <w:b w:val="0"/>
          <w:caps w:val="0"/>
          <w:sz w:val="20"/>
        </w:rPr>
      </w:pPr>
    </w:p>
    <w:p w14:paraId="2CB0E3A1"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19196797" w14:textId="77777777" w:rsidR="002B685A" w:rsidRPr="002B685A" w:rsidRDefault="002B685A" w:rsidP="00441B6F">
      <w:pPr>
        <w:pStyle w:val="ReferHead"/>
        <w:spacing w:after="0"/>
        <w:jc w:val="both"/>
        <w:rPr>
          <w:rFonts w:ascii="Arial" w:hAnsi="Arial" w:cs="Arial"/>
          <w:bCs/>
        </w:rPr>
      </w:pPr>
    </w:p>
    <w:p w14:paraId="61E7750A" w14:textId="4F6A634E" w:rsidR="001A29D8" w:rsidRPr="0048387A" w:rsidRDefault="005625A3" w:rsidP="00441B6F">
      <w:pPr>
        <w:pStyle w:val="ReferHead"/>
        <w:spacing w:after="0"/>
        <w:jc w:val="both"/>
        <w:rPr>
          <w:rFonts w:ascii="Arial" w:hAnsi="Arial" w:cs="Arial"/>
          <w:b w:val="0"/>
          <w:caps w:val="0"/>
          <w:szCs w:val="22"/>
        </w:rPr>
      </w:pPr>
      <w:r w:rsidRPr="0048387A">
        <w:rPr>
          <w:rFonts w:ascii="Arial" w:hAnsi="Arial" w:cs="Arial"/>
          <w:b w:val="0"/>
          <w:caps w:val="0"/>
          <w:szCs w:val="22"/>
        </w:rPr>
        <w:t>NA</w:t>
      </w:r>
    </w:p>
    <w:p w14:paraId="0781FC6B" w14:textId="77777777" w:rsidR="005C784C" w:rsidRDefault="005C784C" w:rsidP="00441B6F">
      <w:pPr>
        <w:pStyle w:val="ReferHead"/>
        <w:spacing w:after="0"/>
        <w:jc w:val="both"/>
        <w:rPr>
          <w:rFonts w:ascii="Arial" w:hAnsi="Arial" w:cs="Arial"/>
          <w:b w:val="0"/>
          <w:caps w:val="0"/>
          <w:sz w:val="20"/>
        </w:rPr>
      </w:pPr>
    </w:p>
    <w:p w14:paraId="20BD4B0C" w14:textId="0C24988C"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38BD09B6" w14:textId="77777777" w:rsidR="0062799A" w:rsidRDefault="0062799A" w:rsidP="0062799A">
      <w:pPr>
        <w:rPr>
          <w:lang w:val="en-GB"/>
        </w:rPr>
      </w:pPr>
    </w:p>
    <w:p w14:paraId="0B975861" w14:textId="1EF58EAC" w:rsidR="0062799A" w:rsidRPr="0048387A" w:rsidRDefault="0062799A" w:rsidP="0048387A">
      <w:pPr>
        <w:jc w:val="both"/>
        <w:rPr>
          <w:rFonts w:ascii="Arial" w:hAnsi="Arial" w:cs="Arial"/>
          <w:sz w:val="22"/>
          <w:szCs w:val="22"/>
          <w:lang w:val="en-GB"/>
        </w:rPr>
      </w:pPr>
      <w:r w:rsidRPr="0048387A">
        <w:rPr>
          <w:rFonts w:ascii="Arial" w:hAnsi="Arial" w:cs="Arial"/>
          <w:sz w:val="22"/>
          <w:szCs w:val="22"/>
          <w:lang w:val="en-GB"/>
        </w:rPr>
        <w:t xml:space="preserve">Ethical approval for the study was obtained from the University of Port </w:t>
      </w:r>
      <w:proofErr w:type="gramStart"/>
      <w:r w:rsidRPr="0048387A">
        <w:rPr>
          <w:rFonts w:ascii="Arial" w:hAnsi="Arial" w:cs="Arial"/>
          <w:sz w:val="22"/>
          <w:szCs w:val="22"/>
          <w:lang w:val="en-GB"/>
        </w:rPr>
        <w:t>Harcourt  Research</w:t>
      </w:r>
      <w:proofErr w:type="gramEnd"/>
      <w:r w:rsidRPr="0048387A">
        <w:rPr>
          <w:rFonts w:ascii="Arial" w:hAnsi="Arial" w:cs="Arial"/>
          <w:sz w:val="22"/>
          <w:szCs w:val="22"/>
          <w:lang w:val="en-GB"/>
        </w:rPr>
        <w:t xml:space="preserve"> Ethics Committee (UPH/CEREMAD/REC/MM71/013)</w:t>
      </w:r>
    </w:p>
    <w:p w14:paraId="72FCEFEC" w14:textId="77777777" w:rsidR="0062799A" w:rsidRDefault="0062799A" w:rsidP="00441B6F">
      <w:pPr>
        <w:pStyle w:val="ReferHead"/>
        <w:spacing w:after="0"/>
        <w:jc w:val="both"/>
        <w:rPr>
          <w:rFonts w:ascii="Arial" w:hAnsi="Arial" w:cs="Arial"/>
          <w:bCs/>
        </w:rPr>
      </w:pPr>
    </w:p>
    <w:p w14:paraId="18F4CB5A" w14:textId="77777777" w:rsidR="005C784C" w:rsidRPr="002B685A" w:rsidRDefault="005C784C" w:rsidP="00441B6F">
      <w:pPr>
        <w:pStyle w:val="ReferHead"/>
        <w:spacing w:after="0"/>
        <w:jc w:val="both"/>
        <w:rPr>
          <w:rFonts w:ascii="Arial" w:hAnsi="Arial" w:cs="Arial"/>
          <w:bCs/>
        </w:rPr>
      </w:pPr>
    </w:p>
    <w:p w14:paraId="797B76D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08B4A63" w14:textId="77777777" w:rsidR="00790ADA" w:rsidRPr="00FB3A86" w:rsidRDefault="00790ADA" w:rsidP="00441B6F">
      <w:pPr>
        <w:pStyle w:val="ReferHead"/>
        <w:spacing w:after="0"/>
        <w:jc w:val="both"/>
        <w:rPr>
          <w:rFonts w:ascii="Arial" w:hAnsi="Arial" w:cs="Arial"/>
        </w:rPr>
      </w:pPr>
    </w:p>
    <w:p w14:paraId="651C6A9F" w14:textId="77777777" w:rsidR="0048387A" w:rsidRPr="001A1133" w:rsidRDefault="0048387A" w:rsidP="0048387A">
      <w:pPr>
        <w:rPr>
          <w:rFonts w:ascii="Times New Roman" w:hAnsi="Times New Roman"/>
          <w:b/>
          <w:bCs/>
          <w:sz w:val="24"/>
          <w:szCs w:val="24"/>
        </w:rPr>
      </w:pPr>
    </w:p>
    <w:p w14:paraId="0E334256" w14:textId="77777777" w:rsidR="0048387A" w:rsidRPr="0048387A" w:rsidRDefault="0048387A" w:rsidP="0048387A">
      <w:pPr>
        <w:pStyle w:val="ListParagraph"/>
        <w:numPr>
          <w:ilvl w:val="0"/>
          <w:numId w:val="31"/>
        </w:numPr>
        <w:spacing w:after="160" w:line="360" w:lineRule="auto"/>
        <w:jc w:val="both"/>
        <w:rPr>
          <w:rFonts w:ascii="Arial" w:hAnsi="Arial"/>
          <w:sz w:val="22"/>
          <w:szCs w:val="22"/>
        </w:rPr>
      </w:pPr>
      <w:r w:rsidRPr="0048387A">
        <w:rPr>
          <w:rFonts w:ascii="Arial" w:hAnsi="Arial"/>
          <w:sz w:val="22"/>
          <w:szCs w:val="22"/>
        </w:rPr>
        <w:t xml:space="preserve">Alsayed, H., </w:t>
      </w:r>
      <w:proofErr w:type="spellStart"/>
      <w:r w:rsidRPr="0048387A">
        <w:rPr>
          <w:rFonts w:ascii="Arial" w:hAnsi="Arial"/>
          <w:sz w:val="22"/>
          <w:szCs w:val="22"/>
        </w:rPr>
        <w:t>Alaqeely</w:t>
      </w:r>
      <w:proofErr w:type="spellEnd"/>
      <w:r w:rsidRPr="0048387A">
        <w:rPr>
          <w:rFonts w:ascii="Arial" w:hAnsi="Arial"/>
          <w:sz w:val="22"/>
          <w:szCs w:val="22"/>
        </w:rPr>
        <w:t xml:space="preserve">, R., </w:t>
      </w:r>
      <w:proofErr w:type="spellStart"/>
      <w:r w:rsidRPr="0048387A">
        <w:rPr>
          <w:rFonts w:ascii="Arial" w:hAnsi="Arial"/>
          <w:sz w:val="22"/>
          <w:szCs w:val="22"/>
        </w:rPr>
        <w:t>Almazrouei</w:t>
      </w:r>
      <w:proofErr w:type="spellEnd"/>
      <w:r w:rsidRPr="0048387A">
        <w:rPr>
          <w:rFonts w:ascii="Arial" w:hAnsi="Arial"/>
          <w:sz w:val="22"/>
          <w:szCs w:val="22"/>
        </w:rPr>
        <w:t xml:space="preserve"> N., Alzahrani, M., Alzahrani, F., &amp; Bin Oun, A.et al. (2022). Tooth Shade Relationship with Age, Gender, and Skin </w:t>
      </w:r>
      <w:proofErr w:type="spellStart"/>
      <w:r w:rsidRPr="0048387A">
        <w:rPr>
          <w:rFonts w:ascii="Arial" w:hAnsi="Arial"/>
          <w:sz w:val="22"/>
          <w:szCs w:val="22"/>
        </w:rPr>
        <w:t>Color</w:t>
      </w:r>
      <w:proofErr w:type="spellEnd"/>
      <w:r w:rsidRPr="0048387A">
        <w:rPr>
          <w:rFonts w:ascii="Arial" w:hAnsi="Arial"/>
          <w:sz w:val="22"/>
          <w:szCs w:val="22"/>
        </w:rPr>
        <w:t xml:space="preserve"> in a Saudi Population: A Cross-Sectional Study. </w:t>
      </w:r>
      <w:r w:rsidRPr="0048387A">
        <w:rPr>
          <w:rFonts w:ascii="Arial" w:hAnsi="Arial"/>
          <w:i/>
          <w:iCs/>
          <w:sz w:val="22"/>
          <w:szCs w:val="22"/>
        </w:rPr>
        <w:t>Applied Sciences</w:t>
      </w:r>
      <w:r w:rsidRPr="0048387A">
        <w:rPr>
          <w:rFonts w:ascii="Arial" w:hAnsi="Arial"/>
          <w:sz w:val="22"/>
          <w:szCs w:val="22"/>
        </w:rPr>
        <w:t>, 12, 6315. https://doi.org/10.3390/ app12136315.</w:t>
      </w:r>
    </w:p>
    <w:p w14:paraId="5F849849" w14:textId="77777777" w:rsidR="0048387A" w:rsidRPr="0048387A" w:rsidRDefault="0048387A" w:rsidP="0048387A">
      <w:pPr>
        <w:pStyle w:val="ListParagraph"/>
        <w:numPr>
          <w:ilvl w:val="0"/>
          <w:numId w:val="31"/>
        </w:numPr>
        <w:spacing w:after="160" w:line="360" w:lineRule="auto"/>
        <w:rPr>
          <w:rFonts w:ascii="Arial" w:hAnsi="Arial"/>
          <w:b/>
          <w:bCs/>
          <w:color w:val="000000"/>
          <w:sz w:val="22"/>
          <w:szCs w:val="22"/>
        </w:rPr>
      </w:pPr>
      <w:proofErr w:type="spellStart"/>
      <w:r w:rsidRPr="0048387A">
        <w:rPr>
          <w:rFonts w:ascii="Arial" w:hAnsi="Arial"/>
          <w:sz w:val="22"/>
          <w:szCs w:val="22"/>
        </w:rPr>
        <w:t>Jouhar</w:t>
      </w:r>
      <w:proofErr w:type="spellEnd"/>
      <w:r w:rsidRPr="0048387A">
        <w:rPr>
          <w:rFonts w:ascii="Arial" w:hAnsi="Arial"/>
          <w:sz w:val="22"/>
          <w:szCs w:val="22"/>
        </w:rPr>
        <w:t xml:space="preserve">, R., Ahmed, M.A., &amp; Khurshid, Z. (2022). An Overview of Shade Selection in Clinical Dentistry. </w:t>
      </w:r>
      <w:r w:rsidRPr="0048387A">
        <w:rPr>
          <w:rFonts w:ascii="Arial" w:hAnsi="Arial"/>
          <w:i/>
          <w:iCs/>
          <w:sz w:val="22"/>
          <w:szCs w:val="22"/>
        </w:rPr>
        <w:t>Applied Sciences</w:t>
      </w:r>
      <w:r w:rsidRPr="0048387A">
        <w:rPr>
          <w:rFonts w:ascii="Arial" w:hAnsi="Arial"/>
          <w:sz w:val="22"/>
          <w:szCs w:val="22"/>
        </w:rPr>
        <w:t xml:space="preserve">, 12, 6841. https:// doi.org/10.3390/app12146841 </w:t>
      </w:r>
    </w:p>
    <w:p w14:paraId="7CD30773"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proofErr w:type="spellStart"/>
      <w:r w:rsidRPr="0048387A">
        <w:rPr>
          <w:rFonts w:ascii="Arial" w:eastAsia="MetaASC-Regular" w:hAnsi="Arial"/>
          <w:sz w:val="22"/>
          <w:szCs w:val="22"/>
        </w:rPr>
        <w:t>Udiljak</w:t>
      </w:r>
      <w:proofErr w:type="spellEnd"/>
      <w:r w:rsidRPr="0048387A">
        <w:rPr>
          <w:rFonts w:ascii="Arial" w:eastAsia="MetaASC-Regular" w:hAnsi="Arial"/>
          <w:sz w:val="22"/>
          <w:szCs w:val="22"/>
        </w:rPr>
        <w:t xml:space="preserve">, Ž., </w:t>
      </w:r>
      <w:proofErr w:type="spellStart"/>
      <w:proofErr w:type="gramStart"/>
      <w:r w:rsidRPr="0048387A">
        <w:rPr>
          <w:rFonts w:ascii="Arial" w:eastAsia="MetaASC-Regular" w:hAnsi="Arial"/>
          <w:sz w:val="22"/>
          <w:szCs w:val="22"/>
        </w:rPr>
        <w:t>Illeš</w:t>
      </w:r>
      <w:proofErr w:type="spellEnd"/>
      <w:r w:rsidRPr="0048387A">
        <w:rPr>
          <w:rFonts w:ascii="Arial" w:eastAsia="MetaASC-Regular" w:hAnsi="Arial"/>
          <w:sz w:val="22"/>
          <w:szCs w:val="22"/>
        </w:rPr>
        <w:t>,  D.</w:t>
      </w:r>
      <w:proofErr w:type="gramEnd"/>
      <w:r w:rsidRPr="0048387A">
        <w:rPr>
          <w:rFonts w:ascii="Arial" w:eastAsia="MetaASC-Regular" w:hAnsi="Arial"/>
          <w:sz w:val="22"/>
          <w:szCs w:val="22"/>
        </w:rPr>
        <w:t xml:space="preserve">, </w:t>
      </w:r>
      <w:proofErr w:type="spellStart"/>
      <w:r w:rsidRPr="0048387A">
        <w:rPr>
          <w:rFonts w:ascii="Arial" w:eastAsia="MetaASC-Regular" w:hAnsi="Arial"/>
          <w:sz w:val="22"/>
          <w:szCs w:val="22"/>
        </w:rPr>
        <w:t>Zlatarić</w:t>
      </w:r>
      <w:proofErr w:type="spellEnd"/>
      <w:r w:rsidRPr="0048387A">
        <w:rPr>
          <w:rFonts w:ascii="Arial" w:eastAsia="MetaASC-Regular" w:hAnsi="Arial"/>
          <w:sz w:val="22"/>
          <w:szCs w:val="22"/>
        </w:rPr>
        <w:t xml:space="preserve">, K.Z.,  &amp; </w:t>
      </w:r>
      <w:proofErr w:type="spellStart"/>
      <w:r w:rsidRPr="0048387A">
        <w:rPr>
          <w:rFonts w:ascii="Arial" w:eastAsia="MetaASC-Regular" w:hAnsi="Arial"/>
          <w:sz w:val="22"/>
          <w:szCs w:val="22"/>
        </w:rPr>
        <w:t>Ćelić</w:t>
      </w:r>
      <w:proofErr w:type="spellEnd"/>
      <w:r w:rsidRPr="0048387A">
        <w:rPr>
          <w:rFonts w:ascii="Arial" w:eastAsia="MetaASC-Regular" w:hAnsi="Arial"/>
          <w:sz w:val="22"/>
          <w:szCs w:val="22"/>
        </w:rPr>
        <w:t xml:space="preserve">, R. (2018). </w:t>
      </w:r>
      <w:r w:rsidRPr="0048387A">
        <w:rPr>
          <w:rFonts w:ascii="Arial" w:eastAsia="AGaramondPro-Regular" w:hAnsi="Arial"/>
          <w:sz w:val="22"/>
          <w:szCs w:val="22"/>
        </w:rPr>
        <w:t xml:space="preserve">Effect of clinical experience on the shade matching accuracy in different dental occupational groups. </w:t>
      </w:r>
      <w:r w:rsidRPr="0048387A">
        <w:rPr>
          <w:rFonts w:ascii="Arial" w:eastAsia="MetaASC-Regular" w:hAnsi="Arial"/>
          <w:i/>
          <w:iCs/>
          <w:sz w:val="22"/>
          <w:szCs w:val="22"/>
        </w:rPr>
        <w:t xml:space="preserve">Acta </w:t>
      </w:r>
      <w:proofErr w:type="spellStart"/>
      <w:r w:rsidRPr="0048387A">
        <w:rPr>
          <w:rFonts w:ascii="Arial" w:eastAsia="MetaASC-Regular" w:hAnsi="Arial"/>
          <w:i/>
          <w:iCs/>
          <w:sz w:val="22"/>
          <w:szCs w:val="22"/>
        </w:rPr>
        <w:t>Stomatologica</w:t>
      </w:r>
      <w:proofErr w:type="spellEnd"/>
      <w:r w:rsidRPr="0048387A">
        <w:rPr>
          <w:rFonts w:ascii="Arial" w:eastAsia="MetaASC-Regular" w:hAnsi="Arial"/>
          <w:i/>
          <w:iCs/>
          <w:sz w:val="22"/>
          <w:szCs w:val="22"/>
        </w:rPr>
        <w:t xml:space="preserve"> </w:t>
      </w:r>
      <w:proofErr w:type="spellStart"/>
      <w:r w:rsidRPr="0048387A">
        <w:rPr>
          <w:rFonts w:ascii="Arial" w:eastAsia="MetaASC-Regular" w:hAnsi="Arial"/>
          <w:i/>
          <w:iCs/>
          <w:sz w:val="22"/>
          <w:szCs w:val="22"/>
        </w:rPr>
        <w:t>Croatica</w:t>
      </w:r>
      <w:proofErr w:type="spellEnd"/>
      <w:r w:rsidRPr="0048387A">
        <w:rPr>
          <w:rFonts w:ascii="Arial" w:eastAsia="MetaASC-Regular" w:hAnsi="Arial"/>
          <w:sz w:val="22"/>
          <w:szCs w:val="22"/>
        </w:rPr>
        <w:t>, 52(2), 132-139.</w:t>
      </w:r>
    </w:p>
    <w:p w14:paraId="46D1CC4D" w14:textId="77777777" w:rsidR="0048387A" w:rsidRPr="0048387A" w:rsidRDefault="0048387A" w:rsidP="0048387A">
      <w:pPr>
        <w:pStyle w:val="ListParagraph"/>
        <w:numPr>
          <w:ilvl w:val="0"/>
          <w:numId w:val="31"/>
        </w:numPr>
        <w:spacing w:line="360" w:lineRule="auto"/>
        <w:jc w:val="both"/>
        <w:rPr>
          <w:rFonts w:ascii="Arial" w:eastAsia="Times New Roman" w:hAnsi="Arial"/>
          <w:bCs/>
          <w:sz w:val="22"/>
          <w:szCs w:val="22"/>
        </w:rPr>
      </w:pPr>
      <w:proofErr w:type="spellStart"/>
      <w:r w:rsidRPr="0048387A">
        <w:rPr>
          <w:rFonts w:ascii="Arial" w:eastAsia="Times New Roman" w:hAnsi="Arial"/>
          <w:bCs/>
          <w:sz w:val="22"/>
          <w:szCs w:val="22"/>
        </w:rPr>
        <w:t>Miyajiwala</w:t>
      </w:r>
      <w:proofErr w:type="spellEnd"/>
      <w:r w:rsidRPr="0048387A">
        <w:rPr>
          <w:rFonts w:ascii="Arial" w:eastAsia="Times New Roman" w:hAnsi="Arial"/>
          <w:bCs/>
          <w:sz w:val="22"/>
          <w:szCs w:val="22"/>
        </w:rPr>
        <w:t xml:space="preserve">, J.S., </w:t>
      </w:r>
      <w:proofErr w:type="spellStart"/>
      <w:r w:rsidRPr="0048387A">
        <w:rPr>
          <w:rFonts w:ascii="Arial" w:eastAsia="Times New Roman" w:hAnsi="Arial"/>
          <w:bCs/>
          <w:sz w:val="22"/>
          <w:szCs w:val="22"/>
        </w:rPr>
        <w:t>Kheur</w:t>
      </w:r>
      <w:proofErr w:type="spellEnd"/>
      <w:r w:rsidRPr="0048387A">
        <w:rPr>
          <w:rFonts w:ascii="Arial" w:eastAsia="Times New Roman" w:hAnsi="Arial"/>
          <w:bCs/>
          <w:sz w:val="22"/>
          <w:szCs w:val="22"/>
        </w:rPr>
        <w:t xml:space="preserve">, M.G., Patankar, A.H., &amp; Lakha, T.A. (2017). Comparison of photographic and conventional methods for tooth shade selection: a clinical evaluation. </w:t>
      </w:r>
      <w:r w:rsidRPr="0048387A">
        <w:rPr>
          <w:rFonts w:ascii="Arial" w:eastAsia="Times New Roman" w:hAnsi="Arial"/>
          <w:bCs/>
          <w:i/>
          <w:iCs/>
          <w:sz w:val="22"/>
          <w:szCs w:val="22"/>
        </w:rPr>
        <w:t>The Journal of Indian Prosthodontic Society</w:t>
      </w:r>
      <w:r w:rsidRPr="0048387A">
        <w:rPr>
          <w:rFonts w:ascii="Arial" w:eastAsia="Times New Roman" w:hAnsi="Arial"/>
          <w:bCs/>
          <w:sz w:val="22"/>
          <w:szCs w:val="22"/>
        </w:rPr>
        <w:t>, 17(3), 273-281.</w:t>
      </w:r>
    </w:p>
    <w:p w14:paraId="799773D2" w14:textId="77777777" w:rsidR="0048387A" w:rsidRPr="0048387A" w:rsidRDefault="0048387A" w:rsidP="0048387A">
      <w:pPr>
        <w:pStyle w:val="ListParagraph"/>
        <w:numPr>
          <w:ilvl w:val="0"/>
          <w:numId w:val="31"/>
        </w:numPr>
        <w:autoSpaceDE w:val="0"/>
        <w:autoSpaceDN w:val="0"/>
        <w:adjustRightInd w:val="0"/>
        <w:spacing w:line="360" w:lineRule="auto"/>
        <w:rPr>
          <w:rFonts w:ascii="Arial" w:eastAsia="MetaASC-Regular" w:hAnsi="Arial"/>
          <w:sz w:val="22"/>
          <w:szCs w:val="22"/>
        </w:rPr>
      </w:pPr>
      <w:r w:rsidRPr="0048387A">
        <w:rPr>
          <w:rFonts w:ascii="Arial" w:hAnsi="Arial"/>
          <w:sz w:val="22"/>
          <w:szCs w:val="22"/>
        </w:rPr>
        <w:t xml:space="preserve">Tabatabaian, F., </w:t>
      </w:r>
      <w:proofErr w:type="spellStart"/>
      <w:r w:rsidRPr="0048387A">
        <w:rPr>
          <w:rFonts w:ascii="Arial" w:hAnsi="Arial"/>
          <w:sz w:val="22"/>
          <w:szCs w:val="22"/>
        </w:rPr>
        <w:t>Beyabanaki</w:t>
      </w:r>
      <w:proofErr w:type="spellEnd"/>
      <w:r w:rsidRPr="0048387A">
        <w:rPr>
          <w:rFonts w:ascii="Arial" w:hAnsi="Arial"/>
          <w:sz w:val="22"/>
          <w:szCs w:val="22"/>
        </w:rPr>
        <w:t xml:space="preserve">, E., Alirezaei, P., &amp; </w:t>
      </w:r>
      <w:proofErr w:type="spellStart"/>
      <w:r w:rsidRPr="0048387A">
        <w:rPr>
          <w:rFonts w:ascii="Arial" w:hAnsi="Arial"/>
          <w:sz w:val="22"/>
          <w:szCs w:val="22"/>
        </w:rPr>
        <w:t>Epakchi</w:t>
      </w:r>
      <w:proofErr w:type="spellEnd"/>
      <w:r w:rsidRPr="0048387A">
        <w:rPr>
          <w:rFonts w:ascii="Arial" w:hAnsi="Arial"/>
          <w:sz w:val="22"/>
          <w:szCs w:val="22"/>
        </w:rPr>
        <w:t>, S. (2021). Visual and digital tooth shade selection methods, related effective factors and conditions, and their accuracy and precision: A literature review.</w:t>
      </w:r>
      <w:r w:rsidRPr="0048387A">
        <w:rPr>
          <w:rFonts w:ascii="Arial" w:hAnsi="Arial"/>
          <w:i/>
          <w:iCs/>
          <w:sz w:val="22"/>
          <w:szCs w:val="22"/>
        </w:rPr>
        <w:t xml:space="preserve"> Journal of </w:t>
      </w:r>
      <w:proofErr w:type="spellStart"/>
      <w:r w:rsidRPr="0048387A">
        <w:rPr>
          <w:rFonts w:ascii="Arial" w:hAnsi="Arial"/>
          <w:i/>
          <w:iCs/>
          <w:sz w:val="22"/>
          <w:szCs w:val="22"/>
        </w:rPr>
        <w:t>Esthetic</w:t>
      </w:r>
      <w:proofErr w:type="spellEnd"/>
      <w:r w:rsidRPr="0048387A">
        <w:rPr>
          <w:rFonts w:ascii="Arial" w:hAnsi="Arial"/>
          <w:i/>
          <w:iCs/>
          <w:sz w:val="22"/>
          <w:szCs w:val="22"/>
        </w:rPr>
        <w:t xml:space="preserve"> and Restorative Dentistry</w:t>
      </w:r>
      <w:r w:rsidRPr="0048387A">
        <w:rPr>
          <w:rFonts w:ascii="Arial" w:hAnsi="Arial"/>
          <w:sz w:val="22"/>
          <w:szCs w:val="22"/>
        </w:rPr>
        <w:t xml:space="preserve">, 33(8), </w:t>
      </w:r>
      <w:r w:rsidRPr="0048387A">
        <w:rPr>
          <w:rFonts w:ascii="Arial" w:hAnsi="Arial"/>
          <w:color w:val="212121"/>
          <w:sz w:val="22"/>
          <w:szCs w:val="22"/>
          <w:shd w:val="clear" w:color="auto" w:fill="FFFFFF"/>
        </w:rPr>
        <w:t xml:space="preserve">1084-1104. </w:t>
      </w:r>
      <w:proofErr w:type="spellStart"/>
      <w:r w:rsidRPr="0048387A">
        <w:rPr>
          <w:rFonts w:ascii="Arial" w:hAnsi="Arial"/>
          <w:color w:val="212121"/>
          <w:sz w:val="22"/>
          <w:szCs w:val="22"/>
          <w:shd w:val="clear" w:color="auto" w:fill="FFFFFF"/>
        </w:rPr>
        <w:t>doi</w:t>
      </w:r>
      <w:proofErr w:type="spellEnd"/>
      <w:r w:rsidRPr="0048387A">
        <w:rPr>
          <w:rFonts w:ascii="Arial" w:hAnsi="Arial"/>
          <w:color w:val="212121"/>
          <w:sz w:val="22"/>
          <w:szCs w:val="22"/>
          <w:shd w:val="clear" w:color="auto" w:fill="FFFFFF"/>
        </w:rPr>
        <w:t>: 10.1111/jerd.12816.</w:t>
      </w:r>
    </w:p>
    <w:p w14:paraId="424334ED" w14:textId="77777777" w:rsidR="0048387A" w:rsidRPr="0048387A" w:rsidRDefault="0048387A" w:rsidP="0048387A">
      <w:pPr>
        <w:pStyle w:val="ListParagraph"/>
        <w:numPr>
          <w:ilvl w:val="0"/>
          <w:numId w:val="31"/>
        </w:numPr>
        <w:spacing w:line="360" w:lineRule="auto"/>
        <w:jc w:val="both"/>
        <w:rPr>
          <w:rFonts w:ascii="Arial" w:hAnsi="Arial"/>
          <w:sz w:val="22"/>
          <w:szCs w:val="22"/>
        </w:rPr>
      </w:pPr>
      <w:r w:rsidRPr="0048387A">
        <w:rPr>
          <w:rFonts w:ascii="Arial" w:hAnsi="Arial"/>
          <w:sz w:val="22"/>
          <w:szCs w:val="22"/>
        </w:rPr>
        <w:lastRenderedPageBreak/>
        <w:t xml:space="preserve">Redmond, T., </w:t>
      </w:r>
      <w:proofErr w:type="spellStart"/>
      <w:r w:rsidRPr="0048387A">
        <w:rPr>
          <w:rFonts w:ascii="Arial" w:hAnsi="Arial"/>
          <w:sz w:val="22"/>
          <w:szCs w:val="22"/>
        </w:rPr>
        <w:t>Zlatkova</w:t>
      </w:r>
      <w:proofErr w:type="spellEnd"/>
      <w:r w:rsidRPr="0048387A">
        <w:rPr>
          <w:rFonts w:ascii="Arial" w:hAnsi="Arial"/>
          <w:sz w:val="22"/>
          <w:szCs w:val="22"/>
        </w:rPr>
        <w:t xml:space="preserve">, M.B., </w:t>
      </w:r>
      <w:proofErr w:type="spellStart"/>
      <w:r w:rsidRPr="0048387A">
        <w:rPr>
          <w:rFonts w:ascii="Arial" w:hAnsi="Arial"/>
          <w:sz w:val="22"/>
          <w:szCs w:val="22"/>
        </w:rPr>
        <w:t>Garway</w:t>
      </w:r>
      <w:proofErr w:type="spellEnd"/>
      <w:r w:rsidRPr="0048387A">
        <w:rPr>
          <w:rFonts w:ascii="Arial" w:hAnsi="Arial"/>
          <w:sz w:val="22"/>
          <w:szCs w:val="22"/>
        </w:rPr>
        <w:t xml:space="preserve">-Heath, D.F., &amp; Anderson, R.S. (2010). The effect of age on the area of complete spatial summation for chromatic and achromatic stimuli. </w:t>
      </w:r>
      <w:r w:rsidRPr="0048387A">
        <w:rPr>
          <w:rFonts w:ascii="Arial" w:hAnsi="Arial"/>
          <w:i/>
          <w:iCs/>
          <w:sz w:val="22"/>
          <w:szCs w:val="22"/>
        </w:rPr>
        <w:t xml:space="preserve">Investigative </w:t>
      </w:r>
      <w:proofErr w:type="spellStart"/>
      <w:r w:rsidRPr="0048387A">
        <w:rPr>
          <w:rFonts w:ascii="Arial" w:hAnsi="Arial"/>
          <w:i/>
          <w:iCs/>
          <w:sz w:val="22"/>
          <w:szCs w:val="22"/>
        </w:rPr>
        <w:t>Opthalmology</w:t>
      </w:r>
      <w:proofErr w:type="spellEnd"/>
      <w:r w:rsidRPr="0048387A">
        <w:rPr>
          <w:rFonts w:ascii="Arial" w:hAnsi="Arial"/>
          <w:i/>
          <w:iCs/>
          <w:sz w:val="22"/>
          <w:szCs w:val="22"/>
        </w:rPr>
        <w:t xml:space="preserve"> and Visual Science</w:t>
      </w:r>
      <w:r w:rsidRPr="0048387A">
        <w:rPr>
          <w:rFonts w:ascii="Arial" w:hAnsi="Arial"/>
          <w:sz w:val="22"/>
          <w:szCs w:val="22"/>
        </w:rPr>
        <w:t>, 51(12), 6533–6539.</w:t>
      </w:r>
    </w:p>
    <w:p w14:paraId="275248D5" w14:textId="77777777" w:rsidR="0048387A" w:rsidRPr="0048387A" w:rsidRDefault="0048387A" w:rsidP="0048387A">
      <w:pPr>
        <w:pStyle w:val="ListParagraph"/>
        <w:numPr>
          <w:ilvl w:val="0"/>
          <w:numId w:val="31"/>
        </w:numPr>
        <w:spacing w:after="160" w:line="360" w:lineRule="auto"/>
        <w:jc w:val="both"/>
        <w:rPr>
          <w:rFonts w:ascii="Arial" w:hAnsi="Arial"/>
          <w:sz w:val="22"/>
          <w:szCs w:val="22"/>
        </w:rPr>
      </w:pPr>
      <w:proofErr w:type="spellStart"/>
      <w:r w:rsidRPr="0048387A">
        <w:rPr>
          <w:rFonts w:ascii="Arial" w:hAnsi="Arial"/>
          <w:sz w:val="22"/>
          <w:szCs w:val="22"/>
        </w:rPr>
        <w:t>Dahane</w:t>
      </w:r>
      <w:proofErr w:type="spellEnd"/>
      <w:r w:rsidRPr="0048387A">
        <w:rPr>
          <w:rFonts w:ascii="Arial" w:hAnsi="Arial"/>
          <w:sz w:val="22"/>
          <w:szCs w:val="22"/>
        </w:rPr>
        <w:t>, T.M., Gupta, R., Godbole, S.R.</w:t>
      </w:r>
      <w:proofErr w:type="gramStart"/>
      <w:r w:rsidRPr="0048387A">
        <w:rPr>
          <w:rFonts w:ascii="Arial" w:hAnsi="Arial"/>
          <w:sz w:val="22"/>
          <w:szCs w:val="22"/>
        </w:rPr>
        <w:t xml:space="preserve">,  </w:t>
      </w:r>
      <w:proofErr w:type="spellStart"/>
      <w:r w:rsidRPr="0048387A">
        <w:rPr>
          <w:rFonts w:ascii="Arial" w:hAnsi="Arial"/>
          <w:sz w:val="22"/>
          <w:szCs w:val="22"/>
        </w:rPr>
        <w:t>Pakhan</w:t>
      </w:r>
      <w:proofErr w:type="spellEnd"/>
      <w:proofErr w:type="gramEnd"/>
      <w:r w:rsidRPr="0048387A">
        <w:rPr>
          <w:rFonts w:ascii="Arial" w:hAnsi="Arial"/>
          <w:sz w:val="22"/>
          <w:szCs w:val="22"/>
        </w:rPr>
        <w:t xml:space="preserve">, A.J., Sathe, S., &amp; Shukla, A., et al.  (2017). </w:t>
      </w:r>
      <w:proofErr w:type="spellStart"/>
      <w:r w:rsidRPr="0048387A">
        <w:rPr>
          <w:rFonts w:ascii="Arial" w:hAnsi="Arial"/>
          <w:sz w:val="22"/>
          <w:szCs w:val="22"/>
        </w:rPr>
        <w:t>Interoperator</w:t>
      </w:r>
      <w:proofErr w:type="spellEnd"/>
      <w:r w:rsidRPr="0048387A">
        <w:rPr>
          <w:rFonts w:ascii="Arial" w:hAnsi="Arial"/>
          <w:sz w:val="22"/>
          <w:szCs w:val="22"/>
        </w:rPr>
        <w:t xml:space="preserve"> Variability in Shade Selection using Two Shade Guides </w:t>
      </w:r>
      <w:r w:rsidRPr="0048387A">
        <w:rPr>
          <w:rFonts w:ascii="Arial" w:hAnsi="Arial"/>
          <w:i/>
          <w:iCs/>
          <w:sz w:val="22"/>
          <w:szCs w:val="22"/>
        </w:rPr>
        <w:t>International Journal of Prosthodontics and Restorative Dentistry</w:t>
      </w:r>
      <w:r w:rsidRPr="0048387A">
        <w:rPr>
          <w:rFonts w:ascii="Arial" w:hAnsi="Arial"/>
          <w:sz w:val="22"/>
          <w:szCs w:val="22"/>
        </w:rPr>
        <w:t>, 7(4), 124-128.</w:t>
      </w:r>
    </w:p>
    <w:p w14:paraId="1AC0D9F7" w14:textId="77777777" w:rsidR="0048387A" w:rsidRPr="0048387A" w:rsidRDefault="0048387A" w:rsidP="0048387A">
      <w:pPr>
        <w:pStyle w:val="ListParagraph"/>
        <w:numPr>
          <w:ilvl w:val="0"/>
          <w:numId w:val="31"/>
        </w:numPr>
        <w:spacing w:after="160" w:line="360" w:lineRule="auto"/>
        <w:jc w:val="both"/>
        <w:rPr>
          <w:rFonts w:ascii="Arial" w:hAnsi="Arial"/>
          <w:sz w:val="22"/>
          <w:szCs w:val="22"/>
        </w:rPr>
      </w:pPr>
      <w:r w:rsidRPr="0048387A">
        <w:rPr>
          <w:rFonts w:ascii="Arial" w:hAnsi="Arial"/>
          <w:sz w:val="22"/>
          <w:szCs w:val="22"/>
        </w:rPr>
        <w:t xml:space="preserve">Jain M, Jain V, Yadav NR, Jain S, Singh S, &amp; Raghav P, et al. (2019). Dental students' tooth shade selection ability in relation to years of dental education. </w:t>
      </w:r>
      <w:r w:rsidRPr="0048387A">
        <w:rPr>
          <w:rFonts w:ascii="Arial" w:hAnsi="Arial"/>
          <w:i/>
          <w:iCs/>
          <w:sz w:val="22"/>
          <w:szCs w:val="22"/>
        </w:rPr>
        <w:t>Journal of Family Medicine and Primary Care,</w:t>
      </w:r>
      <w:r w:rsidRPr="0048387A">
        <w:rPr>
          <w:rFonts w:ascii="Arial" w:hAnsi="Arial"/>
          <w:sz w:val="22"/>
          <w:szCs w:val="22"/>
        </w:rPr>
        <w:t xml:space="preserve"> 8(12), 4010-4014.</w:t>
      </w:r>
    </w:p>
    <w:p w14:paraId="73769040"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r w:rsidRPr="0048387A">
        <w:rPr>
          <w:rStyle w:val="HTMLCite"/>
          <w:rFonts w:ascii="Arial" w:hAnsi="Arial"/>
          <w:color w:val="1B1B1B"/>
          <w:sz w:val="22"/>
          <w:szCs w:val="22"/>
          <w:shd w:val="clear" w:color="auto" w:fill="FFFFFF"/>
        </w:rPr>
        <w:t xml:space="preserve">Capa, N., </w:t>
      </w:r>
      <w:proofErr w:type="spellStart"/>
      <w:r w:rsidRPr="0048387A">
        <w:rPr>
          <w:rStyle w:val="HTMLCite"/>
          <w:rFonts w:ascii="Arial" w:hAnsi="Arial"/>
          <w:color w:val="1B1B1B"/>
          <w:sz w:val="22"/>
          <w:szCs w:val="22"/>
          <w:shd w:val="clear" w:color="auto" w:fill="FFFFFF"/>
        </w:rPr>
        <w:t>Malkondu</w:t>
      </w:r>
      <w:proofErr w:type="spellEnd"/>
      <w:r w:rsidRPr="0048387A">
        <w:rPr>
          <w:rStyle w:val="HTMLCite"/>
          <w:rFonts w:ascii="Arial" w:hAnsi="Arial"/>
          <w:color w:val="1B1B1B"/>
          <w:sz w:val="22"/>
          <w:szCs w:val="22"/>
          <w:shd w:val="clear" w:color="auto" w:fill="FFFFFF"/>
        </w:rPr>
        <w:t xml:space="preserve">, O., </w:t>
      </w:r>
      <w:proofErr w:type="spellStart"/>
      <w:r w:rsidRPr="0048387A">
        <w:rPr>
          <w:rStyle w:val="HTMLCite"/>
          <w:rFonts w:ascii="Arial" w:hAnsi="Arial"/>
          <w:color w:val="1B1B1B"/>
          <w:sz w:val="22"/>
          <w:szCs w:val="22"/>
          <w:shd w:val="clear" w:color="auto" w:fill="FFFFFF"/>
        </w:rPr>
        <w:t>Kazazoglu</w:t>
      </w:r>
      <w:proofErr w:type="spellEnd"/>
      <w:r w:rsidRPr="0048387A">
        <w:rPr>
          <w:rStyle w:val="HTMLCite"/>
          <w:rFonts w:ascii="Arial" w:hAnsi="Arial"/>
          <w:color w:val="1B1B1B"/>
          <w:sz w:val="22"/>
          <w:szCs w:val="22"/>
          <w:shd w:val="clear" w:color="auto" w:fill="FFFFFF"/>
        </w:rPr>
        <w:t xml:space="preserve">, E., &amp; </w:t>
      </w:r>
      <w:proofErr w:type="spellStart"/>
      <w:r w:rsidRPr="0048387A">
        <w:rPr>
          <w:rStyle w:val="HTMLCite"/>
          <w:rFonts w:ascii="Arial" w:hAnsi="Arial"/>
          <w:color w:val="1B1B1B"/>
          <w:sz w:val="22"/>
          <w:szCs w:val="22"/>
          <w:shd w:val="clear" w:color="auto" w:fill="FFFFFF"/>
        </w:rPr>
        <w:t>Calikkocaoglu</w:t>
      </w:r>
      <w:proofErr w:type="spellEnd"/>
      <w:r w:rsidRPr="0048387A">
        <w:rPr>
          <w:rStyle w:val="HTMLCite"/>
          <w:rFonts w:ascii="Arial" w:hAnsi="Arial"/>
          <w:color w:val="1B1B1B"/>
          <w:sz w:val="22"/>
          <w:szCs w:val="22"/>
          <w:shd w:val="clear" w:color="auto" w:fill="FFFFFF"/>
        </w:rPr>
        <w:t xml:space="preserve"> S. (2010) Evaluating factors that affect the shade-matching ability of dentists, dental staff members and laypeople. Journal of American Dental Association, 141(1), 71–76. 10.14219/jada.archive.2010.0023</w:t>
      </w:r>
      <w:r w:rsidRPr="0048387A">
        <w:rPr>
          <w:rFonts w:ascii="Arial" w:hAnsi="Arial"/>
          <w:color w:val="1B1B1B"/>
          <w:sz w:val="22"/>
          <w:szCs w:val="22"/>
          <w:shd w:val="clear" w:color="auto" w:fill="FFFFFF"/>
        </w:rPr>
        <w:t> </w:t>
      </w:r>
    </w:p>
    <w:p w14:paraId="2688D7F2"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r w:rsidRPr="0048387A">
        <w:rPr>
          <w:rFonts w:ascii="Arial" w:hAnsi="Arial"/>
          <w:color w:val="1B1B1B"/>
          <w:sz w:val="22"/>
          <w:szCs w:val="22"/>
          <w:shd w:val="clear" w:color="auto" w:fill="FFFFFF"/>
        </w:rPr>
        <w:t xml:space="preserve">Della Bona, A., Barrett, A.A., Rosa, V., &amp; </w:t>
      </w:r>
      <w:proofErr w:type="spellStart"/>
      <w:r w:rsidRPr="0048387A">
        <w:rPr>
          <w:rFonts w:ascii="Arial" w:hAnsi="Arial"/>
          <w:color w:val="1B1B1B"/>
          <w:sz w:val="22"/>
          <w:szCs w:val="22"/>
          <w:shd w:val="clear" w:color="auto" w:fill="FFFFFF"/>
        </w:rPr>
        <w:t>Pinzetta</w:t>
      </w:r>
      <w:proofErr w:type="spellEnd"/>
      <w:r w:rsidRPr="0048387A">
        <w:rPr>
          <w:rFonts w:ascii="Arial" w:hAnsi="Arial"/>
          <w:color w:val="1B1B1B"/>
          <w:sz w:val="22"/>
          <w:szCs w:val="22"/>
          <w:shd w:val="clear" w:color="auto" w:fill="FFFFFF"/>
        </w:rPr>
        <w:t xml:space="preserve">, C. (2009). Visual and instrumental agreement in dental shade selection: three distinct observer populations and shade matching protocols. </w:t>
      </w:r>
      <w:r w:rsidRPr="0048387A">
        <w:rPr>
          <w:rFonts w:ascii="Arial" w:hAnsi="Arial"/>
          <w:i/>
          <w:iCs/>
          <w:color w:val="1B1B1B"/>
          <w:sz w:val="22"/>
          <w:szCs w:val="22"/>
          <w:shd w:val="clear" w:color="auto" w:fill="FFFFFF"/>
        </w:rPr>
        <w:t>Dental Materials</w:t>
      </w:r>
      <w:r w:rsidRPr="0048387A">
        <w:rPr>
          <w:rFonts w:ascii="Arial" w:hAnsi="Arial"/>
          <w:color w:val="1B1B1B"/>
          <w:sz w:val="22"/>
          <w:szCs w:val="22"/>
          <w:shd w:val="clear" w:color="auto" w:fill="FFFFFF"/>
        </w:rPr>
        <w:t>, 25(2), 276–281. 10.1016/j.dental.2008.09.006</w:t>
      </w:r>
    </w:p>
    <w:p w14:paraId="6AD11995"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proofErr w:type="spellStart"/>
      <w:r w:rsidRPr="0048387A">
        <w:rPr>
          <w:rFonts w:ascii="Arial" w:hAnsi="Arial"/>
          <w:color w:val="1B1B1B"/>
          <w:sz w:val="22"/>
          <w:szCs w:val="22"/>
          <w:shd w:val="clear" w:color="auto" w:fill="FFFFFF"/>
        </w:rPr>
        <w:t>Sinmazisik</w:t>
      </w:r>
      <w:proofErr w:type="spellEnd"/>
      <w:r w:rsidRPr="0048387A">
        <w:rPr>
          <w:rFonts w:ascii="Arial" w:hAnsi="Arial"/>
          <w:color w:val="1B1B1B"/>
          <w:sz w:val="22"/>
          <w:szCs w:val="22"/>
          <w:shd w:val="clear" w:color="auto" w:fill="FFFFFF"/>
        </w:rPr>
        <w:t xml:space="preserve">, G., </w:t>
      </w:r>
      <w:proofErr w:type="spellStart"/>
      <w:r w:rsidRPr="0048387A">
        <w:rPr>
          <w:rFonts w:ascii="Arial" w:hAnsi="Arial"/>
          <w:color w:val="1B1B1B"/>
          <w:sz w:val="22"/>
          <w:szCs w:val="22"/>
          <w:shd w:val="clear" w:color="auto" w:fill="FFFFFF"/>
        </w:rPr>
        <w:t>Trakyali</w:t>
      </w:r>
      <w:proofErr w:type="spellEnd"/>
      <w:r w:rsidRPr="0048387A">
        <w:rPr>
          <w:rFonts w:ascii="Arial" w:hAnsi="Arial"/>
          <w:color w:val="1B1B1B"/>
          <w:sz w:val="22"/>
          <w:szCs w:val="22"/>
          <w:shd w:val="clear" w:color="auto" w:fill="FFFFFF"/>
        </w:rPr>
        <w:t xml:space="preserve">, G., &amp; </w:t>
      </w:r>
      <w:proofErr w:type="spellStart"/>
      <w:r w:rsidRPr="0048387A">
        <w:rPr>
          <w:rFonts w:ascii="Arial" w:hAnsi="Arial"/>
          <w:color w:val="1B1B1B"/>
          <w:sz w:val="22"/>
          <w:szCs w:val="22"/>
          <w:shd w:val="clear" w:color="auto" w:fill="FFFFFF"/>
        </w:rPr>
        <w:t>Tarcin</w:t>
      </w:r>
      <w:proofErr w:type="spellEnd"/>
      <w:r w:rsidRPr="0048387A">
        <w:rPr>
          <w:rFonts w:ascii="Arial" w:hAnsi="Arial"/>
          <w:color w:val="1B1B1B"/>
          <w:sz w:val="22"/>
          <w:szCs w:val="22"/>
          <w:shd w:val="clear" w:color="auto" w:fill="FFFFFF"/>
        </w:rPr>
        <w:t xml:space="preserve">, B. (2014). Evaluating the ability of dental technician students and graduate dentists to match tooth </w:t>
      </w:r>
      <w:proofErr w:type="spellStart"/>
      <w:r w:rsidRPr="0048387A">
        <w:rPr>
          <w:rFonts w:ascii="Arial" w:hAnsi="Arial"/>
          <w:color w:val="1B1B1B"/>
          <w:sz w:val="22"/>
          <w:szCs w:val="22"/>
          <w:shd w:val="clear" w:color="auto" w:fill="FFFFFF"/>
        </w:rPr>
        <w:t>color</w:t>
      </w:r>
      <w:proofErr w:type="spellEnd"/>
      <w:r w:rsidRPr="0048387A">
        <w:rPr>
          <w:rFonts w:ascii="Arial" w:hAnsi="Arial"/>
          <w:color w:val="1B1B1B"/>
          <w:sz w:val="22"/>
          <w:szCs w:val="22"/>
          <w:shd w:val="clear" w:color="auto" w:fill="FFFFFF"/>
        </w:rPr>
        <w:t xml:space="preserve">. </w:t>
      </w:r>
      <w:r w:rsidRPr="0048387A">
        <w:rPr>
          <w:rFonts w:ascii="Arial" w:hAnsi="Arial"/>
          <w:i/>
          <w:iCs/>
          <w:color w:val="1B1B1B"/>
          <w:sz w:val="22"/>
          <w:szCs w:val="22"/>
          <w:shd w:val="clear" w:color="auto" w:fill="FFFFFF"/>
        </w:rPr>
        <w:t>Journal of Prosthetic Dentistry</w:t>
      </w:r>
      <w:r w:rsidRPr="0048387A">
        <w:rPr>
          <w:rFonts w:ascii="Arial" w:hAnsi="Arial"/>
          <w:color w:val="1B1B1B"/>
          <w:sz w:val="22"/>
          <w:szCs w:val="22"/>
          <w:shd w:val="clear" w:color="auto" w:fill="FFFFFF"/>
        </w:rPr>
        <w:t>, 112(6),1559–1566. 10.1016/j.prosdent.2014.05.024</w:t>
      </w:r>
    </w:p>
    <w:p w14:paraId="72CF4B95"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r w:rsidRPr="0048387A">
        <w:rPr>
          <w:rFonts w:ascii="Arial" w:hAnsi="Arial"/>
          <w:color w:val="1B1B1B"/>
          <w:sz w:val="22"/>
          <w:szCs w:val="22"/>
          <w:shd w:val="clear" w:color="auto" w:fill="FFFFFF"/>
        </w:rPr>
        <w:t xml:space="preserve">Haddad, </w:t>
      </w:r>
      <w:proofErr w:type="gramStart"/>
      <w:r w:rsidRPr="0048387A">
        <w:rPr>
          <w:rFonts w:ascii="Arial" w:hAnsi="Arial"/>
          <w:color w:val="1B1B1B"/>
          <w:sz w:val="22"/>
          <w:szCs w:val="22"/>
          <w:shd w:val="clear" w:color="auto" w:fill="FFFFFF"/>
        </w:rPr>
        <w:t>H,J.</w:t>
      </w:r>
      <w:proofErr w:type="gramEnd"/>
      <w:r w:rsidRPr="0048387A">
        <w:rPr>
          <w:rFonts w:ascii="Arial" w:hAnsi="Arial"/>
          <w:color w:val="1B1B1B"/>
          <w:sz w:val="22"/>
          <w:szCs w:val="22"/>
          <w:shd w:val="clear" w:color="auto" w:fill="FFFFFF"/>
        </w:rPr>
        <w:t xml:space="preserve">, </w:t>
      </w:r>
      <w:proofErr w:type="spellStart"/>
      <w:r w:rsidRPr="0048387A">
        <w:rPr>
          <w:rFonts w:ascii="Arial" w:hAnsi="Arial"/>
          <w:color w:val="1B1B1B"/>
          <w:sz w:val="22"/>
          <w:szCs w:val="22"/>
          <w:shd w:val="clear" w:color="auto" w:fill="FFFFFF"/>
        </w:rPr>
        <w:t>Jakstat</w:t>
      </w:r>
      <w:proofErr w:type="spellEnd"/>
      <w:r w:rsidRPr="0048387A">
        <w:rPr>
          <w:rFonts w:ascii="Arial" w:hAnsi="Arial"/>
          <w:color w:val="1B1B1B"/>
          <w:sz w:val="22"/>
          <w:szCs w:val="22"/>
          <w:shd w:val="clear" w:color="auto" w:fill="FFFFFF"/>
        </w:rPr>
        <w:t xml:space="preserve">, H.A., </w:t>
      </w:r>
      <w:proofErr w:type="spellStart"/>
      <w:r w:rsidRPr="0048387A">
        <w:rPr>
          <w:rFonts w:ascii="Arial" w:hAnsi="Arial"/>
          <w:color w:val="1B1B1B"/>
          <w:sz w:val="22"/>
          <w:szCs w:val="22"/>
          <w:shd w:val="clear" w:color="auto" w:fill="FFFFFF"/>
        </w:rPr>
        <w:t>Arnetzl</w:t>
      </w:r>
      <w:proofErr w:type="spellEnd"/>
      <w:r w:rsidRPr="0048387A">
        <w:rPr>
          <w:rFonts w:ascii="Arial" w:hAnsi="Arial"/>
          <w:color w:val="1B1B1B"/>
          <w:sz w:val="22"/>
          <w:szCs w:val="22"/>
          <w:shd w:val="clear" w:color="auto" w:fill="FFFFFF"/>
        </w:rPr>
        <w:t xml:space="preserve">, G., Borbely, J., Vichi, A., &amp; </w:t>
      </w:r>
      <w:proofErr w:type="spellStart"/>
      <w:r w:rsidRPr="0048387A">
        <w:rPr>
          <w:rFonts w:ascii="Arial" w:hAnsi="Arial"/>
          <w:color w:val="1B1B1B"/>
          <w:sz w:val="22"/>
          <w:szCs w:val="22"/>
          <w:shd w:val="clear" w:color="auto" w:fill="FFFFFF"/>
        </w:rPr>
        <w:t>Dumfahrt</w:t>
      </w:r>
      <w:proofErr w:type="spellEnd"/>
      <w:r w:rsidRPr="0048387A">
        <w:rPr>
          <w:rFonts w:ascii="Arial" w:hAnsi="Arial"/>
          <w:color w:val="1B1B1B"/>
          <w:sz w:val="22"/>
          <w:szCs w:val="22"/>
          <w:shd w:val="clear" w:color="auto" w:fill="FFFFFF"/>
        </w:rPr>
        <w:t xml:space="preserve">, H., et al. (2009). Does gender and experience influence shade matching quality? </w:t>
      </w:r>
      <w:r w:rsidRPr="0048387A">
        <w:rPr>
          <w:rFonts w:ascii="Arial" w:hAnsi="Arial"/>
          <w:i/>
          <w:iCs/>
          <w:color w:val="1B1B1B"/>
          <w:sz w:val="22"/>
          <w:szCs w:val="22"/>
          <w:shd w:val="clear" w:color="auto" w:fill="FFFFFF"/>
        </w:rPr>
        <w:t>Journal of Dentistry</w:t>
      </w:r>
      <w:r w:rsidRPr="0048387A">
        <w:rPr>
          <w:rFonts w:ascii="Arial" w:hAnsi="Arial"/>
          <w:color w:val="1B1B1B"/>
          <w:sz w:val="22"/>
          <w:szCs w:val="22"/>
          <w:shd w:val="clear" w:color="auto" w:fill="FFFFFF"/>
        </w:rPr>
        <w:t xml:space="preserve">, 37 </w:t>
      </w:r>
      <w:proofErr w:type="spellStart"/>
      <w:r w:rsidRPr="0048387A">
        <w:rPr>
          <w:rFonts w:ascii="Arial" w:hAnsi="Arial"/>
          <w:color w:val="1B1B1B"/>
          <w:sz w:val="22"/>
          <w:szCs w:val="22"/>
          <w:shd w:val="clear" w:color="auto" w:fill="FFFFFF"/>
        </w:rPr>
        <w:t>Suppl</w:t>
      </w:r>
      <w:proofErr w:type="spellEnd"/>
      <w:r w:rsidRPr="0048387A">
        <w:rPr>
          <w:rFonts w:ascii="Arial" w:hAnsi="Arial"/>
          <w:color w:val="1B1B1B"/>
          <w:sz w:val="22"/>
          <w:szCs w:val="22"/>
          <w:shd w:val="clear" w:color="auto" w:fill="FFFFFF"/>
        </w:rPr>
        <w:t xml:space="preserve"> </w:t>
      </w:r>
      <w:proofErr w:type="gramStart"/>
      <w:r w:rsidRPr="0048387A">
        <w:rPr>
          <w:rFonts w:ascii="Arial" w:hAnsi="Arial"/>
          <w:color w:val="1B1B1B"/>
          <w:sz w:val="22"/>
          <w:szCs w:val="22"/>
          <w:shd w:val="clear" w:color="auto" w:fill="FFFFFF"/>
        </w:rPr>
        <w:t>1:e</w:t>
      </w:r>
      <w:proofErr w:type="gramEnd"/>
      <w:r w:rsidRPr="0048387A">
        <w:rPr>
          <w:rFonts w:ascii="Arial" w:hAnsi="Arial"/>
          <w:color w:val="1B1B1B"/>
          <w:sz w:val="22"/>
          <w:szCs w:val="22"/>
          <w:shd w:val="clear" w:color="auto" w:fill="FFFFFF"/>
        </w:rPr>
        <w:t>40–4. 10.1016/j.jdent.2009.05.012</w:t>
      </w:r>
    </w:p>
    <w:p w14:paraId="1593870C"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r w:rsidRPr="0048387A">
        <w:rPr>
          <w:rFonts w:ascii="Arial" w:hAnsi="Arial"/>
          <w:sz w:val="22"/>
          <w:szCs w:val="22"/>
        </w:rPr>
        <w:t xml:space="preserve"> </w:t>
      </w:r>
      <w:r w:rsidRPr="0048387A">
        <w:rPr>
          <w:rFonts w:ascii="Arial" w:hAnsi="Arial"/>
          <w:color w:val="212121"/>
          <w:sz w:val="22"/>
          <w:szCs w:val="22"/>
          <w:shd w:val="clear" w:color="auto" w:fill="FFFFFF"/>
        </w:rPr>
        <w:t xml:space="preserve">Imbery, T.A., Killough, C., Baechle, M.A., Hankle, J.L., &amp; Janus, C. (2022). An evaluation of factors affecting dental shade matching in first-year dental students. </w:t>
      </w:r>
      <w:r w:rsidRPr="0048387A">
        <w:rPr>
          <w:rFonts w:ascii="Arial" w:hAnsi="Arial"/>
          <w:i/>
          <w:iCs/>
          <w:color w:val="212121"/>
          <w:sz w:val="22"/>
          <w:szCs w:val="22"/>
          <w:shd w:val="clear" w:color="auto" w:fill="FFFFFF"/>
        </w:rPr>
        <w:t>Journal of Prosthetic Dentistry</w:t>
      </w:r>
      <w:r w:rsidRPr="0048387A">
        <w:rPr>
          <w:rFonts w:ascii="Arial" w:hAnsi="Arial"/>
          <w:color w:val="212121"/>
          <w:sz w:val="22"/>
          <w:szCs w:val="22"/>
          <w:shd w:val="clear" w:color="auto" w:fill="FFFFFF"/>
        </w:rPr>
        <w:t xml:space="preserve">, 128(3), 489-495. </w:t>
      </w:r>
      <w:proofErr w:type="spellStart"/>
      <w:r w:rsidRPr="0048387A">
        <w:rPr>
          <w:rFonts w:ascii="Arial" w:hAnsi="Arial"/>
          <w:color w:val="212121"/>
          <w:sz w:val="22"/>
          <w:szCs w:val="22"/>
          <w:shd w:val="clear" w:color="auto" w:fill="FFFFFF"/>
        </w:rPr>
        <w:t>doi</w:t>
      </w:r>
      <w:proofErr w:type="spellEnd"/>
      <w:r w:rsidRPr="0048387A">
        <w:rPr>
          <w:rFonts w:ascii="Arial" w:hAnsi="Arial"/>
          <w:color w:val="212121"/>
          <w:sz w:val="22"/>
          <w:szCs w:val="22"/>
          <w:shd w:val="clear" w:color="auto" w:fill="FFFFFF"/>
        </w:rPr>
        <w:t>: 10.1016/j.prosdent.2020.09.030.</w:t>
      </w:r>
    </w:p>
    <w:p w14:paraId="57B08AD6"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r w:rsidRPr="0048387A">
        <w:rPr>
          <w:rFonts w:ascii="Arial" w:hAnsi="Arial"/>
          <w:sz w:val="22"/>
          <w:szCs w:val="22"/>
        </w:rPr>
        <w:lastRenderedPageBreak/>
        <w:t xml:space="preserve">Andrew, R., Chan, P.W., &amp; Milward, P.J. (2010). An assessment of shade taking by dental undergraduates. </w:t>
      </w:r>
      <w:r w:rsidRPr="0048387A">
        <w:rPr>
          <w:rFonts w:ascii="Arial" w:hAnsi="Arial"/>
          <w:i/>
          <w:iCs/>
          <w:sz w:val="22"/>
          <w:szCs w:val="22"/>
        </w:rPr>
        <w:t>European Journal of Prosthodontics and Restorative Dentistry</w:t>
      </w:r>
      <w:r w:rsidRPr="0048387A">
        <w:rPr>
          <w:rFonts w:ascii="Arial" w:hAnsi="Arial"/>
          <w:sz w:val="22"/>
          <w:szCs w:val="22"/>
        </w:rPr>
        <w:t>, 18(1), 13-16.</w:t>
      </w:r>
    </w:p>
    <w:p w14:paraId="2ACB056A"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proofErr w:type="spellStart"/>
      <w:r w:rsidRPr="0048387A">
        <w:rPr>
          <w:rFonts w:ascii="Arial" w:hAnsi="Arial"/>
          <w:sz w:val="22"/>
          <w:szCs w:val="22"/>
        </w:rPr>
        <w:t>Paravina</w:t>
      </w:r>
      <w:proofErr w:type="spellEnd"/>
      <w:r w:rsidRPr="0048387A">
        <w:rPr>
          <w:rFonts w:ascii="Arial" w:hAnsi="Arial"/>
          <w:sz w:val="22"/>
          <w:szCs w:val="22"/>
        </w:rPr>
        <w:t xml:space="preserve">, R.D. (2018). Understanding colour. In R.E. Goldstein (Ed), </w:t>
      </w:r>
      <w:proofErr w:type="spellStart"/>
      <w:r w:rsidRPr="0048387A">
        <w:rPr>
          <w:rFonts w:ascii="Arial" w:hAnsi="Arial"/>
          <w:sz w:val="22"/>
          <w:szCs w:val="22"/>
        </w:rPr>
        <w:t>Esthetics</w:t>
      </w:r>
      <w:proofErr w:type="spellEnd"/>
      <w:r w:rsidRPr="0048387A">
        <w:rPr>
          <w:rFonts w:ascii="Arial" w:hAnsi="Arial"/>
          <w:sz w:val="22"/>
          <w:szCs w:val="22"/>
        </w:rPr>
        <w:t xml:space="preserve"> in Dentistry (3</w:t>
      </w:r>
      <w:r w:rsidRPr="0048387A">
        <w:rPr>
          <w:rFonts w:ascii="Arial" w:hAnsi="Arial"/>
          <w:sz w:val="22"/>
          <w:szCs w:val="22"/>
          <w:vertAlign w:val="superscript"/>
        </w:rPr>
        <w:t>rd</w:t>
      </w:r>
      <w:r w:rsidRPr="0048387A">
        <w:rPr>
          <w:rFonts w:ascii="Arial" w:hAnsi="Arial"/>
          <w:sz w:val="22"/>
          <w:szCs w:val="22"/>
        </w:rPr>
        <w:t xml:space="preserve"> Ed). New Jersey: Wiley-Blackwell.</w:t>
      </w:r>
    </w:p>
    <w:p w14:paraId="499B8CE6" w14:textId="77777777" w:rsidR="0048387A" w:rsidRPr="0048387A" w:rsidRDefault="0048387A" w:rsidP="0048387A">
      <w:pPr>
        <w:pStyle w:val="ListParagraph"/>
        <w:numPr>
          <w:ilvl w:val="0"/>
          <w:numId w:val="31"/>
        </w:numPr>
        <w:autoSpaceDE w:val="0"/>
        <w:autoSpaceDN w:val="0"/>
        <w:adjustRightInd w:val="0"/>
        <w:spacing w:line="360" w:lineRule="auto"/>
        <w:jc w:val="both"/>
        <w:rPr>
          <w:rFonts w:ascii="Arial" w:eastAsia="AGaramondPro-Regular" w:hAnsi="Arial"/>
          <w:sz w:val="22"/>
          <w:szCs w:val="22"/>
        </w:rPr>
      </w:pPr>
      <w:r w:rsidRPr="0048387A">
        <w:rPr>
          <w:rFonts w:ascii="Arial" w:hAnsi="Arial"/>
          <w:sz w:val="22"/>
          <w:szCs w:val="22"/>
        </w:rPr>
        <w:t xml:space="preserve">Ahmad, S., Habib, S.R., &amp; Azad, A.A. (2011). Scientific and artistic principles of shade selection: a review. </w:t>
      </w:r>
      <w:r w:rsidRPr="0048387A">
        <w:rPr>
          <w:rFonts w:ascii="Arial" w:hAnsi="Arial"/>
          <w:i/>
          <w:iCs/>
          <w:sz w:val="22"/>
          <w:szCs w:val="22"/>
        </w:rPr>
        <w:t>Pakistan Oral &amp; Dental Journal</w:t>
      </w:r>
      <w:r w:rsidRPr="0048387A">
        <w:rPr>
          <w:rFonts w:ascii="Arial" w:hAnsi="Arial"/>
          <w:sz w:val="22"/>
          <w:szCs w:val="22"/>
        </w:rPr>
        <w:t>, 31(1), 222-226.</w:t>
      </w:r>
    </w:p>
    <w:p w14:paraId="6F7921C7" w14:textId="77777777" w:rsidR="0048387A" w:rsidRPr="0048387A" w:rsidRDefault="0048387A" w:rsidP="0048387A">
      <w:pPr>
        <w:pStyle w:val="ListParagraph"/>
        <w:numPr>
          <w:ilvl w:val="0"/>
          <w:numId w:val="31"/>
        </w:numPr>
        <w:shd w:val="clear" w:color="auto" w:fill="FFFFFF"/>
        <w:spacing w:before="240" w:after="240" w:line="360" w:lineRule="auto"/>
        <w:jc w:val="both"/>
        <w:rPr>
          <w:rFonts w:ascii="Arial" w:eastAsia="Times New Roman" w:hAnsi="Arial"/>
          <w:color w:val="000000"/>
          <w:sz w:val="22"/>
          <w:szCs w:val="22"/>
        </w:rPr>
      </w:pPr>
      <w:r w:rsidRPr="0048387A">
        <w:rPr>
          <w:rFonts w:ascii="Arial" w:hAnsi="Arial"/>
          <w:noProof/>
          <w:sz w:val="22"/>
          <w:szCs w:val="22"/>
          <w:lang w:val="en-US"/>
        </w:rPr>
        <w:t>Fondriest, J. (2003). Shade matching in restorative dentistry: the science and strategy.</w:t>
      </w:r>
      <w:r w:rsidRPr="0048387A">
        <w:rPr>
          <w:rFonts w:ascii="Arial" w:hAnsi="Arial"/>
          <w:noProof/>
          <w:sz w:val="22"/>
          <w:szCs w:val="22"/>
        </w:rPr>
        <w:t xml:space="preserve"> </w:t>
      </w:r>
      <w:r w:rsidRPr="0048387A">
        <w:rPr>
          <w:rFonts w:ascii="Arial" w:hAnsi="Arial"/>
          <w:i/>
          <w:iCs/>
          <w:noProof/>
          <w:sz w:val="22"/>
          <w:szCs w:val="22"/>
        </w:rPr>
        <w:t>International Journal of Periodontics &amp; Restorative Dentistry</w:t>
      </w:r>
      <w:r w:rsidRPr="0048387A">
        <w:rPr>
          <w:rFonts w:ascii="Arial" w:hAnsi="Arial"/>
          <w:noProof/>
          <w:sz w:val="22"/>
          <w:szCs w:val="22"/>
        </w:rPr>
        <w:t>, 23(5), 467-479. doi:10.1016/jprosdent 2004.03.03.0.15</w:t>
      </w:r>
    </w:p>
    <w:p w14:paraId="1511C169" w14:textId="77777777" w:rsidR="0048387A" w:rsidRPr="0048387A" w:rsidRDefault="0048387A" w:rsidP="0048387A">
      <w:pPr>
        <w:pStyle w:val="ListParagraph"/>
        <w:numPr>
          <w:ilvl w:val="0"/>
          <w:numId w:val="31"/>
        </w:numPr>
        <w:spacing w:line="480" w:lineRule="auto"/>
        <w:jc w:val="both"/>
        <w:rPr>
          <w:rFonts w:ascii="Arial" w:hAnsi="Arial"/>
          <w:sz w:val="22"/>
          <w:szCs w:val="22"/>
          <w:lang w:val="en-US"/>
        </w:rPr>
      </w:pPr>
      <w:r w:rsidRPr="0048387A">
        <w:rPr>
          <w:rFonts w:ascii="Arial" w:hAnsi="Arial"/>
          <w:noProof/>
          <w:sz w:val="22"/>
          <w:szCs w:val="22"/>
          <w:lang w:val="en-US"/>
        </w:rPr>
        <w:t xml:space="preserve">Chu, S.J. (2002). The science of color and shade selection in aesthetic dentistry. </w:t>
      </w:r>
      <w:r w:rsidRPr="0048387A">
        <w:rPr>
          <w:rFonts w:ascii="Arial" w:hAnsi="Arial"/>
          <w:i/>
          <w:iCs/>
          <w:noProof/>
          <w:sz w:val="22"/>
          <w:szCs w:val="22"/>
          <w:lang w:val="en-US"/>
        </w:rPr>
        <w:t>Dental  Today</w:t>
      </w:r>
      <w:r w:rsidRPr="0048387A">
        <w:rPr>
          <w:rFonts w:ascii="Arial" w:hAnsi="Arial"/>
          <w:noProof/>
          <w:sz w:val="22"/>
          <w:szCs w:val="22"/>
          <w:lang w:val="en-US"/>
        </w:rPr>
        <w:t>, 21(9), 86-89.</w:t>
      </w:r>
    </w:p>
    <w:p w14:paraId="6535A532" w14:textId="77777777" w:rsidR="0048387A" w:rsidRPr="0048387A" w:rsidRDefault="0048387A" w:rsidP="0048387A">
      <w:pPr>
        <w:pStyle w:val="ListParagraph"/>
        <w:numPr>
          <w:ilvl w:val="0"/>
          <w:numId w:val="31"/>
        </w:numPr>
        <w:shd w:val="clear" w:color="auto" w:fill="FFFFFF"/>
        <w:spacing w:before="240" w:after="240" w:line="360" w:lineRule="auto"/>
        <w:jc w:val="both"/>
        <w:rPr>
          <w:rFonts w:ascii="Arial" w:eastAsia="Times New Roman" w:hAnsi="Arial"/>
          <w:color w:val="000000"/>
          <w:sz w:val="22"/>
          <w:szCs w:val="22"/>
        </w:rPr>
      </w:pPr>
      <w:r w:rsidRPr="0048387A">
        <w:rPr>
          <w:rFonts w:ascii="Arial" w:hAnsi="Arial"/>
          <w:noProof/>
          <w:sz w:val="22"/>
          <w:szCs w:val="22"/>
          <w:lang w:val="en-US"/>
        </w:rPr>
        <w:t xml:space="preserve">Manh, E. Dental photography. (2013). Part II protocol for shade taking and  communication with the lab. </w:t>
      </w:r>
      <w:r w:rsidRPr="0048387A">
        <w:rPr>
          <w:rFonts w:ascii="Arial" w:hAnsi="Arial"/>
          <w:i/>
          <w:iCs/>
          <w:noProof/>
          <w:sz w:val="22"/>
          <w:szCs w:val="22"/>
          <w:lang w:val="en-US"/>
        </w:rPr>
        <w:t>Interbational Dentistry-Australian Edition</w:t>
      </w:r>
      <w:r w:rsidRPr="0048387A">
        <w:rPr>
          <w:rFonts w:ascii="Arial" w:hAnsi="Arial"/>
          <w:noProof/>
          <w:sz w:val="22"/>
          <w:szCs w:val="22"/>
          <w:lang w:val="en-US"/>
        </w:rPr>
        <w:t>, 8(2), 36-44.</w:t>
      </w:r>
    </w:p>
    <w:p w14:paraId="6D0A8A80" w14:textId="030D524A" w:rsidR="00B01FCD" w:rsidRDefault="00B01FCD" w:rsidP="00441B6F">
      <w:pPr>
        <w:pStyle w:val="Body"/>
        <w:spacing w:after="0"/>
        <w:rPr>
          <w:rFonts w:ascii="Arial" w:hAnsi="Arial" w:cs="Arial"/>
        </w:rPr>
      </w:pPr>
    </w:p>
    <w:p w14:paraId="48703F2B" w14:textId="77777777" w:rsidR="00790ADA" w:rsidRPr="00FB3A86" w:rsidRDefault="00790ADA" w:rsidP="00441B6F">
      <w:pPr>
        <w:pStyle w:val="Body"/>
        <w:spacing w:after="0"/>
        <w:rPr>
          <w:rFonts w:ascii="Arial" w:hAnsi="Arial" w:cs="Arial"/>
        </w:rPr>
      </w:pPr>
    </w:p>
    <w:p w14:paraId="621DC20C" w14:textId="474A0DA6" w:rsidR="004D4277" w:rsidRDefault="004D4277" w:rsidP="00441B6F">
      <w:pPr>
        <w:pStyle w:val="Appendix"/>
        <w:spacing w:after="0"/>
        <w:jc w:val="both"/>
        <w:rPr>
          <w:rFonts w:ascii="Arial" w:hAnsi="Arial" w:cs="Arial"/>
        </w:rPr>
      </w:pPr>
    </w:p>
    <w:p w14:paraId="15343967" w14:textId="4EF9C1D2" w:rsidR="0048387A" w:rsidRPr="0048387A" w:rsidRDefault="0048387A" w:rsidP="00441B6F">
      <w:pPr>
        <w:pStyle w:val="Appendix"/>
        <w:spacing w:after="0"/>
        <w:jc w:val="both"/>
        <w:rPr>
          <w:rFonts w:ascii="Arial" w:hAnsi="Arial" w:cs="Arial"/>
          <w:b w:val="0"/>
          <w:bCs/>
        </w:rPr>
        <w:sectPr w:rsidR="0048387A" w:rsidRPr="0048387A" w:rsidSect="000E3D77">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0F8AE3A9" w14:textId="77777777" w:rsidR="00B01FCD" w:rsidRPr="00FB3A86" w:rsidRDefault="00B01FCD" w:rsidP="00441B6F">
      <w:pPr>
        <w:pStyle w:val="Appendix"/>
        <w:spacing w:after="0"/>
        <w:jc w:val="both"/>
        <w:rPr>
          <w:rFonts w:ascii="Arial" w:hAnsi="Arial" w:cs="Arial"/>
          <w:b w:val="0"/>
        </w:rPr>
      </w:pPr>
    </w:p>
    <w:sectPr w:rsidR="00B01FCD" w:rsidRPr="00FB3A86" w:rsidSect="000E3D7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D0094" w14:textId="77777777" w:rsidR="009814BC" w:rsidRDefault="009814BC" w:rsidP="00C37E61">
      <w:r>
        <w:separator/>
      </w:r>
    </w:p>
  </w:endnote>
  <w:endnote w:type="continuationSeparator" w:id="0">
    <w:p w14:paraId="7F433AAC" w14:textId="77777777" w:rsidR="009814BC" w:rsidRDefault="009814B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Pro-Regular">
    <w:altName w:val="Yu Gothic"/>
    <w:charset w:val="80"/>
    <w:family w:val="roman"/>
    <w:pitch w:val="default"/>
    <w:sig w:usb0="00000000" w:usb1="00000000" w:usb2="00000010" w:usb3="00000000" w:csb0="00020000" w:csb1="00000000"/>
  </w:font>
  <w:font w:name="MetaASC-Regular">
    <w:altName w:val="Yu Gothic"/>
    <w:charset w:val="80"/>
    <w:family w:val="auto"/>
    <w:pitch w:val="default"/>
    <w:sig w:usb0="00000000" w:usb1="00000000" w:usb2="00000010" w:usb3="00000000" w:csb0="0002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ABFE0" w14:textId="77777777" w:rsidR="000E3D77" w:rsidRDefault="000E3D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C94D7" w14:textId="77777777" w:rsidR="000E3D77" w:rsidRDefault="000E3D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70830" w14:textId="41D3A77B" w:rsidR="00754C9A" w:rsidRPr="000E3D77" w:rsidRDefault="00754C9A" w:rsidP="000E3D7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0EE4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D72623" w14:textId="77777777" w:rsidR="009814BC" w:rsidRDefault="009814BC" w:rsidP="00C37E61">
      <w:r>
        <w:separator/>
      </w:r>
    </w:p>
  </w:footnote>
  <w:footnote w:type="continuationSeparator" w:id="0">
    <w:p w14:paraId="15D2C332" w14:textId="77777777" w:rsidR="009814BC" w:rsidRDefault="009814B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3F2AB" w14:textId="07134898" w:rsidR="000E3D77" w:rsidRDefault="000E3D77">
    <w:pPr>
      <w:pStyle w:val="Header"/>
    </w:pPr>
    <w:r>
      <w:rPr>
        <w:noProof/>
      </w:rPr>
      <w:pict w14:anchorId="6EA69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8584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697A2" w14:textId="64091400" w:rsidR="000E3D77" w:rsidRDefault="000E3D77">
    <w:pPr>
      <w:pStyle w:val="Header"/>
    </w:pPr>
    <w:r>
      <w:rPr>
        <w:noProof/>
      </w:rPr>
      <w:pict w14:anchorId="439C73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8584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596E3" w14:textId="0128919F" w:rsidR="00296529" w:rsidRPr="00296529" w:rsidRDefault="000E3D77" w:rsidP="00296529">
    <w:pPr>
      <w:ind w:left="2160"/>
      <w:jc w:val="center"/>
      <w:rPr>
        <w:rFonts w:ascii="Times New Roman" w:eastAsia="Calibri" w:hAnsi="Times New Roman"/>
        <w:i/>
        <w:sz w:val="18"/>
        <w:szCs w:val="22"/>
      </w:rPr>
    </w:pPr>
    <w:r>
      <w:rPr>
        <w:noProof/>
      </w:rPr>
      <w:pict w14:anchorId="3F2EC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85844"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FBA3EC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0760F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1FA33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5C4893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FD194F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64DB81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A9C38" w14:textId="32381717" w:rsidR="000E3D77" w:rsidRDefault="000E3D77">
    <w:pPr>
      <w:pStyle w:val="Header"/>
    </w:pPr>
    <w:r>
      <w:rPr>
        <w:noProof/>
      </w:rPr>
      <w:pict w14:anchorId="496491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85848"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9D47F" w14:textId="7BE2AB54" w:rsidR="000E3D77" w:rsidRDefault="000E3D77">
    <w:pPr>
      <w:pStyle w:val="Header"/>
    </w:pPr>
    <w:r>
      <w:rPr>
        <w:noProof/>
      </w:rPr>
      <w:pict w14:anchorId="78CA1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85849"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0DB6E" w14:textId="1A686A22" w:rsidR="000E3D77" w:rsidRDefault="000E3D77">
    <w:pPr>
      <w:pStyle w:val="Header"/>
    </w:pPr>
    <w:r>
      <w:rPr>
        <w:noProof/>
      </w:rPr>
      <w:pict w14:anchorId="614B2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8185847"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265D63"/>
    <w:multiLevelType w:val="multilevel"/>
    <w:tmpl w:val="3300EB3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55F4"/>
    <w:rsid w:val="00030174"/>
    <w:rsid w:val="0004579C"/>
    <w:rsid w:val="000A47FA"/>
    <w:rsid w:val="000A65D3"/>
    <w:rsid w:val="000B1E33"/>
    <w:rsid w:val="000D689F"/>
    <w:rsid w:val="000E3D77"/>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3F5B61"/>
    <w:rsid w:val="00401927"/>
    <w:rsid w:val="0041027F"/>
    <w:rsid w:val="00412475"/>
    <w:rsid w:val="00423789"/>
    <w:rsid w:val="00440F43"/>
    <w:rsid w:val="00441B6F"/>
    <w:rsid w:val="00446221"/>
    <w:rsid w:val="00450E62"/>
    <w:rsid w:val="004539DB"/>
    <w:rsid w:val="00471A80"/>
    <w:rsid w:val="0048387A"/>
    <w:rsid w:val="004D305E"/>
    <w:rsid w:val="004D4277"/>
    <w:rsid w:val="00502516"/>
    <w:rsid w:val="00505F06"/>
    <w:rsid w:val="00506828"/>
    <w:rsid w:val="0053056E"/>
    <w:rsid w:val="00554FDA"/>
    <w:rsid w:val="005625A3"/>
    <w:rsid w:val="00576C90"/>
    <w:rsid w:val="005C784C"/>
    <w:rsid w:val="005D17F6"/>
    <w:rsid w:val="005E5539"/>
    <w:rsid w:val="00602BF5"/>
    <w:rsid w:val="00617FDD"/>
    <w:rsid w:val="006222CD"/>
    <w:rsid w:val="0062799A"/>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14BC"/>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7704"/>
    <w:rsid w:val="00AE008F"/>
    <w:rsid w:val="00B01FCD"/>
    <w:rsid w:val="00B1776C"/>
    <w:rsid w:val="00B47795"/>
    <w:rsid w:val="00B5250B"/>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2A0E"/>
    <w:rsid w:val="00C7464C"/>
    <w:rsid w:val="00C85588"/>
    <w:rsid w:val="00C87AFF"/>
    <w:rsid w:val="00CC25F8"/>
    <w:rsid w:val="00CD6755"/>
    <w:rsid w:val="00CD6856"/>
    <w:rsid w:val="00CE0089"/>
    <w:rsid w:val="00CE793C"/>
    <w:rsid w:val="00CF193C"/>
    <w:rsid w:val="00D173F1"/>
    <w:rsid w:val="00D25B82"/>
    <w:rsid w:val="00D33B66"/>
    <w:rsid w:val="00D3625E"/>
    <w:rsid w:val="00D74CB0"/>
    <w:rsid w:val="00D8295D"/>
    <w:rsid w:val="00DC2A65"/>
    <w:rsid w:val="00DE15F0"/>
    <w:rsid w:val="00DE5663"/>
    <w:rsid w:val="00DE78AA"/>
    <w:rsid w:val="00E053D0"/>
    <w:rsid w:val="00E15994"/>
    <w:rsid w:val="00E3114E"/>
    <w:rsid w:val="00E31A70"/>
    <w:rsid w:val="00E35B02"/>
    <w:rsid w:val="00E66496"/>
    <w:rsid w:val="00E66693"/>
    <w:rsid w:val="00E66B35"/>
    <w:rsid w:val="00E66E10"/>
    <w:rsid w:val="00E769F6"/>
    <w:rsid w:val="00E8407C"/>
    <w:rsid w:val="00E84F3C"/>
    <w:rsid w:val="00EA012C"/>
    <w:rsid w:val="00EC6A55"/>
    <w:rsid w:val="00ED0288"/>
    <w:rsid w:val="00EE3AD1"/>
    <w:rsid w:val="00EE52CB"/>
    <w:rsid w:val="00EF581D"/>
    <w:rsid w:val="00EF7FD8"/>
    <w:rsid w:val="00F06F59"/>
    <w:rsid w:val="00F17988"/>
    <w:rsid w:val="00F37D36"/>
    <w:rsid w:val="00F469F0"/>
    <w:rsid w:val="00F53273"/>
    <w:rsid w:val="00F755E4"/>
    <w:rsid w:val="00F77D02"/>
    <w:rsid w:val="00F84146"/>
    <w:rsid w:val="00FB3A86"/>
    <w:rsid w:val="00FD06D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FBF9F5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8387A"/>
    <w:pPr>
      <w:ind w:left="720"/>
      <w:contextualSpacing/>
    </w:pPr>
    <w:rPr>
      <w:rFonts w:ascii="Calibri" w:eastAsia="Calibri" w:hAnsi="Calibri" w:cs="Arial"/>
      <w:lang w:val="en-GB"/>
    </w:rPr>
  </w:style>
  <w:style w:type="character" w:styleId="HTMLCite">
    <w:name w:val="HTML Cite"/>
    <w:basedOn w:val="DefaultParagraphFont"/>
    <w:uiPriority w:val="99"/>
    <w:semiHidden/>
    <w:unhideWhenUsed/>
    <w:rsid w:val="0048387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AFC7A-2E2E-4FEB-8AF5-BE91C915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63</TotalTime>
  <Pages>14</Pages>
  <Words>3301</Words>
  <Characters>18820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22077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2014-10-25T14:34:00Z</dcterms:created>
  <dcterms:modified xsi:type="dcterms:W3CDTF">2026-03-05T09:56:00Z</dcterms:modified>
</cp:coreProperties>
</file>