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36451B" w14:textId="77777777" w:rsidR="00F14FEF" w:rsidRDefault="00F14FEF" w:rsidP="00AC719F">
      <w:pPr>
        <w:spacing w:line="360" w:lineRule="auto"/>
        <w:jc w:val="both"/>
        <w:rPr>
          <w:rFonts w:ascii="Times New Roman" w:hAnsi="Times New Roman" w:cs="Times New Roman"/>
          <w:b/>
          <w:bCs/>
          <w:sz w:val="28"/>
          <w:szCs w:val="28"/>
        </w:rPr>
      </w:pPr>
      <w:r w:rsidRPr="00F14FEF">
        <w:rPr>
          <w:rFonts w:ascii="Times New Roman" w:hAnsi="Times New Roman" w:cs="Times New Roman"/>
          <w:b/>
          <w:bCs/>
          <w:sz w:val="28"/>
          <w:szCs w:val="28"/>
        </w:rPr>
        <w:t xml:space="preserve">Review article </w:t>
      </w:r>
    </w:p>
    <w:p w14:paraId="578F3E97" w14:textId="77777777" w:rsidR="00F14FEF" w:rsidRDefault="00F14FEF" w:rsidP="00AC719F">
      <w:pPr>
        <w:spacing w:line="360" w:lineRule="auto"/>
        <w:jc w:val="both"/>
        <w:rPr>
          <w:rFonts w:ascii="Times New Roman" w:hAnsi="Times New Roman" w:cs="Times New Roman"/>
          <w:b/>
          <w:bCs/>
          <w:sz w:val="28"/>
          <w:szCs w:val="28"/>
        </w:rPr>
      </w:pPr>
    </w:p>
    <w:p w14:paraId="164A8D4F" w14:textId="2D05EE2F" w:rsidR="00384CBD" w:rsidRDefault="00384CBD" w:rsidP="00AC719F">
      <w:pPr>
        <w:spacing w:line="360" w:lineRule="auto"/>
        <w:jc w:val="both"/>
        <w:rPr>
          <w:rFonts w:ascii="Times New Roman" w:hAnsi="Times New Roman" w:cs="Times New Roman"/>
          <w:b/>
          <w:bCs/>
          <w:sz w:val="28"/>
          <w:szCs w:val="28"/>
        </w:rPr>
      </w:pPr>
      <w:proofErr w:type="spellStart"/>
      <w:r w:rsidRPr="00384CBD">
        <w:rPr>
          <w:rFonts w:ascii="Times New Roman" w:hAnsi="Times New Roman" w:cs="Times New Roman"/>
          <w:b/>
          <w:bCs/>
          <w:sz w:val="28"/>
          <w:szCs w:val="28"/>
        </w:rPr>
        <w:t>Ligaplants</w:t>
      </w:r>
      <w:proofErr w:type="spellEnd"/>
      <w:r w:rsidRPr="00384CBD">
        <w:rPr>
          <w:rFonts w:ascii="Times New Roman" w:hAnsi="Times New Roman" w:cs="Times New Roman"/>
          <w:b/>
          <w:bCs/>
          <w:sz w:val="28"/>
          <w:szCs w:val="28"/>
        </w:rPr>
        <w:t xml:space="preserve">: A Biological Revolution in Dental Implantology – A Comprehensive Review </w:t>
      </w:r>
    </w:p>
    <w:p w14:paraId="1FF06C52" w14:textId="77777777" w:rsidR="00F14FEF" w:rsidRPr="00384CBD" w:rsidRDefault="00F14FEF" w:rsidP="00AC719F">
      <w:pPr>
        <w:spacing w:line="360" w:lineRule="auto"/>
        <w:jc w:val="both"/>
        <w:rPr>
          <w:rFonts w:ascii="Times New Roman" w:hAnsi="Times New Roman" w:cs="Times New Roman"/>
          <w:b/>
          <w:bCs/>
          <w:sz w:val="28"/>
          <w:szCs w:val="28"/>
        </w:rPr>
      </w:pPr>
      <w:bookmarkStart w:id="0" w:name="_GoBack"/>
      <w:bookmarkEnd w:id="0"/>
    </w:p>
    <w:p w14:paraId="4A310082" w14:textId="1B2C872D" w:rsidR="00AC719F" w:rsidRPr="00AC719F" w:rsidRDefault="00AC719F" w:rsidP="00AC719F">
      <w:pPr>
        <w:spacing w:line="360" w:lineRule="auto"/>
        <w:jc w:val="both"/>
        <w:rPr>
          <w:rFonts w:ascii="Times New Roman" w:hAnsi="Times New Roman" w:cs="Times New Roman"/>
          <w:sz w:val="24"/>
          <w:szCs w:val="24"/>
        </w:rPr>
      </w:pPr>
      <w:r w:rsidRPr="00AC719F">
        <w:rPr>
          <w:rFonts w:ascii="Times New Roman" w:hAnsi="Times New Roman" w:cs="Times New Roman"/>
          <w:b/>
          <w:bCs/>
          <w:sz w:val="24"/>
          <w:szCs w:val="24"/>
        </w:rPr>
        <w:t>Abstract</w:t>
      </w:r>
      <w:r w:rsidRPr="00AC719F">
        <w:rPr>
          <w:rFonts w:ascii="Times New Roman" w:hAnsi="Times New Roman" w:cs="Times New Roman"/>
          <w:sz w:val="24"/>
          <w:szCs w:val="24"/>
        </w:rPr>
        <w:br/>
        <w:t xml:space="preserve">Conventional </w:t>
      </w:r>
      <w:proofErr w:type="spellStart"/>
      <w:r w:rsidRPr="00AC719F">
        <w:rPr>
          <w:rFonts w:ascii="Times New Roman" w:hAnsi="Times New Roman" w:cs="Times New Roman"/>
          <w:sz w:val="24"/>
          <w:szCs w:val="24"/>
        </w:rPr>
        <w:t>endosseous</w:t>
      </w:r>
      <w:proofErr w:type="spellEnd"/>
      <w:r w:rsidRPr="00AC719F">
        <w:rPr>
          <w:rFonts w:ascii="Times New Roman" w:hAnsi="Times New Roman" w:cs="Times New Roman"/>
          <w:sz w:val="24"/>
          <w:szCs w:val="24"/>
        </w:rPr>
        <w:t xml:space="preserve"> dental implants rely on osseointegration to achieve anchorage. Although clinically successful, they inherently lack a functional periodontal ligament (PDL), which in natural dentition provides shock absorption, proprioception, adaptive mobility and a dynamic soft‐tissue and bone interface. The concept of a “</w:t>
      </w:r>
      <w:proofErr w:type="spellStart"/>
      <w:r w:rsidRPr="00AC719F">
        <w:rPr>
          <w:rFonts w:ascii="Times New Roman" w:hAnsi="Times New Roman" w:cs="Times New Roman"/>
          <w:sz w:val="24"/>
          <w:szCs w:val="24"/>
        </w:rPr>
        <w:t>ligaplant</w:t>
      </w:r>
      <w:proofErr w:type="spellEnd"/>
      <w:r w:rsidRPr="00AC719F">
        <w:rPr>
          <w:rFonts w:ascii="Times New Roman" w:hAnsi="Times New Roman" w:cs="Times New Roman"/>
          <w:sz w:val="24"/>
          <w:szCs w:val="24"/>
        </w:rPr>
        <w:t xml:space="preserve">,” defined as a tissue‐engineered implant incorporating PDL stem or progenitor cells (or PDL‐like scaffolds) around a biomaterial fixture, offers a promising biomimetic alternative. This review presents the biological rationale for PDL integration, surveys current methodologies for </w:t>
      </w:r>
      <w:proofErr w:type="spellStart"/>
      <w:r w:rsidRPr="00AC719F">
        <w:rPr>
          <w:rFonts w:ascii="Times New Roman" w:hAnsi="Times New Roman" w:cs="Times New Roman"/>
          <w:sz w:val="24"/>
          <w:szCs w:val="24"/>
        </w:rPr>
        <w:t>ligaplant</w:t>
      </w:r>
      <w:proofErr w:type="spellEnd"/>
      <w:r w:rsidRPr="00AC719F">
        <w:rPr>
          <w:rFonts w:ascii="Times New Roman" w:hAnsi="Times New Roman" w:cs="Times New Roman"/>
          <w:sz w:val="24"/>
          <w:szCs w:val="24"/>
        </w:rPr>
        <w:t xml:space="preserve"> fabrication, summarises pre-clinical and emerging clinical evidence, discusses advantages and barriers, and outlines future translational pathways. While animal and in-vitro studies demonstrate formation of PDL‐like fibres, cementum‐like tissue and mechanical behaviour closer to natural teeth, the technique remains largely experimental with limited human data. Rigorous translational research, standardisation of cell‐scaffold constructs, and long-term clinical trials are required to validate </w:t>
      </w:r>
      <w:proofErr w:type="spellStart"/>
      <w:r w:rsidRPr="00AC719F">
        <w:rPr>
          <w:rFonts w:ascii="Times New Roman" w:hAnsi="Times New Roman" w:cs="Times New Roman"/>
          <w:sz w:val="24"/>
          <w:szCs w:val="24"/>
        </w:rPr>
        <w:t>ligaplants</w:t>
      </w:r>
      <w:proofErr w:type="spellEnd"/>
      <w:r w:rsidRPr="00AC719F">
        <w:rPr>
          <w:rFonts w:ascii="Times New Roman" w:hAnsi="Times New Roman" w:cs="Times New Roman"/>
          <w:sz w:val="24"/>
          <w:szCs w:val="24"/>
        </w:rPr>
        <w:t xml:space="preserve"> as a clinically viable alternative to conventional implants.</w:t>
      </w:r>
    </w:p>
    <w:p w14:paraId="54ED5FB4" w14:textId="77777777" w:rsidR="00AC719F" w:rsidRPr="00AC719F" w:rsidRDefault="00AC719F" w:rsidP="00AC719F">
      <w:pPr>
        <w:spacing w:line="360" w:lineRule="auto"/>
        <w:jc w:val="both"/>
        <w:rPr>
          <w:rFonts w:ascii="Times New Roman" w:hAnsi="Times New Roman" w:cs="Times New Roman"/>
          <w:sz w:val="24"/>
          <w:szCs w:val="24"/>
        </w:rPr>
      </w:pPr>
      <w:r w:rsidRPr="00AC719F">
        <w:rPr>
          <w:rFonts w:ascii="Times New Roman" w:hAnsi="Times New Roman" w:cs="Times New Roman"/>
          <w:b/>
          <w:bCs/>
          <w:sz w:val="24"/>
          <w:szCs w:val="24"/>
        </w:rPr>
        <w:t>Keywords:</w:t>
      </w:r>
      <w:r w:rsidRPr="00AC719F">
        <w:rPr>
          <w:rFonts w:ascii="Times New Roman" w:hAnsi="Times New Roman" w:cs="Times New Roman"/>
          <w:sz w:val="24"/>
          <w:szCs w:val="24"/>
        </w:rPr>
        <w:t xml:space="preserve"> </w:t>
      </w:r>
      <w:proofErr w:type="spellStart"/>
      <w:r w:rsidRPr="00AC719F">
        <w:rPr>
          <w:rFonts w:ascii="Times New Roman" w:hAnsi="Times New Roman" w:cs="Times New Roman"/>
          <w:sz w:val="24"/>
          <w:szCs w:val="24"/>
        </w:rPr>
        <w:t>ligaplant</w:t>
      </w:r>
      <w:proofErr w:type="spellEnd"/>
      <w:r w:rsidRPr="00AC719F">
        <w:rPr>
          <w:rFonts w:ascii="Times New Roman" w:hAnsi="Times New Roman" w:cs="Times New Roman"/>
          <w:sz w:val="24"/>
          <w:szCs w:val="24"/>
        </w:rPr>
        <w:t>, periodontal ligament, tissue engineering, dental implants, biomimetic implant, PDL stem cells</w:t>
      </w:r>
    </w:p>
    <w:p w14:paraId="192E9001" w14:textId="00392917" w:rsidR="00D91A1C" w:rsidRDefault="00D91A1C" w:rsidP="00D91A1C"/>
    <w:p w14:paraId="2A57318F" w14:textId="087CAFDE" w:rsidR="00D91A1C" w:rsidRDefault="00D91A1C" w:rsidP="00886430">
      <w:pPr>
        <w:pStyle w:val="Heading2"/>
        <w:numPr>
          <w:ilvl w:val="0"/>
          <w:numId w:val="8"/>
        </w:numPr>
        <w:rPr>
          <w:rFonts w:ascii="Times New Roman" w:hAnsi="Times New Roman" w:cs="Times New Roman"/>
          <w:b/>
          <w:bCs/>
          <w:color w:val="000000" w:themeColor="text1"/>
          <w:sz w:val="28"/>
          <w:szCs w:val="28"/>
        </w:rPr>
      </w:pPr>
      <w:r w:rsidRPr="00886430">
        <w:rPr>
          <w:rFonts w:ascii="Times New Roman" w:hAnsi="Times New Roman" w:cs="Times New Roman"/>
          <w:b/>
          <w:bCs/>
          <w:color w:val="000000" w:themeColor="text1"/>
          <w:sz w:val="28"/>
          <w:szCs w:val="28"/>
        </w:rPr>
        <w:t>Introduction</w:t>
      </w:r>
    </w:p>
    <w:p w14:paraId="76B13CF6" w14:textId="77777777" w:rsidR="00886430" w:rsidRPr="00886430" w:rsidRDefault="00886430" w:rsidP="00886430"/>
    <w:p w14:paraId="6E150174" w14:textId="77777777" w:rsidR="00D91A1C" w:rsidRDefault="00D91A1C" w:rsidP="00886430">
      <w:pPr>
        <w:pStyle w:val="NormalWeb"/>
        <w:spacing w:line="360" w:lineRule="auto"/>
        <w:jc w:val="both"/>
      </w:pPr>
      <w:r>
        <w:t xml:space="preserve">Dental implants have revolutionized contemporary prosthodontic rehabilitation and are widely regarded as the gold standard for replacement of missing teeth. Their long-term clinical success is primarily attributed to the biological phenomenon of </w:t>
      </w:r>
      <w:r>
        <w:rPr>
          <w:rStyle w:val="Strong"/>
        </w:rPr>
        <w:t>osseointegration</w:t>
      </w:r>
      <w:r>
        <w:t xml:space="preserve">, defined as a direct structural and functional connection between living bone and the surface of a load-bearing implant without intervening soft </w:t>
      </w:r>
      <w:proofErr w:type="gramStart"/>
      <w:r>
        <w:t>tissue.¹</w:t>
      </w:r>
      <w:proofErr w:type="gramEnd"/>
      <w:r>
        <w:t xml:space="preserve">,² This intimate bone-implant contact provides primary </w:t>
      </w:r>
      <w:r>
        <w:lastRenderedPageBreak/>
        <w:t>and secondary stability, enabling predictable functional loading and high survival rates over extended periods.</w:t>
      </w:r>
    </w:p>
    <w:p w14:paraId="36E5BC6C" w14:textId="77777777" w:rsidR="00D91A1C" w:rsidRDefault="00D91A1C" w:rsidP="00886430">
      <w:pPr>
        <w:pStyle w:val="NormalWeb"/>
        <w:spacing w:line="360" w:lineRule="auto"/>
        <w:jc w:val="both"/>
      </w:pPr>
      <w:r>
        <w:t xml:space="preserve">Despite these achievements, </w:t>
      </w:r>
      <w:proofErr w:type="spellStart"/>
      <w:r>
        <w:t>osseointegrated</w:t>
      </w:r>
      <w:proofErr w:type="spellEnd"/>
      <w:r>
        <w:t xml:space="preserve"> implants fundamentally differ from natural teeth in their biological anchorage. Natural teeth are suspended within the alveolus by the </w:t>
      </w:r>
      <w:r>
        <w:rPr>
          <w:rStyle w:val="Strong"/>
        </w:rPr>
        <w:t>periodontal ligament (PDL)</w:t>
      </w:r>
      <w:r>
        <w:t xml:space="preserve">—a specialized, highly vascularized and innervated fibrous connective tissue that connects cementum to alveolar </w:t>
      </w:r>
      <w:proofErr w:type="gramStart"/>
      <w:r>
        <w:t>bone.³</w:t>
      </w:r>
      <w:proofErr w:type="gramEnd"/>
      <w:r>
        <w:t xml:space="preserve"> The PDL is not merely a suspensory apparatus; it is a dynamic mechanosensory organ that plays a critical role in proprioception, shock absorption, axial and lateral micromovement, adaptive bone </w:t>
      </w:r>
      <w:proofErr w:type="spellStart"/>
      <w:r>
        <w:t>remodeling</w:t>
      </w:r>
      <w:proofErr w:type="spellEnd"/>
      <w:r>
        <w:t xml:space="preserve">, and regulation of occlusal forces. Through its viscoelastic properties and </w:t>
      </w:r>
      <w:proofErr w:type="spellStart"/>
      <w:r>
        <w:t>mechanotransductive</w:t>
      </w:r>
      <w:proofErr w:type="spellEnd"/>
      <w:r>
        <w:t xml:space="preserve"> capacity, the PDL distributes functional loads evenly to surrounding bone, thereby preserving structural integrity and maintaining periodontal homeostasis.</w:t>
      </w:r>
    </w:p>
    <w:p w14:paraId="267A49B0" w14:textId="77777777" w:rsidR="00D91A1C" w:rsidRDefault="00D91A1C" w:rsidP="00886430">
      <w:pPr>
        <w:pStyle w:val="NormalWeb"/>
        <w:spacing w:line="360" w:lineRule="auto"/>
        <w:jc w:val="both"/>
      </w:pPr>
      <w:r>
        <w:t xml:space="preserve">In contrast, dental implants are ankylosed directly to bone and lack this intervening ligamentous interface. The absence of a functional PDL alters biomechanical </w:t>
      </w:r>
      <w:proofErr w:type="spellStart"/>
      <w:r>
        <w:t>behavior</w:t>
      </w:r>
      <w:proofErr w:type="spellEnd"/>
      <w:r>
        <w:t xml:space="preserve"> under occlusal loading. Stress is transmitted directly to the crestal cortical bone, often resulting in concentrated stress zones at the implant </w:t>
      </w:r>
      <w:proofErr w:type="gramStart"/>
      <w:r>
        <w:t>neck.⁴</w:t>
      </w:r>
      <w:proofErr w:type="gramEnd"/>
      <w:r>
        <w:t xml:space="preserve"> Unlike natural teeth, implants exhibit negligible physiologic mobility (typically &lt;10 </w:t>
      </w:r>
      <w:proofErr w:type="spellStart"/>
      <w:r>
        <w:t>μm</w:t>
      </w:r>
      <w:proofErr w:type="spellEnd"/>
      <w:r>
        <w:t xml:space="preserve"> compared to 50–200 </w:t>
      </w:r>
      <w:proofErr w:type="spellStart"/>
      <w:r>
        <w:t>μm</w:t>
      </w:r>
      <w:proofErr w:type="spellEnd"/>
      <w:r>
        <w:t xml:space="preserve"> in teeth), eliminating the protective cushioning mechanism inherent to the PDL. Finite element analyses and biomechanical studies have demonstrated that this difference in micromovement and stress distribution may compromise biomechanical harmony within the arch and contribute to marginal bone </w:t>
      </w:r>
      <w:proofErr w:type="spellStart"/>
      <w:r>
        <w:t>remodeling</w:t>
      </w:r>
      <w:proofErr w:type="spellEnd"/>
      <w:r>
        <w:t xml:space="preserve"> or peri-implant bone loss over </w:t>
      </w:r>
      <w:proofErr w:type="gramStart"/>
      <w:r>
        <w:t>time.⁵</w:t>
      </w:r>
      <w:proofErr w:type="gramEnd"/>
      <w:r>
        <w:t xml:space="preserve"> Furthermore, the absence of periodontal mechanoreceptors diminishes tactile sensitivity and proprioceptive feedback, potentially affecting occlusal force modulation.</w:t>
      </w:r>
    </w:p>
    <w:p w14:paraId="3C699F3B" w14:textId="77777777" w:rsidR="00D91A1C" w:rsidRDefault="00D91A1C" w:rsidP="00886430">
      <w:pPr>
        <w:pStyle w:val="NormalWeb"/>
        <w:spacing w:line="360" w:lineRule="auto"/>
        <w:jc w:val="both"/>
      </w:pPr>
      <w:r>
        <w:t xml:space="preserve">These biological and functional limitations have stimulated growing interest in the development of </w:t>
      </w:r>
      <w:proofErr w:type="spellStart"/>
      <w:r>
        <w:rPr>
          <w:rStyle w:val="Strong"/>
        </w:rPr>
        <w:t>biofunctional</w:t>
      </w:r>
      <w:proofErr w:type="spellEnd"/>
      <w:r>
        <w:rPr>
          <w:rStyle w:val="Strong"/>
        </w:rPr>
        <w:t xml:space="preserve"> and biomimetic implant systems</w:t>
      </w:r>
      <w:r>
        <w:t xml:space="preserve"> aimed at recreating a periodontal-like interface around dental implants. The concept extends beyond simple osseointegration toward a regenerative approach that seeks to restore a living, adaptive attachment apparatus capable of physiologic load transfer and neurosensory function. Tissue engineering principles—integrating stem cells, scaffolds, and </w:t>
      </w:r>
      <w:proofErr w:type="spellStart"/>
      <w:r>
        <w:t>signaling</w:t>
      </w:r>
      <w:proofErr w:type="spellEnd"/>
      <w:r>
        <w:t xml:space="preserve"> molecules—have opened new avenues for achieving this objective.</w:t>
      </w:r>
    </w:p>
    <w:p w14:paraId="3B0E8069" w14:textId="77777777" w:rsidR="00D91A1C" w:rsidRDefault="00D91A1C" w:rsidP="00886430">
      <w:pPr>
        <w:pStyle w:val="NormalWeb"/>
        <w:spacing w:line="360" w:lineRule="auto"/>
        <w:jc w:val="both"/>
      </w:pPr>
      <w:r>
        <w:t xml:space="preserve">Among these innovations, the </w:t>
      </w:r>
      <w:proofErr w:type="spellStart"/>
      <w:r>
        <w:rPr>
          <w:rStyle w:val="Strong"/>
        </w:rPr>
        <w:t>Ligaplant</w:t>
      </w:r>
      <w:proofErr w:type="spellEnd"/>
      <w:r>
        <w:t xml:space="preserve"> has emerged as a pioneering concept in regenerative implant </w:t>
      </w:r>
      <w:proofErr w:type="gramStart"/>
      <w:r>
        <w:t>dentistry.⁶</w:t>
      </w:r>
      <w:proofErr w:type="gramEnd"/>
      <w:r>
        <w:t xml:space="preserve"> A </w:t>
      </w:r>
      <w:proofErr w:type="spellStart"/>
      <w:r>
        <w:t>Ligaplant</w:t>
      </w:r>
      <w:proofErr w:type="spellEnd"/>
      <w:r>
        <w:t xml:space="preserve"> is essentially a tissue-engineered dental implant designed to establish a functional periodontal ligament interface between the implant surface and </w:t>
      </w:r>
      <w:r>
        <w:lastRenderedPageBreak/>
        <w:t xml:space="preserve">surrounding alveolar bone. This strategy involves the incorporation of periodontal ligament stem cells (PDLSCs), </w:t>
      </w:r>
      <w:proofErr w:type="spellStart"/>
      <w:r>
        <w:t>cementoblast</w:t>
      </w:r>
      <w:proofErr w:type="spellEnd"/>
      <w:r>
        <w:t xml:space="preserve">-inducing bioactive surfaces, or biodegradable scaffolds capable of guiding oriented collagen </w:t>
      </w:r>
      <w:proofErr w:type="spellStart"/>
      <w:r>
        <w:t>fiber</w:t>
      </w:r>
      <w:proofErr w:type="spellEnd"/>
      <w:r>
        <w:t xml:space="preserve"> formation. The ultimate goal is to create cementum-like tissue on the implant surface with inserting </w:t>
      </w:r>
      <w:proofErr w:type="spellStart"/>
      <w:r>
        <w:t>Sharpey’s</w:t>
      </w:r>
      <w:proofErr w:type="spellEnd"/>
      <w:r>
        <w:t xml:space="preserve">-type </w:t>
      </w:r>
      <w:proofErr w:type="spellStart"/>
      <w:r>
        <w:t>fibers</w:t>
      </w:r>
      <w:proofErr w:type="spellEnd"/>
      <w:r>
        <w:t xml:space="preserve"> that anchor into newly formed alveolar bone—thereby mimicking the structural organization of a natural tooth attachment apparatus.</w:t>
      </w:r>
    </w:p>
    <w:p w14:paraId="36611E27" w14:textId="77777777" w:rsidR="00D91A1C" w:rsidRDefault="00D91A1C" w:rsidP="00886430">
      <w:pPr>
        <w:pStyle w:val="NormalWeb"/>
        <w:spacing w:line="360" w:lineRule="auto"/>
        <w:jc w:val="both"/>
      </w:pPr>
      <w:r>
        <w:t xml:space="preserve">Recent advances in regenerative biology, stem-cell isolation techniques, growth factor delivery systems, and nanostructured scaffold fabrication have significantly enhanced the feasibility of this </w:t>
      </w:r>
      <w:proofErr w:type="gramStart"/>
      <w:r>
        <w:t>concept.⁷</w:t>
      </w:r>
      <w:proofErr w:type="gramEnd"/>
      <w:r>
        <w:t xml:space="preserve">,⁸ Surface modification technologies such as bioactive coatings, extracellular matrix protein immobilization, and </w:t>
      </w:r>
      <w:proofErr w:type="spellStart"/>
      <w:r>
        <w:t>nano</w:t>
      </w:r>
      <w:proofErr w:type="spellEnd"/>
      <w:r>
        <w:t xml:space="preserve">-topographical patterning facilitate selective cell adhesion and differentiation. Concurrently, three-dimensional scaffold engineering enables spatial orientation of collagen </w:t>
      </w:r>
      <w:proofErr w:type="spellStart"/>
      <w:r>
        <w:t>fibers</w:t>
      </w:r>
      <w:proofErr w:type="spellEnd"/>
      <w:r>
        <w:t xml:space="preserve"> to replicate the oblique and horizontal </w:t>
      </w:r>
      <w:proofErr w:type="spellStart"/>
      <w:r>
        <w:t>fiber</w:t>
      </w:r>
      <w:proofErr w:type="spellEnd"/>
      <w:r>
        <w:t xml:space="preserve"> bundles characteristic of natural PDL architecture. Experimental models have demonstrated the possibility of forming cementum-like mineralized layers and ligamentous </w:t>
      </w:r>
      <w:proofErr w:type="spellStart"/>
      <w:r>
        <w:t>fiber</w:t>
      </w:r>
      <w:proofErr w:type="spellEnd"/>
      <w:r>
        <w:t xml:space="preserve"> insertions around titanium implants, suggesting that functional ligament regeneration is biologically attainable.</w:t>
      </w:r>
    </w:p>
    <w:p w14:paraId="46CE881F" w14:textId="77777777" w:rsidR="00D91A1C" w:rsidRDefault="00D91A1C" w:rsidP="00886430">
      <w:pPr>
        <w:pStyle w:val="NormalWeb"/>
        <w:spacing w:line="360" w:lineRule="auto"/>
        <w:jc w:val="both"/>
      </w:pPr>
      <w:r>
        <w:t xml:space="preserve">The </w:t>
      </w:r>
      <w:proofErr w:type="spellStart"/>
      <w:r>
        <w:t>Ligaplant</w:t>
      </w:r>
      <w:proofErr w:type="spellEnd"/>
      <w:r>
        <w:t xml:space="preserve"> concept therefore represents a paradigm shift from static osseointegration toward </w:t>
      </w:r>
      <w:r>
        <w:rPr>
          <w:rStyle w:val="Strong"/>
        </w:rPr>
        <w:t>functional periodontal integration</w:t>
      </w:r>
      <w:r>
        <w:t xml:space="preserve">—a regenerative interface that may restore physiologic mobility, proprioception, shock absorption, and adaptive bone </w:t>
      </w:r>
      <w:proofErr w:type="spellStart"/>
      <w:r>
        <w:t>remodeling</w:t>
      </w:r>
      <w:proofErr w:type="spellEnd"/>
      <w:r>
        <w:t>. If successfully translated into routine clinical practice, this innovation could redefine implant biomechanics, enhance long-term peri-implant tissue stability, and narrow the biological disparity between natural teeth and implant-supported prostheses.</w:t>
      </w:r>
    </w:p>
    <w:p w14:paraId="4AB755AF" w14:textId="15D95345" w:rsidR="00D91A1C" w:rsidRDefault="00D91A1C" w:rsidP="00D91A1C">
      <w:pPr>
        <w:pStyle w:val="NormalWeb"/>
        <w:jc w:val="center"/>
      </w:pPr>
      <w:r w:rsidRPr="00D91A1C">
        <w:rPr>
          <w:noProof/>
        </w:rPr>
        <w:lastRenderedPageBreak/>
        <w:drawing>
          <wp:inline distT="0" distB="0" distL="0" distR="0" wp14:anchorId="4D5C4878" wp14:editId="1A60FD89">
            <wp:extent cx="3304515" cy="3304515"/>
            <wp:effectExtent l="0" t="0" r="0" b="0"/>
            <wp:docPr id="1935548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548810" name=""/>
                    <pic:cNvPicPr/>
                  </pic:nvPicPr>
                  <pic:blipFill>
                    <a:blip r:embed="rId7"/>
                    <a:stretch>
                      <a:fillRect/>
                    </a:stretch>
                  </pic:blipFill>
                  <pic:spPr>
                    <a:xfrm>
                      <a:off x="0" y="0"/>
                      <a:ext cx="3342875" cy="3342875"/>
                    </a:xfrm>
                    <a:prstGeom prst="rect">
                      <a:avLst/>
                    </a:prstGeom>
                  </pic:spPr>
                </pic:pic>
              </a:graphicData>
            </a:graphic>
          </wp:inline>
        </w:drawing>
      </w:r>
    </w:p>
    <w:p w14:paraId="47F0413A" w14:textId="71CBFCE6" w:rsidR="00D91A1C" w:rsidRDefault="00D91A1C" w:rsidP="00D91A1C">
      <w:pPr>
        <w:pStyle w:val="NormalWeb"/>
        <w:jc w:val="center"/>
      </w:pPr>
      <w:r>
        <w:t xml:space="preserve">Figure1: </w:t>
      </w:r>
      <w:proofErr w:type="spellStart"/>
      <w:r>
        <w:t>Ligaplants</w:t>
      </w:r>
      <w:proofErr w:type="spellEnd"/>
    </w:p>
    <w:p w14:paraId="269CA9BA" w14:textId="2255C56C" w:rsidR="00AC719F" w:rsidRPr="00AC719F" w:rsidRDefault="00AC719F" w:rsidP="00AC719F">
      <w:pPr>
        <w:spacing w:line="360" w:lineRule="auto"/>
        <w:jc w:val="both"/>
        <w:rPr>
          <w:rFonts w:ascii="Times New Roman" w:hAnsi="Times New Roman" w:cs="Times New Roman"/>
          <w:sz w:val="24"/>
          <w:szCs w:val="24"/>
        </w:rPr>
      </w:pPr>
    </w:p>
    <w:p w14:paraId="55BC0171" w14:textId="7741F604" w:rsidR="000E167F" w:rsidRPr="000E167F" w:rsidRDefault="00AC719F" w:rsidP="000E167F">
      <w:pPr>
        <w:spacing w:line="360" w:lineRule="auto"/>
        <w:rPr>
          <w:rFonts w:ascii="Times New Roman" w:hAnsi="Times New Roman" w:cs="Times New Roman"/>
          <w:b/>
          <w:bCs/>
          <w:sz w:val="24"/>
          <w:szCs w:val="24"/>
        </w:rPr>
      </w:pPr>
      <w:r w:rsidRPr="00AC719F">
        <w:rPr>
          <w:rFonts w:ascii="Times New Roman" w:hAnsi="Times New Roman" w:cs="Times New Roman"/>
          <w:b/>
          <w:bCs/>
          <w:sz w:val="24"/>
          <w:szCs w:val="24"/>
        </w:rPr>
        <w:t>2.</w:t>
      </w:r>
      <w:r w:rsidR="00E01EC3">
        <w:rPr>
          <w:rFonts w:ascii="Times New Roman" w:hAnsi="Times New Roman" w:cs="Times New Roman"/>
          <w:b/>
          <w:bCs/>
          <w:sz w:val="24"/>
          <w:szCs w:val="24"/>
        </w:rPr>
        <w:t xml:space="preserve"> </w:t>
      </w:r>
      <w:r w:rsidRPr="00AC719F">
        <w:rPr>
          <w:rFonts w:ascii="Times New Roman" w:hAnsi="Times New Roman" w:cs="Times New Roman"/>
          <w:b/>
          <w:bCs/>
          <w:sz w:val="24"/>
          <w:szCs w:val="24"/>
        </w:rPr>
        <w:t>Biological</w:t>
      </w:r>
      <w:r w:rsidR="00E01EC3">
        <w:rPr>
          <w:rFonts w:ascii="Times New Roman" w:hAnsi="Times New Roman" w:cs="Times New Roman"/>
          <w:b/>
          <w:bCs/>
          <w:sz w:val="24"/>
          <w:szCs w:val="24"/>
        </w:rPr>
        <w:t xml:space="preserve"> </w:t>
      </w:r>
      <w:r w:rsidRPr="00AC719F">
        <w:rPr>
          <w:rFonts w:ascii="Times New Roman" w:hAnsi="Times New Roman" w:cs="Times New Roman"/>
          <w:b/>
          <w:bCs/>
          <w:sz w:val="24"/>
          <w:szCs w:val="24"/>
        </w:rPr>
        <w:t>Rationale for PDL-Integrated Implants</w:t>
      </w:r>
    </w:p>
    <w:p w14:paraId="28903999" w14:textId="77777777" w:rsidR="000E167F" w:rsidRPr="000E167F" w:rsidRDefault="000E167F" w:rsidP="001E10E5">
      <w:pPr>
        <w:spacing w:before="100" w:beforeAutospacing="1" w:after="100" w:afterAutospacing="1" w:line="360" w:lineRule="auto"/>
        <w:jc w:val="both"/>
        <w:rPr>
          <w:rFonts w:ascii="Times New Roman" w:eastAsia="Times New Roman" w:hAnsi="Times New Roman" w:cs="Times New Roman"/>
          <w:kern w:val="0"/>
          <w:sz w:val="24"/>
          <w:szCs w:val="24"/>
          <w:lang w:eastAsia="en-GB"/>
          <w14:ligatures w14:val="none"/>
        </w:rPr>
      </w:pPr>
      <w:r w:rsidRPr="000E167F">
        <w:rPr>
          <w:rFonts w:ascii="Times New Roman" w:eastAsia="Times New Roman" w:hAnsi="Times New Roman" w:cs="Times New Roman"/>
          <w:kern w:val="0"/>
          <w:sz w:val="24"/>
          <w:szCs w:val="24"/>
          <w:lang w:eastAsia="en-GB"/>
          <w14:ligatures w14:val="none"/>
        </w:rPr>
        <w:t xml:space="preserve">The periodontal ligament (PDL) is a highly specialized, vascularized, and innervated connective tissue structure measuring approximately 0.15–0.38 mm in thickness, interposed between root cementum and alveolar bone.³ It is composed of densely packed collagen </w:t>
      </w:r>
      <w:proofErr w:type="spellStart"/>
      <w:r w:rsidRPr="000E167F">
        <w:rPr>
          <w:rFonts w:ascii="Times New Roman" w:eastAsia="Times New Roman" w:hAnsi="Times New Roman" w:cs="Times New Roman"/>
          <w:kern w:val="0"/>
          <w:sz w:val="24"/>
          <w:szCs w:val="24"/>
          <w:lang w:eastAsia="en-GB"/>
          <w14:ligatures w14:val="none"/>
        </w:rPr>
        <w:t>fiber</w:t>
      </w:r>
      <w:proofErr w:type="spellEnd"/>
      <w:r w:rsidRPr="000E167F">
        <w:rPr>
          <w:rFonts w:ascii="Times New Roman" w:eastAsia="Times New Roman" w:hAnsi="Times New Roman" w:cs="Times New Roman"/>
          <w:kern w:val="0"/>
          <w:sz w:val="24"/>
          <w:szCs w:val="24"/>
          <w:lang w:eastAsia="en-GB"/>
          <w14:ligatures w14:val="none"/>
        </w:rPr>
        <w:t xml:space="preserve"> bundles—predominantly type I collagen—arranged in principal </w:t>
      </w:r>
      <w:proofErr w:type="spellStart"/>
      <w:r w:rsidRPr="000E167F">
        <w:rPr>
          <w:rFonts w:ascii="Times New Roman" w:eastAsia="Times New Roman" w:hAnsi="Times New Roman" w:cs="Times New Roman"/>
          <w:kern w:val="0"/>
          <w:sz w:val="24"/>
          <w:szCs w:val="24"/>
          <w:lang w:eastAsia="en-GB"/>
          <w14:ligatures w14:val="none"/>
        </w:rPr>
        <w:t>fiber</w:t>
      </w:r>
      <w:proofErr w:type="spellEnd"/>
      <w:r w:rsidRPr="000E167F">
        <w:rPr>
          <w:rFonts w:ascii="Times New Roman" w:eastAsia="Times New Roman" w:hAnsi="Times New Roman" w:cs="Times New Roman"/>
          <w:kern w:val="0"/>
          <w:sz w:val="24"/>
          <w:szCs w:val="24"/>
          <w:lang w:eastAsia="en-GB"/>
          <w14:ligatures w14:val="none"/>
        </w:rPr>
        <w:t xml:space="preserve"> groups (alveolar crest, horizontal, oblique, apical, and </w:t>
      </w:r>
      <w:proofErr w:type="spellStart"/>
      <w:r w:rsidRPr="000E167F">
        <w:rPr>
          <w:rFonts w:ascii="Times New Roman" w:eastAsia="Times New Roman" w:hAnsi="Times New Roman" w:cs="Times New Roman"/>
          <w:kern w:val="0"/>
          <w:sz w:val="24"/>
          <w:szCs w:val="24"/>
          <w:lang w:eastAsia="en-GB"/>
          <w14:ligatures w14:val="none"/>
        </w:rPr>
        <w:t>interradicular</w:t>
      </w:r>
      <w:proofErr w:type="spellEnd"/>
      <w:r w:rsidRPr="000E167F">
        <w:rPr>
          <w:rFonts w:ascii="Times New Roman" w:eastAsia="Times New Roman" w:hAnsi="Times New Roman" w:cs="Times New Roman"/>
          <w:kern w:val="0"/>
          <w:sz w:val="24"/>
          <w:szCs w:val="24"/>
          <w:lang w:eastAsia="en-GB"/>
          <w14:ligatures w14:val="none"/>
        </w:rPr>
        <w:t xml:space="preserve"> </w:t>
      </w:r>
      <w:proofErr w:type="spellStart"/>
      <w:r w:rsidRPr="000E167F">
        <w:rPr>
          <w:rFonts w:ascii="Times New Roman" w:eastAsia="Times New Roman" w:hAnsi="Times New Roman" w:cs="Times New Roman"/>
          <w:kern w:val="0"/>
          <w:sz w:val="24"/>
          <w:szCs w:val="24"/>
          <w:lang w:eastAsia="en-GB"/>
          <w14:ligatures w14:val="none"/>
        </w:rPr>
        <w:t>fibers</w:t>
      </w:r>
      <w:proofErr w:type="spellEnd"/>
      <w:r w:rsidRPr="000E167F">
        <w:rPr>
          <w:rFonts w:ascii="Times New Roman" w:eastAsia="Times New Roman" w:hAnsi="Times New Roman" w:cs="Times New Roman"/>
          <w:kern w:val="0"/>
          <w:sz w:val="24"/>
          <w:szCs w:val="24"/>
          <w:lang w:eastAsia="en-GB"/>
          <w14:ligatures w14:val="none"/>
        </w:rPr>
        <w:t xml:space="preserve">) that insert into both cementum and bone as </w:t>
      </w:r>
      <w:proofErr w:type="spellStart"/>
      <w:r w:rsidRPr="000E167F">
        <w:rPr>
          <w:rFonts w:ascii="Times New Roman" w:eastAsia="Times New Roman" w:hAnsi="Times New Roman" w:cs="Times New Roman"/>
          <w:kern w:val="0"/>
          <w:sz w:val="24"/>
          <w:szCs w:val="24"/>
          <w:lang w:eastAsia="en-GB"/>
          <w14:ligatures w14:val="none"/>
        </w:rPr>
        <w:t>Sharpey’s</w:t>
      </w:r>
      <w:proofErr w:type="spellEnd"/>
      <w:r w:rsidRPr="000E167F">
        <w:rPr>
          <w:rFonts w:ascii="Times New Roman" w:eastAsia="Times New Roman" w:hAnsi="Times New Roman" w:cs="Times New Roman"/>
          <w:kern w:val="0"/>
          <w:sz w:val="24"/>
          <w:szCs w:val="24"/>
          <w:lang w:eastAsia="en-GB"/>
          <w14:ligatures w14:val="none"/>
        </w:rPr>
        <w:t xml:space="preserve"> fibers.³,⁹ Embedded within this organized extracellular matrix are fibroblasts (the most abundant cellular component), </w:t>
      </w:r>
      <w:proofErr w:type="spellStart"/>
      <w:r w:rsidRPr="000E167F">
        <w:rPr>
          <w:rFonts w:ascii="Times New Roman" w:eastAsia="Times New Roman" w:hAnsi="Times New Roman" w:cs="Times New Roman"/>
          <w:kern w:val="0"/>
          <w:sz w:val="24"/>
          <w:szCs w:val="24"/>
          <w:lang w:eastAsia="en-GB"/>
          <w14:ligatures w14:val="none"/>
        </w:rPr>
        <w:t>cementoblasts</w:t>
      </w:r>
      <w:proofErr w:type="spellEnd"/>
      <w:r w:rsidRPr="000E167F">
        <w:rPr>
          <w:rFonts w:ascii="Times New Roman" w:eastAsia="Times New Roman" w:hAnsi="Times New Roman" w:cs="Times New Roman"/>
          <w:kern w:val="0"/>
          <w:sz w:val="24"/>
          <w:szCs w:val="24"/>
          <w:lang w:eastAsia="en-GB"/>
          <w14:ligatures w14:val="none"/>
        </w:rPr>
        <w:t>, osteoblasts, endothelial cells, neural elements, and a reservoir of mesenchymal stem cells capable of multilineage differentiation.³,⁹</w:t>
      </w:r>
    </w:p>
    <w:p w14:paraId="3FFE6B7D" w14:textId="77777777" w:rsidR="000E167F" w:rsidRPr="000E167F" w:rsidRDefault="000E167F" w:rsidP="001E10E5">
      <w:pPr>
        <w:spacing w:before="100" w:beforeAutospacing="1" w:after="100" w:afterAutospacing="1" w:line="360" w:lineRule="auto"/>
        <w:jc w:val="both"/>
        <w:rPr>
          <w:rFonts w:ascii="Times New Roman" w:eastAsia="Times New Roman" w:hAnsi="Times New Roman" w:cs="Times New Roman"/>
          <w:kern w:val="0"/>
          <w:sz w:val="24"/>
          <w:szCs w:val="24"/>
          <w:lang w:eastAsia="en-GB"/>
          <w14:ligatures w14:val="none"/>
        </w:rPr>
      </w:pPr>
      <w:r w:rsidRPr="000E167F">
        <w:rPr>
          <w:rFonts w:ascii="Times New Roman" w:eastAsia="Times New Roman" w:hAnsi="Times New Roman" w:cs="Times New Roman"/>
          <w:kern w:val="0"/>
          <w:sz w:val="24"/>
          <w:szCs w:val="24"/>
          <w:lang w:eastAsia="en-GB"/>
          <w14:ligatures w14:val="none"/>
        </w:rPr>
        <w:t xml:space="preserve">This intricate cellular and extracellular organization enables the PDL to function not merely as a suspensory apparatus but as a dynamic mechanobiological organ. Its viscoelastic properties allow controlled physiologic tooth mobility under occlusal loading, dissipating forces and preventing stress concentration within the alveolar </w:t>
      </w:r>
      <w:proofErr w:type="gramStart"/>
      <w:r w:rsidRPr="000E167F">
        <w:rPr>
          <w:rFonts w:ascii="Times New Roman" w:eastAsia="Times New Roman" w:hAnsi="Times New Roman" w:cs="Times New Roman"/>
          <w:kern w:val="0"/>
          <w:sz w:val="24"/>
          <w:szCs w:val="24"/>
          <w:lang w:eastAsia="en-GB"/>
          <w14:ligatures w14:val="none"/>
        </w:rPr>
        <w:t>crest.³</w:t>
      </w:r>
      <w:proofErr w:type="gramEnd"/>
      <w:r w:rsidRPr="000E167F">
        <w:rPr>
          <w:rFonts w:ascii="Times New Roman" w:eastAsia="Times New Roman" w:hAnsi="Times New Roman" w:cs="Times New Roman"/>
          <w:kern w:val="0"/>
          <w:sz w:val="24"/>
          <w:szCs w:val="24"/>
          <w:lang w:eastAsia="en-GB"/>
          <w14:ligatures w14:val="none"/>
        </w:rPr>
        <w:t xml:space="preserve">,⁹,¹⁰ </w:t>
      </w:r>
      <w:proofErr w:type="spellStart"/>
      <w:r w:rsidRPr="000E167F">
        <w:rPr>
          <w:rFonts w:ascii="Times New Roman" w:eastAsia="Times New Roman" w:hAnsi="Times New Roman" w:cs="Times New Roman"/>
          <w:kern w:val="0"/>
          <w:sz w:val="24"/>
          <w:szCs w:val="24"/>
          <w:lang w:eastAsia="en-GB"/>
          <w14:ligatures w14:val="none"/>
        </w:rPr>
        <w:t>Mechanotransduction</w:t>
      </w:r>
      <w:proofErr w:type="spellEnd"/>
      <w:r w:rsidRPr="000E167F">
        <w:rPr>
          <w:rFonts w:ascii="Times New Roman" w:eastAsia="Times New Roman" w:hAnsi="Times New Roman" w:cs="Times New Roman"/>
          <w:kern w:val="0"/>
          <w:sz w:val="24"/>
          <w:szCs w:val="24"/>
          <w:lang w:eastAsia="en-GB"/>
          <w14:ligatures w14:val="none"/>
        </w:rPr>
        <w:t xml:space="preserve"> within PDL fibroblasts and stem cells regulates adaptive bone </w:t>
      </w:r>
      <w:proofErr w:type="spellStart"/>
      <w:r w:rsidRPr="000E167F">
        <w:rPr>
          <w:rFonts w:ascii="Times New Roman" w:eastAsia="Times New Roman" w:hAnsi="Times New Roman" w:cs="Times New Roman"/>
          <w:kern w:val="0"/>
          <w:sz w:val="24"/>
          <w:szCs w:val="24"/>
          <w:lang w:eastAsia="en-GB"/>
          <w14:ligatures w14:val="none"/>
        </w:rPr>
        <w:t>remodeling</w:t>
      </w:r>
      <w:proofErr w:type="spellEnd"/>
      <w:r w:rsidRPr="000E167F">
        <w:rPr>
          <w:rFonts w:ascii="Times New Roman" w:eastAsia="Times New Roman" w:hAnsi="Times New Roman" w:cs="Times New Roman"/>
          <w:kern w:val="0"/>
          <w:sz w:val="24"/>
          <w:szCs w:val="24"/>
          <w:lang w:eastAsia="en-GB"/>
          <w14:ligatures w14:val="none"/>
        </w:rPr>
        <w:t xml:space="preserve">, ensuring structural equilibrium in response to functional demands. Additionally, the rich neural network within the ligament provides fine proprioceptive feedback, enabling modulation of bite force, protection against overload, and coordinated </w:t>
      </w:r>
      <w:proofErr w:type="gramStart"/>
      <w:r w:rsidRPr="000E167F">
        <w:rPr>
          <w:rFonts w:ascii="Times New Roman" w:eastAsia="Times New Roman" w:hAnsi="Times New Roman" w:cs="Times New Roman"/>
          <w:kern w:val="0"/>
          <w:sz w:val="24"/>
          <w:szCs w:val="24"/>
          <w:lang w:eastAsia="en-GB"/>
          <w14:ligatures w14:val="none"/>
        </w:rPr>
        <w:t>mastication.³</w:t>
      </w:r>
      <w:proofErr w:type="gramEnd"/>
      <w:r w:rsidRPr="000E167F">
        <w:rPr>
          <w:rFonts w:ascii="Times New Roman" w:eastAsia="Times New Roman" w:hAnsi="Times New Roman" w:cs="Times New Roman"/>
          <w:kern w:val="0"/>
          <w:sz w:val="24"/>
          <w:szCs w:val="24"/>
          <w:lang w:eastAsia="en-GB"/>
          <w14:ligatures w14:val="none"/>
        </w:rPr>
        <w:t>,⁹,¹⁰</w:t>
      </w:r>
    </w:p>
    <w:p w14:paraId="1E6E6A23" w14:textId="77777777" w:rsidR="000E167F" w:rsidRPr="000E167F" w:rsidRDefault="000E167F" w:rsidP="001E10E5">
      <w:pPr>
        <w:spacing w:before="100" w:beforeAutospacing="1" w:after="100" w:afterAutospacing="1" w:line="360" w:lineRule="auto"/>
        <w:jc w:val="both"/>
        <w:rPr>
          <w:rFonts w:ascii="Times New Roman" w:eastAsia="Times New Roman" w:hAnsi="Times New Roman" w:cs="Times New Roman"/>
          <w:kern w:val="0"/>
          <w:sz w:val="24"/>
          <w:szCs w:val="24"/>
          <w:lang w:eastAsia="en-GB"/>
          <w14:ligatures w14:val="none"/>
        </w:rPr>
      </w:pPr>
      <w:r w:rsidRPr="000E167F">
        <w:rPr>
          <w:rFonts w:ascii="Times New Roman" w:eastAsia="Times New Roman" w:hAnsi="Times New Roman" w:cs="Times New Roman"/>
          <w:kern w:val="0"/>
          <w:sz w:val="24"/>
          <w:szCs w:val="24"/>
          <w:lang w:eastAsia="en-GB"/>
          <w14:ligatures w14:val="none"/>
        </w:rPr>
        <w:lastRenderedPageBreak/>
        <w:t xml:space="preserve">In contrast, </w:t>
      </w:r>
      <w:proofErr w:type="spellStart"/>
      <w:r w:rsidRPr="000E167F">
        <w:rPr>
          <w:rFonts w:ascii="Times New Roman" w:eastAsia="Times New Roman" w:hAnsi="Times New Roman" w:cs="Times New Roman"/>
          <w:kern w:val="0"/>
          <w:sz w:val="24"/>
          <w:szCs w:val="24"/>
          <w:lang w:eastAsia="en-GB"/>
          <w14:ligatures w14:val="none"/>
        </w:rPr>
        <w:t>osseointegrated</w:t>
      </w:r>
      <w:proofErr w:type="spellEnd"/>
      <w:r w:rsidRPr="000E167F">
        <w:rPr>
          <w:rFonts w:ascii="Times New Roman" w:eastAsia="Times New Roman" w:hAnsi="Times New Roman" w:cs="Times New Roman"/>
          <w:kern w:val="0"/>
          <w:sz w:val="24"/>
          <w:szCs w:val="24"/>
          <w:lang w:eastAsia="en-GB"/>
          <w14:ligatures w14:val="none"/>
        </w:rPr>
        <w:t xml:space="preserve"> implants are characterized by direct ankylotic contact between bone and implant surface, lacking any intervening ligamentous structure. This rigid fixation eliminates physiologic </w:t>
      </w:r>
      <w:proofErr w:type="spellStart"/>
      <w:r w:rsidRPr="000E167F">
        <w:rPr>
          <w:rFonts w:ascii="Times New Roman" w:eastAsia="Times New Roman" w:hAnsi="Times New Roman" w:cs="Times New Roman"/>
          <w:kern w:val="0"/>
          <w:sz w:val="24"/>
          <w:szCs w:val="24"/>
          <w:lang w:eastAsia="en-GB"/>
          <w14:ligatures w14:val="none"/>
        </w:rPr>
        <w:t>micromobility</w:t>
      </w:r>
      <w:proofErr w:type="spellEnd"/>
      <w:r w:rsidRPr="000E167F">
        <w:rPr>
          <w:rFonts w:ascii="Times New Roman" w:eastAsia="Times New Roman" w:hAnsi="Times New Roman" w:cs="Times New Roman"/>
          <w:kern w:val="0"/>
          <w:sz w:val="24"/>
          <w:szCs w:val="24"/>
          <w:lang w:eastAsia="en-GB"/>
          <w14:ligatures w14:val="none"/>
        </w:rPr>
        <w:t xml:space="preserve"> and alters the biomechanical environment of the peri-implant bone. Concentrated stresses develop at the crestal cortical region during axial and lateral loading, potentially predisposing the area to marginal bone </w:t>
      </w:r>
      <w:proofErr w:type="spellStart"/>
      <w:r w:rsidRPr="000E167F">
        <w:rPr>
          <w:rFonts w:ascii="Times New Roman" w:eastAsia="Times New Roman" w:hAnsi="Times New Roman" w:cs="Times New Roman"/>
          <w:kern w:val="0"/>
          <w:sz w:val="24"/>
          <w:szCs w:val="24"/>
          <w:lang w:eastAsia="en-GB"/>
          <w14:ligatures w14:val="none"/>
        </w:rPr>
        <w:t>remodeling</w:t>
      </w:r>
      <w:proofErr w:type="spellEnd"/>
      <w:r w:rsidRPr="000E167F">
        <w:rPr>
          <w:rFonts w:ascii="Times New Roman" w:eastAsia="Times New Roman" w:hAnsi="Times New Roman" w:cs="Times New Roman"/>
          <w:kern w:val="0"/>
          <w:sz w:val="24"/>
          <w:szCs w:val="24"/>
          <w:lang w:eastAsia="en-GB"/>
          <w14:ligatures w14:val="none"/>
        </w:rPr>
        <w:t xml:space="preserve"> and peri-implant bone loss over </w:t>
      </w:r>
      <w:proofErr w:type="gramStart"/>
      <w:r w:rsidRPr="000E167F">
        <w:rPr>
          <w:rFonts w:ascii="Times New Roman" w:eastAsia="Times New Roman" w:hAnsi="Times New Roman" w:cs="Times New Roman"/>
          <w:kern w:val="0"/>
          <w:sz w:val="24"/>
          <w:szCs w:val="24"/>
          <w:lang w:eastAsia="en-GB"/>
          <w14:ligatures w14:val="none"/>
        </w:rPr>
        <w:t>time.⁴</w:t>
      </w:r>
      <w:proofErr w:type="gramEnd"/>
      <w:r w:rsidRPr="000E167F">
        <w:rPr>
          <w:rFonts w:ascii="Times New Roman" w:eastAsia="Times New Roman" w:hAnsi="Times New Roman" w:cs="Times New Roman"/>
          <w:kern w:val="0"/>
          <w:sz w:val="24"/>
          <w:szCs w:val="24"/>
          <w:lang w:eastAsia="en-GB"/>
          <w14:ligatures w14:val="none"/>
        </w:rPr>
        <w:t xml:space="preserve"> The absence of periodontal mechanoreceptors also results in diminished tactile sensitivity and compromised neuromuscular regulation of occlusal forces.</w:t>
      </w:r>
    </w:p>
    <w:p w14:paraId="0CEA7E62" w14:textId="77777777" w:rsidR="000E167F" w:rsidRPr="000E167F" w:rsidRDefault="000E167F" w:rsidP="001E10E5">
      <w:pPr>
        <w:spacing w:before="100" w:beforeAutospacing="1" w:after="100" w:afterAutospacing="1" w:line="360" w:lineRule="auto"/>
        <w:jc w:val="both"/>
        <w:rPr>
          <w:rFonts w:ascii="Times New Roman" w:eastAsia="Times New Roman" w:hAnsi="Times New Roman" w:cs="Times New Roman"/>
          <w:kern w:val="0"/>
          <w:sz w:val="24"/>
          <w:szCs w:val="24"/>
          <w:lang w:eastAsia="en-GB"/>
          <w14:ligatures w14:val="none"/>
        </w:rPr>
      </w:pPr>
      <w:r w:rsidRPr="000E167F">
        <w:rPr>
          <w:rFonts w:ascii="Times New Roman" w:eastAsia="Times New Roman" w:hAnsi="Times New Roman" w:cs="Times New Roman"/>
          <w:kern w:val="0"/>
          <w:sz w:val="24"/>
          <w:szCs w:val="24"/>
          <w:lang w:eastAsia="en-GB"/>
          <w14:ligatures w14:val="none"/>
        </w:rPr>
        <w:t xml:space="preserve">Histologic investigations and biomechanical simulations have therefore proposed that re-establishing a fibrous, PDL-like attachment around implants could restore a degree of physiologic mobility, redistribute functional stresses more evenly, and enhance long-term peri-implant tissue stability.¹¹ Experimental models have demonstrated that formation of collagen </w:t>
      </w:r>
      <w:proofErr w:type="spellStart"/>
      <w:r w:rsidRPr="000E167F">
        <w:rPr>
          <w:rFonts w:ascii="Times New Roman" w:eastAsia="Times New Roman" w:hAnsi="Times New Roman" w:cs="Times New Roman"/>
          <w:kern w:val="0"/>
          <w:sz w:val="24"/>
          <w:szCs w:val="24"/>
          <w:lang w:eastAsia="en-GB"/>
          <w14:ligatures w14:val="none"/>
        </w:rPr>
        <w:t>fiber</w:t>
      </w:r>
      <w:proofErr w:type="spellEnd"/>
      <w:r w:rsidRPr="000E167F">
        <w:rPr>
          <w:rFonts w:ascii="Times New Roman" w:eastAsia="Times New Roman" w:hAnsi="Times New Roman" w:cs="Times New Roman"/>
          <w:kern w:val="0"/>
          <w:sz w:val="24"/>
          <w:szCs w:val="24"/>
          <w:lang w:eastAsia="en-GB"/>
          <w14:ligatures w14:val="none"/>
        </w:rPr>
        <w:t xml:space="preserve"> bundles oriented perpendicular or oblique to the implant surface can partially replicate the load-dampening effect observed in natural dentition.</w:t>
      </w:r>
    </w:p>
    <w:p w14:paraId="1AFF3BE3" w14:textId="77777777" w:rsidR="000E167F" w:rsidRPr="000E167F" w:rsidRDefault="000E167F" w:rsidP="001E10E5">
      <w:pPr>
        <w:spacing w:before="100" w:beforeAutospacing="1" w:after="100" w:afterAutospacing="1" w:line="360" w:lineRule="auto"/>
        <w:jc w:val="both"/>
        <w:rPr>
          <w:rFonts w:ascii="Times New Roman" w:eastAsia="Times New Roman" w:hAnsi="Times New Roman" w:cs="Times New Roman"/>
          <w:kern w:val="0"/>
          <w:sz w:val="24"/>
          <w:szCs w:val="24"/>
          <w:lang w:eastAsia="en-GB"/>
          <w14:ligatures w14:val="none"/>
        </w:rPr>
      </w:pPr>
      <w:r w:rsidRPr="000E167F">
        <w:rPr>
          <w:rFonts w:ascii="Times New Roman" w:eastAsia="Times New Roman" w:hAnsi="Times New Roman" w:cs="Times New Roman"/>
          <w:kern w:val="0"/>
          <w:sz w:val="24"/>
          <w:szCs w:val="24"/>
          <w:lang w:eastAsia="en-GB"/>
          <w14:ligatures w14:val="none"/>
        </w:rPr>
        <w:t xml:space="preserve">Guided by these observations, contemporary tissue-engineering strategies aim to recreate the triphasic architecture of the natural periodontium—cementum, </w:t>
      </w:r>
      <w:proofErr w:type="spellStart"/>
      <w:r w:rsidRPr="000E167F">
        <w:rPr>
          <w:rFonts w:ascii="Times New Roman" w:eastAsia="Times New Roman" w:hAnsi="Times New Roman" w:cs="Times New Roman"/>
          <w:kern w:val="0"/>
          <w:sz w:val="24"/>
          <w:szCs w:val="24"/>
          <w:lang w:eastAsia="en-GB"/>
          <w14:ligatures w14:val="none"/>
        </w:rPr>
        <w:t>Sharpey’s</w:t>
      </w:r>
      <w:proofErr w:type="spellEnd"/>
      <w:r w:rsidRPr="000E167F">
        <w:rPr>
          <w:rFonts w:ascii="Times New Roman" w:eastAsia="Times New Roman" w:hAnsi="Times New Roman" w:cs="Times New Roman"/>
          <w:kern w:val="0"/>
          <w:sz w:val="24"/>
          <w:szCs w:val="24"/>
          <w:lang w:eastAsia="en-GB"/>
          <w14:ligatures w14:val="none"/>
        </w:rPr>
        <w:t xml:space="preserve"> </w:t>
      </w:r>
      <w:proofErr w:type="spellStart"/>
      <w:r w:rsidRPr="000E167F">
        <w:rPr>
          <w:rFonts w:ascii="Times New Roman" w:eastAsia="Times New Roman" w:hAnsi="Times New Roman" w:cs="Times New Roman"/>
          <w:kern w:val="0"/>
          <w:sz w:val="24"/>
          <w:szCs w:val="24"/>
          <w:lang w:eastAsia="en-GB"/>
          <w14:ligatures w14:val="none"/>
        </w:rPr>
        <w:t>fiber</w:t>
      </w:r>
      <w:proofErr w:type="spellEnd"/>
      <w:r w:rsidRPr="000E167F">
        <w:rPr>
          <w:rFonts w:ascii="Times New Roman" w:eastAsia="Times New Roman" w:hAnsi="Times New Roman" w:cs="Times New Roman"/>
          <w:kern w:val="0"/>
          <w:sz w:val="24"/>
          <w:szCs w:val="24"/>
          <w:lang w:eastAsia="en-GB"/>
          <w14:ligatures w14:val="none"/>
        </w:rPr>
        <w:t xml:space="preserve">-inserted ligament, and alveolar bone—through the synergistic application of stem cells, biomimetic scaffolds, and molecular </w:t>
      </w:r>
      <w:proofErr w:type="spellStart"/>
      <w:r w:rsidRPr="000E167F">
        <w:rPr>
          <w:rFonts w:ascii="Times New Roman" w:eastAsia="Times New Roman" w:hAnsi="Times New Roman" w:cs="Times New Roman"/>
          <w:kern w:val="0"/>
          <w:sz w:val="24"/>
          <w:szCs w:val="24"/>
          <w:lang w:eastAsia="en-GB"/>
          <w14:ligatures w14:val="none"/>
        </w:rPr>
        <w:t>signaling</w:t>
      </w:r>
      <w:proofErr w:type="spellEnd"/>
      <w:r w:rsidRPr="000E167F">
        <w:rPr>
          <w:rFonts w:ascii="Times New Roman" w:eastAsia="Times New Roman" w:hAnsi="Times New Roman" w:cs="Times New Roman"/>
          <w:kern w:val="0"/>
          <w:sz w:val="24"/>
          <w:szCs w:val="24"/>
          <w:lang w:eastAsia="en-GB"/>
          <w14:ligatures w14:val="none"/>
        </w:rPr>
        <w:t xml:space="preserve"> </w:t>
      </w:r>
      <w:proofErr w:type="gramStart"/>
      <w:r w:rsidRPr="000E167F">
        <w:rPr>
          <w:rFonts w:ascii="Times New Roman" w:eastAsia="Times New Roman" w:hAnsi="Times New Roman" w:cs="Times New Roman"/>
          <w:kern w:val="0"/>
          <w:sz w:val="24"/>
          <w:szCs w:val="24"/>
          <w:lang w:eastAsia="en-GB"/>
          <w14:ligatures w14:val="none"/>
        </w:rPr>
        <w:t>cues.¹</w:t>
      </w:r>
      <w:proofErr w:type="gramEnd"/>
      <w:r w:rsidRPr="000E167F">
        <w:rPr>
          <w:rFonts w:ascii="Times New Roman" w:eastAsia="Times New Roman" w:hAnsi="Times New Roman" w:cs="Times New Roman"/>
          <w:kern w:val="0"/>
          <w:sz w:val="24"/>
          <w:szCs w:val="24"/>
          <w:lang w:eastAsia="en-GB"/>
          <w14:ligatures w14:val="none"/>
        </w:rPr>
        <w:t>² The biological triad of regenerative engineering involves:</w:t>
      </w:r>
    </w:p>
    <w:p w14:paraId="4CA9357A" w14:textId="77777777" w:rsidR="000E167F" w:rsidRPr="000E167F" w:rsidRDefault="000E167F" w:rsidP="001E10E5">
      <w:pPr>
        <w:numPr>
          <w:ilvl w:val="0"/>
          <w:numId w:val="7"/>
        </w:numPr>
        <w:spacing w:before="100" w:beforeAutospacing="1" w:after="100" w:afterAutospacing="1" w:line="360" w:lineRule="auto"/>
        <w:jc w:val="both"/>
        <w:rPr>
          <w:rFonts w:ascii="Times New Roman" w:eastAsia="Times New Roman" w:hAnsi="Times New Roman" w:cs="Times New Roman"/>
          <w:kern w:val="0"/>
          <w:sz w:val="24"/>
          <w:szCs w:val="24"/>
          <w:lang w:eastAsia="en-GB"/>
          <w14:ligatures w14:val="none"/>
        </w:rPr>
      </w:pPr>
      <w:r w:rsidRPr="000E167F">
        <w:rPr>
          <w:rFonts w:ascii="Times New Roman" w:eastAsia="Times New Roman" w:hAnsi="Times New Roman" w:cs="Times New Roman"/>
          <w:b/>
          <w:bCs/>
          <w:kern w:val="0"/>
          <w:sz w:val="24"/>
          <w:szCs w:val="24"/>
          <w:lang w:eastAsia="en-GB"/>
          <w14:ligatures w14:val="none"/>
        </w:rPr>
        <w:t>Stem cells</w:t>
      </w:r>
      <w:r w:rsidRPr="000E167F">
        <w:rPr>
          <w:rFonts w:ascii="Times New Roman" w:eastAsia="Times New Roman" w:hAnsi="Times New Roman" w:cs="Times New Roman"/>
          <w:kern w:val="0"/>
          <w:sz w:val="24"/>
          <w:szCs w:val="24"/>
          <w:lang w:eastAsia="en-GB"/>
          <w14:ligatures w14:val="none"/>
        </w:rPr>
        <w:t xml:space="preserve"> (particularly periodontal ligament stem cells, PDLSCs) capable of differentiating into </w:t>
      </w:r>
      <w:proofErr w:type="spellStart"/>
      <w:r w:rsidRPr="000E167F">
        <w:rPr>
          <w:rFonts w:ascii="Times New Roman" w:eastAsia="Times New Roman" w:hAnsi="Times New Roman" w:cs="Times New Roman"/>
          <w:kern w:val="0"/>
          <w:sz w:val="24"/>
          <w:szCs w:val="24"/>
          <w:lang w:eastAsia="en-GB"/>
          <w14:ligatures w14:val="none"/>
        </w:rPr>
        <w:t>cementoblastic</w:t>
      </w:r>
      <w:proofErr w:type="spellEnd"/>
      <w:r w:rsidRPr="000E167F">
        <w:rPr>
          <w:rFonts w:ascii="Times New Roman" w:eastAsia="Times New Roman" w:hAnsi="Times New Roman" w:cs="Times New Roman"/>
          <w:kern w:val="0"/>
          <w:sz w:val="24"/>
          <w:szCs w:val="24"/>
          <w:lang w:eastAsia="en-GB"/>
          <w14:ligatures w14:val="none"/>
        </w:rPr>
        <w:t xml:space="preserve"> and fibroblastic lineages;</w:t>
      </w:r>
    </w:p>
    <w:p w14:paraId="12756423" w14:textId="77777777" w:rsidR="000E167F" w:rsidRPr="000E167F" w:rsidRDefault="000E167F" w:rsidP="001E10E5">
      <w:pPr>
        <w:numPr>
          <w:ilvl w:val="0"/>
          <w:numId w:val="7"/>
        </w:numPr>
        <w:spacing w:before="100" w:beforeAutospacing="1" w:after="100" w:afterAutospacing="1" w:line="360" w:lineRule="auto"/>
        <w:jc w:val="both"/>
        <w:rPr>
          <w:rFonts w:ascii="Times New Roman" w:eastAsia="Times New Roman" w:hAnsi="Times New Roman" w:cs="Times New Roman"/>
          <w:kern w:val="0"/>
          <w:sz w:val="24"/>
          <w:szCs w:val="24"/>
          <w:lang w:eastAsia="en-GB"/>
          <w14:ligatures w14:val="none"/>
        </w:rPr>
      </w:pPr>
      <w:r w:rsidRPr="000E167F">
        <w:rPr>
          <w:rFonts w:ascii="Times New Roman" w:eastAsia="Times New Roman" w:hAnsi="Times New Roman" w:cs="Times New Roman"/>
          <w:b/>
          <w:bCs/>
          <w:kern w:val="0"/>
          <w:sz w:val="24"/>
          <w:szCs w:val="24"/>
          <w:lang w:eastAsia="en-GB"/>
          <w14:ligatures w14:val="none"/>
        </w:rPr>
        <w:t>Scaffold matrices</w:t>
      </w:r>
      <w:r w:rsidRPr="000E167F">
        <w:rPr>
          <w:rFonts w:ascii="Times New Roman" w:eastAsia="Times New Roman" w:hAnsi="Times New Roman" w:cs="Times New Roman"/>
          <w:kern w:val="0"/>
          <w:sz w:val="24"/>
          <w:szCs w:val="24"/>
          <w:lang w:eastAsia="en-GB"/>
          <w14:ligatures w14:val="none"/>
        </w:rPr>
        <w:t xml:space="preserve"> engineered to guide oriented collagen </w:t>
      </w:r>
      <w:proofErr w:type="spellStart"/>
      <w:r w:rsidRPr="000E167F">
        <w:rPr>
          <w:rFonts w:ascii="Times New Roman" w:eastAsia="Times New Roman" w:hAnsi="Times New Roman" w:cs="Times New Roman"/>
          <w:kern w:val="0"/>
          <w:sz w:val="24"/>
          <w:szCs w:val="24"/>
          <w:lang w:eastAsia="en-GB"/>
          <w14:ligatures w14:val="none"/>
        </w:rPr>
        <w:t>fiber</w:t>
      </w:r>
      <w:proofErr w:type="spellEnd"/>
      <w:r w:rsidRPr="000E167F">
        <w:rPr>
          <w:rFonts w:ascii="Times New Roman" w:eastAsia="Times New Roman" w:hAnsi="Times New Roman" w:cs="Times New Roman"/>
          <w:kern w:val="0"/>
          <w:sz w:val="24"/>
          <w:szCs w:val="24"/>
          <w:lang w:eastAsia="en-GB"/>
          <w14:ligatures w14:val="none"/>
        </w:rPr>
        <w:t xml:space="preserve"> deposition and vascular ingrowth;</w:t>
      </w:r>
    </w:p>
    <w:p w14:paraId="3C8F4BE3" w14:textId="77777777" w:rsidR="000E167F" w:rsidRPr="000E167F" w:rsidRDefault="000E167F" w:rsidP="001E10E5">
      <w:pPr>
        <w:numPr>
          <w:ilvl w:val="0"/>
          <w:numId w:val="7"/>
        </w:numPr>
        <w:spacing w:before="100" w:beforeAutospacing="1" w:after="100" w:afterAutospacing="1" w:line="360" w:lineRule="auto"/>
        <w:jc w:val="both"/>
        <w:rPr>
          <w:rFonts w:ascii="Times New Roman" w:eastAsia="Times New Roman" w:hAnsi="Times New Roman" w:cs="Times New Roman"/>
          <w:kern w:val="0"/>
          <w:sz w:val="24"/>
          <w:szCs w:val="24"/>
          <w:lang w:eastAsia="en-GB"/>
          <w14:ligatures w14:val="none"/>
        </w:rPr>
      </w:pPr>
      <w:r w:rsidRPr="000E167F">
        <w:rPr>
          <w:rFonts w:ascii="Times New Roman" w:eastAsia="Times New Roman" w:hAnsi="Times New Roman" w:cs="Times New Roman"/>
          <w:b/>
          <w:bCs/>
          <w:kern w:val="0"/>
          <w:sz w:val="24"/>
          <w:szCs w:val="24"/>
          <w:lang w:eastAsia="en-GB"/>
          <w14:ligatures w14:val="none"/>
        </w:rPr>
        <w:t>Growth factors and bioactive surface modifications</w:t>
      </w:r>
      <w:r w:rsidRPr="000E167F">
        <w:rPr>
          <w:rFonts w:ascii="Times New Roman" w:eastAsia="Times New Roman" w:hAnsi="Times New Roman" w:cs="Times New Roman"/>
          <w:kern w:val="0"/>
          <w:sz w:val="24"/>
          <w:szCs w:val="24"/>
          <w:lang w:eastAsia="en-GB"/>
          <w14:ligatures w14:val="none"/>
        </w:rPr>
        <w:t xml:space="preserve"> that promote selective cell adhesion and lineage commitment.</w:t>
      </w:r>
    </w:p>
    <w:p w14:paraId="605F0DA4" w14:textId="77777777" w:rsidR="000E167F" w:rsidRPr="000E167F" w:rsidRDefault="000E167F" w:rsidP="001E10E5">
      <w:pPr>
        <w:spacing w:before="100" w:beforeAutospacing="1" w:after="100" w:afterAutospacing="1" w:line="360" w:lineRule="auto"/>
        <w:jc w:val="both"/>
        <w:rPr>
          <w:rFonts w:ascii="Times New Roman" w:eastAsia="Times New Roman" w:hAnsi="Times New Roman" w:cs="Times New Roman"/>
          <w:kern w:val="0"/>
          <w:sz w:val="24"/>
          <w:szCs w:val="24"/>
          <w:lang w:eastAsia="en-GB"/>
          <w14:ligatures w14:val="none"/>
        </w:rPr>
      </w:pPr>
      <w:r w:rsidRPr="000E167F">
        <w:rPr>
          <w:rFonts w:ascii="Times New Roman" w:eastAsia="Times New Roman" w:hAnsi="Times New Roman" w:cs="Times New Roman"/>
          <w:kern w:val="0"/>
          <w:sz w:val="24"/>
          <w:szCs w:val="24"/>
          <w:lang w:eastAsia="en-GB"/>
          <w14:ligatures w14:val="none"/>
        </w:rPr>
        <w:t xml:space="preserve">Periodontal ligament stem cells cultured on bioactive titanium or hydroxyapatite-modified implant surfaces have demonstrated </w:t>
      </w:r>
      <w:proofErr w:type="spellStart"/>
      <w:r w:rsidRPr="000E167F">
        <w:rPr>
          <w:rFonts w:ascii="Times New Roman" w:eastAsia="Times New Roman" w:hAnsi="Times New Roman" w:cs="Times New Roman"/>
          <w:kern w:val="0"/>
          <w:sz w:val="24"/>
          <w:szCs w:val="24"/>
          <w:lang w:eastAsia="en-GB"/>
          <w14:ligatures w14:val="none"/>
        </w:rPr>
        <w:t>cementoblastic</w:t>
      </w:r>
      <w:proofErr w:type="spellEnd"/>
      <w:r w:rsidRPr="000E167F">
        <w:rPr>
          <w:rFonts w:ascii="Times New Roman" w:eastAsia="Times New Roman" w:hAnsi="Times New Roman" w:cs="Times New Roman"/>
          <w:kern w:val="0"/>
          <w:sz w:val="24"/>
          <w:szCs w:val="24"/>
          <w:lang w:eastAsia="en-GB"/>
          <w14:ligatures w14:val="none"/>
        </w:rPr>
        <w:t xml:space="preserve"> differentiation and the formation of mineralized cementum-like layers.¹³ More importantly, collagen </w:t>
      </w:r>
      <w:proofErr w:type="spellStart"/>
      <w:r w:rsidRPr="000E167F">
        <w:rPr>
          <w:rFonts w:ascii="Times New Roman" w:eastAsia="Times New Roman" w:hAnsi="Times New Roman" w:cs="Times New Roman"/>
          <w:kern w:val="0"/>
          <w:sz w:val="24"/>
          <w:szCs w:val="24"/>
          <w:lang w:eastAsia="en-GB"/>
          <w14:ligatures w14:val="none"/>
        </w:rPr>
        <w:t>fiber</w:t>
      </w:r>
      <w:proofErr w:type="spellEnd"/>
      <w:r w:rsidRPr="000E167F">
        <w:rPr>
          <w:rFonts w:ascii="Times New Roman" w:eastAsia="Times New Roman" w:hAnsi="Times New Roman" w:cs="Times New Roman"/>
          <w:kern w:val="0"/>
          <w:sz w:val="24"/>
          <w:szCs w:val="24"/>
          <w:lang w:eastAsia="en-GB"/>
          <w14:ligatures w14:val="none"/>
        </w:rPr>
        <w:t xml:space="preserve"> bundles resembling </w:t>
      </w:r>
      <w:proofErr w:type="spellStart"/>
      <w:r w:rsidRPr="000E167F">
        <w:rPr>
          <w:rFonts w:ascii="Times New Roman" w:eastAsia="Times New Roman" w:hAnsi="Times New Roman" w:cs="Times New Roman"/>
          <w:kern w:val="0"/>
          <w:sz w:val="24"/>
          <w:szCs w:val="24"/>
          <w:lang w:eastAsia="en-GB"/>
          <w14:ligatures w14:val="none"/>
        </w:rPr>
        <w:t>Sharpey’s</w:t>
      </w:r>
      <w:proofErr w:type="spellEnd"/>
      <w:r w:rsidRPr="000E167F">
        <w:rPr>
          <w:rFonts w:ascii="Times New Roman" w:eastAsia="Times New Roman" w:hAnsi="Times New Roman" w:cs="Times New Roman"/>
          <w:kern w:val="0"/>
          <w:sz w:val="24"/>
          <w:szCs w:val="24"/>
          <w:lang w:eastAsia="en-GB"/>
          <w14:ligatures w14:val="none"/>
        </w:rPr>
        <w:t xml:space="preserve"> </w:t>
      </w:r>
      <w:proofErr w:type="spellStart"/>
      <w:r w:rsidRPr="000E167F">
        <w:rPr>
          <w:rFonts w:ascii="Times New Roman" w:eastAsia="Times New Roman" w:hAnsi="Times New Roman" w:cs="Times New Roman"/>
          <w:kern w:val="0"/>
          <w:sz w:val="24"/>
          <w:szCs w:val="24"/>
          <w:lang w:eastAsia="en-GB"/>
          <w14:ligatures w14:val="none"/>
        </w:rPr>
        <w:t>fibers</w:t>
      </w:r>
      <w:proofErr w:type="spellEnd"/>
      <w:r w:rsidRPr="000E167F">
        <w:rPr>
          <w:rFonts w:ascii="Times New Roman" w:eastAsia="Times New Roman" w:hAnsi="Times New Roman" w:cs="Times New Roman"/>
          <w:kern w:val="0"/>
          <w:sz w:val="24"/>
          <w:szCs w:val="24"/>
          <w:lang w:eastAsia="en-GB"/>
          <w14:ligatures w14:val="none"/>
        </w:rPr>
        <w:t xml:space="preserve"> have been observed inserting into both the mineralized surface and adjacent bone, accompanied by evidence of vascular and neural ingrowth.¹³ Such findings suggest that functional ligament regeneration is biologically attainable rather than purely theoretical.</w:t>
      </w:r>
    </w:p>
    <w:p w14:paraId="12D34E76" w14:textId="56CFE316" w:rsidR="00AC719F" w:rsidRPr="001E10E5" w:rsidRDefault="000E167F" w:rsidP="001E10E5">
      <w:pPr>
        <w:spacing w:before="100" w:beforeAutospacing="1" w:after="100" w:afterAutospacing="1" w:line="360" w:lineRule="auto"/>
        <w:jc w:val="both"/>
        <w:rPr>
          <w:rFonts w:ascii="Times New Roman" w:eastAsia="Times New Roman" w:hAnsi="Times New Roman" w:cs="Times New Roman"/>
          <w:kern w:val="0"/>
          <w:sz w:val="24"/>
          <w:szCs w:val="24"/>
          <w:lang w:eastAsia="en-GB"/>
          <w14:ligatures w14:val="none"/>
        </w:rPr>
      </w:pPr>
      <w:r w:rsidRPr="000E167F">
        <w:rPr>
          <w:rFonts w:ascii="Times New Roman" w:eastAsia="Times New Roman" w:hAnsi="Times New Roman" w:cs="Times New Roman"/>
          <w:kern w:val="0"/>
          <w:sz w:val="24"/>
          <w:szCs w:val="24"/>
          <w:lang w:eastAsia="en-GB"/>
          <w14:ligatures w14:val="none"/>
        </w:rPr>
        <w:lastRenderedPageBreak/>
        <w:t xml:space="preserve">These advances collectively underpin the biological rationale of </w:t>
      </w:r>
      <w:proofErr w:type="spellStart"/>
      <w:r w:rsidRPr="000E167F">
        <w:rPr>
          <w:rFonts w:ascii="Times New Roman" w:eastAsia="Times New Roman" w:hAnsi="Times New Roman" w:cs="Times New Roman"/>
          <w:b/>
          <w:bCs/>
          <w:kern w:val="0"/>
          <w:sz w:val="24"/>
          <w:szCs w:val="24"/>
          <w:lang w:eastAsia="en-GB"/>
          <w14:ligatures w14:val="none"/>
        </w:rPr>
        <w:t>Ligaplants</w:t>
      </w:r>
      <w:proofErr w:type="spellEnd"/>
      <w:r w:rsidRPr="000E167F">
        <w:rPr>
          <w:rFonts w:ascii="Times New Roman" w:eastAsia="Times New Roman" w:hAnsi="Times New Roman" w:cs="Times New Roman"/>
          <w:kern w:val="0"/>
          <w:sz w:val="24"/>
          <w:szCs w:val="24"/>
          <w:lang w:eastAsia="en-GB"/>
          <w14:ligatures w14:val="none"/>
        </w:rPr>
        <w:t xml:space="preserve">—a regenerative implant concept designed to achieve not only osseointegration but true functional </w:t>
      </w:r>
      <w:proofErr w:type="spellStart"/>
      <w:proofErr w:type="gramStart"/>
      <w:r w:rsidRPr="000E167F">
        <w:rPr>
          <w:rFonts w:ascii="Times New Roman" w:eastAsia="Times New Roman" w:hAnsi="Times New Roman" w:cs="Times New Roman"/>
          <w:kern w:val="0"/>
          <w:sz w:val="24"/>
          <w:szCs w:val="24"/>
          <w:lang w:eastAsia="en-GB"/>
          <w14:ligatures w14:val="none"/>
        </w:rPr>
        <w:t>biointegration</w:t>
      </w:r>
      <w:proofErr w:type="spellEnd"/>
      <w:r w:rsidRPr="000E167F">
        <w:rPr>
          <w:rFonts w:ascii="Times New Roman" w:eastAsia="Times New Roman" w:hAnsi="Times New Roman" w:cs="Times New Roman"/>
          <w:kern w:val="0"/>
          <w:sz w:val="24"/>
          <w:szCs w:val="24"/>
          <w:lang w:eastAsia="en-GB"/>
          <w14:ligatures w14:val="none"/>
        </w:rPr>
        <w:t>.⁴</w:t>
      </w:r>
      <w:proofErr w:type="gramEnd"/>
      <w:r w:rsidRPr="000E167F">
        <w:rPr>
          <w:rFonts w:ascii="Times New Roman" w:eastAsia="Times New Roman" w:hAnsi="Times New Roman" w:cs="Times New Roman"/>
          <w:kern w:val="0"/>
          <w:sz w:val="24"/>
          <w:szCs w:val="24"/>
          <w:lang w:eastAsia="en-GB"/>
          <w14:ligatures w14:val="none"/>
        </w:rPr>
        <w:t xml:space="preserve"> Unlike conventional implants that rely solely on bone anchorage, </w:t>
      </w:r>
      <w:proofErr w:type="spellStart"/>
      <w:r w:rsidRPr="000E167F">
        <w:rPr>
          <w:rFonts w:ascii="Times New Roman" w:eastAsia="Times New Roman" w:hAnsi="Times New Roman" w:cs="Times New Roman"/>
          <w:kern w:val="0"/>
          <w:sz w:val="24"/>
          <w:szCs w:val="24"/>
          <w:lang w:eastAsia="en-GB"/>
          <w14:ligatures w14:val="none"/>
        </w:rPr>
        <w:t>Ligaplants</w:t>
      </w:r>
      <w:proofErr w:type="spellEnd"/>
      <w:r w:rsidRPr="000E167F">
        <w:rPr>
          <w:rFonts w:ascii="Times New Roman" w:eastAsia="Times New Roman" w:hAnsi="Times New Roman" w:cs="Times New Roman"/>
          <w:kern w:val="0"/>
          <w:sz w:val="24"/>
          <w:szCs w:val="24"/>
          <w:lang w:eastAsia="en-GB"/>
          <w14:ligatures w14:val="none"/>
        </w:rPr>
        <w:t xml:space="preserve"> aspire to create a living, adaptive interface capable of proprioception, controlled micromovement, and </w:t>
      </w:r>
      <w:proofErr w:type="spellStart"/>
      <w:r w:rsidRPr="000E167F">
        <w:rPr>
          <w:rFonts w:ascii="Times New Roman" w:eastAsia="Times New Roman" w:hAnsi="Times New Roman" w:cs="Times New Roman"/>
          <w:kern w:val="0"/>
          <w:sz w:val="24"/>
          <w:szCs w:val="24"/>
          <w:lang w:eastAsia="en-GB"/>
          <w14:ligatures w14:val="none"/>
        </w:rPr>
        <w:t>mechanoregulated</w:t>
      </w:r>
      <w:proofErr w:type="spellEnd"/>
      <w:r w:rsidRPr="000E167F">
        <w:rPr>
          <w:rFonts w:ascii="Times New Roman" w:eastAsia="Times New Roman" w:hAnsi="Times New Roman" w:cs="Times New Roman"/>
          <w:kern w:val="0"/>
          <w:sz w:val="24"/>
          <w:szCs w:val="24"/>
          <w:lang w:eastAsia="en-GB"/>
          <w14:ligatures w14:val="none"/>
        </w:rPr>
        <w:t xml:space="preserve"> bone </w:t>
      </w:r>
      <w:proofErr w:type="spellStart"/>
      <w:r w:rsidRPr="000E167F">
        <w:rPr>
          <w:rFonts w:ascii="Times New Roman" w:eastAsia="Times New Roman" w:hAnsi="Times New Roman" w:cs="Times New Roman"/>
          <w:kern w:val="0"/>
          <w:sz w:val="24"/>
          <w:szCs w:val="24"/>
          <w:lang w:eastAsia="en-GB"/>
          <w14:ligatures w14:val="none"/>
        </w:rPr>
        <w:t>remodeling</w:t>
      </w:r>
      <w:proofErr w:type="spellEnd"/>
      <w:r w:rsidRPr="000E167F">
        <w:rPr>
          <w:rFonts w:ascii="Times New Roman" w:eastAsia="Times New Roman" w:hAnsi="Times New Roman" w:cs="Times New Roman"/>
          <w:kern w:val="0"/>
          <w:sz w:val="24"/>
          <w:szCs w:val="24"/>
          <w:lang w:eastAsia="en-GB"/>
          <w14:ligatures w14:val="none"/>
        </w:rPr>
        <w:t>. By restoring elements of the natural periodontal attachment apparatus, this approach represents a paradigm shift in implant dentistry—from static ankylosis toward dynamic, biomimetic integration.</w:t>
      </w:r>
    </w:p>
    <w:p w14:paraId="40457AF3" w14:textId="10CF6CCE" w:rsidR="00886430" w:rsidRDefault="00886430" w:rsidP="001E10E5">
      <w:pPr>
        <w:pStyle w:val="Heading2"/>
        <w:numPr>
          <w:ilvl w:val="0"/>
          <w:numId w:val="8"/>
        </w:numPr>
        <w:ind w:left="142"/>
        <w:rPr>
          <w:rFonts w:ascii="Times New Roman" w:hAnsi="Times New Roman" w:cs="Times New Roman"/>
          <w:b/>
          <w:bCs/>
          <w:color w:val="000000" w:themeColor="text1"/>
          <w:sz w:val="28"/>
          <w:szCs w:val="28"/>
        </w:rPr>
      </w:pPr>
      <w:r w:rsidRPr="001E10E5">
        <w:rPr>
          <w:rFonts w:ascii="Times New Roman" w:hAnsi="Times New Roman" w:cs="Times New Roman"/>
          <w:b/>
          <w:bCs/>
          <w:color w:val="000000" w:themeColor="text1"/>
          <w:sz w:val="28"/>
          <w:szCs w:val="28"/>
        </w:rPr>
        <w:t xml:space="preserve">Evolution of the </w:t>
      </w:r>
      <w:proofErr w:type="spellStart"/>
      <w:r w:rsidRPr="001E10E5">
        <w:rPr>
          <w:rFonts w:ascii="Times New Roman" w:hAnsi="Times New Roman" w:cs="Times New Roman"/>
          <w:b/>
          <w:bCs/>
          <w:color w:val="000000" w:themeColor="text1"/>
          <w:sz w:val="28"/>
          <w:szCs w:val="28"/>
        </w:rPr>
        <w:t>Ligaplant</w:t>
      </w:r>
      <w:proofErr w:type="spellEnd"/>
      <w:r w:rsidRPr="001E10E5">
        <w:rPr>
          <w:rFonts w:ascii="Times New Roman" w:hAnsi="Times New Roman" w:cs="Times New Roman"/>
          <w:b/>
          <w:bCs/>
          <w:color w:val="000000" w:themeColor="text1"/>
          <w:sz w:val="28"/>
          <w:szCs w:val="28"/>
        </w:rPr>
        <w:t xml:space="preserve"> Concept and Fabrication Strategies</w:t>
      </w:r>
    </w:p>
    <w:p w14:paraId="0FE2F4A1" w14:textId="77777777" w:rsidR="001E10E5" w:rsidRPr="001E10E5" w:rsidRDefault="001E10E5" w:rsidP="001E10E5">
      <w:pPr>
        <w:pStyle w:val="ListParagraph"/>
      </w:pPr>
    </w:p>
    <w:p w14:paraId="448A870E" w14:textId="77777777" w:rsidR="00886430" w:rsidRDefault="00886430" w:rsidP="001E10E5">
      <w:pPr>
        <w:pStyle w:val="NormalWeb"/>
        <w:spacing w:line="360" w:lineRule="auto"/>
        <w:jc w:val="both"/>
      </w:pPr>
      <w:r>
        <w:t xml:space="preserve">The conceptual evolution of the </w:t>
      </w:r>
      <w:proofErr w:type="spellStart"/>
      <w:r>
        <w:t>Ligaplant</w:t>
      </w:r>
      <w:proofErr w:type="spellEnd"/>
      <w:r>
        <w:t xml:space="preserve"> represents a paradigm shift in implant dentistry—from rigid osseointegration toward biologically mediated ligamentous integration. Early experimental efforts in the 1990s sought to determine whether a periodontal ligament (PDL)-like interface could be induced around titanium implants. Rather than relying solely on bone–implant contact, researchers hypothesized that the regenerative capacity of periodontal tissues could be harnessed to recreate a functional attachment apparatus.</w:t>
      </w:r>
    </w:p>
    <w:p w14:paraId="116C0891" w14:textId="77777777" w:rsidR="00886430" w:rsidRDefault="00886430" w:rsidP="001E10E5">
      <w:pPr>
        <w:pStyle w:val="NormalWeb"/>
        <w:spacing w:line="360" w:lineRule="auto"/>
        <w:jc w:val="both"/>
      </w:pPr>
      <w:r>
        <w:t xml:space="preserve">Pioneering investigations by Daniel </w:t>
      </w:r>
      <w:proofErr w:type="spellStart"/>
      <w:r>
        <w:t>Buser</w:t>
      </w:r>
      <w:proofErr w:type="spellEnd"/>
      <w:r>
        <w:t xml:space="preserve"> and colleagues in canine models demonstrated that plasma-sprayed titanium implants placed in proximity to teeth with intact periodontal ligaments could acquire cementum-like deposits and collagen </w:t>
      </w:r>
      <w:proofErr w:type="spellStart"/>
      <w:r>
        <w:t>fiber</w:t>
      </w:r>
      <w:proofErr w:type="spellEnd"/>
      <w:r>
        <w:t xml:space="preserve"> insertions on their surfaces.¹⁴ Histologic analysis revealed oriented </w:t>
      </w:r>
      <w:proofErr w:type="spellStart"/>
      <w:r>
        <w:t>fiber</w:t>
      </w:r>
      <w:proofErr w:type="spellEnd"/>
      <w:r>
        <w:t xml:space="preserve"> bundles inserting into mineralized layers reminiscent of </w:t>
      </w:r>
      <w:proofErr w:type="spellStart"/>
      <w:r>
        <w:t>Sharpey’s</w:t>
      </w:r>
      <w:proofErr w:type="spellEnd"/>
      <w:r>
        <w:t xml:space="preserve"> </w:t>
      </w:r>
      <w:proofErr w:type="spellStart"/>
      <w:r>
        <w:t>fibers</w:t>
      </w:r>
      <w:proofErr w:type="spellEnd"/>
      <w:r>
        <w:t xml:space="preserve">, thereby providing the first experimental evidence that artificial implant surfaces could support periodontal attachment under </w:t>
      </w:r>
      <w:proofErr w:type="spellStart"/>
      <w:r>
        <w:t>favorable</w:t>
      </w:r>
      <w:proofErr w:type="spellEnd"/>
      <w:r>
        <w:t xml:space="preserve"> biological conditions. This finding fundamentally challenged the prevailing belief that osseointegration must necessarily exclude soft connective tissue interfaces.</w:t>
      </w:r>
    </w:p>
    <w:p w14:paraId="78916C67" w14:textId="77777777" w:rsidR="00886430" w:rsidRDefault="00886430" w:rsidP="001E10E5">
      <w:pPr>
        <w:pStyle w:val="NormalWeb"/>
        <w:spacing w:line="360" w:lineRule="auto"/>
        <w:jc w:val="both"/>
      </w:pPr>
      <w:r>
        <w:t xml:space="preserve">Subsequent studies by Choi, Rinaldi, and others expanded upon these observations by deliberately seeding implants with periodontal ligament–derived cells prior to </w:t>
      </w:r>
      <w:proofErr w:type="gramStart"/>
      <w:r>
        <w:t>placement.¹</w:t>
      </w:r>
      <w:proofErr w:type="gramEnd"/>
      <w:r>
        <w:t xml:space="preserve">⁵,¹⁶ In both in-vitro and in-vivo models, these cell-seeded implants developed organized collagen </w:t>
      </w:r>
      <w:proofErr w:type="spellStart"/>
      <w:r>
        <w:t>fiber</w:t>
      </w:r>
      <w:proofErr w:type="spellEnd"/>
      <w:r>
        <w:t xml:space="preserve"> bundles extending between the implant surface and adjacent alveolar bone. Importantly, the </w:t>
      </w:r>
      <w:proofErr w:type="spellStart"/>
      <w:r>
        <w:t>fibers</w:t>
      </w:r>
      <w:proofErr w:type="spellEnd"/>
      <w:r>
        <w:t xml:space="preserve"> demonstrated directional orientation and mineralized insertion patterns consistent with </w:t>
      </w:r>
      <w:proofErr w:type="spellStart"/>
      <w:r>
        <w:t>Sharpey’s</w:t>
      </w:r>
      <w:proofErr w:type="spellEnd"/>
      <w:r>
        <w:t xml:space="preserve">-like attachments. These investigations provided proof-of-concept that periodontal cell populations possess the intrinsic capacity to regenerate ligamentous architecture on biomaterial substrates, thereby laying the biological foundation for the </w:t>
      </w:r>
      <w:proofErr w:type="spellStart"/>
      <w:r>
        <w:t>Ligaplant</w:t>
      </w:r>
      <w:proofErr w:type="spellEnd"/>
      <w:r>
        <w:t xml:space="preserve"> concept.</w:t>
      </w:r>
    </w:p>
    <w:p w14:paraId="7DF8A16D" w14:textId="77777777" w:rsidR="00886430" w:rsidRDefault="00886430" w:rsidP="001E10E5">
      <w:pPr>
        <w:pStyle w:val="NormalWeb"/>
        <w:spacing w:line="360" w:lineRule="auto"/>
        <w:jc w:val="both"/>
      </w:pPr>
      <w:r>
        <w:lastRenderedPageBreak/>
        <w:t xml:space="preserve">Modern </w:t>
      </w:r>
      <w:proofErr w:type="spellStart"/>
      <w:r>
        <w:t>Ligaplant</w:t>
      </w:r>
      <w:proofErr w:type="spellEnd"/>
      <w:r>
        <w:t xml:space="preserve"> fabrication strategies are grounded in the classical tissue-engineering triad: </w:t>
      </w:r>
      <w:r>
        <w:rPr>
          <w:rStyle w:val="Strong"/>
        </w:rPr>
        <w:t xml:space="preserve">cells, scaffolds, and </w:t>
      </w:r>
      <w:proofErr w:type="spellStart"/>
      <w:r>
        <w:rPr>
          <w:rStyle w:val="Strong"/>
        </w:rPr>
        <w:t>signaling</w:t>
      </w:r>
      <w:proofErr w:type="spellEnd"/>
      <w:r>
        <w:rPr>
          <w:rStyle w:val="Strong"/>
        </w:rPr>
        <w:t xml:space="preserve"> molecules</w:t>
      </w:r>
      <w:r>
        <w:t xml:space="preserve">. Periodontal ligament stem cells (PDLSCs), dental follicle progenitor cells, or multipotent mesenchymal stem cells are harvested and expanded under controlled laboratory </w:t>
      </w:r>
      <w:proofErr w:type="gramStart"/>
      <w:r>
        <w:t>conditions.¹</w:t>
      </w:r>
      <w:proofErr w:type="gramEnd"/>
      <w:r>
        <w:t>⁷ Temperature-responsive culture systems have enabled the formation of intact cell sheets rich in extracellular matrix proteins, which can be transferred onto implant surfaces without enzymatic disruption of adhesion molecules. This cell-sheet engineering technique preserves cell–cell junctions and enhances survival and integration following transplantation.</w:t>
      </w:r>
    </w:p>
    <w:p w14:paraId="4655D619" w14:textId="77777777" w:rsidR="00886430" w:rsidRDefault="00886430" w:rsidP="001E10E5">
      <w:pPr>
        <w:pStyle w:val="NormalWeb"/>
        <w:spacing w:line="360" w:lineRule="auto"/>
        <w:jc w:val="both"/>
      </w:pPr>
      <w:r>
        <w:t xml:space="preserve">These biologically active constructs are then applied to titanium or hydroxyapatite-coated scaffolds that function as three-dimensional templates for cellular alignment and matrix </w:t>
      </w:r>
      <w:proofErr w:type="gramStart"/>
      <w:r>
        <w:t>deposition.¹</w:t>
      </w:r>
      <w:proofErr w:type="gramEnd"/>
      <w:r>
        <w:t xml:space="preserve">⁷ In experimental models, such constructs have generated fibrous connective tissue zones interposed between implant surfaces and alveolar bone, along with cementum-like mineralized layers exhibiting perpendicular collagen </w:t>
      </w:r>
      <w:proofErr w:type="spellStart"/>
      <w:r>
        <w:t>fiber</w:t>
      </w:r>
      <w:proofErr w:type="spellEnd"/>
      <w:r>
        <w:t xml:space="preserve"> insertions. Concurrently, adjacent bone defects have demonstrated new bone formation, suggesting coordinated regeneration of the entire periodontal complex.</w:t>
      </w:r>
    </w:p>
    <w:p w14:paraId="66034E87" w14:textId="77777777" w:rsidR="00886430" w:rsidRDefault="00886430" w:rsidP="001E10E5">
      <w:pPr>
        <w:pStyle w:val="NormalWeb"/>
        <w:spacing w:line="360" w:lineRule="auto"/>
        <w:jc w:val="both"/>
      </w:pPr>
      <w:r>
        <w:t xml:space="preserve">The addition of bioactive </w:t>
      </w:r>
      <w:proofErr w:type="spellStart"/>
      <w:r>
        <w:t>signaling</w:t>
      </w:r>
      <w:proofErr w:type="spellEnd"/>
      <w:r>
        <w:t xml:space="preserve"> molecules further enhances regenerative outcomes. Growth factors such as platelet-derived growth factor (PDGF), bone morphogenetic proteins (BMPs), and vascular endothelial growth factor (VEGF) promote cellular proliferation, angiogenesis, </w:t>
      </w:r>
      <w:proofErr w:type="spellStart"/>
      <w:r>
        <w:t>cementoblastic</w:t>
      </w:r>
      <w:proofErr w:type="spellEnd"/>
      <w:r>
        <w:t xml:space="preserve"> differentiation, and collagen </w:t>
      </w:r>
      <w:proofErr w:type="gramStart"/>
      <w:r>
        <w:t>maturation.¹</w:t>
      </w:r>
      <w:proofErr w:type="gramEnd"/>
      <w:r>
        <w:t>⁸ Controlled delivery of these factors accelerates integration and improves structural organization of regenerated ligament tissue, contributing to functional stability.</w:t>
      </w:r>
    </w:p>
    <w:p w14:paraId="27E87BE4" w14:textId="77777777" w:rsidR="00886430" w:rsidRDefault="00886430" w:rsidP="001E10E5">
      <w:pPr>
        <w:pStyle w:val="NormalWeb"/>
        <w:spacing w:line="360" w:lineRule="auto"/>
        <w:jc w:val="both"/>
      </w:pPr>
      <w:r>
        <w:t xml:space="preserve">Recent technological advancements have further refined </w:t>
      </w:r>
      <w:proofErr w:type="spellStart"/>
      <w:r>
        <w:t>Ligaplant</w:t>
      </w:r>
      <w:proofErr w:type="spellEnd"/>
      <w:r>
        <w:t xml:space="preserve"> fabrication through nanotechnology and surface </w:t>
      </w:r>
      <w:proofErr w:type="gramStart"/>
      <w:r>
        <w:t>biofunctionalization.¹</w:t>
      </w:r>
      <w:proofErr w:type="gramEnd"/>
      <w:r>
        <w:t xml:space="preserve">⁹ Nanostructured titanium surfaces enhance protein adsorption, integrin-mediated cell adhesion, and stem-cell anchorage, thereby improving initial cellular colonization. Sustained-release coatings embedded within implant surfaces provide localized, time-controlled delivery of osteogenic and </w:t>
      </w:r>
      <w:proofErr w:type="spellStart"/>
      <w:r>
        <w:t>ligamentogenic</w:t>
      </w:r>
      <w:proofErr w:type="spellEnd"/>
      <w:r>
        <w:t xml:space="preserve"> molecules, creating a microenvironment conducive to simultaneous bone and ligament regeneration.</w:t>
      </w:r>
    </w:p>
    <w:p w14:paraId="1CE5B46B" w14:textId="77777777" w:rsidR="00886430" w:rsidRDefault="00886430" w:rsidP="001E10E5">
      <w:pPr>
        <w:pStyle w:val="NormalWeb"/>
        <w:spacing w:line="360" w:lineRule="auto"/>
        <w:jc w:val="both"/>
      </w:pPr>
      <w:r>
        <w:t xml:space="preserve">Mechanical conditioning has also emerged as a critical determinant of </w:t>
      </w:r>
      <w:proofErr w:type="spellStart"/>
      <w:r>
        <w:t>fiber</w:t>
      </w:r>
      <w:proofErr w:type="spellEnd"/>
      <w:r>
        <w:t xml:space="preserve"> orientation and maturation. Controlled micro-motion and cyclic loading during in-vitro culture guide collagen alignment along physiologic stress vectors, mimicking the natural </w:t>
      </w:r>
      <w:proofErr w:type="spellStart"/>
      <w:r>
        <w:t>mechanotransductive</w:t>
      </w:r>
      <w:proofErr w:type="spellEnd"/>
      <w:r>
        <w:t xml:space="preserve"> environment of the PDL. Moreover, gene-activated scaffolds incorporating transcription </w:t>
      </w:r>
      <w:r>
        <w:lastRenderedPageBreak/>
        <w:t>factors such as RUNX2 and SP7 (</w:t>
      </w:r>
      <w:proofErr w:type="spellStart"/>
      <w:r>
        <w:t>osterix</w:t>
      </w:r>
      <w:proofErr w:type="spellEnd"/>
      <w:r>
        <w:t xml:space="preserve">) have demonstrated enhanced </w:t>
      </w:r>
      <w:proofErr w:type="spellStart"/>
      <w:r>
        <w:t>cementoblastic</w:t>
      </w:r>
      <w:proofErr w:type="spellEnd"/>
      <w:r>
        <w:t xml:space="preserve"> differentiation, organized collagen deposition, and improved mineralized interface </w:t>
      </w:r>
      <w:proofErr w:type="gramStart"/>
      <w:r>
        <w:t>formation.²</w:t>
      </w:r>
      <w:proofErr w:type="gramEnd"/>
      <w:r>
        <w:t xml:space="preserve">⁰ These gene-based strategies represent a sophisticated integration of molecular biology with biomaterial science, pushing the </w:t>
      </w:r>
      <w:proofErr w:type="spellStart"/>
      <w:r>
        <w:t>Ligaplant</w:t>
      </w:r>
      <w:proofErr w:type="spellEnd"/>
      <w:r>
        <w:t xml:space="preserve"> concept toward translational feasibility.</w:t>
      </w:r>
    </w:p>
    <w:p w14:paraId="33473780" w14:textId="77777777" w:rsidR="00886430" w:rsidRDefault="00886430" w:rsidP="001E10E5">
      <w:pPr>
        <w:pStyle w:val="NormalWeb"/>
        <w:spacing w:line="360" w:lineRule="auto"/>
        <w:jc w:val="both"/>
      </w:pPr>
      <w:r>
        <w:t xml:space="preserve">Collectively, the evolution of the </w:t>
      </w:r>
      <w:proofErr w:type="spellStart"/>
      <w:r>
        <w:t>Ligaplant</w:t>
      </w:r>
      <w:proofErr w:type="spellEnd"/>
      <w:r>
        <w:t xml:space="preserve"> reflects progressive integration of periodontal biology, regenerative medicine, nanotechnology, and molecular engineering. What began as observational evidence of accidental </w:t>
      </w:r>
      <w:proofErr w:type="spellStart"/>
      <w:r>
        <w:t>fiber</w:t>
      </w:r>
      <w:proofErr w:type="spellEnd"/>
      <w:r>
        <w:t xml:space="preserve"> attachment on titanium surfaces has matured into a structured, multi-component strategy aimed at achieving </w:t>
      </w:r>
      <w:r>
        <w:rPr>
          <w:rStyle w:val="Strong"/>
        </w:rPr>
        <w:t xml:space="preserve">true functional </w:t>
      </w:r>
      <w:proofErr w:type="spellStart"/>
      <w:r>
        <w:rPr>
          <w:rStyle w:val="Strong"/>
        </w:rPr>
        <w:t>biointegration</w:t>
      </w:r>
      <w:proofErr w:type="spellEnd"/>
      <w:r>
        <w:t xml:space="preserve">—a dynamic, vascularized, and mechanically responsive interface that transcends static </w:t>
      </w:r>
      <w:proofErr w:type="gramStart"/>
      <w:r>
        <w:t>osseointegration.²</w:t>
      </w:r>
      <w:proofErr w:type="gramEnd"/>
      <w:r>
        <w:t>⁰</w:t>
      </w:r>
    </w:p>
    <w:p w14:paraId="4E29000B" w14:textId="77777777" w:rsidR="00886430" w:rsidRDefault="00886430" w:rsidP="001E10E5">
      <w:pPr>
        <w:pStyle w:val="NormalWeb"/>
        <w:spacing w:line="360" w:lineRule="auto"/>
        <w:jc w:val="both"/>
      </w:pPr>
      <w:r>
        <w:t xml:space="preserve">As fabrication methodologies continue to advance, </w:t>
      </w:r>
      <w:proofErr w:type="spellStart"/>
      <w:r>
        <w:t>Ligaplants</w:t>
      </w:r>
      <w:proofErr w:type="spellEnd"/>
      <w:r>
        <w:t xml:space="preserve"> increasingly represent not merely a theoretical innovation but a biologically plausible and technologically achievable alternative to conventional implant anchorage.</w:t>
      </w:r>
    </w:p>
    <w:p w14:paraId="2D023B78" w14:textId="77777777" w:rsidR="001E10E5" w:rsidRDefault="001E10E5" w:rsidP="001E10E5">
      <w:pPr>
        <w:pStyle w:val="NormalWeb"/>
        <w:spacing w:line="360" w:lineRule="auto"/>
        <w:jc w:val="both"/>
      </w:pPr>
    </w:p>
    <w:p w14:paraId="1892F5A0" w14:textId="37BDF716" w:rsidR="00AE5BE2" w:rsidRPr="00AE5BE2" w:rsidRDefault="00AE5BE2" w:rsidP="00AE5BE2">
      <w:pPr>
        <w:spacing w:line="360" w:lineRule="auto"/>
        <w:jc w:val="both"/>
        <w:rPr>
          <w:rFonts w:ascii="Times New Roman" w:hAnsi="Times New Roman" w:cs="Times New Roman"/>
          <w:b/>
          <w:bCs/>
          <w:sz w:val="24"/>
          <w:szCs w:val="24"/>
        </w:rPr>
      </w:pPr>
      <w:r>
        <w:rPr>
          <w:rFonts w:ascii="Times New Roman" w:hAnsi="Times New Roman" w:cs="Times New Roman"/>
          <w:sz w:val="24"/>
          <w:szCs w:val="24"/>
        </w:rPr>
        <w:t>4. T</w:t>
      </w:r>
      <w:r w:rsidRPr="00AE5BE2">
        <w:rPr>
          <w:rFonts w:ascii="Times New Roman" w:hAnsi="Times New Roman" w:cs="Times New Roman"/>
          <w:b/>
          <w:bCs/>
          <w:sz w:val="24"/>
          <w:szCs w:val="24"/>
        </w:rPr>
        <w:t>issue Engineering Steps in Liga</w:t>
      </w:r>
      <w:r>
        <w:rPr>
          <w:rFonts w:ascii="Times New Roman" w:hAnsi="Times New Roman" w:cs="Times New Roman"/>
          <w:b/>
          <w:bCs/>
          <w:sz w:val="24"/>
          <w:szCs w:val="24"/>
        </w:rPr>
        <w:t xml:space="preserve"> </w:t>
      </w:r>
      <w:r w:rsidRPr="00AE5BE2">
        <w:rPr>
          <w:rFonts w:ascii="Times New Roman" w:hAnsi="Times New Roman" w:cs="Times New Roman"/>
          <w:b/>
          <w:bCs/>
          <w:sz w:val="24"/>
          <w:szCs w:val="24"/>
        </w:rPr>
        <w:t>plant Fabrication</w:t>
      </w:r>
    </w:p>
    <w:p w14:paraId="58E5C90D" w14:textId="37835719" w:rsidR="00AE5BE2" w:rsidRPr="00AE5BE2" w:rsidRDefault="00AE5BE2" w:rsidP="00AE5BE2">
      <w:pPr>
        <w:spacing w:line="360" w:lineRule="auto"/>
        <w:jc w:val="both"/>
        <w:rPr>
          <w:rFonts w:ascii="Times New Roman" w:hAnsi="Times New Roman" w:cs="Times New Roman"/>
          <w:sz w:val="24"/>
          <w:szCs w:val="24"/>
        </w:rPr>
      </w:pPr>
      <w:r w:rsidRPr="00AE5BE2">
        <w:rPr>
          <w:rFonts w:ascii="Times New Roman" w:hAnsi="Times New Roman" w:cs="Times New Roman"/>
          <w:sz w:val="24"/>
          <w:szCs w:val="24"/>
        </w:rPr>
        <w:t>The commonly described laboratory/tissue-engineering protocol involves three sequential phases: preparation of culture surfaces, cell isolation and cultivation, and assembly of the engineered PDL around the implant (bioreactor phase)</w:t>
      </w:r>
      <w:r w:rsidR="007B237E">
        <w:rPr>
          <w:rFonts w:ascii="Times New Roman" w:hAnsi="Times New Roman" w:cs="Times New Roman"/>
          <w:sz w:val="24"/>
          <w:szCs w:val="24"/>
          <w:vertAlign w:val="superscript"/>
        </w:rPr>
        <w:t>17</w:t>
      </w:r>
      <w:r w:rsidRPr="00AE5BE2">
        <w:rPr>
          <w:rFonts w:ascii="Times New Roman" w:hAnsi="Times New Roman" w:cs="Times New Roman"/>
          <w:sz w:val="24"/>
          <w:szCs w:val="24"/>
        </w:rPr>
        <w:t xml:space="preserve">. </w:t>
      </w:r>
    </w:p>
    <w:p w14:paraId="025ECDF8" w14:textId="0FAB3FF3" w:rsidR="00AE5BE2" w:rsidRPr="00AE5BE2" w:rsidRDefault="00AE5BE2" w:rsidP="00AE5BE2">
      <w:pPr>
        <w:spacing w:line="360" w:lineRule="auto"/>
        <w:jc w:val="both"/>
        <w:rPr>
          <w:rFonts w:ascii="Times New Roman" w:hAnsi="Times New Roman" w:cs="Times New Roman"/>
          <w:sz w:val="24"/>
          <w:szCs w:val="24"/>
        </w:rPr>
      </w:pPr>
    </w:p>
    <w:p w14:paraId="0A105932" w14:textId="3F96EC78" w:rsidR="00AE5BE2" w:rsidRPr="00AE5BE2" w:rsidRDefault="00AE5BE2" w:rsidP="00AE5BE2">
      <w:pPr>
        <w:pStyle w:val="ListParagraph"/>
        <w:numPr>
          <w:ilvl w:val="0"/>
          <w:numId w:val="5"/>
        </w:numPr>
        <w:spacing w:line="360" w:lineRule="auto"/>
        <w:jc w:val="both"/>
        <w:rPr>
          <w:rFonts w:ascii="Times New Roman" w:hAnsi="Times New Roman" w:cs="Times New Roman"/>
          <w:b/>
          <w:bCs/>
          <w:sz w:val="24"/>
          <w:szCs w:val="24"/>
        </w:rPr>
      </w:pPr>
      <w:r w:rsidRPr="00AE5BE2">
        <w:rPr>
          <w:rFonts w:ascii="Times New Roman" w:hAnsi="Times New Roman" w:cs="Times New Roman"/>
          <w:b/>
          <w:bCs/>
          <w:sz w:val="24"/>
          <w:szCs w:val="24"/>
        </w:rPr>
        <w:t>Preparation of Cell Culture Surfaces</w:t>
      </w:r>
    </w:p>
    <w:p w14:paraId="303A8C30" w14:textId="77777777" w:rsidR="00AE5BE2" w:rsidRPr="00AE5BE2" w:rsidRDefault="00AE5BE2" w:rsidP="00AE5BE2">
      <w:pPr>
        <w:numPr>
          <w:ilvl w:val="0"/>
          <w:numId w:val="2"/>
        </w:numPr>
        <w:spacing w:line="360" w:lineRule="auto"/>
        <w:jc w:val="both"/>
        <w:rPr>
          <w:rFonts w:ascii="Times New Roman" w:hAnsi="Times New Roman" w:cs="Times New Roman"/>
          <w:sz w:val="24"/>
          <w:szCs w:val="24"/>
        </w:rPr>
      </w:pPr>
      <w:r w:rsidRPr="00AE5BE2">
        <w:rPr>
          <w:rFonts w:ascii="Times New Roman" w:hAnsi="Times New Roman" w:cs="Times New Roman"/>
          <w:sz w:val="24"/>
          <w:szCs w:val="24"/>
        </w:rPr>
        <w:t>Culture dishes are modified with a temperature-responsive polymer (poly N-isopropylacrylamide) to allow harvest of intact cell sheets without enzymatic treatment.</w:t>
      </w:r>
    </w:p>
    <w:p w14:paraId="5120E0AC" w14:textId="5EB1446E" w:rsidR="00AE5BE2" w:rsidRPr="00AE5BE2" w:rsidRDefault="00AE5BE2" w:rsidP="00AE5BE2">
      <w:pPr>
        <w:numPr>
          <w:ilvl w:val="0"/>
          <w:numId w:val="2"/>
        </w:numPr>
        <w:spacing w:line="360" w:lineRule="auto"/>
        <w:jc w:val="both"/>
        <w:rPr>
          <w:rFonts w:ascii="Times New Roman" w:hAnsi="Times New Roman" w:cs="Times New Roman"/>
          <w:sz w:val="24"/>
          <w:szCs w:val="24"/>
        </w:rPr>
      </w:pPr>
      <w:r w:rsidRPr="00AE5BE2">
        <w:rPr>
          <w:rFonts w:ascii="Times New Roman" w:hAnsi="Times New Roman" w:cs="Times New Roman"/>
          <w:sz w:val="24"/>
          <w:szCs w:val="24"/>
        </w:rPr>
        <w:t>These dishes are prepared by grafting the polymer onto polystyrene and sterilizing appropriately</w:t>
      </w:r>
      <w:r w:rsidR="007B237E">
        <w:rPr>
          <w:rFonts w:ascii="Times New Roman" w:hAnsi="Times New Roman" w:cs="Times New Roman"/>
          <w:sz w:val="24"/>
          <w:szCs w:val="24"/>
          <w:vertAlign w:val="superscript"/>
        </w:rPr>
        <w:t>17</w:t>
      </w:r>
      <w:r w:rsidRPr="00AE5BE2">
        <w:rPr>
          <w:rFonts w:ascii="Times New Roman" w:hAnsi="Times New Roman" w:cs="Times New Roman"/>
          <w:sz w:val="24"/>
          <w:szCs w:val="24"/>
        </w:rPr>
        <w:t xml:space="preserve">. </w:t>
      </w:r>
    </w:p>
    <w:p w14:paraId="75580FDE" w14:textId="37C10327" w:rsidR="00AE5BE2" w:rsidRPr="00AE5BE2" w:rsidRDefault="00AE5BE2" w:rsidP="00AE5BE2">
      <w:pPr>
        <w:spacing w:line="360" w:lineRule="auto"/>
        <w:jc w:val="both"/>
        <w:rPr>
          <w:rFonts w:ascii="Times New Roman" w:hAnsi="Times New Roman" w:cs="Times New Roman"/>
          <w:sz w:val="24"/>
          <w:szCs w:val="24"/>
        </w:rPr>
      </w:pPr>
    </w:p>
    <w:p w14:paraId="4E65B707" w14:textId="66C3F0A5" w:rsidR="00AE5BE2" w:rsidRPr="00AE5BE2" w:rsidRDefault="00AE5BE2" w:rsidP="00AE5BE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B)</w:t>
      </w:r>
      <w:r w:rsidRPr="00AE5BE2">
        <w:rPr>
          <w:rFonts w:ascii="Times New Roman" w:hAnsi="Times New Roman" w:cs="Times New Roman"/>
          <w:b/>
          <w:bCs/>
          <w:sz w:val="24"/>
          <w:szCs w:val="24"/>
        </w:rPr>
        <w:t xml:space="preserve"> PDL Cell Isolation &amp; Initial Culture</w:t>
      </w:r>
    </w:p>
    <w:p w14:paraId="2F2B594B" w14:textId="0B822922" w:rsidR="00AE5BE2" w:rsidRPr="00AE5BE2" w:rsidRDefault="00AE5BE2" w:rsidP="00AE5BE2">
      <w:pPr>
        <w:numPr>
          <w:ilvl w:val="0"/>
          <w:numId w:val="3"/>
        </w:numPr>
        <w:spacing w:line="360" w:lineRule="auto"/>
        <w:jc w:val="both"/>
        <w:rPr>
          <w:rFonts w:ascii="Times New Roman" w:hAnsi="Times New Roman" w:cs="Times New Roman"/>
          <w:sz w:val="24"/>
          <w:szCs w:val="24"/>
        </w:rPr>
      </w:pPr>
      <w:r w:rsidRPr="00AE5BE2">
        <w:rPr>
          <w:rFonts w:ascii="Times New Roman" w:hAnsi="Times New Roman" w:cs="Times New Roman"/>
          <w:sz w:val="24"/>
          <w:szCs w:val="24"/>
        </w:rPr>
        <w:t xml:space="preserve">Source of cells: Human periodontal ligament tissue is obtained by scraping the middle third of an extracted tooth root or another source. </w:t>
      </w:r>
    </w:p>
    <w:p w14:paraId="2D0D4C3E" w14:textId="77777777" w:rsidR="00AE5BE2" w:rsidRPr="00AE5BE2" w:rsidRDefault="00AE5BE2" w:rsidP="00AE5BE2">
      <w:pPr>
        <w:numPr>
          <w:ilvl w:val="0"/>
          <w:numId w:val="3"/>
        </w:numPr>
        <w:spacing w:line="360" w:lineRule="auto"/>
        <w:jc w:val="both"/>
        <w:rPr>
          <w:rFonts w:ascii="Times New Roman" w:hAnsi="Times New Roman" w:cs="Times New Roman"/>
          <w:sz w:val="24"/>
          <w:szCs w:val="24"/>
        </w:rPr>
      </w:pPr>
      <w:r w:rsidRPr="00AE5BE2">
        <w:rPr>
          <w:rFonts w:ascii="Times New Roman" w:hAnsi="Times New Roman" w:cs="Times New Roman"/>
          <w:sz w:val="24"/>
          <w:szCs w:val="24"/>
        </w:rPr>
        <w:t>Culture conditions:</w:t>
      </w:r>
    </w:p>
    <w:p w14:paraId="7232B0A0" w14:textId="77777777" w:rsidR="00AE5BE2" w:rsidRPr="00AE5BE2" w:rsidRDefault="00AE5BE2" w:rsidP="00AE5BE2">
      <w:pPr>
        <w:numPr>
          <w:ilvl w:val="1"/>
          <w:numId w:val="3"/>
        </w:numPr>
        <w:spacing w:line="360" w:lineRule="auto"/>
        <w:jc w:val="both"/>
        <w:rPr>
          <w:rFonts w:ascii="Times New Roman" w:hAnsi="Times New Roman" w:cs="Times New Roman"/>
          <w:sz w:val="24"/>
          <w:szCs w:val="24"/>
        </w:rPr>
      </w:pPr>
      <w:r w:rsidRPr="00AE5BE2">
        <w:rPr>
          <w:rFonts w:ascii="Times New Roman" w:hAnsi="Times New Roman" w:cs="Times New Roman"/>
          <w:sz w:val="24"/>
          <w:szCs w:val="24"/>
        </w:rPr>
        <w:lastRenderedPageBreak/>
        <w:t xml:space="preserve">Medium: Dulbecco’s Modified Eagle’s Medium (DMEM) with 10 % </w:t>
      </w:r>
      <w:proofErr w:type="spellStart"/>
      <w:r w:rsidRPr="00AE5BE2">
        <w:rPr>
          <w:rFonts w:ascii="Times New Roman" w:hAnsi="Times New Roman" w:cs="Times New Roman"/>
          <w:sz w:val="24"/>
          <w:szCs w:val="24"/>
        </w:rPr>
        <w:t>fetal</w:t>
      </w:r>
      <w:proofErr w:type="spellEnd"/>
      <w:r w:rsidRPr="00AE5BE2">
        <w:rPr>
          <w:rFonts w:ascii="Times New Roman" w:hAnsi="Times New Roman" w:cs="Times New Roman"/>
          <w:sz w:val="24"/>
          <w:szCs w:val="24"/>
        </w:rPr>
        <w:t xml:space="preserve"> bovine serum and antibiotics.</w:t>
      </w:r>
    </w:p>
    <w:p w14:paraId="1DAEDC9E" w14:textId="77777777" w:rsidR="00AE5BE2" w:rsidRPr="00AE5BE2" w:rsidRDefault="00AE5BE2" w:rsidP="00AE5BE2">
      <w:pPr>
        <w:numPr>
          <w:ilvl w:val="1"/>
          <w:numId w:val="3"/>
        </w:numPr>
        <w:spacing w:line="360" w:lineRule="auto"/>
        <w:jc w:val="both"/>
        <w:rPr>
          <w:rFonts w:ascii="Times New Roman" w:hAnsi="Times New Roman" w:cs="Times New Roman"/>
          <w:sz w:val="24"/>
          <w:szCs w:val="24"/>
        </w:rPr>
      </w:pPr>
      <w:r w:rsidRPr="00AE5BE2">
        <w:rPr>
          <w:rFonts w:ascii="Times New Roman" w:hAnsi="Times New Roman" w:cs="Times New Roman"/>
          <w:sz w:val="24"/>
          <w:szCs w:val="24"/>
        </w:rPr>
        <w:t>Incubation: 37 °C, 5 % CO₂ for ~48 h to allow attachment to culture dish.</w:t>
      </w:r>
    </w:p>
    <w:p w14:paraId="585261DA" w14:textId="77777777" w:rsidR="00AE5BE2" w:rsidRPr="00AE5BE2" w:rsidRDefault="00AE5BE2" w:rsidP="00AE5BE2">
      <w:pPr>
        <w:numPr>
          <w:ilvl w:val="1"/>
          <w:numId w:val="3"/>
        </w:numPr>
        <w:spacing w:line="360" w:lineRule="auto"/>
        <w:jc w:val="both"/>
        <w:rPr>
          <w:rFonts w:ascii="Times New Roman" w:hAnsi="Times New Roman" w:cs="Times New Roman"/>
          <w:sz w:val="24"/>
          <w:szCs w:val="24"/>
        </w:rPr>
      </w:pPr>
      <w:r w:rsidRPr="00AE5BE2">
        <w:rPr>
          <w:rFonts w:ascii="Times New Roman" w:hAnsi="Times New Roman" w:cs="Times New Roman"/>
          <w:sz w:val="24"/>
          <w:szCs w:val="24"/>
        </w:rPr>
        <w:t xml:space="preserve">Medium changes: ~3 times per week to remove debris and support outgrowth. </w:t>
      </w:r>
    </w:p>
    <w:p w14:paraId="6B80DAD5" w14:textId="39312FC3" w:rsidR="00AE5BE2" w:rsidRPr="00AE5BE2" w:rsidRDefault="00AE5BE2" w:rsidP="00AE5BE2">
      <w:pPr>
        <w:numPr>
          <w:ilvl w:val="0"/>
          <w:numId w:val="3"/>
        </w:numPr>
        <w:spacing w:line="360" w:lineRule="auto"/>
        <w:jc w:val="both"/>
        <w:rPr>
          <w:rFonts w:ascii="Times New Roman" w:hAnsi="Times New Roman" w:cs="Times New Roman"/>
          <w:sz w:val="24"/>
          <w:szCs w:val="24"/>
        </w:rPr>
      </w:pPr>
      <w:r w:rsidRPr="00AE5BE2">
        <w:rPr>
          <w:rFonts w:ascii="Times New Roman" w:hAnsi="Times New Roman" w:cs="Times New Roman"/>
          <w:sz w:val="24"/>
          <w:szCs w:val="24"/>
        </w:rPr>
        <w:t xml:space="preserve">Cell sheet creation: Once cells reach sufficient density, they are seeded at ~1 × 10⁵ cells per dish (using 35 mm temperature-responsive dishes) and cultured in </w:t>
      </w:r>
      <w:proofErr w:type="spellStart"/>
      <w:r w:rsidRPr="00AE5BE2">
        <w:rPr>
          <w:rFonts w:ascii="Times New Roman" w:hAnsi="Times New Roman" w:cs="Times New Roman"/>
          <w:sz w:val="24"/>
          <w:szCs w:val="24"/>
        </w:rPr>
        <w:t>osteodifferentiation</w:t>
      </w:r>
      <w:proofErr w:type="spellEnd"/>
      <w:r w:rsidRPr="00AE5BE2">
        <w:rPr>
          <w:rFonts w:ascii="Times New Roman" w:hAnsi="Times New Roman" w:cs="Times New Roman"/>
          <w:sz w:val="24"/>
          <w:szCs w:val="24"/>
        </w:rPr>
        <w:t xml:space="preserve"> medium (including ascorbic acid, dexamethasone, β-glycerophosphate) to form cohesive PDL cell sheets</w:t>
      </w:r>
      <w:r w:rsidR="007B237E">
        <w:rPr>
          <w:rFonts w:ascii="Times New Roman" w:hAnsi="Times New Roman" w:cs="Times New Roman"/>
          <w:sz w:val="24"/>
          <w:szCs w:val="24"/>
          <w:vertAlign w:val="superscript"/>
        </w:rPr>
        <w:t>17,21</w:t>
      </w:r>
      <w:r w:rsidRPr="00AE5BE2">
        <w:rPr>
          <w:rFonts w:ascii="Times New Roman" w:hAnsi="Times New Roman" w:cs="Times New Roman"/>
          <w:sz w:val="24"/>
          <w:szCs w:val="24"/>
        </w:rPr>
        <w:t xml:space="preserve">. </w:t>
      </w:r>
    </w:p>
    <w:p w14:paraId="50613813" w14:textId="1B5B51D4" w:rsidR="00AE5BE2" w:rsidRPr="00AE5BE2" w:rsidRDefault="00AE5BE2" w:rsidP="00AE5BE2">
      <w:pPr>
        <w:pStyle w:val="ListParagraph"/>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C)</w:t>
      </w:r>
      <w:r w:rsidRPr="00AE5BE2">
        <w:rPr>
          <w:rFonts w:ascii="Times New Roman" w:hAnsi="Times New Roman" w:cs="Times New Roman"/>
          <w:b/>
          <w:bCs/>
          <w:sz w:val="24"/>
          <w:szCs w:val="24"/>
        </w:rPr>
        <w:t xml:space="preserve"> Bioreactor Phase (Cell Placement Around Implant)</w:t>
      </w:r>
    </w:p>
    <w:p w14:paraId="3CB10592" w14:textId="195EEF4F" w:rsidR="00AE5BE2" w:rsidRPr="00AE5BE2" w:rsidRDefault="00AE5BE2" w:rsidP="00AE5BE2">
      <w:pPr>
        <w:spacing w:line="360" w:lineRule="auto"/>
        <w:jc w:val="both"/>
        <w:rPr>
          <w:rFonts w:ascii="Times New Roman" w:hAnsi="Times New Roman" w:cs="Times New Roman"/>
          <w:b/>
          <w:bCs/>
          <w:sz w:val="24"/>
          <w:szCs w:val="24"/>
        </w:rPr>
      </w:pPr>
      <w:r w:rsidRPr="00AE5BE2">
        <w:rPr>
          <w:rFonts w:ascii="Times New Roman" w:hAnsi="Times New Roman" w:cs="Times New Roman"/>
          <w:b/>
          <w:bCs/>
          <w:sz w:val="24"/>
          <w:szCs w:val="24"/>
        </w:rPr>
        <w:t xml:space="preserve"> Implant–Bioreactor Assembly</w:t>
      </w:r>
    </w:p>
    <w:p w14:paraId="6E2F959E" w14:textId="573F7024" w:rsidR="00AE5BE2" w:rsidRPr="00AE5BE2" w:rsidRDefault="00AE5BE2" w:rsidP="00AE5BE2">
      <w:pPr>
        <w:numPr>
          <w:ilvl w:val="0"/>
          <w:numId w:val="4"/>
        </w:numPr>
        <w:spacing w:line="360" w:lineRule="auto"/>
        <w:jc w:val="both"/>
        <w:rPr>
          <w:rFonts w:ascii="Times New Roman" w:hAnsi="Times New Roman" w:cs="Times New Roman"/>
          <w:sz w:val="24"/>
          <w:szCs w:val="24"/>
        </w:rPr>
      </w:pPr>
      <w:r w:rsidRPr="00AE5BE2">
        <w:rPr>
          <w:rFonts w:ascii="Times New Roman" w:hAnsi="Times New Roman" w:cs="Times New Roman"/>
          <w:sz w:val="24"/>
          <w:szCs w:val="24"/>
        </w:rPr>
        <w:t>A hydroxyapatite-coated titanium implant surrogate is placed centrally within a hollow plastic cylinder.</w:t>
      </w:r>
    </w:p>
    <w:p w14:paraId="328BB799" w14:textId="77777777" w:rsidR="00AE5BE2" w:rsidRPr="00AE5BE2" w:rsidRDefault="00AE5BE2" w:rsidP="00AE5BE2">
      <w:pPr>
        <w:numPr>
          <w:ilvl w:val="0"/>
          <w:numId w:val="4"/>
        </w:numPr>
        <w:spacing w:line="360" w:lineRule="auto"/>
        <w:jc w:val="both"/>
        <w:rPr>
          <w:rFonts w:ascii="Times New Roman" w:hAnsi="Times New Roman" w:cs="Times New Roman"/>
          <w:sz w:val="24"/>
          <w:szCs w:val="24"/>
        </w:rPr>
      </w:pPr>
      <w:r w:rsidRPr="00AE5BE2">
        <w:rPr>
          <w:rFonts w:ascii="Times New Roman" w:hAnsi="Times New Roman" w:cs="Times New Roman"/>
          <w:sz w:val="24"/>
          <w:szCs w:val="24"/>
        </w:rPr>
        <w:t xml:space="preserve">A gap of ~3 mm is maintained between the implant surface and the cylinder wall. </w:t>
      </w:r>
    </w:p>
    <w:p w14:paraId="0BCE7C5E" w14:textId="77777777" w:rsidR="00AE5BE2" w:rsidRPr="00AE5BE2" w:rsidRDefault="00AE5BE2" w:rsidP="00AE5BE2">
      <w:pPr>
        <w:numPr>
          <w:ilvl w:val="0"/>
          <w:numId w:val="4"/>
        </w:numPr>
        <w:spacing w:line="360" w:lineRule="auto"/>
        <w:jc w:val="both"/>
        <w:rPr>
          <w:rFonts w:ascii="Times New Roman" w:hAnsi="Times New Roman" w:cs="Times New Roman"/>
          <w:sz w:val="24"/>
          <w:szCs w:val="24"/>
        </w:rPr>
      </w:pPr>
      <w:r w:rsidRPr="00AE5BE2">
        <w:rPr>
          <w:rFonts w:ascii="Times New Roman" w:hAnsi="Times New Roman" w:cs="Times New Roman"/>
          <w:sz w:val="24"/>
          <w:szCs w:val="24"/>
        </w:rPr>
        <w:t xml:space="preserve">Cells are thus placed within this 3 mm annular space and oriented to attach to the implant surface — resembling the natural PDL space between tooth root and alveolar bone. </w:t>
      </w:r>
    </w:p>
    <w:p w14:paraId="2596795B" w14:textId="4750AB8B" w:rsidR="00AE5BE2" w:rsidRPr="00AE5BE2" w:rsidRDefault="00AE5BE2" w:rsidP="00AE5BE2">
      <w:pPr>
        <w:numPr>
          <w:ilvl w:val="0"/>
          <w:numId w:val="4"/>
        </w:numPr>
        <w:spacing w:line="360" w:lineRule="auto"/>
        <w:jc w:val="both"/>
        <w:rPr>
          <w:rFonts w:ascii="Times New Roman" w:hAnsi="Times New Roman" w:cs="Times New Roman"/>
          <w:sz w:val="24"/>
          <w:szCs w:val="24"/>
        </w:rPr>
      </w:pPr>
      <w:r w:rsidRPr="00AE5BE2">
        <w:rPr>
          <w:rFonts w:ascii="Times New Roman" w:hAnsi="Times New Roman" w:cs="Times New Roman"/>
          <w:sz w:val="24"/>
          <w:szCs w:val="24"/>
        </w:rPr>
        <w:t>Cells populate the space between the implant and cylinder, forming a PDL-like tissue layer around the implant over ~18 days</w:t>
      </w:r>
      <w:r w:rsidR="007B237E">
        <w:rPr>
          <w:rFonts w:ascii="Times New Roman" w:hAnsi="Times New Roman" w:cs="Times New Roman"/>
          <w:sz w:val="24"/>
          <w:szCs w:val="24"/>
          <w:vertAlign w:val="superscript"/>
        </w:rPr>
        <w:t>17,21,22</w:t>
      </w:r>
      <w:r w:rsidRPr="00AE5BE2">
        <w:rPr>
          <w:rFonts w:ascii="Times New Roman" w:hAnsi="Times New Roman" w:cs="Times New Roman"/>
          <w:sz w:val="24"/>
          <w:szCs w:val="24"/>
        </w:rPr>
        <w:t xml:space="preserve">. </w:t>
      </w:r>
    </w:p>
    <w:p w14:paraId="72DA51E1" w14:textId="41F5AA25" w:rsidR="00AC719F" w:rsidRPr="00AC719F" w:rsidRDefault="00AC719F" w:rsidP="00AC719F">
      <w:pPr>
        <w:spacing w:line="360" w:lineRule="auto"/>
        <w:jc w:val="both"/>
        <w:rPr>
          <w:rFonts w:ascii="Times New Roman" w:hAnsi="Times New Roman" w:cs="Times New Roman"/>
          <w:sz w:val="24"/>
          <w:szCs w:val="24"/>
        </w:rPr>
      </w:pPr>
    </w:p>
    <w:p w14:paraId="59F69026" w14:textId="54D930F6" w:rsidR="00886430" w:rsidRPr="00886430" w:rsidRDefault="00AE5BE2" w:rsidP="00886430">
      <w:pPr>
        <w:pStyle w:val="NormalWeb"/>
        <w:rPr>
          <w:b/>
          <w:bCs/>
        </w:rPr>
      </w:pPr>
      <w:r>
        <w:rPr>
          <w:b/>
          <w:bCs/>
        </w:rPr>
        <w:t>5</w:t>
      </w:r>
      <w:r w:rsidR="00AC719F" w:rsidRPr="00AC719F">
        <w:rPr>
          <w:b/>
          <w:bCs/>
        </w:rPr>
        <w:t xml:space="preserve">. </w:t>
      </w:r>
      <w:r w:rsidR="00886430" w:rsidRPr="00886430">
        <w:rPr>
          <w:b/>
          <w:bCs/>
        </w:rPr>
        <w:t xml:space="preserve">Advantages and Biological Benefits of </w:t>
      </w:r>
      <w:proofErr w:type="spellStart"/>
      <w:r w:rsidR="00886430" w:rsidRPr="00886430">
        <w:rPr>
          <w:b/>
          <w:bCs/>
        </w:rPr>
        <w:t>Ligaplants</w:t>
      </w:r>
      <w:proofErr w:type="spellEnd"/>
    </w:p>
    <w:p w14:paraId="6304E30F" w14:textId="77777777" w:rsidR="00886430" w:rsidRDefault="00886430" w:rsidP="001E10E5">
      <w:pPr>
        <w:pStyle w:val="NormalWeb"/>
        <w:spacing w:line="360" w:lineRule="auto"/>
        <w:jc w:val="both"/>
      </w:pPr>
      <w:proofErr w:type="spellStart"/>
      <w:r>
        <w:t>Ligaplants</w:t>
      </w:r>
      <w:proofErr w:type="spellEnd"/>
      <w:r>
        <w:t xml:space="preserve"> are designed to biologically replicate the natural tooth–periodontium complex, thereby offering significant structural and functional advantages over conventional </w:t>
      </w:r>
      <w:proofErr w:type="spellStart"/>
      <w:r>
        <w:t>osseointegrated</w:t>
      </w:r>
      <w:proofErr w:type="spellEnd"/>
      <w:r>
        <w:t xml:space="preserve"> implants. Unlike rigid bone-anchored systems, </w:t>
      </w:r>
      <w:proofErr w:type="spellStart"/>
      <w:r>
        <w:t>Ligaplants</w:t>
      </w:r>
      <w:proofErr w:type="spellEnd"/>
      <w:r>
        <w:t xml:space="preserve"> incorporate a regenerated periodontal ligament (PDL) interface capable of providing </w:t>
      </w:r>
      <w:r>
        <w:rPr>
          <w:rStyle w:val="Strong"/>
        </w:rPr>
        <w:t xml:space="preserve">physiological </w:t>
      </w:r>
      <w:proofErr w:type="spellStart"/>
      <w:r>
        <w:rPr>
          <w:rStyle w:val="Strong"/>
        </w:rPr>
        <w:t>micromobility</w:t>
      </w:r>
      <w:proofErr w:type="spellEnd"/>
      <w:r>
        <w:t xml:space="preserve">, closely approximating the mobility observed in natural dentition.⁴–⁷ This controlled movement allows dissipation of occlusal forces through viscoelastic </w:t>
      </w:r>
      <w:proofErr w:type="spellStart"/>
      <w:r>
        <w:t>fiber</w:t>
      </w:r>
      <w:proofErr w:type="spellEnd"/>
      <w:r>
        <w:t xml:space="preserve"> deformation, thereby reducing stress concentration at the crestal cortical bone—a region particularly vulnerable to overload and marginal bone loss in conventional implant systems.</w:t>
      </w:r>
    </w:p>
    <w:p w14:paraId="4D87ADCF" w14:textId="77777777" w:rsidR="00886430" w:rsidRDefault="00886430" w:rsidP="001E10E5">
      <w:pPr>
        <w:pStyle w:val="NormalWeb"/>
        <w:spacing w:line="360" w:lineRule="auto"/>
        <w:jc w:val="both"/>
      </w:pPr>
      <w:r>
        <w:lastRenderedPageBreak/>
        <w:t xml:space="preserve">The shock-absorbing capacity of the regenerated ligament improves biomechanical harmony within the dental arch by distributing axial and lateral loads more evenly to the surrounding alveolar </w:t>
      </w:r>
      <w:proofErr w:type="gramStart"/>
      <w:r>
        <w:t>bone.⁴</w:t>
      </w:r>
      <w:proofErr w:type="gramEnd"/>
      <w:r>
        <w:t xml:space="preserve">–⁷ By mitigating stress peaks, </w:t>
      </w:r>
      <w:proofErr w:type="spellStart"/>
      <w:r>
        <w:t>Ligaplants</w:t>
      </w:r>
      <w:proofErr w:type="spellEnd"/>
      <w:r>
        <w:t xml:space="preserve"> may reduce microdamage accumulation and subsequent bone </w:t>
      </w:r>
      <w:proofErr w:type="spellStart"/>
      <w:r>
        <w:t>remodeling</w:t>
      </w:r>
      <w:proofErr w:type="spellEnd"/>
      <w:r>
        <w:t xml:space="preserve"> imbalance, contributing to enhanced peri-implant tissue preservation over time. This dynamic load modulation more closely mirrors the adaptive response of natural teeth, wherein </w:t>
      </w:r>
      <w:proofErr w:type="spellStart"/>
      <w:r>
        <w:t>mechanotransduction</w:t>
      </w:r>
      <w:proofErr w:type="spellEnd"/>
      <w:r>
        <w:t xml:space="preserve"> within the PDL regulates osteoblastic and osteoclastic activity in accordance with functional demand.</w:t>
      </w:r>
    </w:p>
    <w:p w14:paraId="6923C599" w14:textId="77777777" w:rsidR="00886430" w:rsidRDefault="00886430" w:rsidP="001E10E5">
      <w:pPr>
        <w:pStyle w:val="NormalWeb"/>
        <w:spacing w:line="360" w:lineRule="auto"/>
        <w:jc w:val="both"/>
      </w:pPr>
      <w:r>
        <w:t xml:space="preserve">Beyond mechanical advantages, </w:t>
      </w:r>
      <w:proofErr w:type="spellStart"/>
      <w:r>
        <w:t>Ligaplants</w:t>
      </w:r>
      <w:proofErr w:type="spellEnd"/>
      <w:r>
        <w:t xml:space="preserve"> provide substantial </w:t>
      </w:r>
      <w:r>
        <w:rPr>
          <w:rStyle w:val="Strong"/>
        </w:rPr>
        <w:t>neurobiological benefits</w:t>
      </w:r>
      <w:r>
        <w:t xml:space="preserve">. The regenerated ligamentous interface supports re-establishment of vascular and neural components, thereby restoring elements of proprioception that are absent in conventional </w:t>
      </w:r>
      <w:proofErr w:type="gramStart"/>
      <w:r>
        <w:t>implants.⁶</w:t>
      </w:r>
      <w:proofErr w:type="gramEnd"/>
      <w:r>
        <w:t xml:space="preserve"> Functional sensory feedback enables fine modulation of bite force and improved neuromuscular coordination during mastication. This proprioceptive capacity may reduce the risk of overload-related complications, particularly in patients with parafunctional habits or high occlusal forces.</w:t>
      </w:r>
    </w:p>
    <w:p w14:paraId="1C6071E6" w14:textId="77777777" w:rsidR="00886430" w:rsidRDefault="00886430" w:rsidP="001E10E5">
      <w:pPr>
        <w:pStyle w:val="NormalWeb"/>
        <w:spacing w:line="360" w:lineRule="auto"/>
        <w:jc w:val="both"/>
      </w:pPr>
      <w:r>
        <w:t xml:space="preserve">Furthermore, the presence of a living connective tissue interface promotes angiogenesis, cellular turnover, and continuous tissue </w:t>
      </w:r>
      <w:proofErr w:type="spellStart"/>
      <w:r>
        <w:t>remodeling</w:t>
      </w:r>
      <w:proofErr w:type="spellEnd"/>
      <w:r>
        <w:t xml:space="preserve">.⁶ The cementum-like layer formed on the implant surface serves as an anchorage substrate for </w:t>
      </w:r>
      <w:proofErr w:type="spellStart"/>
      <w:r>
        <w:t>Sharpey’s</w:t>
      </w:r>
      <w:proofErr w:type="spellEnd"/>
      <w:r>
        <w:t xml:space="preserve"> </w:t>
      </w:r>
      <w:proofErr w:type="spellStart"/>
      <w:r>
        <w:t>fiber</w:t>
      </w:r>
      <w:proofErr w:type="spellEnd"/>
      <w:r>
        <w:t xml:space="preserve"> insertions, establishing a biologically active interface composed of mineralized tissue, oriented collagen </w:t>
      </w:r>
      <w:proofErr w:type="spellStart"/>
      <w:r>
        <w:t>fibers</w:t>
      </w:r>
      <w:proofErr w:type="spellEnd"/>
      <w:r>
        <w:t xml:space="preserve">, and vascular connective tissue.⁷ This triphasic architecture enhances dynamic biomechanical stability by allowing adaptive </w:t>
      </w:r>
      <w:proofErr w:type="spellStart"/>
      <w:r>
        <w:t>remodeling</w:t>
      </w:r>
      <w:proofErr w:type="spellEnd"/>
      <w:r>
        <w:t xml:space="preserve"> in response to functional stimuli rather than relying solely on static bone-implant contact.</w:t>
      </w:r>
    </w:p>
    <w:p w14:paraId="3AFE4CF0" w14:textId="77777777" w:rsidR="00886430" w:rsidRDefault="00886430" w:rsidP="001E10E5">
      <w:pPr>
        <w:pStyle w:val="NormalWeb"/>
        <w:spacing w:line="360" w:lineRule="auto"/>
        <w:jc w:val="both"/>
      </w:pPr>
      <w:r>
        <w:t xml:space="preserve">Clinically, </w:t>
      </w:r>
      <w:proofErr w:type="spellStart"/>
      <w:r>
        <w:t>Ligaplants</w:t>
      </w:r>
      <w:proofErr w:type="spellEnd"/>
      <w:r>
        <w:t xml:space="preserve"> may offer distinct advantages in complex or growth-sensitive scenarios. In patients with alveolar bone defects or compromised bone quality, the regenerative ligamentous interface may facilitate improved load distribution and stimulate localized bone maturation. Additionally, in younger patients with continuing craniofacial growth, the presence of a ligament-like attachment could theoretically accommodate minor adaptive changes, reducing the </w:t>
      </w:r>
      <w:proofErr w:type="spellStart"/>
      <w:r>
        <w:t>infraocclusion</w:t>
      </w:r>
      <w:proofErr w:type="spellEnd"/>
      <w:r>
        <w:t xml:space="preserve"> often observed with ankylosed implants.</w:t>
      </w:r>
    </w:p>
    <w:p w14:paraId="48DA587F" w14:textId="77777777" w:rsidR="00886430" w:rsidRDefault="00886430" w:rsidP="001E10E5">
      <w:pPr>
        <w:pStyle w:val="NormalWeb"/>
        <w:spacing w:line="360" w:lineRule="auto"/>
        <w:jc w:val="both"/>
      </w:pPr>
      <w:r>
        <w:t xml:space="preserve">Another promising application lies in orthodontic contexts. Unlike conventional implants, which are absolutely immobile and unsuitable for orthodontic repositioning, </w:t>
      </w:r>
      <w:proofErr w:type="spellStart"/>
      <w:r>
        <w:t>Ligaplants</w:t>
      </w:r>
      <w:proofErr w:type="spellEnd"/>
      <w:r>
        <w:t xml:space="preserve">—with their functional ligamentous interface—may permit controlled orthodontic movement through biologically mediated bone </w:t>
      </w:r>
      <w:proofErr w:type="gramStart"/>
      <w:r>
        <w:t>remodeling.²</w:t>
      </w:r>
      <w:proofErr w:type="gramEnd"/>
      <w:r>
        <w:t xml:space="preserve">³,²⁴ This capability could expand implant therapy into </w:t>
      </w:r>
      <w:r>
        <w:lastRenderedPageBreak/>
        <w:t>interdisciplinary treatment planning, integrating prosthodontics, periodontics, and orthodontics within a regenerative framework.</w:t>
      </w:r>
    </w:p>
    <w:p w14:paraId="7B81DAA6" w14:textId="77777777" w:rsidR="00886430" w:rsidRDefault="00886430" w:rsidP="001E10E5">
      <w:pPr>
        <w:pStyle w:val="NormalWeb"/>
        <w:spacing w:line="360" w:lineRule="auto"/>
        <w:jc w:val="both"/>
      </w:pPr>
      <w:r>
        <w:t xml:space="preserve">From a prosthetic perspective, the biomimetic anchorage of </w:t>
      </w:r>
      <w:proofErr w:type="spellStart"/>
      <w:r>
        <w:t>Ligaplants</w:t>
      </w:r>
      <w:proofErr w:type="spellEnd"/>
      <w:r>
        <w:t xml:space="preserve"> may also function as a physiologic stress distributor between implant components and superstructures, potentially reducing mechanical complications such as screw loosening, component fracture, or prosthetic overload. By harmonizing biological integration with mechanical performance, </w:t>
      </w:r>
      <w:proofErr w:type="spellStart"/>
      <w:r>
        <w:t>Ligaplants</w:t>
      </w:r>
      <w:proofErr w:type="spellEnd"/>
      <w:r>
        <w:t xml:space="preserve"> redefine implant success not merely as survival of osseointegration, but as the restoration of a living, adaptive attachment </w:t>
      </w:r>
      <w:proofErr w:type="gramStart"/>
      <w:r>
        <w:t>system.²</w:t>
      </w:r>
      <w:proofErr w:type="gramEnd"/>
      <w:r>
        <w:t>³,²⁴</w:t>
      </w:r>
    </w:p>
    <w:p w14:paraId="3FADFC54" w14:textId="77777777" w:rsidR="00886430" w:rsidRDefault="00886430" w:rsidP="001E10E5">
      <w:pPr>
        <w:pStyle w:val="NormalWeb"/>
        <w:spacing w:line="360" w:lineRule="auto"/>
        <w:jc w:val="both"/>
      </w:pPr>
      <w:r>
        <w:t xml:space="preserve">Collectively, these advantages position </w:t>
      </w:r>
      <w:proofErr w:type="spellStart"/>
      <w:r>
        <w:t>Ligaplants</w:t>
      </w:r>
      <w:proofErr w:type="spellEnd"/>
      <w:r>
        <w:t xml:space="preserve"> as a transformative advancement in implant dentistry—shifting the paradigm from rigid ankylotic fixation toward dynamic, functional </w:t>
      </w:r>
      <w:proofErr w:type="spellStart"/>
      <w:r>
        <w:t>biointegration</w:t>
      </w:r>
      <w:proofErr w:type="spellEnd"/>
      <w:r>
        <w:t xml:space="preserve"> that closely emulates natural tooth physiology.</w:t>
      </w:r>
    </w:p>
    <w:p w14:paraId="31E96190" w14:textId="417703D0" w:rsidR="00AC719F" w:rsidRPr="00AC719F" w:rsidRDefault="00AC719F" w:rsidP="00886430">
      <w:pPr>
        <w:spacing w:line="360" w:lineRule="auto"/>
        <w:jc w:val="both"/>
        <w:rPr>
          <w:rFonts w:ascii="Times New Roman" w:hAnsi="Times New Roman" w:cs="Times New Roman"/>
          <w:sz w:val="24"/>
          <w:szCs w:val="24"/>
        </w:rPr>
      </w:pPr>
    </w:p>
    <w:p w14:paraId="3F67E5A5" w14:textId="03E6E630" w:rsidR="002A47A8" w:rsidRPr="002A47A8" w:rsidRDefault="00AC719F" w:rsidP="002A47A8">
      <w:pPr>
        <w:spacing w:line="360" w:lineRule="auto"/>
        <w:jc w:val="both"/>
        <w:rPr>
          <w:rFonts w:ascii="Times New Roman" w:hAnsi="Times New Roman" w:cs="Times New Roman"/>
          <w:sz w:val="24"/>
          <w:szCs w:val="24"/>
          <w:vertAlign w:val="superscript"/>
        </w:rPr>
      </w:pPr>
      <w:r w:rsidRPr="00AC719F">
        <w:rPr>
          <w:rFonts w:ascii="Times New Roman" w:hAnsi="Times New Roman" w:cs="Times New Roman"/>
          <w:b/>
          <w:bCs/>
          <w:sz w:val="24"/>
          <w:szCs w:val="24"/>
        </w:rPr>
        <w:t>5. Evidence Base: Preclinical and Emerging Human Data</w:t>
      </w:r>
      <w:r w:rsidRPr="00AC719F">
        <w:rPr>
          <w:rFonts w:ascii="Times New Roman" w:hAnsi="Times New Roman" w:cs="Times New Roman"/>
          <w:sz w:val="24"/>
          <w:szCs w:val="24"/>
        </w:rPr>
        <w:br/>
      </w:r>
      <w:r w:rsidR="002A47A8" w:rsidRPr="002A47A8">
        <w:rPr>
          <w:rFonts w:ascii="Times New Roman" w:hAnsi="Times New Roman" w:cs="Times New Roman"/>
          <w:sz w:val="24"/>
          <w:szCs w:val="24"/>
        </w:rPr>
        <w:t xml:space="preserve">Extensive preclinical research has demonstrated the biological feasibility of </w:t>
      </w:r>
      <w:proofErr w:type="spellStart"/>
      <w:r w:rsidR="002A47A8" w:rsidRPr="002A47A8">
        <w:rPr>
          <w:rFonts w:ascii="Times New Roman" w:hAnsi="Times New Roman" w:cs="Times New Roman"/>
          <w:sz w:val="24"/>
          <w:szCs w:val="24"/>
        </w:rPr>
        <w:t>Ligaplants</w:t>
      </w:r>
      <w:proofErr w:type="spellEnd"/>
      <w:r w:rsidR="002A47A8" w:rsidRPr="002A47A8">
        <w:rPr>
          <w:rFonts w:ascii="Times New Roman" w:hAnsi="Times New Roman" w:cs="Times New Roman"/>
          <w:sz w:val="24"/>
          <w:szCs w:val="24"/>
        </w:rPr>
        <w:t xml:space="preserve">. In-vitro and animal studies consistently show periodontal ligament cell adhesion to titanium and hydroxyapatite surfaces, deposition of cementum-like matrix, and the formation of oriented </w:t>
      </w:r>
      <w:proofErr w:type="spellStart"/>
      <w:r w:rsidR="002A47A8" w:rsidRPr="002A47A8">
        <w:rPr>
          <w:rFonts w:ascii="Times New Roman" w:hAnsi="Times New Roman" w:cs="Times New Roman"/>
          <w:sz w:val="24"/>
          <w:szCs w:val="24"/>
        </w:rPr>
        <w:t>Sharpey’s</w:t>
      </w:r>
      <w:proofErr w:type="spellEnd"/>
      <w:r w:rsidR="002A47A8" w:rsidRPr="002A47A8">
        <w:rPr>
          <w:rFonts w:ascii="Times New Roman" w:hAnsi="Times New Roman" w:cs="Times New Roman"/>
          <w:sz w:val="24"/>
          <w:szCs w:val="24"/>
        </w:rPr>
        <w:t>-type fibres, establishing a functional, biologically active interface superior to conventional osseointegration. Systematic reviews of PDL stem-cell–based therapies further confirm the predictable regeneration of PDL, cementum, and alveolar bone under controlled conditions.</w:t>
      </w:r>
      <w:r w:rsidR="002A47A8">
        <w:rPr>
          <w:rFonts w:ascii="Times New Roman" w:hAnsi="Times New Roman" w:cs="Times New Roman"/>
          <w:sz w:val="24"/>
          <w:szCs w:val="24"/>
          <w:vertAlign w:val="superscript"/>
        </w:rPr>
        <w:t>2</w:t>
      </w:r>
      <w:r w:rsidR="007B237E">
        <w:rPr>
          <w:rFonts w:ascii="Times New Roman" w:hAnsi="Times New Roman" w:cs="Times New Roman"/>
          <w:sz w:val="24"/>
          <w:szCs w:val="24"/>
          <w:vertAlign w:val="superscript"/>
        </w:rPr>
        <w:t>3</w:t>
      </w:r>
      <w:r w:rsidR="002A47A8">
        <w:rPr>
          <w:rFonts w:ascii="Times New Roman" w:hAnsi="Times New Roman" w:cs="Times New Roman"/>
          <w:sz w:val="24"/>
          <w:szCs w:val="24"/>
          <w:vertAlign w:val="superscript"/>
        </w:rPr>
        <w:t>,2</w:t>
      </w:r>
      <w:r w:rsidR="007B237E">
        <w:rPr>
          <w:rFonts w:ascii="Times New Roman" w:hAnsi="Times New Roman" w:cs="Times New Roman"/>
          <w:sz w:val="24"/>
          <w:szCs w:val="24"/>
          <w:vertAlign w:val="superscript"/>
        </w:rPr>
        <w:t>6</w:t>
      </w:r>
    </w:p>
    <w:p w14:paraId="0FE1B234" w14:textId="0626BA85" w:rsidR="002A47A8" w:rsidRPr="002A47A8" w:rsidRDefault="002A47A8" w:rsidP="002A47A8">
      <w:pPr>
        <w:spacing w:line="360" w:lineRule="auto"/>
        <w:jc w:val="both"/>
        <w:rPr>
          <w:rFonts w:ascii="Times New Roman" w:hAnsi="Times New Roman" w:cs="Times New Roman"/>
          <w:sz w:val="24"/>
          <w:szCs w:val="24"/>
          <w:vertAlign w:val="superscript"/>
        </w:rPr>
      </w:pPr>
      <w:r w:rsidRPr="002A47A8">
        <w:rPr>
          <w:rFonts w:ascii="Times New Roman" w:hAnsi="Times New Roman" w:cs="Times New Roman"/>
          <w:sz w:val="24"/>
          <w:szCs w:val="24"/>
        </w:rPr>
        <w:t xml:space="preserve">Emerging human investigations, though limited in number, provide promising clinical indications. Early pilot studies and case reports describe successful cell-mediated integration of PDL-like tissue around implant surfaces, accompanied by angiogenesis, collagen fibre organisation, and cementum-like layer formation. These findings support the translational potential of </w:t>
      </w:r>
      <w:proofErr w:type="spellStart"/>
      <w:r w:rsidRPr="002A47A8">
        <w:rPr>
          <w:rFonts w:ascii="Times New Roman" w:hAnsi="Times New Roman" w:cs="Times New Roman"/>
          <w:sz w:val="24"/>
          <w:szCs w:val="24"/>
        </w:rPr>
        <w:t>Ligaplants</w:t>
      </w:r>
      <w:proofErr w:type="spellEnd"/>
      <w:r w:rsidRPr="002A47A8">
        <w:rPr>
          <w:rFonts w:ascii="Times New Roman" w:hAnsi="Times New Roman" w:cs="Times New Roman"/>
          <w:sz w:val="24"/>
          <w:szCs w:val="24"/>
        </w:rPr>
        <w:t xml:space="preserve"> as a next-generation implant system designed to achieve functional </w:t>
      </w:r>
      <w:proofErr w:type="spellStart"/>
      <w:r w:rsidRPr="002A47A8">
        <w:rPr>
          <w:rFonts w:ascii="Times New Roman" w:hAnsi="Times New Roman" w:cs="Times New Roman"/>
          <w:sz w:val="24"/>
          <w:szCs w:val="24"/>
        </w:rPr>
        <w:t>biointegration</w:t>
      </w:r>
      <w:proofErr w:type="spellEnd"/>
      <w:r w:rsidRPr="002A47A8">
        <w:rPr>
          <w:rFonts w:ascii="Times New Roman" w:hAnsi="Times New Roman" w:cs="Times New Roman"/>
          <w:sz w:val="24"/>
          <w:szCs w:val="24"/>
        </w:rPr>
        <w:t xml:space="preserve"> through restoration of a living ligamentous attachment.</w:t>
      </w:r>
      <w:r>
        <w:rPr>
          <w:rFonts w:ascii="Times New Roman" w:hAnsi="Times New Roman" w:cs="Times New Roman"/>
          <w:sz w:val="24"/>
          <w:szCs w:val="24"/>
          <w:vertAlign w:val="superscript"/>
        </w:rPr>
        <w:t>4,6,2</w:t>
      </w:r>
      <w:r w:rsidR="007B237E">
        <w:rPr>
          <w:rFonts w:ascii="Times New Roman" w:hAnsi="Times New Roman" w:cs="Times New Roman"/>
          <w:sz w:val="24"/>
          <w:szCs w:val="24"/>
          <w:vertAlign w:val="superscript"/>
        </w:rPr>
        <w:t>6</w:t>
      </w:r>
    </w:p>
    <w:p w14:paraId="6AC656C0" w14:textId="67F12476" w:rsidR="00AC719F" w:rsidRPr="00AC719F" w:rsidRDefault="00AC719F" w:rsidP="00AC719F">
      <w:pPr>
        <w:spacing w:line="360" w:lineRule="auto"/>
        <w:jc w:val="both"/>
        <w:rPr>
          <w:rFonts w:ascii="Times New Roman" w:hAnsi="Times New Roman" w:cs="Times New Roman"/>
          <w:sz w:val="24"/>
          <w:szCs w:val="24"/>
        </w:rPr>
      </w:pPr>
    </w:p>
    <w:p w14:paraId="4C46C091" w14:textId="439D38A7" w:rsidR="00CC4CB0" w:rsidRPr="00CC4CB0" w:rsidRDefault="00AC719F" w:rsidP="00CC4CB0">
      <w:pPr>
        <w:spacing w:line="360" w:lineRule="auto"/>
        <w:jc w:val="both"/>
        <w:rPr>
          <w:rFonts w:ascii="Times New Roman" w:hAnsi="Times New Roman" w:cs="Times New Roman"/>
          <w:sz w:val="24"/>
          <w:szCs w:val="24"/>
          <w:vertAlign w:val="superscript"/>
        </w:rPr>
      </w:pPr>
      <w:r w:rsidRPr="00AC719F">
        <w:rPr>
          <w:rFonts w:ascii="Times New Roman" w:hAnsi="Times New Roman" w:cs="Times New Roman"/>
          <w:b/>
          <w:bCs/>
          <w:sz w:val="24"/>
          <w:szCs w:val="24"/>
        </w:rPr>
        <w:t>6. Limitations, Technical Challenges and Barriers to Clinical Translation</w:t>
      </w:r>
      <w:r w:rsidRPr="00AC719F">
        <w:rPr>
          <w:rFonts w:ascii="Times New Roman" w:hAnsi="Times New Roman" w:cs="Times New Roman"/>
          <w:sz w:val="24"/>
          <w:szCs w:val="24"/>
        </w:rPr>
        <w:br/>
      </w:r>
      <w:r w:rsidR="00CC4CB0" w:rsidRPr="00CC4CB0">
        <w:rPr>
          <w:rFonts w:ascii="Times New Roman" w:hAnsi="Times New Roman" w:cs="Times New Roman"/>
          <w:sz w:val="24"/>
          <w:szCs w:val="24"/>
        </w:rPr>
        <w:t>Despite encouraging preclinical outcomes, several factors continue to impede the clinical translation of Ligaplants.</w:t>
      </w:r>
      <w:r w:rsidR="00CC4CB0">
        <w:rPr>
          <w:rFonts w:ascii="Times New Roman" w:hAnsi="Times New Roman" w:cs="Times New Roman"/>
          <w:sz w:val="24"/>
          <w:szCs w:val="24"/>
          <w:vertAlign w:val="superscript"/>
        </w:rPr>
        <w:t>6</w:t>
      </w:r>
      <w:r w:rsidR="00CC4CB0" w:rsidRPr="00CC4CB0">
        <w:rPr>
          <w:rFonts w:ascii="Times New Roman" w:hAnsi="Times New Roman" w:cs="Times New Roman"/>
          <w:sz w:val="24"/>
          <w:szCs w:val="24"/>
        </w:rPr>
        <w:t xml:space="preserve"> The harvesting, expansion, and application of periodontal ligament (PDL) stem cells onto implant surfaces require advanced bioreactor systems, stringent aseptic </w:t>
      </w:r>
      <w:r w:rsidR="00CC4CB0" w:rsidRPr="00CC4CB0">
        <w:rPr>
          <w:rFonts w:ascii="Times New Roman" w:hAnsi="Times New Roman" w:cs="Times New Roman"/>
          <w:sz w:val="24"/>
          <w:szCs w:val="24"/>
        </w:rPr>
        <w:lastRenderedPageBreak/>
        <w:t>conditions, and precise regulation of culture parameters, rendering the procedure both technically complex and resource intensive. Variability in stem-cell behaviour, scaffold integration, and host response introduces further unpredictability, as differentiation may diverge from the PDL lineage under suboptimal conditions.</w:t>
      </w:r>
      <w:r w:rsidR="00CC4CB0">
        <w:rPr>
          <w:rFonts w:ascii="Times New Roman" w:hAnsi="Times New Roman" w:cs="Times New Roman"/>
          <w:sz w:val="24"/>
          <w:szCs w:val="24"/>
          <w:vertAlign w:val="superscript"/>
        </w:rPr>
        <w:t>2</w:t>
      </w:r>
      <w:r w:rsidR="007B237E">
        <w:rPr>
          <w:rFonts w:ascii="Times New Roman" w:hAnsi="Times New Roman" w:cs="Times New Roman"/>
          <w:sz w:val="24"/>
          <w:szCs w:val="24"/>
          <w:vertAlign w:val="superscript"/>
        </w:rPr>
        <w:t>6</w:t>
      </w:r>
      <w:r w:rsidR="00CC4CB0">
        <w:rPr>
          <w:rFonts w:ascii="Times New Roman" w:hAnsi="Times New Roman" w:cs="Times New Roman"/>
          <w:sz w:val="24"/>
          <w:szCs w:val="24"/>
          <w:vertAlign w:val="superscript"/>
        </w:rPr>
        <w:t>-2</w:t>
      </w:r>
      <w:r w:rsidR="007B237E">
        <w:rPr>
          <w:rFonts w:ascii="Times New Roman" w:hAnsi="Times New Roman" w:cs="Times New Roman"/>
          <w:sz w:val="24"/>
          <w:szCs w:val="24"/>
          <w:vertAlign w:val="superscript"/>
        </w:rPr>
        <w:t>8</w:t>
      </w:r>
    </w:p>
    <w:p w14:paraId="51564813" w14:textId="2C86F285" w:rsidR="00CC4CB0" w:rsidRPr="00CC4CB0" w:rsidRDefault="00CC4CB0" w:rsidP="00CC4CB0">
      <w:pPr>
        <w:spacing w:line="360" w:lineRule="auto"/>
        <w:jc w:val="both"/>
        <w:rPr>
          <w:rFonts w:ascii="Times New Roman" w:hAnsi="Times New Roman" w:cs="Times New Roman"/>
          <w:sz w:val="24"/>
          <w:szCs w:val="24"/>
          <w:vertAlign w:val="superscript"/>
        </w:rPr>
      </w:pPr>
      <w:r w:rsidRPr="00CC4CB0">
        <w:rPr>
          <w:rFonts w:ascii="Times New Roman" w:hAnsi="Times New Roman" w:cs="Times New Roman"/>
          <w:sz w:val="24"/>
          <w:szCs w:val="24"/>
        </w:rPr>
        <w:t>Regulatory and ethical considerations also pose substantial barriers. As with other stem-cell–based interventions, potential issues of immunogenicity, contamination, and long-term biosafety necessitate strict compliance and multi-tiered approval pathways. Furthermore, the absence of standardised fabrication protocols, success criteria, and longitudinal human data limits reproducibility and broad clinical adoption.</w:t>
      </w:r>
      <w:r w:rsidR="000C588D">
        <w:rPr>
          <w:rFonts w:ascii="Times New Roman" w:hAnsi="Times New Roman" w:cs="Times New Roman"/>
          <w:sz w:val="24"/>
          <w:szCs w:val="24"/>
          <w:vertAlign w:val="superscript"/>
        </w:rPr>
        <w:t>27</w:t>
      </w:r>
    </w:p>
    <w:p w14:paraId="7617F317" w14:textId="23FA23D0" w:rsidR="00CC4CB0" w:rsidRPr="00CC4CB0" w:rsidRDefault="00CC4CB0" w:rsidP="00CC4CB0">
      <w:pPr>
        <w:spacing w:line="360" w:lineRule="auto"/>
        <w:jc w:val="both"/>
        <w:rPr>
          <w:rFonts w:ascii="Times New Roman" w:hAnsi="Times New Roman" w:cs="Times New Roman"/>
          <w:sz w:val="24"/>
          <w:szCs w:val="24"/>
          <w:vertAlign w:val="superscript"/>
        </w:rPr>
      </w:pPr>
      <w:r w:rsidRPr="00CC4CB0">
        <w:rPr>
          <w:rFonts w:ascii="Times New Roman" w:hAnsi="Times New Roman" w:cs="Times New Roman"/>
          <w:sz w:val="24"/>
          <w:szCs w:val="24"/>
        </w:rPr>
        <w:t xml:space="preserve">Given their living tissue interface, </w:t>
      </w:r>
      <w:proofErr w:type="spellStart"/>
      <w:r w:rsidRPr="00CC4CB0">
        <w:rPr>
          <w:rFonts w:ascii="Times New Roman" w:hAnsi="Times New Roman" w:cs="Times New Roman"/>
          <w:sz w:val="24"/>
          <w:szCs w:val="24"/>
        </w:rPr>
        <w:t>Ligaplants</w:t>
      </w:r>
      <w:proofErr w:type="spellEnd"/>
      <w:r w:rsidRPr="00CC4CB0">
        <w:rPr>
          <w:rFonts w:ascii="Times New Roman" w:hAnsi="Times New Roman" w:cs="Times New Roman"/>
          <w:sz w:val="24"/>
          <w:szCs w:val="24"/>
        </w:rPr>
        <w:t xml:space="preserve"> may also present unique maintenance challenges. The biologically active attachment could be more susceptible to infection, inflammatory breakdown, or mechanical overload than conventional </w:t>
      </w:r>
      <w:proofErr w:type="spellStart"/>
      <w:r w:rsidRPr="00CC4CB0">
        <w:rPr>
          <w:rFonts w:ascii="Times New Roman" w:hAnsi="Times New Roman" w:cs="Times New Roman"/>
          <w:sz w:val="24"/>
          <w:szCs w:val="24"/>
        </w:rPr>
        <w:t>osseointegrated</w:t>
      </w:r>
      <w:proofErr w:type="spellEnd"/>
      <w:r w:rsidRPr="00CC4CB0">
        <w:rPr>
          <w:rFonts w:ascii="Times New Roman" w:hAnsi="Times New Roman" w:cs="Times New Roman"/>
          <w:sz w:val="24"/>
          <w:szCs w:val="24"/>
        </w:rPr>
        <w:t xml:space="preserve"> implants. Establishing robust follow-up protocols and evidence-based maintenance guidelines will therefore be essential prerequisites for routine clinical implementation.</w:t>
      </w:r>
      <w:r w:rsidR="000C588D">
        <w:rPr>
          <w:rFonts w:ascii="Times New Roman" w:hAnsi="Times New Roman" w:cs="Times New Roman"/>
          <w:sz w:val="24"/>
          <w:szCs w:val="24"/>
          <w:vertAlign w:val="superscript"/>
        </w:rPr>
        <w:t>4,2</w:t>
      </w:r>
      <w:r w:rsidR="007B237E">
        <w:rPr>
          <w:rFonts w:ascii="Times New Roman" w:hAnsi="Times New Roman" w:cs="Times New Roman"/>
          <w:sz w:val="24"/>
          <w:szCs w:val="24"/>
          <w:vertAlign w:val="superscript"/>
        </w:rPr>
        <w:t>4</w:t>
      </w:r>
      <w:r w:rsidR="000C588D">
        <w:rPr>
          <w:rFonts w:ascii="Times New Roman" w:hAnsi="Times New Roman" w:cs="Times New Roman"/>
          <w:sz w:val="24"/>
          <w:szCs w:val="24"/>
          <w:vertAlign w:val="superscript"/>
        </w:rPr>
        <w:t>,2</w:t>
      </w:r>
      <w:r w:rsidR="007B237E">
        <w:rPr>
          <w:rFonts w:ascii="Times New Roman" w:hAnsi="Times New Roman" w:cs="Times New Roman"/>
          <w:sz w:val="24"/>
          <w:szCs w:val="24"/>
          <w:vertAlign w:val="superscript"/>
        </w:rPr>
        <w:t>6</w:t>
      </w:r>
    </w:p>
    <w:p w14:paraId="14C8D388" w14:textId="2910A1E1" w:rsidR="00AC719F" w:rsidRPr="00AC719F" w:rsidRDefault="00AC719F" w:rsidP="00AC719F">
      <w:pPr>
        <w:spacing w:line="360" w:lineRule="auto"/>
        <w:jc w:val="both"/>
        <w:rPr>
          <w:rFonts w:ascii="Times New Roman" w:hAnsi="Times New Roman" w:cs="Times New Roman"/>
          <w:sz w:val="24"/>
          <w:szCs w:val="24"/>
        </w:rPr>
      </w:pPr>
    </w:p>
    <w:p w14:paraId="0F058E6C" w14:textId="088F3A21" w:rsidR="009B3F66" w:rsidRPr="000C588D" w:rsidRDefault="00AC719F" w:rsidP="00384CBD">
      <w:pPr>
        <w:spacing w:line="360" w:lineRule="auto"/>
        <w:rPr>
          <w:rFonts w:ascii="Times New Roman" w:hAnsi="Times New Roman" w:cs="Times New Roman"/>
          <w:sz w:val="24"/>
          <w:szCs w:val="24"/>
          <w:vertAlign w:val="superscript"/>
        </w:rPr>
      </w:pPr>
      <w:r w:rsidRPr="00AC719F">
        <w:rPr>
          <w:rFonts w:ascii="Times New Roman" w:hAnsi="Times New Roman" w:cs="Times New Roman"/>
          <w:b/>
          <w:bCs/>
          <w:sz w:val="24"/>
          <w:szCs w:val="24"/>
        </w:rPr>
        <w:t>7. Future Directions and Translational Outlook</w:t>
      </w:r>
      <w:r w:rsidRPr="00AC719F">
        <w:rPr>
          <w:rFonts w:ascii="Times New Roman" w:hAnsi="Times New Roman" w:cs="Times New Roman"/>
          <w:sz w:val="24"/>
          <w:szCs w:val="24"/>
        </w:rPr>
        <w:br/>
      </w:r>
      <w:r w:rsidR="009B3F66" w:rsidRPr="009B3F66">
        <w:rPr>
          <w:rFonts w:ascii="Times New Roman" w:hAnsi="Times New Roman" w:cs="Times New Roman"/>
          <w:sz w:val="24"/>
          <w:szCs w:val="24"/>
        </w:rPr>
        <w:t xml:space="preserve">Future progress in </w:t>
      </w:r>
      <w:proofErr w:type="spellStart"/>
      <w:r w:rsidR="009B3F66" w:rsidRPr="009B3F66">
        <w:rPr>
          <w:rFonts w:ascii="Times New Roman" w:hAnsi="Times New Roman" w:cs="Times New Roman"/>
          <w:sz w:val="24"/>
          <w:szCs w:val="24"/>
        </w:rPr>
        <w:t>Ligaplant</w:t>
      </w:r>
      <w:proofErr w:type="spellEnd"/>
      <w:r w:rsidR="009B3F66" w:rsidRPr="009B3F66">
        <w:rPr>
          <w:rFonts w:ascii="Times New Roman" w:hAnsi="Times New Roman" w:cs="Times New Roman"/>
          <w:sz w:val="24"/>
          <w:szCs w:val="24"/>
        </w:rPr>
        <w:t xml:space="preserve"> research depends on optimising scaffold design and surface </w:t>
      </w:r>
      <w:r w:rsidR="000C588D" w:rsidRPr="009B3F66">
        <w:rPr>
          <w:rFonts w:ascii="Times New Roman" w:hAnsi="Times New Roman" w:cs="Times New Roman"/>
          <w:sz w:val="24"/>
          <w:szCs w:val="24"/>
        </w:rPr>
        <w:t>biofunctionalization</w:t>
      </w:r>
      <w:r w:rsidR="009B3F66" w:rsidRPr="009B3F66">
        <w:rPr>
          <w:rFonts w:ascii="Times New Roman" w:hAnsi="Times New Roman" w:cs="Times New Roman"/>
          <w:sz w:val="24"/>
          <w:szCs w:val="24"/>
        </w:rPr>
        <w:t xml:space="preserve"> to enhance PDL cell adhesion, fibre alignment, and cementum-like matrix formation. Mechanobiological conditioning through controlled micro-motion may further reproduce physiological loading responses. Achieving vascular and neural integration within the engineered interface remains crucial to restoring true biofunctionality.</w:t>
      </w:r>
      <w:r w:rsidR="000C588D">
        <w:rPr>
          <w:rFonts w:ascii="Times New Roman" w:hAnsi="Times New Roman" w:cs="Times New Roman"/>
          <w:sz w:val="24"/>
          <w:szCs w:val="24"/>
          <w:vertAlign w:val="superscript"/>
        </w:rPr>
        <w:t>6,2</w:t>
      </w:r>
      <w:r w:rsidR="007B237E">
        <w:rPr>
          <w:rFonts w:ascii="Times New Roman" w:hAnsi="Times New Roman" w:cs="Times New Roman"/>
          <w:sz w:val="24"/>
          <w:szCs w:val="24"/>
          <w:vertAlign w:val="superscript"/>
        </w:rPr>
        <w:t>7</w:t>
      </w:r>
    </w:p>
    <w:p w14:paraId="63357350" w14:textId="2DC65AF7" w:rsidR="009B3F66" w:rsidRPr="009B3F66" w:rsidRDefault="009B3F66" w:rsidP="009B3F66">
      <w:pPr>
        <w:spacing w:line="360" w:lineRule="auto"/>
        <w:jc w:val="both"/>
        <w:rPr>
          <w:rFonts w:ascii="Times New Roman" w:hAnsi="Times New Roman" w:cs="Times New Roman"/>
          <w:sz w:val="24"/>
          <w:szCs w:val="24"/>
        </w:rPr>
      </w:pPr>
      <w:r w:rsidRPr="009B3F66">
        <w:rPr>
          <w:rFonts w:ascii="Times New Roman" w:hAnsi="Times New Roman" w:cs="Times New Roman"/>
          <w:sz w:val="24"/>
          <w:szCs w:val="24"/>
        </w:rPr>
        <w:t>Standardised protocols, validated cell banking systems, and streamlined regulatory frameworks are needed to ensure safety and reproducibility. Comparative clinical trials assessing long-term survival, bone stability, proprioception, and patient outcomes are essential, along with cost–benefit and maintenance evaluations.</w:t>
      </w:r>
    </w:p>
    <w:p w14:paraId="1495B91A" w14:textId="5BA30FA2" w:rsidR="009B3F66" w:rsidRPr="009B3F66" w:rsidRDefault="009B3F66" w:rsidP="009B3F66">
      <w:pPr>
        <w:spacing w:line="360" w:lineRule="auto"/>
        <w:jc w:val="both"/>
        <w:rPr>
          <w:rFonts w:ascii="Times New Roman" w:hAnsi="Times New Roman" w:cs="Times New Roman"/>
          <w:sz w:val="24"/>
          <w:szCs w:val="24"/>
          <w:vertAlign w:val="superscript"/>
        </w:rPr>
      </w:pPr>
      <w:r w:rsidRPr="009B3F66">
        <w:rPr>
          <w:rFonts w:ascii="Times New Roman" w:hAnsi="Times New Roman" w:cs="Times New Roman"/>
          <w:sz w:val="24"/>
          <w:szCs w:val="24"/>
        </w:rPr>
        <w:t>Emerging tools such as 3D bioprinting, organ-on-chip models, and CRISPR-based gene editing offer exciting prospects for creating customised, fully functional ligament-integrated implants, potentially transforming clinical implantology in the coming decade.</w:t>
      </w:r>
      <w:r w:rsidR="007B237E">
        <w:rPr>
          <w:rFonts w:ascii="Times New Roman" w:hAnsi="Times New Roman" w:cs="Times New Roman"/>
          <w:sz w:val="24"/>
          <w:szCs w:val="24"/>
          <w:vertAlign w:val="superscript"/>
        </w:rPr>
        <w:t>30</w:t>
      </w:r>
    </w:p>
    <w:p w14:paraId="7767D248" w14:textId="4EEAE9A5" w:rsidR="00AC719F" w:rsidRPr="00AC719F" w:rsidRDefault="00AC719F" w:rsidP="00AC719F">
      <w:pPr>
        <w:spacing w:line="360" w:lineRule="auto"/>
        <w:jc w:val="both"/>
        <w:rPr>
          <w:rFonts w:ascii="Times New Roman" w:hAnsi="Times New Roman" w:cs="Times New Roman"/>
          <w:sz w:val="24"/>
          <w:szCs w:val="24"/>
        </w:rPr>
      </w:pPr>
    </w:p>
    <w:p w14:paraId="64FB181A" w14:textId="7E1EF480" w:rsidR="00AC719F" w:rsidRPr="00AC719F" w:rsidRDefault="00AC719F" w:rsidP="00AC719F">
      <w:pPr>
        <w:spacing w:line="360" w:lineRule="auto"/>
        <w:jc w:val="both"/>
        <w:rPr>
          <w:rFonts w:ascii="Times New Roman" w:hAnsi="Times New Roman" w:cs="Times New Roman"/>
          <w:sz w:val="24"/>
          <w:szCs w:val="24"/>
        </w:rPr>
      </w:pPr>
    </w:p>
    <w:p w14:paraId="3175D8AC" w14:textId="52568BA2" w:rsidR="002A47A8" w:rsidRDefault="00AC719F" w:rsidP="009B3F66">
      <w:pPr>
        <w:spacing w:line="360" w:lineRule="auto"/>
        <w:jc w:val="both"/>
        <w:rPr>
          <w:rFonts w:ascii="Times New Roman" w:hAnsi="Times New Roman" w:cs="Times New Roman"/>
          <w:sz w:val="24"/>
          <w:szCs w:val="24"/>
        </w:rPr>
      </w:pPr>
      <w:r w:rsidRPr="00AC719F">
        <w:rPr>
          <w:rFonts w:ascii="Times New Roman" w:hAnsi="Times New Roman" w:cs="Times New Roman"/>
          <w:b/>
          <w:bCs/>
          <w:sz w:val="24"/>
          <w:szCs w:val="24"/>
        </w:rPr>
        <w:lastRenderedPageBreak/>
        <w:t>8.Conclusion</w:t>
      </w:r>
      <w:r w:rsidRPr="00AC719F">
        <w:rPr>
          <w:rFonts w:ascii="Times New Roman" w:hAnsi="Times New Roman" w:cs="Times New Roman"/>
          <w:sz w:val="24"/>
          <w:szCs w:val="24"/>
        </w:rPr>
        <w:br/>
        <w:t xml:space="preserve">The </w:t>
      </w:r>
      <w:proofErr w:type="spellStart"/>
      <w:r w:rsidRPr="00AC719F">
        <w:rPr>
          <w:rFonts w:ascii="Times New Roman" w:hAnsi="Times New Roman" w:cs="Times New Roman"/>
          <w:sz w:val="24"/>
          <w:szCs w:val="24"/>
        </w:rPr>
        <w:t>ligaplant</w:t>
      </w:r>
      <w:proofErr w:type="spellEnd"/>
      <w:r w:rsidRPr="00AC719F">
        <w:rPr>
          <w:rFonts w:ascii="Times New Roman" w:hAnsi="Times New Roman" w:cs="Times New Roman"/>
          <w:sz w:val="24"/>
          <w:szCs w:val="24"/>
        </w:rPr>
        <w:t xml:space="preserve"> concept represents an exciting convergence of regenerative medicine, biomaterials science and implantology. By aiming to recreate the natural tooth–periodontium interface, </w:t>
      </w:r>
      <w:proofErr w:type="spellStart"/>
      <w:r w:rsidRPr="00AC719F">
        <w:rPr>
          <w:rFonts w:ascii="Times New Roman" w:hAnsi="Times New Roman" w:cs="Times New Roman"/>
          <w:sz w:val="24"/>
          <w:szCs w:val="24"/>
        </w:rPr>
        <w:t>ligaplants</w:t>
      </w:r>
      <w:proofErr w:type="spellEnd"/>
      <w:r w:rsidRPr="00AC719F">
        <w:rPr>
          <w:rFonts w:ascii="Times New Roman" w:hAnsi="Times New Roman" w:cs="Times New Roman"/>
          <w:sz w:val="24"/>
          <w:szCs w:val="24"/>
        </w:rPr>
        <w:t xml:space="preserve"> may overcome inherent limitations of conventional osseointegration and deliver improved biomechanical function, proprioception and adaptive tissue responses. </w:t>
      </w:r>
      <w:r w:rsidR="009B3F66" w:rsidRPr="009B3F66">
        <w:rPr>
          <w:rFonts w:ascii="Times New Roman" w:hAnsi="Times New Roman" w:cs="Times New Roman"/>
          <w:sz w:val="24"/>
          <w:szCs w:val="24"/>
        </w:rPr>
        <w:t xml:space="preserve">Although preclinical results are promising, clinical translation remains limited by technical, regulatory, and economic challenges. Continued interdisciplinary research and well-designed human trials are essential to validate their long-term safety, functionality, and cost-effectiveness. With sustained innovation, </w:t>
      </w:r>
      <w:proofErr w:type="spellStart"/>
      <w:r w:rsidR="009B3F66" w:rsidRPr="009B3F66">
        <w:rPr>
          <w:rFonts w:ascii="Times New Roman" w:hAnsi="Times New Roman" w:cs="Times New Roman"/>
          <w:sz w:val="24"/>
          <w:szCs w:val="24"/>
        </w:rPr>
        <w:t>Ligaplants</w:t>
      </w:r>
      <w:proofErr w:type="spellEnd"/>
      <w:r w:rsidR="009B3F66" w:rsidRPr="009B3F66">
        <w:rPr>
          <w:rFonts w:ascii="Times New Roman" w:hAnsi="Times New Roman" w:cs="Times New Roman"/>
          <w:sz w:val="24"/>
          <w:szCs w:val="24"/>
        </w:rPr>
        <w:t xml:space="preserve"> may soon redefine the biological standard for implant rehabilitation.</w:t>
      </w:r>
    </w:p>
    <w:p w14:paraId="3A355821" w14:textId="77777777" w:rsidR="001E10E5" w:rsidRDefault="001E10E5" w:rsidP="009B3F66">
      <w:pPr>
        <w:spacing w:line="360" w:lineRule="auto"/>
        <w:jc w:val="both"/>
        <w:rPr>
          <w:rFonts w:ascii="Times New Roman" w:hAnsi="Times New Roman" w:cs="Times New Roman"/>
          <w:sz w:val="24"/>
          <w:szCs w:val="24"/>
        </w:rPr>
      </w:pPr>
    </w:p>
    <w:p w14:paraId="7BFFBF10" w14:textId="624CA57F" w:rsidR="00C870F3" w:rsidRDefault="00C870F3" w:rsidP="009B3F66">
      <w:pPr>
        <w:spacing w:line="360" w:lineRule="auto"/>
        <w:jc w:val="both"/>
        <w:rPr>
          <w:rFonts w:ascii="Times New Roman" w:hAnsi="Times New Roman" w:cs="Times New Roman"/>
          <w:sz w:val="24"/>
          <w:szCs w:val="24"/>
        </w:rPr>
      </w:pPr>
      <w:r>
        <w:rPr>
          <w:rFonts w:ascii="Times New Roman" w:hAnsi="Times New Roman" w:cs="Times New Roman"/>
          <w:sz w:val="24"/>
          <w:szCs w:val="24"/>
        </w:rPr>
        <w:t>REFERENCES:</w:t>
      </w:r>
    </w:p>
    <w:p w14:paraId="54FB45DF" w14:textId="58C3C5F1" w:rsidR="00C870F3" w:rsidRDefault="00C870F3" w:rsidP="00C870F3">
      <w:pPr>
        <w:pStyle w:val="ListParagraph"/>
        <w:numPr>
          <w:ilvl w:val="0"/>
          <w:numId w:val="1"/>
        </w:numPr>
        <w:spacing w:line="360" w:lineRule="auto"/>
        <w:jc w:val="both"/>
        <w:rPr>
          <w:rFonts w:ascii="Times New Roman" w:hAnsi="Times New Roman" w:cs="Times New Roman"/>
          <w:sz w:val="24"/>
          <w:szCs w:val="24"/>
        </w:rPr>
      </w:pPr>
      <w:proofErr w:type="spellStart"/>
      <w:r w:rsidRPr="00C870F3">
        <w:rPr>
          <w:rFonts w:ascii="Times New Roman" w:hAnsi="Times New Roman" w:cs="Times New Roman"/>
          <w:sz w:val="24"/>
          <w:szCs w:val="24"/>
        </w:rPr>
        <w:t>Albrektsson</w:t>
      </w:r>
      <w:proofErr w:type="spellEnd"/>
      <w:r w:rsidRPr="00C870F3">
        <w:rPr>
          <w:rFonts w:ascii="Times New Roman" w:hAnsi="Times New Roman" w:cs="Times New Roman"/>
          <w:sz w:val="24"/>
          <w:szCs w:val="24"/>
        </w:rPr>
        <w:t xml:space="preserve"> T, </w:t>
      </w:r>
      <w:proofErr w:type="spellStart"/>
      <w:r w:rsidRPr="00C870F3">
        <w:rPr>
          <w:rFonts w:ascii="Times New Roman" w:hAnsi="Times New Roman" w:cs="Times New Roman"/>
          <w:sz w:val="24"/>
          <w:szCs w:val="24"/>
        </w:rPr>
        <w:t>Zarb</w:t>
      </w:r>
      <w:proofErr w:type="spellEnd"/>
      <w:r w:rsidRPr="00C870F3">
        <w:rPr>
          <w:rFonts w:ascii="Times New Roman" w:hAnsi="Times New Roman" w:cs="Times New Roman"/>
          <w:sz w:val="24"/>
          <w:szCs w:val="24"/>
        </w:rPr>
        <w:t xml:space="preserve"> G, Worthington P, Eriksson AR. The long-term efficacy of currently used dental implants: a review and proposed criteria of success. Int j oral </w:t>
      </w:r>
      <w:proofErr w:type="spellStart"/>
      <w:r w:rsidRPr="00C870F3">
        <w:rPr>
          <w:rFonts w:ascii="Times New Roman" w:hAnsi="Times New Roman" w:cs="Times New Roman"/>
          <w:sz w:val="24"/>
          <w:szCs w:val="24"/>
        </w:rPr>
        <w:t>maxillofac</w:t>
      </w:r>
      <w:proofErr w:type="spellEnd"/>
      <w:r w:rsidRPr="00C870F3">
        <w:rPr>
          <w:rFonts w:ascii="Times New Roman" w:hAnsi="Times New Roman" w:cs="Times New Roman"/>
          <w:sz w:val="24"/>
          <w:szCs w:val="24"/>
        </w:rPr>
        <w:t xml:space="preserve"> implants. 1986 Jan 1;1(1):11-25.</w:t>
      </w:r>
    </w:p>
    <w:p w14:paraId="5D7CB2D7" w14:textId="7C9A4744" w:rsidR="002E13A1" w:rsidRDefault="002E13A1" w:rsidP="00C870F3">
      <w:pPr>
        <w:pStyle w:val="ListParagraph"/>
        <w:numPr>
          <w:ilvl w:val="0"/>
          <w:numId w:val="1"/>
        </w:numPr>
        <w:spacing w:line="360" w:lineRule="auto"/>
        <w:jc w:val="both"/>
        <w:rPr>
          <w:rFonts w:ascii="Times New Roman" w:hAnsi="Times New Roman" w:cs="Times New Roman"/>
          <w:sz w:val="24"/>
          <w:szCs w:val="24"/>
        </w:rPr>
      </w:pPr>
      <w:r w:rsidRPr="002E13A1">
        <w:rPr>
          <w:rFonts w:ascii="Times New Roman" w:hAnsi="Times New Roman" w:cs="Times New Roman"/>
          <w:sz w:val="24"/>
          <w:szCs w:val="24"/>
        </w:rPr>
        <w:t xml:space="preserve">Jayesh RS, </w:t>
      </w:r>
      <w:proofErr w:type="spellStart"/>
      <w:r w:rsidRPr="002E13A1">
        <w:rPr>
          <w:rFonts w:ascii="Times New Roman" w:hAnsi="Times New Roman" w:cs="Times New Roman"/>
          <w:sz w:val="24"/>
          <w:szCs w:val="24"/>
        </w:rPr>
        <w:t>Dhinakarsamy</w:t>
      </w:r>
      <w:proofErr w:type="spellEnd"/>
      <w:r w:rsidRPr="002E13A1">
        <w:rPr>
          <w:rFonts w:ascii="Times New Roman" w:hAnsi="Times New Roman" w:cs="Times New Roman"/>
          <w:sz w:val="24"/>
          <w:szCs w:val="24"/>
        </w:rPr>
        <w:t xml:space="preserve"> V. Osseointegration. J Pharm </w:t>
      </w:r>
      <w:proofErr w:type="spellStart"/>
      <w:r w:rsidRPr="002E13A1">
        <w:rPr>
          <w:rFonts w:ascii="Times New Roman" w:hAnsi="Times New Roman" w:cs="Times New Roman"/>
          <w:sz w:val="24"/>
          <w:szCs w:val="24"/>
        </w:rPr>
        <w:t>Bioallied</w:t>
      </w:r>
      <w:proofErr w:type="spellEnd"/>
      <w:r w:rsidRPr="002E13A1">
        <w:rPr>
          <w:rFonts w:ascii="Times New Roman" w:hAnsi="Times New Roman" w:cs="Times New Roman"/>
          <w:sz w:val="24"/>
          <w:szCs w:val="24"/>
        </w:rPr>
        <w:t xml:space="preserve"> Sci. 2015 Apr;7(</w:t>
      </w:r>
      <w:proofErr w:type="spellStart"/>
      <w:r w:rsidRPr="002E13A1">
        <w:rPr>
          <w:rFonts w:ascii="Times New Roman" w:hAnsi="Times New Roman" w:cs="Times New Roman"/>
          <w:sz w:val="24"/>
          <w:szCs w:val="24"/>
        </w:rPr>
        <w:t>Suppl</w:t>
      </w:r>
      <w:proofErr w:type="spellEnd"/>
      <w:r w:rsidRPr="002E13A1">
        <w:rPr>
          <w:rFonts w:ascii="Times New Roman" w:hAnsi="Times New Roman" w:cs="Times New Roman"/>
          <w:sz w:val="24"/>
          <w:szCs w:val="24"/>
        </w:rPr>
        <w:t xml:space="preserve"> 1</w:t>
      </w:r>
      <w:proofErr w:type="gramStart"/>
      <w:r w:rsidRPr="002E13A1">
        <w:rPr>
          <w:rFonts w:ascii="Times New Roman" w:hAnsi="Times New Roman" w:cs="Times New Roman"/>
          <w:sz w:val="24"/>
          <w:szCs w:val="24"/>
        </w:rPr>
        <w:t>):S</w:t>
      </w:r>
      <w:proofErr w:type="gramEnd"/>
      <w:r w:rsidRPr="002E13A1">
        <w:rPr>
          <w:rFonts w:ascii="Times New Roman" w:hAnsi="Times New Roman" w:cs="Times New Roman"/>
          <w:sz w:val="24"/>
          <w:szCs w:val="24"/>
        </w:rPr>
        <w:t>226-9.</w:t>
      </w:r>
    </w:p>
    <w:p w14:paraId="46EA44CA" w14:textId="7DC83C10" w:rsidR="004E4F6A" w:rsidRDefault="004E4F6A" w:rsidP="00C870F3">
      <w:pPr>
        <w:pStyle w:val="ListParagraph"/>
        <w:numPr>
          <w:ilvl w:val="0"/>
          <w:numId w:val="1"/>
        </w:numPr>
        <w:spacing w:line="360" w:lineRule="auto"/>
        <w:jc w:val="both"/>
        <w:rPr>
          <w:rFonts w:ascii="Times New Roman" w:hAnsi="Times New Roman" w:cs="Times New Roman"/>
          <w:sz w:val="24"/>
          <w:szCs w:val="24"/>
        </w:rPr>
      </w:pPr>
      <w:r w:rsidRPr="004E4F6A">
        <w:rPr>
          <w:rFonts w:ascii="Times New Roman" w:hAnsi="Times New Roman" w:cs="Times New Roman"/>
          <w:sz w:val="24"/>
          <w:szCs w:val="24"/>
        </w:rPr>
        <w:t xml:space="preserve">Wen X, Pei F, </w:t>
      </w:r>
      <w:proofErr w:type="spellStart"/>
      <w:r w:rsidRPr="004E4F6A">
        <w:rPr>
          <w:rFonts w:ascii="Times New Roman" w:hAnsi="Times New Roman" w:cs="Times New Roman"/>
          <w:sz w:val="24"/>
          <w:szCs w:val="24"/>
        </w:rPr>
        <w:t>Jin</w:t>
      </w:r>
      <w:proofErr w:type="spellEnd"/>
      <w:r w:rsidRPr="004E4F6A">
        <w:rPr>
          <w:rFonts w:ascii="Times New Roman" w:hAnsi="Times New Roman" w:cs="Times New Roman"/>
          <w:sz w:val="24"/>
          <w:szCs w:val="24"/>
        </w:rPr>
        <w:t xml:space="preserve"> Y, Zhao Z. Exploring the mechanical and biological interplay in the periodontal ligament. International Journal of Oral Science. 2025 Apr 2;17(1):23.</w:t>
      </w:r>
    </w:p>
    <w:p w14:paraId="3111D045" w14:textId="287A870A" w:rsidR="002E13A1" w:rsidRDefault="002E13A1" w:rsidP="00C870F3">
      <w:pPr>
        <w:pStyle w:val="ListParagraph"/>
        <w:numPr>
          <w:ilvl w:val="0"/>
          <w:numId w:val="1"/>
        </w:numPr>
        <w:spacing w:line="360" w:lineRule="auto"/>
        <w:jc w:val="both"/>
        <w:rPr>
          <w:rFonts w:ascii="Times New Roman" w:hAnsi="Times New Roman" w:cs="Times New Roman"/>
          <w:sz w:val="24"/>
          <w:szCs w:val="24"/>
        </w:rPr>
      </w:pPr>
      <w:r w:rsidRPr="002E13A1">
        <w:rPr>
          <w:rFonts w:ascii="Times New Roman" w:hAnsi="Times New Roman" w:cs="Times New Roman"/>
          <w:sz w:val="24"/>
          <w:szCs w:val="24"/>
        </w:rPr>
        <w:t xml:space="preserve">Saleem M, Kaushik M, </w:t>
      </w:r>
      <w:proofErr w:type="spellStart"/>
      <w:r w:rsidRPr="002E13A1">
        <w:rPr>
          <w:rFonts w:ascii="Times New Roman" w:hAnsi="Times New Roman" w:cs="Times New Roman"/>
          <w:sz w:val="24"/>
          <w:szCs w:val="24"/>
        </w:rPr>
        <w:t>Ghai</w:t>
      </w:r>
      <w:proofErr w:type="spellEnd"/>
      <w:r w:rsidRPr="002E13A1">
        <w:rPr>
          <w:rFonts w:ascii="Times New Roman" w:hAnsi="Times New Roman" w:cs="Times New Roman"/>
          <w:sz w:val="24"/>
          <w:szCs w:val="24"/>
        </w:rPr>
        <w:t xml:space="preserve"> A, </w:t>
      </w:r>
      <w:proofErr w:type="spellStart"/>
      <w:r w:rsidRPr="002E13A1">
        <w:rPr>
          <w:rFonts w:ascii="Times New Roman" w:hAnsi="Times New Roman" w:cs="Times New Roman"/>
          <w:sz w:val="24"/>
          <w:szCs w:val="24"/>
        </w:rPr>
        <w:t>Tomar</w:t>
      </w:r>
      <w:proofErr w:type="spellEnd"/>
      <w:r w:rsidRPr="002E13A1">
        <w:rPr>
          <w:rFonts w:ascii="Times New Roman" w:hAnsi="Times New Roman" w:cs="Times New Roman"/>
          <w:sz w:val="24"/>
          <w:szCs w:val="24"/>
        </w:rPr>
        <w:t xml:space="preserve"> N, Singh S. </w:t>
      </w:r>
      <w:proofErr w:type="spellStart"/>
      <w:r w:rsidRPr="002E13A1">
        <w:rPr>
          <w:rFonts w:ascii="Times New Roman" w:hAnsi="Times New Roman" w:cs="Times New Roman"/>
          <w:sz w:val="24"/>
          <w:szCs w:val="24"/>
        </w:rPr>
        <w:t>Ligaplants</w:t>
      </w:r>
      <w:proofErr w:type="spellEnd"/>
      <w:r w:rsidRPr="002E13A1">
        <w:rPr>
          <w:rFonts w:ascii="Times New Roman" w:hAnsi="Times New Roman" w:cs="Times New Roman"/>
          <w:sz w:val="24"/>
          <w:szCs w:val="24"/>
        </w:rPr>
        <w:t xml:space="preserve">: A Revolutionary Concept in Implant Dentistry. Ann </w:t>
      </w:r>
      <w:proofErr w:type="spellStart"/>
      <w:r w:rsidRPr="002E13A1">
        <w:rPr>
          <w:rFonts w:ascii="Times New Roman" w:hAnsi="Times New Roman" w:cs="Times New Roman"/>
          <w:sz w:val="24"/>
          <w:szCs w:val="24"/>
        </w:rPr>
        <w:t>Maxillofac</w:t>
      </w:r>
      <w:proofErr w:type="spellEnd"/>
      <w:r w:rsidRPr="002E13A1">
        <w:rPr>
          <w:rFonts w:ascii="Times New Roman" w:hAnsi="Times New Roman" w:cs="Times New Roman"/>
          <w:sz w:val="24"/>
          <w:szCs w:val="24"/>
        </w:rPr>
        <w:t xml:space="preserve"> Surg. 2020 Jan-Jun;10(1):195-197.</w:t>
      </w:r>
    </w:p>
    <w:p w14:paraId="2C31BCB3" w14:textId="17C96DB3" w:rsidR="002E13A1" w:rsidRDefault="002E13A1" w:rsidP="00C870F3">
      <w:pPr>
        <w:pStyle w:val="ListParagraph"/>
        <w:numPr>
          <w:ilvl w:val="0"/>
          <w:numId w:val="1"/>
        </w:numPr>
        <w:spacing w:line="360" w:lineRule="auto"/>
        <w:jc w:val="both"/>
        <w:rPr>
          <w:rFonts w:ascii="Times New Roman" w:hAnsi="Times New Roman" w:cs="Times New Roman"/>
          <w:sz w:val="24"/>
          <w:szCs w:val="24"/>
        </w:rPr>
      </w:pPr>
      <w:r w:rsidRPr="002E13A1">
        <w:rPr>
          <w:rFonts w:ascii="Times New Roman" w:hAnsi="Times New Roman" w:cs="Times New Roman"/>
          <w:sz w:val="24"/>
          <w:szCs w:val="24"/>
        </w:rPr>
        <w:t>Pei X, Wang L, Chen C, Yuan X, Wan Q, Helms JA. Contribution of the PDL to Osteotomy Repair and Implant Osseointegration. J Dent Res. 2017 Jul;96(8):909-916.</w:t>
      </w:r>
    </w:p>
    <w:p w14:paraId="230DEAC0" w14:textId="77777777" w:rsidR="00C75422" w:rsidRDefault="00C75422" w:rsidP="00C75422">
      <w:pPr>
        <w:pStyle w:val="ListParagraph"/>
        <w:numPr>
          <w:ilvl w:val="0"/>
          <w:numId w:val="1"/>
        </w:numPr>
        <w:spacing w:line="360" w:lineRule="auto"/>
        <w:jc w:val="both"/>
        <w:rPr>
          <w:rFonts w:ascii="Times New Roman" w:hAnsi="Times New Roman" w:cs="Times New Roman"/>
          <w:sz w:val="24"/>
          <w:szCs w:val="24"/>
        </w:rPr>
      </w:pPr>
      <w:r w:rsidRPr="00C75422">
        <w:rPr>
          <w:rFonts w:ascii="Times New Roman" w:hAnsi="Times New Roman" w:cs="Times New Roman"/>
          <w:sz w:val="24"/>
          <w:szCs w:val="24"/>
        </w:rPr>
        <w:t xml:space="preserve">Garg H, Deepa D. Bioengineered periodontal ligament: </w:t>
      </w:r>
      <w:proofErr w:type="spellStart"/>
      <w:r w:rsidRPr="00C75422">
        <w:rPr>
          <w:rFonts w:ascii="Times New Roman" w:hAnsi="Times New Roman" w:cs="Times New Roman"/>
          <w:sz w:val="24"/>
          <w:szCs w:val="24"/>
        </w:rPr>
        <w:t>Ligaplants</w:t>
      </w:r>
      <w:proofErr w:type="spellEnd"/>
      <w:r w:rsidRPr="00C75422">
        <w:rPr>
          <w:rFonts w:ascii="Times New Roman" w:hAnsi="Times New Roman" w:cs="Times New Roman"/>
          <w:sz w:val="24"/>
          <w:szCs w:val="24"/>
        </w:rPr>
        <w:t>, a new dimension in the field of implant dentistry–Mini review. Journal of Oral Research and Review. 2018 Jul 1;10(2):92-5.</w:t>
      </w:r>
    </w:p>
    <w:p w14:paraId="35C7131E" w14:textId="3DA5FB7F" w:rsidR="00547B4E" w:rsidRDefault="00547B4E" w:rsidP="00C870F3">
      <w:pPr>
        <w:pStyle w:val="ListParagraph"/>
        <w:numPr>
          <w:ilvl w:val="0"/>
          <w:numId w:val="1"/>
        </w:numPr>
        <w:spacing w:line="360" w:lineRule="auto"/>
        <w:jc w:val="both"/>
        <w:rPr>
          <w:rFonts w:ascii="Times New Roman" w:hAnsi="Times New Roman" w:cs="Times New Roman"/>
          <w:sz w:val="24"/>
          <w:szCs w:val="24"/>
        </w:rPr>
      </w:pPr>
      <w:proofErr w:type="spellStart"/>
      <w:r w:rsidRPr="00547B4E">
        <w:rPr>
          <w:rFonts w:ascii="Times New Roman" w:hAnsi="Times New Roman" w:cs="Times New Roman"/>
          <w:sz w:val="24"/>
          <w:szCs w:val="24"/>
        </w:rPr>
        <w:t>Rizwanulla</w:t>
      </w:r>
      <w:proofErr w:type="spellEnd"/>
      <w:r w:rsidRPr="00547B4E">
        <w:rPr>
          <w:rFonts w:ascii="Times New Roman" w:hAnsi="Times New Roman" w:cs="Times New Roman"/>
          <w:sz w:val="24"/>
          <w:szCs w:val="24"/>
        </w:rPr>
        <w:t xml:space="preserve"> CMR, Padmaja S, </w:t>
      </w:r>
      <w:proofErr w:type="spellStart"/>
      <w:r w:rsidRPr="00547B4E">
        <w:rPr>
          <w:rFonts w:ascii="Times New Roman" w:hAnsi="Times New Roman" w:cs="Times New Roman"/>
          <w:sz w:val="24"/>
          <w:szCs w:val="24"/>
        </w:rPr>
        <w:t>Dayalan</w:t>
      </w:r>
      <w:proofErr w:type="spellEnd"/>
      <w:r w:rsidRPr="00547B4E">
        <w:rPr>
          <w:rFonts w:ascii="Times New Roman" w:hAnsi="Times New Roman" w:cs="Times New Roman"/>
          <w:sz w:val="24"/>
          <w:szCs w:val="24"/>
        </w:rPr>
        <w:t xml:space="preserve"> M. </w:t>
      </w:r>
      <w:proofErr w:type="spellStart"/>
      <w:r w:rsidRPr="00547B4E">
        <w:rPr>
          <w:rFonts w:ascii="Times New Roman" w:hAnsi="Times New Roman" w:cs="Times New Roman"/>
          <w:sz w:val="24"/>
          <w:szCs w:val="24"/>
        </w:rPr>
        <w:t>Ligaplant</w:t>
      </w:r>
      <w:proofErr w:type="spellEnd"/>
      <w:r w:rsidRPr="00547B4E">
        <w:rPr>
          <w:rFonts w:ascii="Times New Roman" w:hAnsi="Times New Roman" w:cs="Times New Roman"/>
          <w:sz w:val="24"/>
          <w:szCs w:val="24"/>
        </w:rPr>
        <w:t xml:space="preserve"> - An Era of Third Dentition. J </w:t>
      </w:r>
      <w:proofErr w:type="spellStart"/>
      <w:r w:rsidRPr="00547B4E">
        <w:rPr>
          <w:rFonts w:ascii="Times New Roman" w:hAnsi="Times New Roman" w:cs="Times New Roman"/>
          <w:sz w:val="24"/>
          <w:szCs w:val="24"/>
        </w:rPr>
        <w:t>Prosthet</w:t>
      </w:r>
      <w:proofErr w:type="spellEnd"/>
      <w:r w:rsidRPr="00547B4E">
        <w:rPr>
          <w:rFonts w:ascii="Times New Roman" w:hAnsi="Times New Roman" w:cs="Times New Roman"/>
          <w:sz w:val="24"/>
          <w:szCs w:val="24"/>
        </w:rPr>
        <w:t xml:space="preserve"> Implant Dent. 2019;2(2):69-73.</w:t>
      </w:r>
    </w:p>
    <w:p w14:paraId="07ACE363" w14:textId="5B9774C9" w:rsidR="00547B4E" w:rsidRDefault="00547B4E" w:rsidP="00C870F3">
      <w:pPr>
        <w:pStyle w:val="ListParagraph"/>
        <w:numPr>
          <w:ilvl w:val="0"/>
          <w:numId w:val="1"/>
        </w:numPr>
        <w:spacing w:line="360" w:lineRule="auto"/>
        <w:jc w:val="both"/>
        <w:rPr>
          <w:rFonts w:ascii="Times New Roman" w:hAnsi="Times New Roman" w:cs="Times New Roman"/>
          <w:sz w:val="24"/>
          <w:szCs w:val="24"/>
        </w:rPr>
      </w:pPr>
      <w:r w:rsidRPr="00547B4E">
        <w:rPr>
          <w:rFonts w:ascii="Times New Roman" w:hAnsi="Times New Roman" w:cs="Times New Roman"/>
          <w:sz w:val="24"/>
          <w:szCs w:val="24"/>
        </w:rPr>
        <w:t xml:space="preserve">Iwasaki K, </w:t>
      </w:r>
      <w:proofErr w:type="spellStart"/>
      <w:r w:rsidRPr="00547B4E">
        <w:rPr>
          <w:rFonts w:ascii="Times New Roman" w:hAnsi="Times New Roman" w:cs="Times New Roman"/>
          <w:sz w:val="24"/>
          <w:szCs w:val="24"/>
        </w:rPr>
        <w:t>Washio</w:t>
      </w:r>
      <w:proofErr w:type="spellEnd"/>
      <w:r w:rsidRPr="00547B4E">
        <w:rPr>
          <w:rFonts w:ascii="Times New Roman" w:hAnsi="Times New Roman" w:cs="Times New Roman"/>
          <w:sz w:val="24"/>
          <w:szCs w:val="24"/>
        </w:rPr>
        <w:t xml:space="preserve"> K, </w:t>
      </w:r>
      <w:proofErr w:type="spellStart"/>
      <w:r w:rsidRPr="00547B4E">
        <w:rPr>
          <w:rFonts w:ascii="Times New Roman" w:hAnsi="Times New Roman" w:cs="Times New Roman"/>
          <w:sz w:val="24"/>
          <w:szCs w:val="24"/>
        </w:rPr>
        <w:t>Meinzer</w:t>
      </w:r>
      <w:proofErr w:type="spellEnd"/>
      <w:r w:rsidRPr="00547B4E">
        <w:rPr>
          <w:rFonts w:ascii="Times New Roman" w:hAnsi="Times New Roman" w:cs="Times New Roman"/>
          <w:sz w:val="24"/>
          <w:szCs w:val="24"/>
        </w:rPr>
        <w:t xml:space="preserve"> W, </w:t>
      </w:r>
      <w:proofErr w:type="spellStart"/>
      <w:r w:rsidRPr="00547B4E">
        <w:rPr>
          <w:rFonts w:ascii="Times New Roman" w:hAnsi="Times New Roman" w:cs="Times New Roman"/>
          <w:sz w:val="24"/>
          <w:szCs w:val="24"/>
        </w:rPr>
        <w:t>Tsumanuma</w:t>
      </w:r>
      <w:proofErr w:type="spellEnd"/>
      <w:r w:rsidRPr="00547B4E">
        <w:rPr>
          <w:rFonts w:ascii="Times New Roman" w:hAnsi="Times New Roman" w:cs="Times New Roman"/>
          <w:sz w:val="24"/>
          <w:szCs w:val="24"/>
        </w:rPr>
        <w:t xml:space="preserve"> Y, Yano K, Ishikawa I. Application of cell-sheet engineering for new formation of cementum around dental implants. </w:t>
      </w:r>
      <w:proofErr w:type="spellStart"/>
      <w:r w:rsidRPr="00547B4E">
        <w:rPr>
          <w:rFonts w:ascii="Times New Roman" w:hAnsi="Times New Roman" w:cs="Times New Roman"/>
          <w:sz w:val="24"/>
          <w:szCs w:val="24"/>
        </w:rPr>
        <w:t>Heliyon</w:t>
      </w:r>
      <w:proofErr w:type="spellEnd"/>
      <w:r w:rsidRPr="00547B4E">
        <w:rPr>
          <w:rFonts w:ascii="Times New Roman" w:hAnsi="Times New Roman" w:cs="Times New Roman"/>
          <w:sz w:val="24"/>
          <w:szCs w:val="24"/>
        </w:rPr>
        <w:t>. 2019 Jun 1;5(6).</w:t>
      </w:r>
    </w:p>
    <w:p w14:paraId="672B150B" w14:textId="7AC6B44A" w:rsidR="00CF6988" w:rsidRDefault="00CF6988" w:rsidP="00C870F3">
      <w:pPr>
        <w:pStyle w:val="ListParagraph"/>
        <w:numPr>
          <w:ilvl w:val="0"/>
          <w:numId w:val="1"/>
        </w:numPr>
        <w:spacing w:line="360" w:lineRule="auto"/>
        <w:jc w:val="both"/>
        <w:rPr>
          <w:rFonts w:ascii="Times New Roman" w:hAnsi="Times New Roman" w:cs="Times New Roman"/>
          <w:sz w:val="24"/>
          <w:szCs w:val="24"/>
        </w:rPr>
      </w:pPr>
      <w:r w:rsidRPr="00CF6988">
        <w:rPr>
          <w:rFonts w:ascii="Times New Roman" w:hAnsi="Times New Roman" w:cs="Times New Roman"/>
          <w:sz w:val="24"/>
          <w:szCs w:val="24"/>
        </w:rPr>
        <w:lastRenderedPageBreak/>
        <w:t xml:space="preserve">Jiang N, Guo W, Chen M, Zheng Y, Zhou J, Kim SG, </w:t>
      </w:r>
      <w:proofErr w:type="spellStart"/>
      <w:r w:rsidRPr="00CF6988">
        <w:rPr>
          <w:rFonts w:ascii="Times New Roman" w:hAnsi="Times New Roman" w:cs="Times New Roman"/>
          <w:sz w:val="24"/>
          <w:szCs w:val="24"/>
        </w:rPr>
        <w:t>Embree</w:t>
      </w:r>
      <w:proofErr w:type="spellEnd"/>
      <w:r w:rsidRPr="00CF6988">
        <w:rPr>
          <w:rFonts w:ascii="Times New Roman" w:hAnsi="Times New Roman" w:cs="Times New Roman"/>
          <w:sz w:val="24"/>
          <w:szCs w:val="24"/>
        </w:rPr>
        <w:t xml:space="preserve"> MC, </w:t>
      </w:r>
      <w:proofErr w:type="spellStart"/>
      <w:r w:rsidRPr="00CF6988">
        <w:rPr>
          <w:rFonts w:ascii="Times New Roman" w:hAnsi="Times New Roman" w:cs="Times New Roman"/>
          <w:sz w:val="24"/>
          <w:szCs w:val="24"/>
        </w:rPr>
        <w:t>Songhee</w:t>
      </w:r>
      <w:proofErr w:type="spellEnd"/>
      <w:r w:rsidRPr="00CF6988">
        <w:rPr>
          <w:rFonts w:ascii="Times New Roman" w:hAnsi="Times New Roman" w:cs="Times New Roman"/>
          <w:sz w:val="24"/>
          <w:szCs w:val="24"/>
        </w:rPr>
        <w:t xml:space="preserve"> Song K, </w:t>
      </w:r>
      <w:proofErr w:type="spellStart"/>
      <w:r w:rsidRPr="00CF6988">
        <w:rPr>
          <w:rFonts w:ascii="Times New Roman" w:hAnsi="Times New Roman" w:cs="Times New Roman"/>
          <w:sz w:val="24"/>
          <w:szCs w:val="24"/>
        </w:rPr>
        <w:t>Marao</w:t>
      </w:r>
      <w:proofErr w:type="spellEnd"/>
      <w:r w:rsidRPr="00CF6988">
        <w:rPr>
          <w:rFonts w:ascii="Times New Roman" w:hAnsi="Times New Roman" w:cs="Times New Roman"/>
          <w:sz w:val="24"/>
          <w:szCs w:val="24"/>
        </w:rPr>
        <w:t xml:space="preserve"> HF, Mao JJ. Periodontal Ligament and Alveolar Bone in Health and Adaptation: Tooth Movement. Front Oral Biol. </w:t>
      </w:r>
      <w:proofErr w:type="gramStart"/>
      <w:r w:rsidRPr="00CF6988">
        <w:rPr>
          <w:rFonts w:ascii="Times New Roman" w:hAnsi="Times New Roman" w:cs="Times New Roman"/>
          <w:sz w:val="24"/>
          <w:szCs w:val="24"/>
        </w:rPr>
        <w:t>2016;18:1</w:t>
      </w:r>
      <w:proofErr w:type="gramEnd"/>
      <w:r w:rsidRPr="00CF6988">
        <w:rPr>
          <w:rFonts w:ascii="Times New Roman" w:hAnsi="Times New Roman" w:cs="Times New Roman"/>
          <w:sz w:val="24"/>
          <w:szCs w:val="24"/>
        </w:rPr>
        <w:t>-8.</w:t>
      </w:r>
    </w:p>
    <w:p w14:paraId="11F3942A" w14:textId="4B7DA332" w:rsidR="00CF6988" w:rsidRDefault="00CF6988" w:rsidP="00C870F3">
      <w:pPr>
        <w:pStyle w:val="ListParagraph"/>
        <w:numPr>
          <w:ilvl w:val="0"/>
          <w:numId w:val="1"/>
        </w:numPr>
        <w:spacing w:line="360" w:lineRule="auto"/>
        <w:jc w:val="both"/>
        <w:rPr>
          <w:rFonts w:ascii="Times New Roman" w:hAnsi="Times New Roman" w:cs="Times New Roman"/>
          <w:sz w:val="24"/>
          <w:szCs w:val="24"/>
        </w:rPr>
      </w:pPr>
      <w:r w:rsidRPr="00CF6988">
        <w:rPr>
          <w:rFonts w:ascii="Times New Roman" w:hAnsi="Times New Roman" w:cs="Times New Roman"/>
          <w:sz w:val="24"/>
          <w:szCs w:val="24"/>
        </w:rPr>
        <w:t xml:space="preserve">Mortazavi H, </w:t>
      </w:r>
      <w:proofErr w:type="spellStart"/>
      <w:r w:rsidRPr="00CF6988">
        <w:rPr>
          <w:rFonts w:ascii="Times New Roman" w:hAnsi="Times New Roman" w:cs="Times New Roman"/>
          <w:sz w:val="24"/>
          <w:szCs w:val="24"/>
        </w:rPr>
        <w:t>Baharvand</w:t>
      </w:r>
      <w:proofErr w:type="spellEnd"/>
      <w:r w:rsidRPr="00CF6988">
        <w:rPr>
          <w:rFonts w:ascii="Times New Roman" w:hAnsi="Times New Roman" w:cs="Times New Roman"/>
          <w:sz w:val="24"/>
          <w:szCs w:val="24"/>
        </w:rPr>
        <w:t xml:space="preserve"> M. Review of common conditions associated with periodontal ligament widening. Imaging Sci Dent. 2016 Dec;46(4):229-237. </w:t>
      </w:r>
    </w:p>
    <w:p w14:paraId="70AC3A9B" w14:textId="5FC14304" w:rsidR="00CF6988" w:rsidRDefault="00CF6988" w:rsidP="00C870F3">
      <w:pPr>
        <w:pStyle w:val="ListParagraph"/>
        <w:numPr>
          <w:ilvl w:val="0"/>
          <w:numId w:val="1"/>
        </w:numPr>
        <w:spacing w:line="360" w:lineRule="auto"/>
        <w:jc w:val="both"/>
        <w:rPr>
          <w:rFonts w:ascii="Times New Roman" w:hAnsi="Times New Roman" w:cs="Times New Roman"/>
          <w:sz w:val="24"/>
          <w:szCs w:val="24"/>
        </w:rPr>
      </w:pPr>
      <w:r w:rsidRPr="00CF6988">
        <w:rPr>
          <w:rFonts w:ascii="Times New Roman" w:hAnsi="Times New Roman" w:cs="Times New Roman"/>
          <w:sz w:val="24"/>
          <w:szCs w:val="24"/>
        </w:rPr>
        <w:t xml:space="preserve">Mishra SK, Chowdhary R, </w:t>
      </w:r>
      <w:proofErr w:type="spellStart"/>
      <w:r w:rsidRPr="00CF6988">
        <w:rPr>
          <w:rFonts w:ascii="Times New Roman" w:hAnsi="Times New Roman" w:cs="Times New Roman"/>
          <w:sz w:val="24"/>
          <w:szCs w:val="24"/>
        </w:rPr>
        <w:t>Chrcanovic</w:t>
      </w:r>
      <w:proofErr w:type="spellEnd"/>
      <w:r w:rsidRPr="00CF6988">
        <w:rPr>
          <w:rFonts w:ascii="Times New Roman" w:hAnsi="Times New Roman" w:cs="Times New Roman"/>
          <w:sz w:val="24"/>
          <w:szCs w:val="24"/>
        </w:rPr>
        <w:t xml:space="preserve"> BR, </w:t>
      </w:r>
      <w:proofErr w:type="spellStart"/>
      <w:r w:rsidRPr="00CF6988">
        <w:rPr>
          <w:rFonts w:ascii="Times New Roman" w:hAnsi="Times New Roman" w:cs="Times New Roman"/>
          <w:sz w:val="24"/>
          <w:szCs w:val="24"/>
        </w:rPr>
        <w:t>Brånemark</w:t>
      </w:r>
      <w:proofErr w:type="spellEnd"/>
      <w:r w:rsidRPr="00CF6988">
        <w:rPr>
          <w:rFonts w:ascii="Times New Roman" w:hAnsi="Times New Roman" w:cs="Times New Roman"/>
          <w:sz w:val="24"/>
          <w:szCs w:val="24"/>
        </w:rPr>
        <w:t xml:space="preserve"> PI. </w:t>
      </w:r>
      <w:proofErr w:type="spellStart"/>
      <w:r w:rsidRPr="00CF6988">
        <w:rPr>
          <w:rFonts w:ascii="Times New Roman" w:hAnsi="Times New Roman" w:cs="Times New Roman"/>
          <w:sz w:val="24"/>
          <w:szCs w:val="24"/>
        </w:rPr>
        <w:t>Osseoperception</w:t>
      </w:r>
      <w:proofErr w:type="spellEnd"/>
      <w:r w:rsidRPr="00CF6988">
        <w:rPr>
          <w:rFonts w:ascii="Times New Roman" w:hAnsi="Times New Roman" w:cs="Times New Roman"/>
          <w:sz w:val="24"/>
          <w:szCs w:val="24"/>
        </w:rPr>
        <w:t xml:space="preserve"> in dental implants: a systematic review. Journal of Prosthodontics. 2016 Apr;25(3):185-95.</w:t>
      </w:r>
    </w:p>
    <w:p w14:paraId="2CBF6BC3" w14:textId="186EBBAE" w:rsidR="00CF6988" w:rsidRDefault="00CF6988" w:rsidP="00C870F3">
      <w:pPr>
        <w:pStyle w:val="ListParagraph"/>
        <w:numPr>
          <w:ilvl w:val="0"/>
          <w:numId w:val="1"/>
        </w:numPr>
        <w:spacing w:line="360" w:lineRule="auto"/>
        <w:jc w:val="both"/>
        <w:rPr>
          <w:rFonts w:ascii="Times New Roman" w:hAnsi="Times New Roman" w:cs="Times New Roman"/>
          <w:sz w:val="24"/>
          <w:szCs w:val="24"/>
        </w:rPr>
      </w:pPr>
      <w:r w:rsidRPr="00CF6988">
        <w:rPr>
          <w:rFonts w:ascii="Times New Roman" w:hAnsi="Times New Roman" w:cs="Times New Roman"/>
          <w:sz w:val="24"/>
          <w:szCs w:val="24"/>
        </w:rPr>
        <w:t xml:space="preserve">Liu J, </w:t>
      </w:r>
      <w:proofErr w:type="spellStart"/>
      <w:r w:rsidRPr="00CF6988">
        <w:rPr>
          <w:rFonts w:ascii="Times New Roman" w:hAnsi="Times New Roman" w:cs="Times New Roman"/>
          <w:sz w:val="24"/>
          <w:szCs w:val="24"/>
        </w:rPr>
        <w:t>Ruan</w:t>
      </w:r>
      <w:proofErr w:type="spellEnd"/>
      <w:r w:rsidRPr="00CF6988">
        <w:rPr>
          <w:rFonts w:ascii="Times New Roman" w:hAnsi="Times New Roman" w:cs="Times New Roman"/>
          <w:sz w:val="24"/>
          <w:szCs w:val="24"/>
        </w:rPr>
        <w:t xml:space="preserve"> J, Weir MD, Ren K, Schneider A, Wang P, Oates TW, Chang X, Xu HHK. Periodontal Bone-Ligament-Cementum Regeneration via Scaffolds and Stem Cells. Cells. 2019 Jun 4;8(6):537.</w:t>
      </w:r>
    </w:p>
    <w:p w14:paraId="5F51A94A" w14:textId="2F90B8FA" w:rsidR="00F52499" w:rsidRDefault="00F52499" w:rsidP="00C870F3">
      <w:pPr>
        <w:pStyle w:val="ListParagraph"/>
        <w:numPr>
          <w:ilvl w:val="0"/>
          <w:numId w:val="1"/>
        </w:numPr>
        <w:spacing w:line="360" w:lineRule="auto"/>
        <w:jc w:val="both"/>
        <w:rPr>
          <w:rFonts w:ascii="Times New Roman" w:hAnsi="Times New Roman" w:cs="Times New Roman"/>
          <w:sz w:val="24"/>
          <w:szCs w:val="24"/>
        </w:rPr>
      </w:pPr>
      <w:r w:rsidRPr="00F52499">
        <w:rPr>
          <w:rFonts w:ascii="Times New Roman" w:hAnsi="Times New Roman" w:cs="Times New Roman"/>
          <w:sz w:val="24"/>
          <w:szCs w:val="24"/>
        </w:rPr>
        <w:t xml:space="preserve">Winning L, Robinson L, Boyd AR, El Karim IA, Lundy FT, </w:t>
      </w:r>
      <w:proofErr w:type="spellStart"/>
      <w:r w:rsidRPr="00F52499">
        <w:rPr>
          <w:rFonts w:ascii="Times New Roman" w:hAnsi="Times New Roman" w:cs="Times New Roman"/>
          <w:sz w:val="24"/>
          <w:szCs w:val="24"/>
        </w:rPr>
        <w:t>Meenan</w:t>
      </w:r>
      <w:proofErr w:type="spellEnd"/>
      <w:r w:rsidRPr="00F52499">
        <w:rPr>
          <w:rFonts w:ascii="Times New Roman" w:hAnsi="Times New Roman" w:cs="Times New Roman"/>
          <w:sz w:val="24"/>
          <w:szCs w:val="24"/>
        </w:rPr>
        <w:t xml:space="preserve"> BJ. Osteoblastic differentiation of periodontal ligament stem cells on non-stoichiometric calcium phosphate and titanium surfaces. J Biomed Mater Res A. 2017 Jun;105(6):1692-1702. </w:t>
      </w:r>
    </w:p>
    <w:p w14:paraId="6579B649" w14:textId="69FB1744" w:rsidR="00F52499" w:rsidRDefault="00F52499" w:rsidP="00C870F3">
      <w:pPr>
        <w:pStyle w:val="ListParagraph"/>
        <w:numPr>
          <w:ilvl w:val="0"/>
          <w:numId w:val="1"/>
        </w:numPr>
        <w:spacing w:line="360" w:lineRule="auto"/>
        <w:jc w:val="both"/>
        <w:rPr>
          <w:rFonts w:ascii="Times New Roman" w:hAnsi="Times New Roman" w:cs="Times New Roman"/>
          <w:sz w:val="24"/>
          <w:szCs w:val="24"/>
        </w:rPr>
      </w:pPr>
      <w:proofErr w:type="spellStart"/>
      <w:r w:rsidRPr="00F52499">
        <w:rPr>
          <w:rFonts w:ascii="Times New Roman" w:hAnsi="Times New Roman" w:cs="Times New Roman"/>
          <w:sz w:val="24"/>
          <w:szCs w:val="24"/>
        </w:rPr>
        <w:t>Buser</w:t>
      </w:r>
      <w:proofErr w:type="spellEnd"/>
      <w:r w:rsidRPr="00F52499">
        <w:rPr>
          <w:rFonts w:ascii="Times New Roman" w:hAnsi="Times New Roman" w:cs="Times New Roman"/>
          <w:sz w:val="24"/>
          <w:szCs w:val="24"/>
        </w:rPr>
        <w:t xml:space="preserve"> D, </w:t>
      </w:r>
      <w:proofErr w:type="spellStart"/>
      <w:r w:rsidRPr="00F52499">
        <w:rPr>
          <w:rFonts w:ascii="Times New Roman" w:hAnsi="Times New Roman" w:cs="Times New Roman"/>
          <w:sz w:val="24"/>
          <w:szCs w:val="24"/>
        </w:rPr>
        <w:t>Warrer</w:t>
      </w:r>
      <w:proofErr w:type="spellEnd"/>
      <w:r w:rsidRPr="00F52499">
        <w:rPr>
          <w:rFonts w:ascii="Times New Roman" w:hAnsi="Times New Roman" w:cs="Times New Roman"/>
          <w:sz w:val="24"/>
          <w:szCs w:val="24"/>
        </w:rPr>
        <w:t xml:space="preserve"> K, </w:t>
      </w:r>
      <w:proofErr w:type="spellStart"/>
      <w:r w:rsidRPr="00F52499">
        <w:rPr>
          <w:rFonts w:ascii="Times New Roman" w:hAnsi="Times New Roman" w:cs="Times New Roman"/>
          <w:sz w:val="24"/>
          <w:szCs w:val="24"/>
        </w:rPr>
        <w:t>Karring</w:t>
      </w:r>
      <w:proofErr w:type="spellEnd"/>
      <w:r w:rsidRPr="00F52499">
        <w:rPr>
          <w:rFonts w:ascii="Times New Roman" w:hAnsi="Times New Roman" w:cs="Times New Roman"/>
          <w:sz w:val="24"/>
          <w:szCs w:val="24"/>
        </w:rPr>
        <w:t xml:space="preserve"> T. Formation of a periodontal ligament around titanium implants. J </w:t>
      </w:r>
      <w:proofErr w:type="spellStart"/>
      <w:r w:rsidRPr="00F52499">
        <w:rPr>
          <w:rFonts w:ascii="Times New Roman" w:hAnsi="Times New Roman" w:cs="Times New Roman"/>
          <w:sz w:val="24"/>
          <w:szCs w:val="24"/>
        </w:rPr>
        <w:t>Periodontol</w:t>
      </w:r>
      <w:proofErr w:type="spellEnd"/>
      <w:r w:rsidRPr="00F52499">
        <w:rPr>
          <w:rFonts w:ascii="Times New Roman" w:hAnsi="Times New Roman" w:cs="Times New Roman"/>
          <w:sz w:val="24"/>
          <w:szCs w:val="24"/>
        </w:rPr>
        <w:t>. 1990 Sep;61(9):597-601. </w:t>
      </w:r>
    </w:p>
    <w:p w14:paraId="2D76C851" w14:textId="498B3343" w:rsidR="00F52499" w:rsidRDefault="00F52499" w:rsidP="00C870F3">
      <w:pPr>
        <w:pStyle w:val="ListParagraph"/>
        <w:numPr>
          <w:ilvl w:val="0"/>
          <w:numId w:val="1"/>
        </w:numPr>
        <w:spacing w:line="360" w:lineRule="auto"/>
        <w:jc w:val="both"/>
        <w:rPr>
          <w:rFonts w:ascii="Times New Roman" w:hAnsi="Times New Roman" w:cs="Times New Roman"/>
          <w:sz w:val="24"/>
          <w:szCs w:val="24"/>
        </w:rPr>
      </w:pPr>
      <w:r w:rsidRPr="00F52499">
        <w:rPr>
          <w:rFonts w:ascii="Times New Roman" w:hAnsi="Times New Roman" w:cs="Times New Roman"/>
          <w:sz w:val="24"/>
          <w:szCs w:val="24"/>
        </w:rPr>
        <w:t xml:space="preserve">Choi BH. Periodontal ligament formation around titanium implants using cultured periodontal ligament cells: a pilot study. Int J Oral </w:t>
      </w:r>
      <w:proofErr w:type="spellStart"/>
      <w:r w:rsidRPr="00F52499">
        <w:rPr>
          <w:rFonts w:ascii="Times New Roman" w:hAnsi="Times New Roman" w:cs="Times New Roman"/>
          <w:sz w:val="24"/>
          <w:szCs w:val="24"/>
        </w:rPr>
        <w:t>Maxillofac</w:t>
      </w:r>
      <w:proofErr w:type="spellEnd"/>
      <w:r w:rsidRPr="00F52499">
        <w:rPr>
          <w:rFonts w:ascii="Times New Roman" w:hAnsi="Times New Roman" w:cs="Times New Roman"/>
          <w:sz w:val="24"/>
          <w:szCs w:val="24"/>
        </w:rPr>
        <w:t xml:space="preserve"> Implants. 2000 Mar-Apr;15(2):193-6.</w:t>
      </w:r>
    </w:p>
    <w:p w14:paraId="07D4E8D8" w14:textId="6E488A15" w:rsidR="00F52499" w:rsidRDefault="00F52499" w:rsidP="00C870F3">
      <w:pPr>
        <w:pStyle w:val="ListParagraph"/>
        <w:numPr>
          <w:ilvl w:val="0"/>
          <w:numId w:val="1"/>
        </w:numPr>
        <w:spacing w:line="360" w:lineRule="auto"/>
        <w:jc w:val="both"/>
        <w:rPr>
          <w:rFonts w:ascii="Times New Roman" w:hAnsi="Times New Roman" w:cs="Times New Roman"/>
          <w:sz w:val="24"/>
          <w:szCs w:val="24"/>
        </w:rPr>
      </w:pPr>
      <w:r w:rsidRPr="00F52499">
        <w:rPr>
          <w:rFonts w:ascii="Times New Roman" w:hAnsi="Times New Roman" w:cs="Times New Roman"/>
          <w:sz w:val="24"/>
          <w:szCs w:val="24"/>
        </w:rPr>
        <w:t xml:space="preserve">Lin Y, Gallucci GO, </w:t>
      </w:r>
      <w:proofErr w:type="spellStart"/>
      <w:r w:rsidRPr="00F52499">
        <w:rPr>
          <w:rFonts w:ascii="Times New Roman" w:hAnsi="Times New Roman" w:cs="Times New Roman"/>
          <w:sz w:val="24"/>
          <w:szCs w:val="24"/>
        </w:rPr>
        <w:t>Buser</w:t>
      </w:r>
      <w:proofErr w:type="spellEnd"/>
      <w:r w:rsidRPr="00F52499">
        <w:rPr>
          <w:rFonts w:ascii="Times New Roman" w:hAnsi="Times New Roman" w:cs="Times New Roman"/>
          <w:sz w:val="24"/>
          <w:szCs w:val="24"/>
        </w:rPr>
        <w:t xml:space="preserve"> D, </w:t>
      </w:r>
      <w:proofErr w:type="spellStart"/>
      <w:r w:rsidRPr="00F52499">
        <w:rPr>
          <w:rFonts w:ascii="Times New Roman" w:hAnsi="Times New Roman" w:cs="Times New Roman"/>
          <w:sz w:val="24"/>
          <w:szCs w:val="24"/>
        </w:rPr>
        <w:t>Bosshardt</w:t>
      </w:r>
      <w:proofErr w:type="spellEnd"/>
      <w:r w:rsidRPr="00F52499">
        <w:rPr>
          <w:rFonts w:ascii="Times New Roman" w:hAnsi="Times New Roman" w:cs="Times New Roman"/>
          <w:sz w:val="24"/>
          <w:szCs w:val="24"/>
        </w:rPr>
        <w:t xml:space="preserve"> D, </w:t>
      </w:r>
      <w:proofErr w:type="spellStart"/>
      <w:r w:rsidRPr="00F52499">
        <w:rPr>
          <w:rFonts w:ascii="Times New Roman" w:hAnsi="Times New Roman" w:cs="Times New Roman"/>
          <w:sz w:val="24"/>
          <w:szCs w:val="24"/>
        </w:rPr>
        <w:t>Belser</w:t>
      </w:r>
      <w:proofErr w:type="spellEnd"/>
      <w:r w:rsidRPr="00F52499">
        <w:rPr>
          <w:rFonts w:ascii="Times New Roman" w:hAnsi="Times New Roman" w:cs="Times New Roman"/>
          <w:sz w:val="24"/>
          <w:szCs w:val="24"/>
        </w:rPr>
        <w:t xml:space="preserve"> UC, </w:t>
      </w:r>
      <w:proofErr w:type="spellStart"/>
      <w:r w:rsidRPr="00F52499">
        <w:rPr>
          <w:rFonts w:ascii="Times New Roman" w:hAnsi="Times New Roman" w:cs="Times New Roman"/>
          <w:sz w:val="24"/>
          <w:szCs w:val="24"/>
        </w:rPr>
        <w:t>Yelick</w:t>
      </w:r>
      <w:proofErr w:type="spellEnd"/>
      <w:r w:rsidRPr="00F52499">
        <w:rPr>
          <w:rFonts w:ascii="Times New Roman" w:hAnsi="Times New Roman" w:cs="Times New Roman"/>
          <w:sz w:val="24"/>
          <w:szCs w:val="24"/>
        </w:rPr>
        <w:t xml:space="preserve"> PC. Bioengineered periodontal tissue formed on titanium dental implants. J Dent Res. 2011 Feb;90(2):251-6.</w:t>
      </w:r>
    </w:p>
    <w:p w14:paraId="12B9EC2B" w14:textId="3101C077" w:rsidR="00F52499" w:rsidRDefault="00F52499" w:rsidP="00C870F3">
      <w:pPr>
        <w:pStyle w:val="ListParagraph"/>
        <w:numPr>
          <w:ilvl w:val="0"/>
          <w:numId w:val="1"/>
        </w:numPr>
        <w:spacing w:line="360" w:lineRule="auto"/>
        <w:jc w:val="both"/>
        <w:rPr>
          <w:rFonts w:ascii="Times New Roman" w:hAnsi="Times New Roman" w:cs="Times New Roman"/>
          <w:sz w:val="24"/>
          <w:szCs w:val="24"/>
        </w:rPr>
      </w:pPr>
      <w:proofErr w:type="spellStart"/>
      <w:r w:rsidRPr="00F52499">
        <w:rPr>
          <w:rFonts w:ascii="Times New Roman" w:hAnsi="Times New Roman" w:cs="Times New Roman"/>
          <w:sz w:val="24"/>
          <w:szCs w:val="24"/>
        </w:rPr>
        <w:t>Sanketh</w:t>
      </w:r>
      <w:proofErr w:type="spellEnd"/>
      <w:r w:rsidRPr="00F52499">
        <w:rPr>
          <w:rFonts w:ascii="Times New Roman" w:hAnsi="Times New Roman" w:cs="Times New Roman"/>
          <w:sz w:val="24"/>
          <w:szCs w:val="24"/>
        </w:rPr>
        <w:t xml:space="preserve"> AK, </w:t>
      </w:r>
      <w:proofErr w:type="spellStart"/>
      <w:r w:rsidRPr="00F52499">
        <w:rPr>
          <w:rFonts w:ascii="Times New Roman" w:hAnsi="Times New Roman" w:cs="Times New Roman"/>
          <w:sz w:val="24"/>
          <w:szCs w:val="24"/>
        </w:rPr>
        <w:t>Kalavathy</w:t>
      </w:r>
      <w:proofErr w:type="spellEnd"/>
      <w:r w:rsidRPr="00F52499">
        <w:rPr>
          <w:rFonts w:ascii="Times New Roman" w:hAnsi="Times New Roman" w:cs="Times New Roman"/>
          <w:sz w:val="24"/>
          <w:szCs w:val="24"/>
        </w:rPr>
        <w:t xml:space="preserve"> N, Shetty MM, Kumar PR, </w:t>
      </w:r>
      <w:proofErr w:type="spellStart"/>
      <w:r w:rsidRPr="00F52499">
        <w:rPr>
          <w:rFonts w:ascii="Times New Roman" w:hAnsi="Times New Roman" w:cs="Times New Roman"/>
          <w:sz w:val="24"/>
          <w:szCs w:val="24"/>
        </w:rPr>
        <w:t>Mundhra</w:t>
      </w:r>
      <w:proofErr w:type="spellEnd"/>
      <w:r w:rsidRPr="00F52499">
        <w:rPr>
          <w:rFonts w:ascii="Times New Roman" w:hAnsi="Times New Roman" w:cs="Times New Roman"/>
          <w:sz w:val="24"/>
          <w:szCs w:val="24"/>
        </w:rPr>
        <w:t xml:space="preserve"> H. </w:t>
      </w:r>
      <w:proofErr w:type="spellStart"/>
      <w:r w:rsidRPr="00F52499">
        <w:rPr>
          <w:rFonts w:ascii="Times New Roman" w:hAnsi="Times New Roman" w:cs="Times New Roman"/>
          <w:sz w:val="24"/>
          <w:szCs w:val="24"/>
        </w:rPr>
        <w:t>Ligaplants</w:t>
      </w:r>
      <w:proofErr w:type="spellEnd"/>
      <w:r w:rsidRPr="00F52499">
        <w:rPr>
          <w:rFonts w:ascii="Times New Roman" w:hAnsi="Times New Roman" w:cs="Times New Roman"/>
          <w:sz w:val="24"/>
          <w:szCs w:val="24"/>
        </w:rPr>
        <w:t>: the next generation implants. RGUHS Journal of Dental Sciences. 2022;14(1).</w:t>
      </w:r>
    </w:p>
    <w:p w14:paraId="70803992" w14:textId="3448835B" w:rsidR="00F52499" w:rsidRDefault="00F52499" w:rsidP="00C870F3">
      <w:pPr>
        <w:pStyle w:val="ListParagraph"/>
        <w:numPr>
          <w:ilvl w:val="0"/>
          <w:numId w:val="1"/>
        </w:numPr>
        <w:spacing w:line="360" w:lineRule="auto"/>
        <w:jc w:val="both"/>
        <w:rPr>
          <w:rFonts w:ascii="Times New Roman" w:hAnsi="Times New Roman" w:cs="Times New Roman"/>
          <w:sz w:val="24"/>
          <w:szCs w:val="24"/>
        </w:rPr>
      </w:pPr>
      <w:r w:rsidRPr="00F52499">
        <w:rPr>
          <w:rFonts w:ascii="Times New Roman" w:hAnsi="Times New Roman" w:cs="Times New Roman"/>
          <w:sz w:val="24"/>
          <w:szCs w:val="24"/>
        </w:rPr>
        <w:t>Safi IN, Hussein BMA, Al-</w:t>
      </w:r>
      <w:proofErr w:type="spellStart"/>
      <w:r w:rsidRPr="00F52499">
        <w:rPr>
          <w:rFonts w:ascii="Times New Roman" w:hAnsi="Times New Roman" w:cs="Times New Roman"/>
          <w:sz w:val="24"/>
          <w:szCs w:val="24"/>
        </w:rPr>
        <w:t>Shammari</w:t>
      </w:r>
      <w:proofErr w:type="spellEnd"/>
      <w:r w:rsidRPr="00F52499">
        <w:rPr>
          <w:rFonts w:ascii="Times New Roman" w:hAnsi="Times New Roman" w:cs="Times New Roman"/>
          <w:sz w:val="24"/>
          <w:szCs w:val="24"/>
        </w:rPr>
        <w:t xml:space="preserve"> AM. Bio-hybrid dental implants prepared using stem cells with β-TCP-coated titanium and zirconia. J Periodontal Implant Sci. 2022 Jun;52(3):242-257. </w:t>
      </w:r>
    </w:p>
    <w:p w14:paraId="51730ADE" w14:textId="7C977AE3" w:rsidR="00C75422" w:rsidRDefault="00C75422" w:rsidP="00C870F3">
      <w:pPr>
        <w:pStyle w:val="ListParagraph"/>
        <w:numPr>
          <w:ilvl w:val="0"/>
          <w:numId w:val="1"/>
        </w:numPr>
        <w:spacing w:line="360" w:lineRule="auto"/>
        <w:jc w:val="both"/>
        <w:rPr>
          <w:rFonts w:ascii="Times New Roman" w:hAnsi="Times New Roman" w:cs="Times New Roman"/>
          <w:sz w:val="24"/>
          <w:szCs w:val="24"/>
        </w:rPr>
      </w:pPr>
      <w:r w:rsidRPr="00C75422">
        <w:rPr>
          <w:rFonts w:ascii="Times New Roman" w:hAnsi="Times New Roman" w:cs="Times New Roman"/>
          <w:sz w:val="24"/>
          <w:szCs w:val="24"/>
        </w:rPr>
        <w:t>Wu B, Tang Y, Wang K, Zhou X, Xiang L. Nanostructured Titanium Implant Surface Facilitating Osseointegration from Protein Adsorption to Osteogenesis: The Example of TiO</w:t>
      </w:r>
      <w:r w:rsidRPr="00C75422">
        <w:rPr>
          <w:rFonts w:ascii="Times New Roman" w:hAnsi="Times New Roman" w:cs="Times New Roman"/>
          <w:sz w:val="24"/>
          <w:szCs w:val="24"/>
          <w:vertAlign w:val="subscript"/>
        </w:rPr>
        <w:t>2</w:t>
      </w:r>
      <w:r w:rsidRPr="00C75422">
        <w:rPr>
          <w:rFonts w:ascii="Times New Roman" w:hAnsi="Times New Roman" w:cs="Times New Roman"/>
          <w:sz w:val="24"/>
          <w:szCs w:val="24"/>
        </w:rPr>
        <w:t xml:space="preserve"> NTAs. Int J Nanomedicine. 2022 Apr </w:t>
      </w:r>
      <w:proofErr w:type="gramStart"/>
      <w:r w:rsidRPr="00C75422">
        <w:rPr>
          <w:rFonts w:ascii="Times New Roman" w:hAnsi="Times New Roman" w:cs="Times New Roman"/>
          <w:sz w:val="24"/>
          <w:szCs w:val="24"/>
        </w:rPr>
        <w:t>29;17:1865</w:t>
      </w:r>
      <w:proofErr w:type="gramEnd"/>
      <w:r w:rsidRPr="00C75422">
        <w:rPr>
          <w:rFonts w:ascii="Times New Roman" w:hAnsi="Times New Roman" w:cs="Times New Roman"/>
          <w:sz w:val="24"/>
          <w:szCs w:val="24"/>
        </w:rPr>
        <w:t>-1879.</w:t>
      </w:r>
    </w:p>
    <w:p w14:paraId="40A9A2FF" w14:textId="3BF176A8" w:rsidR="00C75422" w:rsidRDefault="00C75422" w:rsidP="00C870F3">
      <w:pPr>
        <w:pStyle w:val="ListParagraph"/>
        <w:numPr>
          <w:ilvl w:val="0"/>
          <w:numId w:val="1"/>
        </w:numPr>
        <w:spacing w:line="360" w:lineRule="auto"/>
        <w:jc w:val="both"/>
        <w:rPr>
          <w:rFonts w:ascii="Times New Roman" w:hAnsi="Times New Roman" w:cs="Times New Roman"/>
          <w:sz w:val="24"/>
          <w:szCs w:val="24"/>
        </w:rPr>
      </w:pPr>
      <w:r w:rsidRPr="00C75422">
        <w:rPr>
          <w:rFonts w:ascii="Times New Roman" w:hAnsi="Times New Roman" w:cs="Times New Roman"/>
          <w:sz w:val="24"/>
          <w:szCs w:val="24"/>
        </w:rPr>
        <w:t xml:space="preserve">Barone A, </w:t>
      </w:r>
      <w:proofErr w:type="spellStart"/>
      <w:r w:rsidRPr="00C75422">
        <w:rPr>
          <w:rFonts w:ascii="Times New Roman" w:hAnsi="Times New Roman" w:cs="Times New Roman"/>
          <w:sz w:val="24"/>
          <w:szCs w:val="24"/>
        </w:rPr>
        <w:t>Toti</w:t>
      </w:r>
      <w:proofErr w:type="spellEnd"/>
      <w:r w:rsidRPr="00C75422">
        <w:rPr>
          <w:rFonts w:ascii="Times New Roman" w:hAnsi="Times New Roman" w:cs="Times New Roman"/>
          <w:sz w:val="24"/>
          <w:szCs w:val="24"/>
        </w:rPr>
        <w:t xml:space="preserve"> P, </w:t>
      </w:r>
      <w:proofErr w:type="spellStart"/>
      <w:r w:rsidRPr="00C75422">
        <w:rPr>
          <w:rFonts w:ascii="Times New Roman" w:hAnsi="Times New Roman" w:cs="Times New Roman"/>
          <w:sz w:val="24"/>
          <w:szCs w:val="24"/>
        </w:rPr>
        <w:t>Bertossi</w:t>
      </w:r>
      <w:proofErr w:type="spellEnd"/>
      <w:r w:rsidRPr="00C75422">
        <w:rPr>
          <w:rFonts w:ascii="Times New Roman" w:hAnsi="Times New Roman" w:cs="Times New Roman"/>
          <w:sz w:val="24"/>
          <w:szCs w:val="24"/>
        </w:rPr>
        <w:t xml:space="preserve"> D, </w:t>
      </w:r>
      <w:proofErr w:type="spellStart"/>
      <w:r w:rsidRPr="00C75422">
        <w:rPr>
          <w:rFonts w:ascii="Times New Roman" w:hAnsi="Times New Roman" w:cs="Times New Roman"/>
          <w:sz w:val="24"/>
          <w:szCs w:val="24"/>
        </w:rPr>
        <w:t>Marconcini</w:t>
      </w:r>
      <w:proofErr w:type="spellEnd"/>
      <w:r w:rsidRPr="00C75422">
        <w:rPr>
          <w:rFonts w:ascii="Times New Roman" w:hAnsi="Times New Roman" w:cs="Times New Roman"/>
          <w:sz w:val="24"/>
          <w:szCs w:val="24"/>
        </w:rPr>
        <w:t xml:space="preserve"> S, De </w:t>
      </w:r>
      <w:proofErr w:type="spellStart"/>
      <w:r w:rsidRPr="00C75422">
        <w:rPr>
          <w:rFonts w:ascii="Times New Roman" w:hAnsi="Times New Roman" w:cs="Times New Roman"/>
          <w:sz w:val="24"/>
          <w:szCs w:val="24"/>
        </w:rPr>
        <w:t>Santis</w:t>
      </w:r>
      <w:proofErr w:type="spellEnd"/>
      <w:r w:rsidRPr="00C75422">
        <w:rPr>
          <w:rFonts w:ascii="Times New Roman" w:hAnsi="Times New Roman" w:cs="Times New Roman"/>
          <w:sz w:val="24"/>
          <w:szCs w:val="24"/>
        </w:rPr>
        <w:t xml:space="preserve"> D, </w:t>
      </w:r>
      <w:proofErr w:type="spellStart"/>
      <w:r w:rsidRPr="00C75422">
        <w:rPr>
          <w:rFonts w:ascii="Times New Roman" w:hAnsi="Times New Roman" w:cs="Times New Roman"/>
          <w:sz w:val="24"/>
          <w:szCs w:val="24"/>
        </w:rPr>
        <w:t>Nocini</w:t>
      </w:r>
      <w:proofErr w:type="spellEnd"/>
      <w:r w:rsidRPr="00C75422">
        <w:rPr>
          <w:rFonts w:ascii="Times New Roman" w:hAnsi="Times New Roman" w:cs="Times New Roman"/>
          <w:sz w:val="24"/>
          <w:szCs w:val="24"/>
        </w:rPr>
        <w:t xml:space="preserve"> PF, </w:t>
      </w:r>
      <w:proofErr w:type="spellStart"/>
      <w:r w:rsidRPr="00C75422">
        <w:rPr>
          <w:rFonts w:ascii="Times New Roman" w:hAnsi="Times New Roman" w:cs="Times New Roman"/>
          <w:sz w:val="24"/>
          <w:szCs w:val="24"/>
        </w:rPr>
        <w:t>Iurlaro</w:t>
      </w:r>
      <w:proofErr w:type="spellEnd"/>
      <w:r w:rsidRPr="00C75422">
        <w:rPr>
          <w:rFonts w:ascii="Times New Roman" w:hAnsi="Times New Roman" w:cs="Times New Roman"/>
          <w:sz w:val="24"/>
          <w:szCs w:val="24"/>
        </w:rPr>
        <w:t xml:space="preserve"> A, Alfonsi F, </w:t>
      </w:r>
      <w:proofErr w:type="spellStart"/>
      <w:r w:rsidRPr="00C75422">
        <w:rPr>
          <w:rFonts w:ascii="Times New Roman" w:hAnsi="Times New Roman" w:cs="Times New Roman"/>
          <w:sz w:val="24"/>
          <w:szCs w:val="24"/>
        </w:rPr>
        <w:t>Covani</w:t>
      </w:r>
      <w:proofErr w:type="spellEnd"/>
      <w:r w:rsidRPr="00C75422">
        <w:rPr>
          <w:rFonts w:ascii="Times New Roman" w:hAnsi="Times New Roman" w:cs="Times New Roman"/>
          <w:sz w:val="24"/>
          <w:szCs w:val="24"/>
        </w:rPr>
        <w:t xml:space="preserve"> U. Gene Expression of Human Mesenchymal Stem Cells Cultured on Titanium Dental Implant Surfaces. J </w:t>
      </w:r>
      <w:proofErr w:type="spellStart"/>
      <w:r w:rsidRPr="00C75422">
        <w:rPr>
          <w:rFonts w:ascii="Times New Roman" w:hAnsi="Times New Roman" w:cs="Times New Roman"/>
          <w:sz w:val="24"/>
          <w:szCs w:val="24"/>
        </w:rPr>
        <w:t>Craniofac</w:t>
      </w:r>
      <w:proofErr w:type="spellEnd"/>
      <w:r w:rsidRPr="00C75422">
        <w:rPr>
          <w:rFonts w:ascii="Times New Roman" w:hAnsi="Times New Roman" w:cs="Times New Roman"/>
          <w:sz w:val="24"/>
          <w:szCs w:val="24"/>
        </w:rPr>
        <w:t xml:space="preserve"> Surg. 2016 May;27(3):712-7.</w:t>
      </w:r>
    </w:p>
    <w:p w14:paraId="3AE09CC6" w14:textId="1C3B2F2F" w:rsidR="00AE5BE2" w:rsidRDefault="00AE5BE2" w:rsidP="00C870F3">
      <w:pPr>
        <w:pStyle w:val="ListParagraph"/>
        <w:numPr>
          <w:ilvl w:val="0"/>
          <w:numId w:val="1"/>
        </w:numPr>
        <w:spacing w:line="360" w:lineRule="auto"/>
        <w:jc w:val="both"/>
        <w:rPr>
          <w:rFonts w:ascii="Times New Roman" w:hAnsi="Times New Roman" w:cs="Times New Roman"/>
          <w:sz w:val="24"/>
          <w:szCs w:val="24"/>
        </w:rPr>
      </w:pPr>
      <w:proofErr w:type="spellStart"/>
      <w:r w:rsidRPr="00AE5BE2">
        <w:rPr>
          <w:rFonts w:ascii="Times New Roman" w:hAnsi="Times New Roman" w:cs="Times New Roman"/>
          <w:sz w:val="24"/>
          <w:szCs w:val="24"/>
        </w:rPr>
        <w:t>Aeran</w:t>
      </w:r>
      <w:proofErr w:type="spellEnd"/>
      <w:r w:rsidRPr="00AE5BE2">
        <w:rPr>
          <w:rFonts w:ascii="Times New Roman" w:hAnsi="Times New Roman" w:cs="Times New Roman"/>
          <w:sz w:val="24"/>
          <w:szCs w:val="24"/>
        </w:rPr>
        <w:t xml:space="preserve"> H, Tuli AS. Anamika: </w:t>
      </w:r>
      <w:proofErr w:type="spellStart"/>
      <w:r w:rsidRPr="00AE5BE2">
        <w:rPr>
          <w:rFonts w:ascii="Times New Roman" w:hAnsi="Times New Roman" w:cs="Times New Roman"/>
          <w:sz w:val="24"/>
          <w:szCs w:val="24"/>
        </w:rPr>
        <w:t>Ligaplants</w:t>
      </w:r>
      <w:proofErr w:type="spellEnd"/>
      <w:r w:rsidRPr="00AE5BE2">
        <w:rPr>
          <w:rFonts w:ascii="Times New Roman" w:hAnsi="Times New Roman" w:cs="Times New Roman"/>
          <w:sz w:val="24"/>
          <w:szCs w:val="24"/>
        </w:rPr>
        <w:t xml:space="preserve">: recreation of a natural link in implant dentistry: a review. Int J Oral Health Dent. </w:t>
      </w:r>
      <w:proofErr w:type="gramStart"/>
      <w:r w:rsidRPr="00AE5BE2">
        <w:rPr>
          <w:rFonts w:ascii="Times New Roman" w:hAnsi="Times New Roman" w:cs="Times New Roman"/>
          <w:sz w:val="24"/>
          <w:szCs w:val="24"/>
        </w:rPr>
        <w:t>2021;15:3</w:t>
      </w:r>
      <w:proofErr w:type="gramEnd"/>
      <w:r w:rsidRPr="00AE5BE2">
        <w:rPr>
          <w:rFonts w:ascii="Times New Roman" w:hAnsi="Times New Roman" w:cs="Times New Roman"/>
          <w:sz w:val="24"/>
          <w:szCs w:val="24"/>
        </w:rPr>
        <w:t>-7.</w:t>
      </w:r>
    </w:p>
    <w:p w14:paraId="00C851C0" w14:textId="15F3C042" w:rsidR="007B237E" w:rsidRDefault="007B237E" w:rsidP="00C870F3">
      <w:pPr>
        <w:pStyle w:val="ListParagraph"/>
        <w:numPr>
          <w:ilvl w:val="0"/>
          <w:numId w:val="1"/>
        </w:numPr>
        <w:spacing w:line="360" w:lineRule="auto"/>
        <w:jc w:val="both"/>
        <w:rPr>
          <w:rFonts w:ascii="Times New Roman" w:hAnsi="Times New Roman" w:cs="Times New Roman"/>
          <w:sz w:val="24"/>
          <w:szCs w:val="24"/>
        </w:rPr>
      </w:pPr>
      <w:proofErr w:type="spellStart"/>
      <w:r w:rsidRPr="007B237E">
        <w:rPr>
          <w:rFonts w:ascii="Times New Roman" w:hAnsi="Times New Roman" w:cs="Times New Roman"/>
          <w:sz w:val="24"/>
          <w:szCs w:val="24"/>
        </w:rPr>
        <w:lastRenderedPageBreak/>
        <w:t>Bathla</w:t>
      </w:r>
      <w:proofErr w:type="spellEnd"/>
      <w:r w:rsidRPr="007B237E">
        <w:rPr>
          <w:rFonts w:ascii="Times New Roman" w:hAnsi="Times New Roman" w:cs="Times New Roman"/>
          <w:sz w:val="24"/>
          <w:szCs w:val="24"/>
        </w:rPr>
        <w:t xml:space="preserve"> N, </w:t>
      </w:r>
      <w:proofErr w:type="spellStart"/>
      <w:r w:rsidRPr="007B237E">
        <w:rPr>
          <w:rFonts w:ascii="Times New Roman" w:hAnsi="Times New Roman" w:cs="Times New Roman"/>
          <w:sz w:val="24"/>
          <w:szCs w:val="24"/>
        </w:rPr>
        <w:t>Sailo</w:t>
      </w:r>
      <w:proofErr w:type="spellEnd"/>
      <w:r w:rsidRPr="007B237E">
        <w:rPr>
          <w:rFonts w:ascii="Times New Roman" w:hAnsi="Times New Roman" w:cs="Times New Roman"/>
          <w:sz w:val="24"/>
          <w:szCs w:val="24"/>
        </w:rPr>
        <w:t xml:space="preserve"> JL, Kapoor N, Nagpal A, Gupta R, Singla A. </w:t>
      </w:r>
      <w:proofErr w:type="spellStart"/>
      <w:r w:rsidRPr="007B237E">
        <w:rPr>
          <w:rFonts w:ascii="Times New Roman" w:hAnsi="Times New Roman" w:cs="Times New Roman"/>
          <w:sz w:val="24"/>
          <w:szCs w:val="24"/>
        </w:rPr>
        <w:t>Ligaplants</w:t>
      </w:r>
      <w:proofErr w:type="spellEnd"/>
      <w:r w:rsidRPr="007B237E">
        <w:rPr>
          <w:rFonts w:ascii="Times New Roman" w:hAnsi="Times New Roman" w:cs="Times New Roman"/>
          <w:sz w:val="24"/>
          <w:szCs w:val="24"/>
        </w:rPr>
        <w:t>, the next-generation prosthodontic implants: A comprehensive review. Indian Journal of Dental Sciences. 2021 Apr 1;13(2):146-9.</w:t>
      </w:r>
    </w:p>
    <w:p w14:paraId="31BF8F62" w14:textId="7D695FE2" w:rsidR="00C75422" w:rsidRDefault="00C75422" w:rsidP="00C870F3">
      <w:pPr>
        <w:pStyle w:val="ListParagraph"/>
        <w:numPr>
          <w:ilvl w:val="0"/>
          <w:numId w:val="1"/>
        </w:numPr>
        <w:spacing w:line="360" w:lineRule="auto"/>
        <w:jc w:val="both"/>
        <w:rPr>
          <w:rFonts w:ascii="Times New Roman" w:hAnsi="Times New Roman" w:cs="Times New Roman"/>
          <w:sz w:val="24"/>
          <w:szCs w:val="24"/>
        </w:rPr>
      </w:pPr>
      <w:r w:rsidRPr="00C75422">
        <w:rPr>
          <w:rFonts w:ascii="Times New Roman" w:hAnsi="Times New Roman" w:cs="Times New Roman"/>
          <w:sz w:val="24"/>
          <w:szCs w:val="24"/>
        </w:rPr>
        <w:t xml:space="preserve">Shetty P. A New Innovation </w:t>
      </w:r>
      <w:proofErr w:type="gramStart"/>
      <w:r w:rsidRPr="00C75422">
        <w:rPr>
          <w:rFonts w:ascii="Times New Roman" w:hAnsi="Times New Roman" w:cs="Times New Roman"/>
          <w:sz w:val="24"/>
          <w:szCs w:val="24"/>
        </w:rPr>
        <w:t>Of</w:t>
      </w:r>
      <w:proofErr w:type="gramEnd"/>
      <w:r w:rsidRPr="00C75422">
        <w:rPr>
          <w:rFonts w:ascii="Times New Roman" w:hAnsi="Times New Roman" w:cs="Times New Roman"/>
          <w:sz w:val="24"/>
          <w:szCs w:val="24"/>
        </w:rPr>
        <w:t xml:space="preserve"> Implant: </w:t>
      </w:r>
      <w:proofErr w:type="spellStart"/>
      <w:r w:rsidRPr="00C75422">
        <w:rPr>
          <w:rFonts w:ascii="Times New Roman" w:hAnsi="Times New Roman" w:cs="Times New Roman"/>
          <w:sz w:val="24"/>
          <w:szCs w:val="24"/>
        </w:rPr>
        <w:t>Ligaplant</w:t>
      </w:r>
      <w:proofErr w:type="spellEnd"/>
      <w:r w:rsidRPr="00C75422">
        <w:rPr>
          <w:rFonts w:ascii="Times New Roman" w:hAnsi="Times New Roman" w:cs="Times New Roman"/>
          <w:sz w:val="24"/>
          <w:szCs w:val="24"/>
        </w:rPr>
        <w:t>. International Journal. 2023 Nov;6(6):593.</w:t>
      </w:r>
    </w:p>
    <w:p w14:paraId="27F5A946" w14:textId="0EFFF5E3" w:rsidR="00C75422" w:rsidRDefault="00C75422" w:rsidP="00C870F3">
      <w:pPr>
        <w:pStyle w:val="ListParagraph"/>
        <w:numPr>
          <w:ilvl w:val="0"/>
          <w:numId w:val="1"/>
        </w:numPr>
        <w:spacing w:line="360" w:lineRule="auto"/>
        <w:jc w:val="both"/>
        <w:rPr>
          <w:rFonts w:ascii="Times New Roman" w:hAnsi="Times New Roman" w:cs="Times New Roman"/>
          <w:sz w:val="24"/>
          <w:szCs w:val="24"/>
        </w:rPr>
      </w:pPr>
      <w:proofErr w:type="spellStart"/>
      <w:r w:rsidRPr="00C75422">
        <w:rPr>
          <w:rFonts w:ascii="Times New Roman" w:hAnsi="Times New Roman" w:cs="Times New Roman"/>
          <w:sz w:val="24"/>
          <w:szCs w:val="24"/>
        </w:rPr>
        <w:t>Pethe</w:t>
      </w:r>
      <w:proofErr w:type="spellEnd"/>
      <w:r w:rsidRPr="00C75422">
        <w:rPr>
          <w:rFonts w:ascii="Times New Roman" w:hAnsi="Times New Roman" w:cs="Times New Roman"/>
          <w:sz w:val="24"/>
          <w:szCs w:val="24"/>
        </w:rPr>
        <w:t xml:space="preserve"> P, </w:t>
      </w:r>
      <w:proofErr w:type="spellStart"/>
      <w:r w:rsidRPr="00C75422">
        <w:rPr>
          <w:rFonts w:ascii="Times New Roman" w:hAnsi="Times New Roman" w:cs="Times New Roman"/>
          <w:sz w:val="24"/>
          <w:szCs w:val="24"/>
        </w:rPr>
        <w:t>Barabde</w:t>
      </w:r>
      <w:proofErr w:type="spellEnd"/>
      <w:r w:rsidRPr="00C75422">
        <w:rPr>
          <w:rFonts w:ascii="Times New Roman" w:hAnsi="Times New Roman" w:cs="Times New Roman"/>
          <w:sz w:val="24"/>
          <w:szCs w:val="24"/>
        </w:rPr>
        <w:t xml:space="preserve"> AS, </w:t>
      </w:r>
      <w:proofErr w:type="spellStart"/>
      <w:r w:rsidRPr="00C75422">
        <w:rPr>
          <w:rFonts w:ascii="Times New Roman" w:hAnsi="Times New Roman" w:cs="Times New Roman"/>
          <w:sz w:val="24"/>
          <w:szCs w:val="24"/>
        </w:rPr>
        <w:t>Dammani</w:t>
      </w:r>
      <w:proofErr w:type="spellEnd"/>
      <w:r w:rsidRPr="00C75422">
        <w:rPr>
          <w:rFonts w:ascii="Times New Roman" w:hAnsi="Times New Roman" w:cs="Times New Roman"/>
          <w:sz w:val="24"/>
          <w:szCs w:val="24"/>
        </w:rPr>
        <w:t xml:space="preserve"> B, </w:t>
      </w:r>
      <w:proofErr w:type="spellStart"/>
      <w:r w:rsidRPr="00C75422">
        <w:rPr>
          <w:rFonts w:ascii="Times New Roman" w:hAnsi="Times New Roman" w:cs="Times New Roman"/>
          <w:sz w:val="24"/>
          <w:szCs w:val="24"/>
        </w:rPr>
        <w:t>Ambadkar</w:t>
      </w:r>
      <w:proofErr w:type="spellEnd"/>
      <w:r w:rsidRPr="00C75422">
        <w:rPr>
          <w:rFonts w:ascii="Times New Roman" w:hAnsi="Times New Roman" w:cs="Times New Roman"/>
          <w:sz w:val="24"/>
          <w:szCs w:val="24"/>
        </w:rPr>
        <w:t xml:space="preserve"> S, </w:t>
      </w:r>
      <w:proofErr w:type="spellStart"/>
      <w:r w:rsidRPr="00C75422">
        <w:rPr>
          <w:rFonts w:ascii="Times New Roman" w:hAnsi="Times New Roman" w:cs="Times New Roman"/>
          <w:sz w:val="24"/>
          <w:szCs w:val="24"/>
        </w:rPr>
        <w:t>Shirbhate</w:t>
      </w:r>
      <w:proofErr w:type="spellEnd"/>
      <w:r w:rsidRPr="00C75422">
        <w:rPr>
          <w:rFonts w:ascii="Times New Roman" w:hAnsi="Times New Roman" w:cs="Times New Roman"/>
          <w:sz w:val="24"/>
          <w:szCs w:val="24"/>
        </w:rPr>
        <w:t xml:space="preserve"> A, </w:t>
      </w:r>
      <w:proofErr w:type="spellStart"/>
      <w:r w:rsidRPr="00C75422">
        <w:rPr>
          <w:rFonts w:ascii="Times New Roman" w:hAnsi="Times New Roman" w:cs="Times New Roman"/>
          <w:sz w:val="24"/>
          <w:szCs w:val="24"/>
        </w:rPr>
        <w:t>Bele</w:t>
      </w:r>
      <w:proofErr w:type="spellEnd"/>
      <w:r w:rsidRPr="00C75422">
        <w:rPr>
          <w:rFonts w:ascii="Times New Roman" w:hAnsi="Times New Roman" w:cs="Times New Roman"/>
          <w:sz w:val="24"/>
          <w:szCs w:val="24"/>
        </w:rPr>
        <w:t xml:space="preserve"> R, </w:t>
      </w:r>
      <w:proofErr w:type="spellStart"/>
      <w:r w:rsidRPr="00C75422">
        <w:rPr>
          <w:rFonts w:ascii="Times New Roman" w:hAnsi="Times New Roman" w:cs="Times New Roman"/>
          <w:sz w:val="24"/>
          <w:szCs w:val="24"/>
        </w:rPr>
        <w:t>Nemade</w:t>
      </w:r>
      <w:proofErr w:type="spellEnd"/>
      <w:r w:rsidRPr="00C75422">
        <w:rPr>
          <w:rFonts w:ascii="Times New Roman" w:hAnsi="Times New Roman" w:cs="Times New Roman"/>
          <w:sz w:val="24"/>
          <w:szCs w:val="24"/>
        </w:rPr>
        <w:t xml:space="preserve"> S. </w:t>
      </w:r>
      <w:proofErr w:type="spellStart"/>
      <w:r w:rsidRPr="00C75422">
        <w:rPr>
          <w:rFonts w:ascii="Times New Roman" w:hAnsi="Times New Roman" w:cs="Times New Roman"/>
          <w:sz w:val="24"/>
          <w:szCs w:val="24"/>
        </w:rPr>
        <w:t>Ligaplants</w:t>
      </w:r>
      <w:proofErr w:type="spellEnd"/>
      <w:r w:rsidRPr="00C75422">
        <w:rPr>
          <w:rFonts w:ascii="Times New Roman" w:hAnsi="Times New Roman" w:cs="Times New Roman"/>
          <w:sz w:val="24"/>
          <w:szCs w:val="24"/>
        </w:rPr>
        <w:t>-Tissue engineered ligaments in Prosthodontic and implant dentistry: A revolutionary concept. PROSTHETIC REHABILITATION.:10.</w:t>
      </w:r>
    </w:p>
    <w:p w14:paraId="2F8734DB" w14:textId="0F1F5048" w:rsidR="002A47A8" w:rsidRDefault="002A47A8" w:rsidP="00C870F3">
      <w:pPr>
        <w:pStyle w:val="ListParagraph"/>
        <w:numPr>
          <w:ilvl w:val="0"/>
          <w:numId w:val="1"/>
        </w:numPr>
        <w:spacing w:line="360" w:lineRule="auto"/>
        <w:jc w:val="both"/>
        <w:rPr>
          <w:rFonts w:ascii="Times New Roman" w:hAnsi="Times New Roman" w:cs="Times New Roman"/>
          <w:sz w:val="24"/>
          <w:szCs w:val="24"/>
        </w:rPr>
      </w:pPr>
      <w:proofErr w:type="spellStart"/>
      <w:r w:rsidRPr="002A47A8">
        <w:rPr>
          <w:rFonts w:ascii="Times New Roman" w:hAnsi="Times New Roman" w:cs="Times New Roman"/>
          <w:sz w:val="24"/>
          <w:szCs w:val="24"/>
        </w:rPr>
        <w:t>Washio</w:t>
      </w:r>
      <w:proofErr w:type="spellEnd"/>
      <w:r w:rsidRPr="002A47A8">
        <w:rPr>
          <w:rFonts w:ascii="Times New Roman" w:hAnsi="Times New Roman" w:cs="Times New Roman"/>
          <w:sz w:val="24"/>
          <w:szCs w:val="24"/>
        </w:rPr>
        <w:t xml:space="preserve"> K, </w:t>
      </w:r>
      <w:proofErr w:type="spellStart"/>
      <w:r w:rsidRPr="002A47A8">
        <w:rPr>
          <w:rFonts w:ascii="Times New Roman" w:hAnsi="Times New Roman" w:cs="Times New Roman"/>
          <w:sz w:val="24"/>
          <w:szCs w:val="24"/>
        </w:rPr>
        <w:t>Tsutsumi</w:t>
      </w:r>
      <w:proofErr w:type="spellEnd"/>
      <w:r w:rsidRPr="002A47A8">
        <w:rPr>
          <w:rFonts w:ascii="Times New Roman" w:hAnsi="Times New Roman" w:cs="Times New Roman"/>
          <w:sz w:val="24"/>
          <w:szCs w:val="24"/>
        </w:rPr>
        <w:t xml:space="preserve"> Y, </w:t>
      </w:r>
      <w:proofErr w:type="spellStart"/>
      <w:r w:rsidRPr="002A47A8">
        <w:rPr>
          <w:rFonts w:ascii="Times New Roman" w:hAnsi="Times New Roman" w:cs="Times New Roman"/>
          <w:sz w:val="24"/>
          <w:szCs w:val="24"/>
        </w:rPr>
        <w:t>Tsumanuma</w:t>
      </w:r>
      <w:proofErr w:type="spellEnd"/>
      <w:r w:rsidRPr="002A47A8">
        <w:rPr>
          <w:rFonts w:ascii="Times New Roman" w:hAnsi="Times New Roman" w:cs="Times New Roman"/>
          <w:sz w:val="24"/>
          <w:szCs w:val="24"/>
        </w:rPr>
        <w:t xml:space="preserve"> Y, Yano K, </w:t>
      </w:r>
      <w:proofErr w:type="spellStart"/>
      <w:r w:rsidRPr="002A47A8">
        <w:rPr>
          <w:rFonts w:ascii="Times New Roman" w:hAnsi="Times New Roman" w:cs="Times New Roman"/>
          <w:sz w:val="24"/>
          <w:szCs w:val="24"/>
        </w:rPr>
        <w:t>Srithanyarat</w:t>
      </w:r>
      <w:proofErr w:type="spellEnd"/>
      <w:r w:rsidRPr="002A47A8">
        <w:rPr>
          <w:rFonts w:ascii="Times New Roman" w:hAnsi="Times New Roman" w:cs="Times New Roman"/>
          <w:sz w:val="24"/>
          <w:szCs w:val="24"/>
        </w:rPr>
        <w:t xml:space="preserve"> SS, Takagi R, Ichinose S, </w:t>
      </w:r>
      <w:proofErr w:type="spellStart"/>
      <w:r w:rsidRPr="002A47A8">
        <w:rPr>
          <w:rFonts w:ascii="Times New Roman" w:hAnsi="Times New Roman" w:cs="Times New Roman"/>
          <w:sz w:val="24"/>
          <w:szCs w:val="24"/>
        </w:rPr>
        <w:t>Meinzer</w:t>
      </w:r>
      <w:proofErr w:type="spellEnd"/>
      <w:r w:rsidRPr="002A47A8">
        <w:rPr>
          <w:rFonts w:ascii="Times New Roman" w:hAnsi="Times New Roman" w:cs="Times New Roman"/>
          <w:sz w:val="24"/>
          <w:szCs w:val="24"/>
        </w:rPr>
        <w:t xml:space="preserve"> W, Yamato M, Okano T, </w:t>
      </w:r>
      <w:proofErr w:type="spellStart"/>
      <w:r w:rsidRPr="002A47A8">
        <w:rPr>
          <w:rFonts w:ascii="Times New Roman" w:hAnsi="Times New Roman" w:cs="Times New Roman"/>
          <w:sz w:val="24"/>
          <w:szCs w:val="24"/>
        </w:rPr>
        <w:t>Hanawa</w:t>
      </w:r>
      <w:proofErr w:type="spellEnd"/>
      <w:r w:rsidRPr="002A47A8">
        <w:rPr>
          <w:rFonts w:ascii="Times New Roman" w:hAnsi="Times New Roman" w:cs="Times New Roman"/>
          <w:sz w:val="24"/>
          <w:szCs w:val="24"/>
        </w:rPr>
        <w:t xml:space="preserve"> T. In vivo periodontium formation around titanium implants using periodontal ligament cell sheet. Tissue Engineering Part A. 2018 Aug 1;24(15-16):1273-82.</w:t>
      </w:r>
    </w:p>
    <w:p w14:paraId="4F97702E" w14:textId="16772B7A" w:rsidR="002A47A8" w:rsidRDefault="002A47A8" w:rsidP="00C870F3">
      <w:pPr>
        <w:pStyle w:val="ListParagraph"/>
        <w:numPr>
          <w:ilvl w:val="0"/>
          <w:numId w:val="1"/>
        </w:numPr>
        <w:spacing w:line="360" w:lineRule="auto"/>
        <w:jc w:val="both"/>
        <w:rPr>
          <w:rFonts w:ascii="Times New Roman" w:hAnsi="Times New Roman" w:cs="Times New Roman"/>
          <w:sz w:val="24"/>
          <w:szCs w:val="24"/>
        </w:rPr>
      </w:pPr>
      <w:proofErr w:type="spellStart"/>
      <w:r w:rsidRPr="002A47A8">
        <w:rPr>
          <w:rFonts w:ascii="Times New Roman" w:hAnsi="Times New Roman" w:cs="Times New Roman"/>
          <w:sz w:val="24"/>
          <w:szCs w:val="24"/>
        </w:rPr>
        <w:t>Melath</w:t>
      </w:r>
      <w:proofErr w:type="spellEnd"/>
      <w:r w:rsidRPr="002A47A8">
        <w:rPr>
          <w:rFonts w:ascii="Times New Roman" w:hAnsi="Times New Roman" w:cs="Times New Roman"/>
          <w:sz w:val="24"/>
          <w:szCs w:val="24"/>
        </w:rPr>
        <w:t xml:space="preserve"> A, Raveendran AM, </w:t>
      </w:r>
      <w:proofErr w:type="spellStart"/>
      <w:r w:rsidRPr="002A47A8">
        <w:rPr>
          <w:rFonts w:ascii="Times New Roman" w:hAnsi="Times New Roman" w:cs="Times New Roman"/>
          <w:sz w:val="24"/>
          <w:szCs w:val="24"/>
        </w:rPr>
        <w:t>Stephenraj</w:t>
      </w:r>
      <w:proofErr w:type="spellEnd"/>
      <w:r w:rsidRPr="002A47A8">
        <w:rPr>
          <w:rFonts w:ascii="Times New Roman" w:hAnsi="Times New Roman" w:cs="Times New Roman"/>
          <w:sz w:val="24"/>
          <w:szCs w:val="24"/>
        </w:rPr>
        <w:t xml:space="preserve"> S, Prakash N, </w:t>
      </w:r>
      <w:proofErr w:type="spellStart"/>
      <w:r w:rsidRPr="002A47A8">
        <w:rPr>
          <w:rFonts w:ascii="Times New Roman" w:hAnsi="Times New Roman" w:cs="Times New Roman"/>
          <w:sz w:val="24"/>
          <w:szCs w:val="24"/>
        </w:rPr>
        <w:t>Sayoojya</w:t>
      </w:r>
      <w:proofErr w:type="spellEnd"/>
      <w:r w:rsidRPr="002A47A8">
        <w:rPr>
          <w:rFonts w:ascii="Times New Roman" w:hAnsi="Times New Roman" w:cs="Times New Roman"/>
          <w:sz w:val="24"/>
          <w:szCs w:val="24"/>
        </w:rPr>
        <w:t xml:space="preserve"> V, Nazir S. </w:t>
      </w:r>
      <w:proofErr w:type="spellStart"/>
      <w:r w:rsidRPr="002A47A8">
        <w:rPr>
          <w:rFonts w:ascii="Times New Roman" w:hAnsi="Times New Roman" w:cs="Times New Roman"/>
          <w:sz w:val="24"/>
          <w:szCs w:val="24"/>
        </w:rPr>
        <w:t>Ligaplants</w:t>
      </w:r>
      <w:proofErr w:type="spellEnd"/>
      <w:r w:rsidRPr="002A47A8">
        <w:rPr>
          <w:rFonts w:ascii="Times New Roman" w:hAnsi="Times New Roman" w:cs="Times New Roman"/>
          <w:sz w:val="24"/>
          <w:szCs w:val="24"/>
        </w:rPr>
        <w:t>-A future endeavour. International Journal of Preventive and Clinical Dental Research. 2024 Jan 1;11(1):5-9.</w:t>
      </w:r>
    </w:p>
    <w:p w14:paraId="64A89EF9" w14:textId="4B14BC63" w:rsidR="00CC4CB0" w:rsidRDefault="00CC4CB0" w:rsidP="00C870F3">
      <w:pPr>
        <w:pStyle w:val="ListParagraph"/>
        <w:numPr>
          <w:ilvl w:val="0"/>
          <w:numId w:val="1"/>
        </w:numPr>
        <w:spacing w:line="360" w:lineRule="auto"/>
        <w:jc w:val="both"/>
        <w:rPr>
          <w:rFonts w:ascii="Times New Roman" w:hAnsi="Times New Roman" w:cs="Times New Roman"/>
          <w:sz w:val="24"/>
          <w:szCs w:val="24"/>
        </w:rPr>
      </w:pPr>
      <w:proofErr w:type="spellStart"/>
      <w:r w:rsidRPr="00CC4CB0">
        <w:rPr>
          <w:rFonts w:ascii="Times New Roman" w:hAnsi="Times New Roman" w:cs="Times New Roman"/>
          <w:sz w:val="24"/>
          <w:szCs w:val="24"/>
        </w:rPr>
        <w:t>Bousnaki</w:t>
      </w:r>
      <w:proofErr w:type="spellEnd"/>
      <w:r w:rsidRPr="00CC4CB0">
        <w:rPr>
          <w:rFonts w:ascii="Times New Roman" w:hAnsi="Times New Roman" w:cs="Times New Roman"/>
          <w:sz w:val="24"/>
          <w:szCs w:val="24"/>
        </w:rPr>
        <w:t xml:space="preserve"> M, </w:t>
      </w:r>
      <w:proofErr w:type="spellStart"/>
      <w:r w:rsidRPr="00CC4CB0">
        <w:rPr>
          <w:rFonts w:ascii="Times New Roman" w:hAnsi="Times New Roman" w:cs="Times New Roman"/>
          <w:sz w:val="24"/>
          <w:szCs w:val="24"/>
        </w:rPr>
        <w:t>Beketova</w:t>
      </w:r>
      <w:proofErr w:type="spellEnd"/>
      <w:r w:rsidRPr="00CC4CB0">
        <w:rPr>
          <w:rFonts w:ascii="Times New Roman" w:hAnsi="Times New Roman" w:cs="Times New Roman"/>
          <w:sz w:val="24"/>
          <w:szCs w:val="24"/>
        </w:rPr>
        <w:t xml:space="preserve"> A, </w:t>
      </w:r>
      <w:proofErr w:type="spellStart"/>
      <w:r w:rsidRPr="00CC4CB0">
        <w:rPr>
          <w:rFonts w:ascii="Times New Roman" w:hAnsi="Times New Roman" w:cs="Times New Roman"/>
          <w:sz w:val="24"/>
          <w:szCs w:val="24"/>
        </w:rPr>
        <w:t>Kontonasaki</w:t>
      </w:r>
      <w:proofErr w:type="spellEnd"/>
      <w:r w:rsidRPr="00CC4CB0">
        <w:rPr>
          <w:rFonts w:ascii="Times New Roman" w:hAnsi="Times New Roman" w:cs="Times New Roman"/>
          <w:sz w:val="24"/>
          <w:szCs w:val="24"/>
        </w:rPr>
        <w:t xml:space="preserve"> E. A Review of In Vivo and Clinical Studies Applying Scaffolds and Cell Sheet Technology for Periodontal Ligament Regeneration. Biomolecules. 2022 Mar 11;12(3):435. </w:t>
      </w:r>
    </w:p>
    <w:p w14:paraId="489A378E" w14:textId="2400BF00" w:rsidR="00CC4CB0" w:rsidRDefault="00CC4CB0" w:rsidP="00C870F3">
      <w:pPr>
        <w:pStyle w:val="ListParagraph"/>
        <w:numPr>
          <w:ilvl w:val="0"/>
          <w:numId w:val="1"/>
        </w:numPr>
        <w:spacing w:line="360" w:lineRule="auto"/>
        <w:jc w:val="both"/>
        <w:rPr>
          <w:rFonts w:ascii="Times New Roman" w:hAnsi="Times New Roman" w:cs="Times New Roman"/>
          <w:sz w:val="24"/>
          <w:szCs w:val="24"/>
        </w:rPr>
      </w:pPr>
      <w:r w:rsidRPr="00CC4CB0">
        <w:rPr>
          <w:rFonts w:ascii="Times New Roman" w:hAnsi="Times New Roman" w:cs="Times New Roman"/>
          <w:sz w:val="24"/>
          <w:szCs w:val="24"/>
        </w:rPr>
        <w:t xml:space="preserve">Zhao Z, Liu J, Weir MD, Schneider A, Ma T, Oates TW, Xu HH, Zhang K, Bai Y. Periodontal ligament stem cell-based bioactive constructs for bone tissue engineering. Frontiers in Bioengineering and Biotechnology. 2022 Dec </w:t>
      </w:r>
      <w:proofErr w:type="gramStart"/>
      <w:r w:rsidRPr="00CC4CB0">
        <w:rPr>
          <w:rFonts w:ascii="Times New Roman" w:hAnsi="Times New Roman" w:cs="Times New Roman"/>
          <w:sz w:val="24"/>
          <w:szCs w:val="24"/>
        </w:rPr>
        <w:t>2;10:1071472</w:t>
      </w:r>
      <w:proofErr w:type="gramEnd"/>
      <w:r w:rsidRPr="00CC4CB0">
        <w:rPr>
          <w:rFonts w:ascii="Times New Roman" w:hAnsi="Times New Roman" w:cs="Times New Roman"/>
          <w:sz w:val="24"/>
          <w:szCs w:val="24"/>
        </w:rPr>
        <w:t>.</w:t>
      </w:r>
    </w:p>
    <w:p w14:paraId="5672A487" w14:textId="3416D4C8" w:rsidR="000C588D" w:rsidRDefault="000C588D" w:rsidP="00C870F3">
      <w:pPr>
        <w:pStyle w:val="ListParagraph"/>
        <w:numPr>
          <w:ilvl w:val="0"/>
          <w:numId w:val="1"/>
        </w:numPr>
        <w:spacing w:line="360" w:lineRule="auto"/>
        <w:jc w:val="both"/>
        <w:rPr>
          <w:rFonts w:ascii="Times New Roman" w:hAnsi="Times New Roman" w:cs="Times New Roman"/>
          <w:sz w:val="24"/>
          <w:szCs w:val="24"/>
        </w:rPr>
      </w:pPr>
      <w:r w:rsidRPr="000C588D">
        <w:rPr>
          <w:rFonts w:ascii="Times New Roman" w:hAnsi="Times New Roman" w:cs="Times New Roman"/>
          <w:sz w:val="24"/>
          <w:szCs w:val="24"/>
        </w:rPr>
        <w:t>Lysaght T, Kerridge IH, Sipp D, Porter G, Capps BJ. Ethical and regulatory challenges with autologous adult stem cells: a comparative review of international regulations. Journal of Bioethical Inquiry. 2017 Jun;14(2):261-73.</w:t>
      </w:r>
    </w:p>
    <w:p w14:paraId="7AE54C0A" w14:textId="306F1885" w:rsidR="000C588D" w:rsidRDefault="000C588D" w:rsidP="00C870F3">
      <w:pPr>
        <w:pStyle w:val="ListParagraph"/>
        <w:numPr>
          <w:ilvl w:val="0"/>
          <w:numId w:val="1"/>
        </w:numPr>
        <w:spacing w:line="360" w:lineRule="auto"/>
        <w:jc w:val="both"/>
        <w:rPr>
          <w:rFonts w:ascii="Times New Roman" w:hAnsi="Times New Roman" w:cs="Times New Roman"/>
          <w:sz w:val="24"/>
          <w:szCs w:val="24"/>
        </w:rPr>
      </w:pPr>
      <w:r w:rsidRPr="000C588D">
        <w:rPr>
          <w:rFonts w:ascii="Times New Roman" w:hAnsi="Times New Roman" w:cs="Times New Roman"/>
          <w:sz w:val="24"/>
          <w:szCs w:val="24"/>
        </w:rPr>
        <w:t xml:space="preserve">Acharya JR, Kumar S, </w:t>
      </w:r>
      <w:proofErr w:type="spellStart"/>
      <w:r w:rsidRPr="000C588D">
        <w:rPr>
          <w:rFonts w:ascii="Times New Roman" w:hAnsi="Times New Roman" w:cs="Times New Roman"/>
          <w:sz w:val="24"/>
          <w:szCs w:val="24"/>
        </w:rPr>
        <w:t>Girdhar</w:t>
      </w:r>
      <w:proofErr w:type="spellEnd"/>
      <w:r w:rsidRPr="000C588D">
        <w:rPr>
          <w:rFonts w:ascii="Times New Roman" w:hAnsi="Times New Roman" w:cs="Times New Roman"/>
          <w:sz w:val="24"/>
          <w:szCs w:val="24"/>
        </w:rPr>
        <w:t xml:space="preserve"> GA, Patel S, Parekh NH, </w:t>
      </w:r>
      <w:proofErr w:type="spellStart"/>
      <w:r w:rsidRPr="000C588D">
        <w:rPr>
          <w:rFonts w:ascii="Times New Roman" w:hAnsi="Times New Roman" w:cs="Times New Roman"/>
          <w:sz w:val="24"/>
          <w:szCs w:val="24"/>
        </w:rPr>
        <w:t>Patadiya</w:t>
      </w:r>
      <w:proofErr w:type="spellEnd"/>
      <w:r w:rsidRPr="000C588D">
        <w:rPr>
          <w:rFonts w:ascii="Times New Roman" w:hAnsi="Times New Roman" w:cs="Times New Roman"/>
          <w:sz w:val="24"/>
          <w:szCs w:val="24"/>
        </w:rPr>
        <w:t xml:space="preserve"> HH, </w:t>
      </w:r>
      <w:proofErr w:type="spellStart"/>
      <w:r w:rsidRPr="000C588D">
        <w:rPr>
          <w:rFonts w:ascii="Times New Roman" w:hAnsi="Times New Roman" w:cs="Times New Roman"/>
          <w:sz w:val="24"/>
          <w:szCs w:val="24"/>
        </w:rPr>
        <w:t>Zinjala</w:t>
      </w:r>
      <w:proofErr w:type="spellEnd"/>
      <w:r w:rsidRPr="000C588D">
        <w:rPr>
          <w:rFonts w:ascii="Times New Roman" w:hAnsi="Times New Roman" w:cs="Times New Roman"/>
          <w:sz w:val="24"/>
          <w:szCs w:val="24"/>
        </w:rPr>
        <w:t xml:space="preserve"> AN, Haque M. 3D Bioprinting: Shaping the Future of Periodontal Tissue Regeneration and Disease Management. </w:t>
      </w:r>
      <w:proofErr w:type="spellStart"/>
      <w:r w:rsidRPr="000C588D">
        <w:rPr>
          <w:rFonts w:ascii="Times New Roman" w:hAnsi="Times New Roman" w:cs="Times New Roman"/>
          <w:sz w:val="24"/>
          <w:szCs w:val="24"/>
        </w:rPr>
        <w:t>Cureus</w:t>
      </w:r>
      <w:proofErr w:type="spellEnd"/>
      <w:r w:rsidRPr="000C588D">
        <w:rPr>
          <w:rFonts w:ascii="Times New Roman" w:hAnsi="Times New Roman" w:cs="Times New Roman"/>
          <w:sz w:val="24"/>
          <w:szCs w:val="24"/>
        </w:rPr>
        <w:t>. 2025 Apr 17;17(4</w:t>
      </w:r>
      <w:proofErr w:type="gramStart"/>
      <w:r w:rsidRPr="000C588D">
        <w:rPr>
          <w:rFonts w:ascii="Times New Roman" w:hAnsi="Times New Roman" w:cs="Times New Roman"/>
          <w:sz w:val="24"/>
          <w:szCs w:val="24"/>
        </w:rPr>
        <w:t>):e</w:t>
      </w:r>
      <w:proofErr w:type="gramEnd"/>
      <w:r w:rsidRPr="000C588D">
        <w:rPr>
          <w:rFonts w:ascii="Times New Roman" w:hAnsi="Times New Roman" w:cs="Times New Roman"/>
          <w:sz w:val="24"/>
          <w:szCs w:val="24"/>
        </w:rPr>
        <w:t>82432.</w:t>
      </w:r>
    </w:p>
    <w:p w14:paraId="466D843F" w14:textId="77777777" w:rsidR="004E4F6A" w:rsidRPr="004E4F6A" w:rsidRDefault="004E4F6A" w:rsidP="004E4F6A">
      <w:pPr>
        <w:spacing w:line="360" w:lineRule="auto"/>
        <w:jc w:val="both"/>
        <w:rPr>
          <w:rFonts w:ascii="Times New Roman" w:hAnsi="Times New Roman" w:cs="Times New Roman"/>
          <w:sz w:val="24"/>
          <w:szCs w:val="24"/>
        </w:rPr>
      </w:pPr>
    </w:p>
    <w:p w14:paraId="3B01CCEA" w14:textId="185B440E" w:rsidR="00786166" w:rsidRPr="00AC719F" w:rsidRDefault="009B3F66" w:rsidP="00AC719F">
      <w:pPr>
        <w:spacing w:line="360" w:lineRule="auto"/>
        <w:jc w:val="both"/>
        <w:rPr>
          <w:rFonts w:ascii="Times New Roman" w:hAnsi="Times New Roman" w:cs="Times New Roman"/>
          <w:sz w:val="24"/>
          <w:szCs w:val="24"/>
        </w:rPr>
      </w:pPr>
      <w:r w:rsidRPr="009B3F66">
        <w:rPr>
          <w:rFonts w:ascii="Times New Roman" w:hAnsi="Times New Roman" w:cs="Times New Roman"/>
          <w:sz w:val="24"/>
          <w:szCs w:val="24"/>
        </w:rPr>
        <w:t xml:space="preserve"> </w:t>
      </w:r>
    </w:p>
    <w:sectPr w:rsidR="00786166" w:rsidRPr="00AC719F">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9FA192" w14:textId="77777777" w:rsidR="00967529" w:rsidRDefault="00967529" w:rsidP="00EC2F37">
      <w:pPr>
        <w:spacing w:after="0" w:line="240" w:lineRule="auto"/>
      </w:pPr>
      <w:r>
        <w:separator/>
      </w:r>
    </w:p>
  </w:endnote>
  <w:endnote w:type="continuationSeparator" w:id="0">
    <w:p w14:paraId="210E844D" w14:textId="77777777" w:rsidR="00967529" w:rsidRDefault="00967529" w:rsidP="00EC2F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95348B" w14:textId="77777777" w:rsidR="00EC2F37" w:rsidRDefault="00EC2F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6BE227" w14:textId="77777777" w:rsidR="00EC2F37" w:rsidRDefault="00EC2F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B0DF6" w14:textId="77777777" w:rsidR="00EC2F37" w:rsidRDefault="00EC2F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23EB30" w14:textId="77777777" w:rsidR="00967529" w:rsidRDefault="00967529" w:rsidP="00EC2F37">
      <w:pPr>
        <w:spacing w:after="0" w:line="240" w:lineRule="auto"/>
      </w:pPr>
      <w:r>
        <w:separator/>
      </w:r>
    </w:p>
  </w:footnote>
  <w:footnote w:type="continuationSeparator" w:id="0">
    <w:p w14:paraId="0F508C91" w14:textId="77777777" w:rsidR="00967529" w:rsidRDefault="00967529" w:rsidP="00EC2F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E5FB8" w14:textId="1CDCFA31" w:rsidR="00EC2F37" w:rsidRDefault="00EC2F37">
    <w:pPr>
      <w:pStyle w:val="Header"/>
    </w:pPr>
    <w:r>
      <w:rPr>
        <w:noProof/>
      </w:rPr>
      <w:pict w14:anchorId="3EE2C6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7902955"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8CB9DE" w14:textId="5C071B8B" w:rsidR="00EC2F37" w:rsidRDefault="00EC2F37">
    <w:pPr>
      <w:pStyle w:val="Header"/>
    </w:pPr>
    <w:r>
      <w:rPr>
        <w:noProof/>
      </w:rPr>
      <w:pict w14:anchorId="649C52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7902956"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327237" w14:textId="7A9EE736" w:rsidR="00EC2F37" w:rsidRDefault="00EC2F37">
    <w:pPr>
      <w:pStyle w:val="Header"/>
    </w:pPr>
    <w:r>
      <w:rPr>
        <w:noProof/>
      </w:rPr>
      <w:pict w14:anchorId="7E82CA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7902954"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1203C3"/>
    <w:multiLevelType w:val="hybridMultilevel"/>
    <w:tmpl w:val="443633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A417678"/>
    <w:multiLevelType w:val="hybridMultilevel"/>
    <w:tmpl w:val="F2BEF5B8"/>
    <w:lvl w:ilvl="0" w:tplc="4118AEA8">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CE1179A"/>
    <w:multiLevelType w:val="multilevel"/>
    <w:tmpl w:val="5A606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08B764E"/>
    <w:multiLevelType w:val="multilevel"/>
    <w:tmpl w:val="DBE80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98C771C"/>
    <w:multiLevelType w:val="hybridMultilevel"/>
    <w:tmpl w:val="4A48331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6D9C57CC"/>
    <w:multiLevelType w:val="multilevel"/>
    <w:tmpl w:val="F5AED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145216F"/>
    <w:multiLevelType w:val="multilevel"/>
    <w:tmpl w:val="BD84FC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74449A3"/>
    <w:multiLevelType w:val="multilevel"/>
    <w:tmpl w:val="6BFC3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6"/>
  </w:num>
  <w:num w:numId="4">
    <w:abstractNumId w:val="5"/>
  </w:num>
  <w:num w:numId="5">
    <w:abstractNumId w:val="1"/>
  </w:num>
  <w:num w:numId="6">
    <w:abstractNumId w:val="7"/>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719F"/>
    <w:rsid w:val="000C588D"/>
    <w:rsid w:val="000E167F"/>
    <w:rsid w:val="001E10E5"/>
    <w:rsid w:val="001F5B0D"/>
    <w:rsid w:val="002A47A8"/>
    <w:rsid w:val="002E13A1"/>
    <w:rsid w:val="00384CBD"/>
    <w:rsid w:val="004A519E"/>
    <w:rsid w:val="004E4F6A"/>
    <w:rsid w:val="00547B4E"/>
    <w:rsid w:val="007338A2"/>
    <w:rsid w:val="00786166"/>
    <w:rsid w:val="007B237E"/>
    <w:rsid w:val="00886430"/>
    <w:rsid w:val="00967529"/>
    <w:rsid w:val="009B3F66"/>
    <w:rsid w:val="00AC719F"/>
    <w:rsid w:val="00AE5BE2"/>
    <w:rsid w:val="00B36102"/>
    <w:rsid w:val="00C32B73"/>
    <w:rsid w:val="00C60450"/>
    <w:rsid w:val="00C6763C"/>
    <w:rsid w:val="00C75422"/>
    <w:rsid w:val="00C870F3"/>
    <w:rsid w:val="00CC4CB0"/>
    <w:rsid w:val="00CF6988"/>
    <w:rsid w:val="00D91A1C"/>
    <w:rsid w:val="00E01EC3"/>
    <w:rsid w:val="00EC2F37"/>
    <w:rsid w:val="00F14FEF"/>
    <w:rsid w:val="00F52499"/>
    <w:rsid w:val="00F935C4"/>
    <w:rsid w:val="00FC124C"/>
    <w:rsid w:val="00FE2F6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04EBB4C"/>
  <w15:chartTrackingRefBased/>
  <w15:docId w15:val="{7BB99C05-14B6-4CD2-938B-C8217C263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C719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C719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C719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C719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C719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C719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C719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C719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C719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719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C719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C719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C719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C719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C719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C719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C719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C719F"/>
    <w:rPr>
      <w:rFonts w:eastAsiaTheme="majorEastAsia" w:cstheme="majorBidi"/>
      <w:color w:val="272727" w:themeColor="text1" w:themeTint="D8"/>
    </w:rPr>
  </w:style>
  <w:style w:type="paragraph" w:styleId="Title">
    <w:name w:val="Title"/>
    <w:basedOn w:val="Normal"/>
    <w:next w:val="Normal"/>
    <w:link w:val="TitleChar"/>
    <w:uiPriority w:val="10"/>
    <w:qFormat/>
    <w:rsid w:val="00AC719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C719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C719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C719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C719F"/>
    <w:pPr>
      <w:spacing w:before="160"/>
      <w:jc w:val="center"/>
    </w:pPr>
    <w:rPr>
      <w:i/>
      <w:iCs/>
      <w:color w:val="404040" w:themeColor="text1" w:themeTint="BF"/>
    </w:rPr>
  </w:style>
  <w:style w:type="character" w:customStyle="1" w:styleId="QuoteChar">
    <w:name w:val="Quote Char"/>
    <w:basedOn w:val="DefaultParagraphFont"/>
    <w:link w:val="Quote"/>
    <w:uiPriority w:val="29"/>
    <w:rsid w:val="00AC719F"/>
    <w:rPr>
      <w:i/>
      <w:iCs/>
      <w:color w:val="404040" w:themeColor="text1" w:themeTint="BF"/>
    </w:rPr>
  </w:style>
  <w:style w:type="paragraph" w:styleId="ListParagraph">
    <w:name w:val="List Paragraph"/>
    <w:basedOn w:val="Normal"/>
    <w:uiPriority w:val="34"/>
    <w:qFormat/>
    <w:rsid w:val="00AC719F"/>
    <w:pPr>
      <w:ind w:left="720"/>
      <w:contextualSpacing/>
    </w:pPr>
  </w:style>
  <w:style w:type="character" w:styleId="IntenseEmphasis">
    <w:name w:val="Intense Emphasis"/>
    <w:basedOn w:val="DefaultParagraphFont"/>
    <w:uiPriority w:val="21"/>
    <w:qFormat/>
    <w:rsid w:val="00AC719F"/>
    <w:rPr>
      <w:i/>
      <w:iCs/>
      <w:color w:val="2F5496" w:themeColor="accent1" w:themeShade="BF"/>
    </w:rPr>
  </w:style>
  <w:style w:type="paragraph" w:styleId="IntenseQuote">
    <w:name w:val="Intense Quote"/>
    <w:basedOn w:val="Normal"/>
    <w:next w:val="Normal"/>
    <w:link w:val="IntenseQuoteChar"/>
    <w:uiPriority w:val="30"/>
    <w:qFormat/>
    <w:rsid w:val="00AC719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C719F"/>
    <w:rPr>
      <w:i/>
      <w:iCs/>
      <w:color w:val="2F5496" w:themeColor="accent1" w:themeShade="BF"/>
    </w:rPr>
  </w:style>
  <w:style w:type="character" w:styleId="IntenseReference">
    <w:name w:val="Intense Reference"/>
    <w:basedOn w:val="DefaultParagraphFont"/>
    <w:uiPriority w:val="32"/>
    <w:qFormat/>
    <w:rsid w:val="00AC719F"/>
    <w:rPr>
      <w:b/>
      <w:bCs/>
      <w:smallCaps/>
      <w:color w:val="2F5496" w:themeColor="accent1" w:themeShade="BF"/>
      <w:spacing w:val="5"/>
    </w:rPr>
  </w:style>
  <w:style w:type="paragraph" w:styleId="NormalWeb">
    <w:name w:val="Normal (Web)"/>
    <w:basedOn w:val="Normal"/>
    <w:uiPriority w:val="99"/>
    <w:unhideWhenUsed/>
    <w:rsid w:val="00E01EC3"/>
    <w:rPr>
      <w:rFonts w:ascii="Times New Roman" w:hAnsi="Times New Roman" w:cs="Times New Roman"/>
      <w:sz w:val="24"/>
      <w:szCs w:val="24"/>
    </w:rPr>
  </w:style>
  <w:style w:type="character" w:styleId="Strong">
    <w:name w:val="Strong"/>
    <w:basedOn w:val="DefaultParagraphFont"/>
    <w:uiPriority w:val="22"/>
    <w:qFormat/>
    <w:rsid w:val="00D91A1C"/>
    <w:rPr>
      <w:b/>
      <w:bCs/>
    </w:rPr>
  </w:style>
  <w:style w:type="character" w:styleId="Emphasis">
    <w:name w:val="Emphasis"/>
    <w:basedOn w:val="DefaultParagraphFont"/>
    <w:uiPriority w:val="20"/>
    <w:qFormat/>
    <w:rsid w:val="00D91A1C"/>
    <w:rPr>
      <w:i/>
      <w:iCs/>
    </w:rPr>
  </w:style>
  <w:style w:type="table" w:styleId="TableGrid">
    <w:name w:val="Table Grid"/>
    <w:basedOn w:val="TableNormal"/>
    <w:uiPriority w:val="39"/>
    <w:rsid w:val="00F14FEF"/>
    <w:pPr>
      <w:spacing w:after="0" w:line="240" w:lineRule="auto"/>
    </w:pPr>
    <w:rPr>
      <w:kern w:val="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14FEF"/>
    <w:rPr>
      <w:color w:val="0563C1" w:themeColor="hyperlink"/>
      <w:u w:val="single"/>
    </w:rPr>
  </w:style>
  <w:style w:type="character" w:styleId="UnresolvedMention">
    <w:name w:val="Unresolved Mention"/>
    <w:basedOn w:val="DefaultParagraphFont"/>
    <w:uiPriority w:val="99"/>
    <w:semiHidden/>
    <w:unhideWhenUsed/>
    <w:rsid w:val="00F14FEF"/>
    <w:rPr>
      <w:color w:val="605E5C"/>
      <w:shd w:val="clear" w:color="auto" w:fill="E1DFDD"/>
    </w:rPr>
  </w:style>
  <w:style w:type="paragraph" w:styleId="Header">
    <w:name w:val="header"/>
    <w:basedOn w:val="Normal"/>
    <w:link w:val="HeaderChar"/>
    <w:uiPriority w:val="99"/>
    <w:unhideWhenUsed/>
    <w:rsid w:val="00EC2F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2F37"/>
  </w:style>
  <w:style w:type="paragraph" w:styleId="Footer">
    <w:name w:val="footer"/>
    <w:basedOn w:val="Normal"/>
    <w:link w:val="FooterChar"/>
    <w:uiPriority w:val="99"/>
    <w:unhideWhenUsed/>
    <w:rsid w:val="00EC2F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2F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15</Pages>
  <Words>4902</Words>
  <Characters>27942</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divya sree</dc:creator>
  <cp:keywords/>
  <dc:description/>
  <cp:lastModifiedBy>SDI 1084</cp:lastModifiedBy>
  <cp:revision>4</cp:revision>
  <dcterms:created xsi:type="dcterms:W3CDTF">2026-03-01T09:34:00Z</dcterms:created>
  <dcterms:modified xsi:type="dcterms:W3CDTF">2026-03-02T09:38:00Z</dcterms:modified>
</cp:coreProperties>
</file>