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72B4" w:rsidRPr="005072B4" w:rsidRDefault="005072B4" w:rsidP="005072B4">
      <w:pPr>
        <w:pStyle w:val="Heading1"/>
        <w:rPr>
          <w:lang w:val="en-GB"/>
        </w:rPr>
      </w:pPr>
      <w:r w:rsidRPr="005072B4">
        <w:rPr>
          <w:rStyle w:val="Strong"/>
          <w:b/>
          <w:bCs/>
          <w:lang w:val="en-GB"/>
        </w:rPr>
        <w:t>Oral Signs as Diagnostic Gateways to Gastrointestinal Syndromes: A Contemporary Review of Clinicopathological Links and Translational Implications</w:t>
      </w:r>
    </w:p>
    <w:p w:rsidR="009E6513" w:rsidRDefault="009E6513" w:rsidP="005072B4">
      <w:pPr>
        <w:pStyle w:val="Heading2"/>
        <w:rPr>
          <w:lang w:val="en-GB"/>
        </w:rPr>
      </w:pPr>
    </w:p>
    <w:p w:rsidR="005072B4" w:rsidRPr="005072B4" w:rsidRDefault="005072B4" w:rsidP="005072B4">
      <w:pPr>
        <w:pStyle w:val="Heading2"/>
        <w:rPr>
          <w:lang w:val="en-GB"/>
        </w:rPr>
      </w:pPr>
      <w:r w:rsidRPr="005072B4">
        <w:rPr>
          <w:lang w:val="en-GB"/>
        </w:rPr>
        <w:t>Abstract</w:t>
      </w:r>
    </w:p>
    <w:p w:rsidR="005072B4" w:rsidRPr="005072B4" w:rsidRDefault="005072B4" w:rsidP="005072B4">
      <w:pPr>
        <w:pStyle w:val="NormalWeb"/>
        <w:rPr>
          <w:lang w:val="en-GB"/>
        </w:rPr>
      </w:pPr>
      <w:r w:rsidRPr="005072B4">
        <w:rPr>
          <w:lang w:val="en-GB"/>
        </w:rPr>
        <w:t>The oral cavity is anatomically contiguous with the gastrointestinal tract and biologically integrated with it through shared mucosal immunity, microbial exchange, and systemic inflammatory networks. For many gastrointestinal syndromes, oral findings are not merely coincidental comorbidities but may precede intestinal symptoms, mirror disease activity, or reflect complications such as malabsorption, anaemia, immune dysregulation, and medication effects. This review synthesises evidence on how oral lesions and dental changes can function as practical diagnostic gateways to major gastrointestinal conditions, emphasising inflammatory bowel disease, coeliac disease, reflux-related disorders, Helicobacter pylori–associated syndromes, chronic liver disease, and hereditary polyposis syndromes. Mechanistic pathways are discussed, including oral–gut microbial translocation, cytokine-driven mucosal injury, and acid exposure–mediated hard-tissue damage. Clinical implications are highlighted for dentists, oral physicians, gastroenterologists, and primary-care clinicians, focusing on recognition of red-flag oral patterns that should trigger targeted gastrointestinal evaluation. The review also appraises limitations in the current literature, including heterogeneity of diagnostic criteria for oral lesions, confounding by oral hygiene and smoking, and the challenge of distinguishing disease-specific lesions from nutritional or drug-related changes.</w:t>
      </w:r>
    </w:p>
    <w:p w:rsidR="005072B4" w:rsidRPr="005072B4" w:rsidRDefault="005072B4" w:rsidP="005072B4">
      <w:pPr>
        <w:pStyle w:val="NormalWeb"/>
        <w:rPr>
          <w:lang w:val="en-GB"/>
        </w:rPr>
      </w:pPr>
      <w:r w:rsidRPr="005072B4">
        <w:rPr>
          <w:rStyle w:val="Strong"/>
          <w:lang w:val="en-GB"/>
        </w:rPr>
        <w:t>Keywords:</w:t>
      </w:r>
      <w:r w:rsidRPr="005072B4">
        <w:rPr>
          <w:lang w:val="en-GB"/>
        </w:rPr>
        <w:t xml:space="preserve"> oral manifestations; oral–gut axis; inflammatory bowel disease; coeliac disease; gastro-oesophageal reflux disease; dental erosion; Helicobacter pylori; chronic liver disease; familial adenomatous polyposis; </w:t>
      </w:r>
      <w:proofErr w:type="spellStart"/>
      <w:r w:rsidRPr="005072B4">
        <w:rPr>
          <w:lang w:val="en-GB"/>
        </w:rPr>
        <w:t>Peutz</w:t>
      </w:r>
      <w:proofErr w:type="spellEnd"/>
      <w:r w:rsidRPr="005072B4">
        <w:rPr>
          <w:lang w:val="en-GB"/>
        </w:rPr>
        <w:t>–</w:t>
      </w:r>
      <w:proofErr w:type="spellStart"/>
      <w:r w:rsidRPr="005072B4">
        <w:rPr>
          <w:lang w:val="en-GB"/>
        </w:rPr>
        <w:t>Jeghers</w:t>
      </w:r>
      <w:proofErr w:type="spellEnd"/>
      <w:r w:rsidRPr="005072B4">
        <w:rPr>
          <w:lang w:val="en-GB"/>
        </w:rPr>
        <w:t xml:space="preserve"> syndrome</w:t>
      </w:r>
    </w:p>
    <w:p w:rsidR="005072B4" w:rsidRPr="005072B4" w:rsidRDefault="005072B4" w:rsidP="005072B4">
      <w:pPr>
        <w:rPr>
          <w:lang w:val="en-GB"/>
        </w:rPr>
      </w:pPr>
    </w:p>
    <w:p w:rsidR="000F28EC" w:rsidRPr="000F28EC" w:rsidRDefault="000F28EC" w:rsidP="000F28EC">
      <w:pPr>
        <w:spacing w:before="100" w:beforeAutospacing="1" w:after="100" w:afterAutospacing="1" w:line="240" w:lineRule="auto"/>
        <w:ind w:left="0" w:right="0" w:firstLine="0"/>
        <w:jc w:val="left"/>
        <w:outlineLvl w:val="1"/>
        <w:rPr>
          <w:b/>
          <w:bCs/>
          <w:color w:val="auto"/>
          <w:kern w:val="0"/>
          <w:sz w:val="36"/>
          <w:szCs w:val="36"/>
          <w:lang w:val="en-US" w:eastAsia="en-US"/>
        </w:rPr>
      </w:pPr>
      <w:r w:rsidRPr="000F28EC">
        <w:rPr>
          <w:b/>
          <w:bCs/>
          <w:color w:val="auto"/>
          <w:kern w:val="0"/>
          <w:sz w:val="36"/>
          <w:szCs w:val="36"/>
          <w:lang w:val="en-US" w:eastAsia="en-US"/>
        </w:rPr>
        <w:t>1. Introduction</w:t>
      </w:r>
    </w:p>
    <w:p w:rsidR="000F28EC" w:rsidRPr="000F28EC" w:rsidRDefault="000F28EC" w:rsidP="000F28EC">
      <w:pPr>
        <w:spacing w:before="100" w:beforeAutospacing="1" w:after="100" w:afterAutospacing="1" w:line="240" w:lineRule="auto"/>
        <w:ind w:left="0" w:right="0" w:firstLine="0"/>
        <w:jc w:val="left"/>
        <w:rPr>
          <w:color w:val="auto"/>
          <w:kern w:val="0"/>
          <w:lang w:val="en-US" w:eastAsia="en-US"/>
        </w:rPr>
      </w:pPr>
      <w:r w:rsidRPr="000F28EC">
        <w:rPr>
          <w:color w:val="auto"/>
          <w:kern w:val="0"/>
          <w:lang w:val="en-US" w:eastAsia="en-US"/>
        </w:rPr>
        <w:t xml:space="preserve">The oral cavity is not simply adjacent to the gastrointestinal tract; it is its anatomical and functional entry point, sharing epithelial barrier features, mucosal immune architecture, and continuous exposure to dietary antigens and microbial communities. This continuity means that oral tissues may register gastrointestinal pathology earlier than is often appreciated, sometimes before intestinal symptoms become prominent enough to prompt gastroenterology referral. In everyday practice, patients frequently present first to dental clinicians with complaints that appear local—recurrent ulceration, persistent oral soreness, unusual mucosal </w:t>
      </w:r>
      <w:r w:rsidRPr="000F28EC">
        <w:rPr>
          <w:color w:val="auto"/>
          <w:kern w:val="0"/>
          <w:lang w:val="en-US" w:eastAsia="en-US"/>
        </w:rPr>
        <w:lastRenderedPageBreak/>
        <w:t xml:space="preserve">texture, altered taste, halitosis, or progressive tooth surface loss. When such findings are interpreted in isolation, opportunities for earlier recognition of systemic disease can be missed. Conversely, when oral signs are approached as potential “diagnostic gateways”, they can </w:t>
      </w:r>
      <w:proofErr w:type="spellStart"/>
      <w:r w:rsidRPr="000F28EC">
        <w:rPr>
          <w:color w:val="auto"/>
          <w:kern w:val="0"/>
          <w:lang w:val="en-US" w:eastAsia="en-US"/>
        </w:rPr>
        <w:t>catalyse</w:t>
      </w:r>
      <w:proofErr w:type="spellEnd"/>
      <w:r w:rsidRPr="000F28EC">
        <w:rPr>
          <w:color w:val="auto"/>
          <w:kern w:val="0"/>
          <w:lang w:val="en-US" w:eastAsia="en-US"/>
        </w:rPr>
        <w:t xml:space="preserve"> targeted history-taking and timely investigation for underlying gastrointestinal syndromes, reducing diagnostic delay and preventing avoidable morbidity.</w:t>
      </w:r>
    </w:p>
    <w:p w:rsidR="000F28EC" w:rsidRPr="000F28EC" w:rsidRDefault="000F28EC" w:rsidP="000F28EC">
      <w:pPr>
        <w:spacing w:before="100" w:beforeAutospacing="1" w:after="100" w:afterAutospacing="1" w:line="240" w:lineRule="auto"/>
        <w:ind w:left="0" w:right="0" w:firstLine="0"/>
        <w:jc w:val="left"/>
        <w:rPr>
          <w:color w:val="auto"/>
          <w:kern w:val="0"/>
          <w:lang w:val="en-US" w:eastAsia="en-US"/>
        </w:rPr>
      </w:pPr>
      <w:r w:rsidRPr="000F28EC">
        <w:rPr>
          <w:color w:val="auto"/>
          <w:kern w:val="0"/>
          <w:lang w:val="en-US" w:eastAsia="en-US"/>
        </w:rPr>
        <w:t xml:space="preserve">The clinical value of this gateway approach is well illustrated in inflammatory bowel disease, particularly Crohn’s disease. Oral manifestations can be disease-specific and conspicuous—such as lip swelling, </w:t>
      </w:r>
      <w:proofErr w:type="spellStart"/>
      <w:r w:rsidRPr="000F28EC">
        <w:rPr>
          <w:color w:val="auto"/>
          <w:kern w:val="0"/>
          <w:lang w:val="en-US" w:eastAsia="en-US"/>
        </w:rPr>
        <w:t>cobblestoning</w:t>
      </w:r>
      <w:proofErr w:type="spellEnd"/>
      <w:r w:rsidRPr="000F28EC">
        <w:rPr>
          <w:color w:val="auto"/>
          <w:kern w:val="0"/>
          <w:lang w:val="en-US" w:eastAsia="en-US"/>
        </w:rPr>
        <w:t xml:space="preserve"> of the buccal mucosa, mucosal tags, and deep linear ulceration—and they may be present at or around the time of diagnosis, especially in children and adolescents. A prospective </w:t>
      </w:r>
      <w:proofErr w:type="spellStart"/>
      <w:r w:rsidRPr="000F28EC">
        <w:rPr>
          <w:color w:val="auto"/>
          <w:kern w:val="0"/>
          <w:lang w:val="en-US" w:eastAsia="en-US"/>
        </w:rPr>
        <w:t>paediatric</w:t>
      </w:r>
      <w:proofErr w:type="spellEnd"/>
      <w:r w:rsidRPr="000F28EC">
        <w:rPr>
          <w:color w:val="auto"/>
          <w:kern w:val="0"/>
          <w:lang w:val="en-US" w:eastAsia="en-US"/>
        </w:rPr>
        <w:t xml:space="preserve"> study </w:t>
      </w:r>
      <w:proofErr w:type="spellStart"/>
      <w:r w:rsidRPr="000F28EC">
        <w:rPr>
          <w:color w:val="auto"/>
          <w:kern w:val="0"/>
          <w:lang w:val="en-US" w:eastAsia="en-US"/>
        </w:rPr>
        <w:t>emphasised</w:t>
      </w:r>
      <w:proofErr w:type="spellEnd"/>
      <w:r w:rsidRPr="000F28EC">
        <w:rPr>
          <w:color w:val="auto"/>
          <w:kern w:val="0"/>
          <w:lang w:val="en-US" w:eastAsia="en-US"/>
        </w:rPr>
        <w:t xml:space="preserve"> that such manifestations are not rare curiosities but clinically relevant features that may precede or accompany intestinal presentation, reinforcing the practical benefit of systematic oral examination in suspected Crohn’s disease (Harty et al., 2005). If these lesions are </w:t>
      </w:r>
      <w:proofErr w:type="spellStart"/>
      <w:r w:rsidRPr="000F28EC">
        <w:rPr>
          <w:color w:val="auto"/>
          <w:kern w:val="0"/>
          <w:lang w:val="en-US" w:eastAsia="en-US"/>
        </w:rPr>
        <w:t>recognised</w:t>
      </w:r>
      <w:proofErr w:type="spellEnd"/>
      <w:r w:rsidRPr="000F28EC">
        <w:rPr>
          <w:color w:val="auto"/>
          <w:kern w:val="0"/>
          <w:lang w:val="en-US" w:eastAsia="en-US"/>
        </w:rPr>
        <w:t xml:space="preserve"> as potentially syndromic rather than treated as isolated oral pathology, the oral examination becomes a straightforward, low-burden entry point into medical evaluation—particularly important when gastrointestinal symptoms are mild, intermittent, or underreported.</w:t>
      </w:r>
    </w:p>
    <w:p w:rsidR="000F28EC" w:rsidRPr="000F28EC" w:rsidRDefault="000F28EC" w:rsidP="000F28EC">
      <w:pPr>
        <w:spacing w:before="100" w:beforeAutospacing="1" w:after="100" w:afterAutospacing="1" w:line="240" w:lineRule="auto"/>
        <w:ind w:left="0" w:right="0" w:firstLine="0"/>
        <w:jc w:val="left"/>
        <w:rPr>
          <w:color w:val="auto"/>
          <w:kern w:val="0"/>
          <w:lang w:val="en-US" w:eastAsia="en-US"/>
        </w:rPr>
      </w:pPr>
      <w:r w:rsidRPr="000F28EC">
        <w:rPr>
          <w:color w:val="auto"/>
          <w:kern w:val="0"/>
          <w:lang w:val="en-US" w:eastAsia="en-US"/>
        </w:rPr>
        <w:t xml:space="preserve">Coeliac disease provides a different but equally compelling rationale for oral–gastrointestinal linkage. Here, the mouth can record systemic effects of immune-mediated enteropathy and malabsorption through patterns in dentition and mucosa. Enamel defects and recurrent aphthous stomatitis have been </w:t>
      </w:r>
      <w:proofErr w:type="spellStart"/>
      <w:r w:rsidRPr="000F28EC">
        <w:rPr>
          <w:color w:val="auto"/>
          <w:kern w:val="0"/>
          <w:lang w:val="en-US" w:eastAsia="en-US"/>
        </w:rPr>
        <w:t>synthesised</w:t>
      </w:r>
      <w:proofErr w:type="spellEnd"/>
      <w:r w:rsidRPr="000F28EC">
        <w:rPr>
          <w:color w:val="auto"/>
          <w:kern w:val="0"/>
          <w:lang w:val="en-US" w:eastAsia="en-US"/>
        </w:rPr>
        <w:t xml:space="preserve"> as associated features, with controlled evidence indicating that these oral findings can occur more frequently in coeliac populations than in healthy controls (</w:t>
      </w:r>
      <w:proofErr w:type="spellStart"/>
      <w:r w:rsidRPr="000F28EC">
        <w:rPr>
          <w:color w:val="auto"/>
          <w:kern w:val="0"/>
          <w:lang w:val="en-US" w:eastAsia="en-US"/>
        </w:rPr>
        <w:t>Nieri</w:t>
      </w:r>
      <w:proofErr w:type="spellEnd"/>
      <w:r w:rsidRPr="000F28EC">
        <w:rPr>
          <w:color w:val="auto"/>
          <w:kern w:val="0"/>
          <w:lang w:val="en-US" w:eastAsia="en-US"/>
        </w:rPr>
        <w:t xml:space="preserve"> et al., 2017). Observational </w:t>
      </w:r>
      <w:proofErr w:type="spellStart"/>
      <w:r w:rsidRPr="000F28EC">
        <w:rPr>
          <w:color w:val="auto"/>
          <w:kern w:val="0"/>
          <w:lang w:val="en-US" w:eastAsia="en-US"/>
        </w:rPr>
        <w:t>paediatric</w:t>
      </w:r>
      <w:proofErr w:type="spellEnd"/>
      <w:r w:rsidRPr="000F28EC">
        <w:rPr>
          <w:color w:val="auto"/>
          <w:kern w:val="0"/>
          <w:lang w:val="en-US" w:eastAsia="en-US"/>
        </w:rPr>
        <w:t xml:space="preserve"> data further support the clinical relevance of oral findings, highlighting that characteristic changes may be observed in children with coeliac disease and can therefore serve as prompts for appropriate serological screening and medical referral (</w:t>
      </w:r>
      <w:proofErr w:type="spellStart"/>
      <w:r w:rsidRPr="000F28EC">
        <w:rPr>
          <w:color w:val="auto"/>
          <w:kern w:val="0"/>
          <w:lang w:val="en-US" w:eastAsia="en-US"/>
        </w:rPr>
        <w:t>Villemur</w:t>
      </w:r>
      <w:proofErr w:type="spellEnd"/>
      <w:r w:rsidRPr="000F28EC">
        <w:rPr>
          <w:color w:val="auto"/>
          <w:kern w:val="0"/>
          <w:lang w:val="en-US" w:eastAsia="en-US"/>
        </w:rPr>
        <w:t xml:space="preserve"> Moreau et al., 2021). The gateway function is particularly salient in dentistry because enamel defects may be identified incidentally during routine examinations, sometimes before gastrointestinal complaints are articulated, allowing clinicians to consider coeliac disease in an otherwise atypical clinical context.</w:t>
      </w:r>
    </w:p>
    <w:p w:rsidR="000F28EC" w:rsidRPr="000F28EC" w:rsidRDefault="000F28EC" w:rsidP="000F28EC">
      <w:pPr>
        <w:spacing w:before="100" w:beforeAutospacing="1" w:after="100" w:afterAutospacing="1" w:line="240" w:lineRule="auto"/>
        <w:ind w:left="0" w:right="0" w:firstLine="0"/>
        <w:jc w:val="left"/>
        <w:rPr>
          <w:color w:val="auto"/>
          <w:kern w:val="0"/>
          <w:lang w:val="en-US" w:eastAsia="en-US"/>
        </w:rPr>
      </w:pPr>
      <w:r w:rsidRPr="000F28EC">
        <w:rPr>
          <w:color w:val="auto"/>
          <w:kern w:val="0"/>
          <w:lang w:val="en-US" w:eastAsia="en-US"/>
        </w:rPr>
        <w:t>Reflux-related syndromes demonstrate how direct chemical exposure from the upper gastrointestinal tract can translate into visible and clinically meaningful oral changes. Dental erosion is a well-</w:t>
      </w:r>
      <w:proofErr w:type="spellStart"/>
      <w:r w:rsidRPr="000F28EC">
        <w:rPr>
          <w:color w:val="auto"/>
          <w:kern w:val="0"/>
          <w:lang w:val="en-US" w:eastAsia="en-US"/>
        </w:rPr>
        <w:t>recognised</w:t>
      </w:r>
      <w:proofErr w:type="spellEnd"/>
      <w:r w:rsidRPr="000F28EC">
        <w:rPr>
          <w:color w:val="auto"/>
          <w:kern w:val="0"/>
          <w:lang w:val="en-US" w:eastAsia="en-US"/>
        </w:rPr>
        <w:t xml:space="preserve"> extra-</w:t>
      </w:r>
      <w:proofErr w:type="spellStart"/>
      <w:r w:rsidRPr="000F28EC">
        <w:rPr>
          <w:color w:val="auto"/>
          <w:kern w:val="0"/>
          <w:lang w:val="en-US" w:eastAsia="en-US"/>
        </w:rPr>
        <w:t>oesophageal</w:t>
      </w:r>
      <w:proofErr w:type="spellEnd"/>
      <w:r w:rsidRPr="000F28EC">
        <w:rPr>
          <w:color w:val="auto"/>
          <w:kern w:val="0"/>
          <w:lang w:val="en-US" w:eastAsia="en-US"/>
        </w:rPr>
        <w:t xml:space="preserve"> manifestation of gastro-</w:t>
      </w:r>
      <w:proofErr w:type="spellStart"/>
      <w:r w:rsidRPr="000F28EC">
        <w:rPr>
          <w:color w:val="auto"/>
          <w:kern w:val="0"/>
          <w:lang w:val="en-US" w:eastAsia="en-US"/>
        </w:rPr>
        <w:t>oesophageal</w:t>
      </w:r>
      <w:proofErr w:type="spellEnd"/>
      <w:r w:rsidRPr="000F28EC">
        <w:rPr>
          <w:color w:val="auto"/>
          <w:kern w:val="0"/>
          <w:lang w:val="en-US" w:eastAsia="en-US"/>
        </w:rPr>
        <w:t xml:space="preserve"> reflux, and the pattern of erosive tooth wear—often involving palatal surfaces of maxillary teeth—can be suggestive when viewed alongside symptom history and risk </w:t>
      </w:r>
      <w:proofErr w:type="spellStart"/>
      <w:r w:rsidRPr="000F28EC">
        <w:rPr>
          <w:color w:val="auto"/>
          <w:kern w:val="0"/>
          <w:lang w:val="en-US" w:eastAsia="en-US"/>
        </w:rPr>
        <w:t>behaviours</w:t>
      </w:r>
      <w:proofErr w:type="spellEnd"/>
      <w:r w:rsidRPr="000F28EC">
        <w:rPr>
          <w:color w:val="auto"/>
          <w:kern w:val="0"/>
          <w:lang w:val="en-US" w:eastAsia="en-US"/>
        </w:rPr>
        <w:t>. A systematic review has discussed the relationship between gastro-</w:t>
      </w:r>
      <w:proofErr w:type="spellStart"/>
      <w:r w:rsidRPr="000F28EC">
        <w:rPr>
          <w:color w:val="auto"/>
          <w:kern w:val="0"/>
          <w:lang w:val="en-US" w:eastAsia="en-US"/>
        </w:rPr>
        <w:t>oesophageal</w:t>
      </w:r>
      <w:proofErr w:type="spellEnd"/>
      <w:r w:rsidRPr="000F28EC">
        <w:rPr>
          <w:color w:val="auto"/>
          <w:kern w:val="0"/>
          <w:lang w:val="en-US" w:eastAsia="en-US"/>
        </w:rPr>
        <w:t xml:space="preserve"> reflux disease and dental lesions, underscoring that tooth surface loss can be a medically relevant sign rather than simply a dental wear issue (Pace et al., 2008). In patients who do not volunteer classic reflux symptoms, or who </w:t>
      </w:r>
      <w:proofErr w:type="spellStart"/>
      <w:r w:rsidRPr="000F28EC">
        <w:rPr>
          <w:color w:val="auto"/>
          <w:kern w:val="0"/>
          <w:lang w:val="en-US" w:eastAsia="en-US"/>
        </w:rPr>
        <w:t>normalise</w:t>
      </w:r>
      <w:proofErr w:type="spellEnd"/>
      <w:r w:rsidRPr="000F28EC">
        <w:rPr>
          <w:color w:val="auto"/>
          <w:kern w:val="0"/>
          <w:lang w:val="en-US" w:eastAsia="en-US"/>
        </w:rPr>
        <w:t xml:space="preserve"> chronic regurgitation and heartburn, erosive wear identified in dental settings can therefore function as a practical trigger for medical assessment while dental preventive measures are instituted in parallel.</w:t>
      </w:r>
    </w:p>
    <w:p w:rsidR="000F28EC" w:rsidRPr="000F28EC" w:rsidRDefault="000F28EC" w:rsidP="000F28EC">
      <w:pPr>
        <w:spacing w:before="100" w:beforeAutospacing="1" w:after="100" w:afterAutospacing="1" w:line="240" w:lineRule="auto"/>
        <w:ind w:left="0" w:right="0" w:firstLine="0"/>
        <w:jc w:val="left"/>
        <w:rPr>
          <w:color w:val="auto"/>
          <w:kern w:val="0"/>
          <w:lang w:val="en-US" w:eastAsia="en-US"/>
        </w:rPr>
      </w:pPr>
      <w:r w:rsidRPr="000F28EC">
        <w:rPr>
          <w:color w:val="auto"/>
          <w:kern w:val="0"/>
          <w:lang w:val="en-US" w:eastAsia="en-US"/>
        </w:rPr>
        <w:t xml:space="preserve">Infectious and dyspeptic syndromes also intersect with oral presentation through symptoms that are common but diagnostically nuanced. Halitosis is most often oral in origin; nevertheless, a subset of cases may relate to gastrointestinal pathology, including </w:t>
      </w:r>
      <w:r w:rsidRPr="000F28EC">
        <w:rPr>
          <w:i/>
          <w:iCs/>
          <w:color w:val="auto"/>
          <w:kern w:val="0"/>
          <w:lang w:val="en-US" w:eastAsia="en-US"/>
        </w:rPr>
        <w:t>Helicobacter pylori</w:t>
      </w:r>
      <w:r w:rsidRPr="000F28EC">
        <w:rPr>
          <w:color w:val="auto"/>
          <w:kern w:val="0"/>
          <w:lang w:val="en-US" w:eastAsia="en-US"/>
        </w:rPr>
        <w:t xml:space="preserve"> infection, and the likelihood of gastrointestinal contribution becomes more plausible when halitosis is persistent despite appropriate oral hygiene measures or when it co-occurs with upper gastrointestinal symptoms such as dyspepsia. A meta-analysis has reported an association between halitosis and </w:t>
      </w:r>
      <w:r w:rsidRPr="000F28EC">
        <w:rPr>
          <w:i/>
          <w:iCs/>
          <w:color w:val="auto"/>
          <w:kern w:val="0"/>
          <w:lang w:val="en-US" w:eastAsia="en-US"/>
        </w:rPr>
        <w:t>H. pylori</w:t>
      </w:r>
      <w:r w:rsidRPr="000F28EC">
        <w:rPr>
          <w:color w:val="auto"/>
          <w:kern w:val="0"/>
          <w:lang w:val="en-US" w:eastAsia="en-US"/>
        </w:rPr>
        <w:t xml:space="preserve"> infection, supporting the idea that, in </w:t>
      </w:r>
      <w:r w:rsidRPr="000F28EC">
        <w:rPr>
          <w:color w:val="auto"/>
          <w:kern w:val="0"/>
          <w:lang w:val="en-US" w:eastAsia="en-US"/>
        </w:rPr>
        <w:lastRenderedPageBreak/>
        <w:t>selected patients, breath complaints can serve as a gateway to focused gastrointestinal investigation rather than repeated local treatments alone (Dou et al., 2016). The clinical challenge is to avoid over-</w:t>
      </w:r>
      <w:proofErr w:type="spellStart"/>
      <w:r w:rsidRPr="000F28EC">
        <w:rPr>
          <w:color w:val="auto"/>
          <w:kern w:val="0"/>
          <w:lang w:val="en-US" w:eastAsia="en-US"/>
        </w:rPr>
        <w:t>medicalisation</w:t>
      </w:r>
      <w:proofErr w:type="spellEnd"/>
      <w:r w:rsidRPr="000F28EC">
        <w:rPr>
          <w:color w:val="auto"/>
          <w:kern w:val="0"/>
          <w:lang w:val="en-US" w:eastAsia="en-US"/>
        </w:rPr>
        <w:t xml:space="preserve"> of a common symptom while still </w:t>
      </w:r>
      <w:proofErr w:type="spellStart"/>
      <w:r w:rsidRPr="000F28EC">
        <w:rPr>
          <w:color w:val="auto"/>
          <w:kern w:val="0"/>
          <w:lang w:val="en-US" w:eastAsia="en-US"/>
        </w:rPr>
        <w:t>recognising</w:t>
      </w:r>
      <w:proofErr w:type="spellEnd"/>
      <w:r w:rsidRPr="000F28EC">
        <w:rPr>
          <w:color w:val="auto"/>
          <w:kern w:val="0"/>
          <w:lang w:val="en-US" w:eastAsia="en-US"/>
        </w:rPr>
        <w:t xml:space="preserve"> circumstances in which it legitimately raises suspicion of gastrointestinal involvement.</w:t>
      </w:r>
    </w:p>
    <w:p w:rsidR="000F28EC" w:rsidRPr="000F28EC" w:rsidRDefault="000F28EC" w:rsidP="000F28EC">
      <w:pPr>
        <w:spacing w:before="100" w:beforeAutospacing="1" w:after="100" w:afterAutospacing="1" w:line="240" w:lineRule="auto"/>
        <w:ind w:left="0" w:right="0" w:firstLine="0"/>
        <w:jc w:val="left"/>
        <w:rPr>
          <w:color w:val="auto"/>
          <w:kern w:val="0"/>
          <w:lang w:val="en-US" w:eastAsia="en-US"/>
        </w:rPr>
      </w:pPr>
      <w:r w:rsidRPr="000F28EC">
        <w:rPr>
          <w:color w:val="auto"/>
          <w:kern w:val="0"/>
          <w:lang w:val="en-US" w:eastAsia="en-US"/>
        </w:rPr>
        <w:t xml:space="preserve">Some of the most diagnostically powerful gateways arise in hereditary gastrointestinal syndromes where oral findings can be distinctive and appear early. </w:t>
      </w:r>
      <w:proofErr w:type="spellStart"/>
      <w:r w:rsidRPr="000F28EC">
        <w:rPr>
          <w:color w:val="auto"/>
          <w:kern w:val="0"/>
          <w:lang w:val="en-US" w:eastAsia="en-US"/>
        </w:rPr>
        <w:t>Peutz</w:t>
      </w:r>
      <w:proofErr w:type="spellEnd"/>
      <w:r w:rsidRPr="000F28EC">
        <w:rPr>
          <w:color w:val="auto"/>
          <w:kern w:val="0"/>
          <w:lang w:val="en-US" w:eastAsia="en-US"/>
        </w:rPr>
        <w:t>–</w:t>
      </w:r>
      <w:proofErr w:type="spellStart"/>
      <w:r w:rsidRPr="000F28EC">
        <w:rPr>
          <w:color w:val="auto"/>
          <w:kern w:val="0"/>
          <w:lang w:val="en-US" w:eastAsia="en-US"/>
        </w:rPr>
        <w:t>Jeghers</w:t>
      </w:r>
      <w:proofErr w:type="spellEnd"/>
      <w:r w:rsidRPr="000F28EC">
        <w:rPr>
          <w:color w:val="auto"/>
          <w:kern w:val="0"/>
          <w:lang w:val="en-US" w:eastAsia="en-US"/>
        </w:rPr>
        <w:t xml:space="preserve"> syndrome, for example, is </w:t>
      </w:r>
      <w:proofErr w:type="spellStart"/>
      <w:r w:rsidRPr="000F28EC">
        <w:rPr>
          <w:color w:val="auto"/>
          <w:kern w:val="0"/>
          <w:lang w:val="en-US" w:eastAsia="en-US"/>
        </w:rPr>
        <w:t>characterised</w:t>
      </w:r>
      <w:proofErr w:type="spellEnd"/>
      <w:r w:rsidRPr="000F28EC">
        <w:rPr>
          <w:color w:val="auto"/>
          <w:kern w:val="0"/>
          <w:lang w:val="en-US" w:eastAsia="en-US"/>
        </w:rPr>
        <w:t xml:space="preserve"> by mucocutaneous pigmentation that commonly involves perioral and oral sites, and its recognition is of high clinical consequence because it connects directly to surveillance for gastrointestinal polyps and malignancy risk. Management-oriented synthesis work has </w:t>
      </w:r>
      <w:proofErr w:type="spellStart"/>
      <w:r w:rsidRPr="000F28EC">
        <w:rPr>
          <w:color w:val="auto"/>
          <w:kern w:val="0"/>
          <w:lang w:val="en-US" w:eastAsia="en-US"/>
        </w:rPr>
        <w:t>emphasised</w:t>
      </w:r>
      <w:proofErr w:type="spellEnd"/>
      <w:r w:rsidRPr="000F28EC">
        <w:rPr>
          <w:color w:val="auto"/>
          <w:kern w:val="0"/>
          <w:lang w:val="en-US" w:eastAsia="en-US"/>
        </w:rPr>
        <w:t xml:space="preserve"> the importance of </w:t>
      </w:r>
      <w:proofErr w:type="spellStart"/>
      <w:r w:rsidRPr="000F28EC">
        <w:rPr>
          <w:color w:val="auto"/>
          <w:kern w:val="0"/>
          <w:lang w:val="en-US" w:eastAsia="en-US"/>
        </w:rPr>
        <w:t>recognising</w:t>
      </w:r>
      <w:proofErr w:type="spellEnd"/>
      <w:r w:rsidRPr="000F28EC">
        <w:rPr>
          <w:color w:val="auto"/>
          <w:kern w:val="0"/>
          <w:lang w:val="en-US" w:eastAsia="en-US"/>
        </w:rPr>
        <w:t xml:space="preserve"> this syndrome and implementing appropriate follow-up, illustrating how oral pigmentation can be more than a cosmetic or dermatological concern—it can be the visible entry point into preventive gastroenterology and genetics pathways (</w:t>
      </w:r>
      <w:proofErr w:type="spellStart"/>
      <w:r w:rsidRPr="000F28EC">
        <w:rPr>
          <w:color w:val="auto"/>
          <w:kern w:val="0"/>
          <w:lang w:val="en-US" w:eastAsia="en-US"/>
        </w:rPr>
        <w:t>Beggs</w:t>
      </w:r>
      <w:proofErr w:type="spellEnd"/>
      <w:r w:rsidRPr="000F28EC">
        <w:rPr>
          <w:color w:val="auto"/>
          <w:kern w:val="0"/>
          <w:lang w:val="en-US" w:eastAsia="en-US"/>
        </w:rPr>
        <w:t xml:space="preserve"> et al., 2010).</w:t>
      </w:r>
    </w:p>
    <w:p w:rsidR="000F28EC" w:rsidRPr="000F28EC" w:rsidRDefault="000F28EC" w:rsidP="000F28EC">
      <w:pPr>
        <w:spacing w:before="100" w:beforeAutospacing="1" w:after="100" w:afterAutospacing="1" w:line="240" w:lineRule="auto"/>
        <w:ind w:left="0" w:right="0" w:firstLine="0"/>
        <w:jc w:val="left"/>
        <w:rPr>
          <w:color w:val="auto"/>
          <w:kern w:val="0"/>
          <w:lang w:val="en-US" w:eastAsia="en-US"/>
        </w:rPr>
      </w:pPr>
      <w:r w:rsidRPr="000F28EC">
        <w:rPr>
          <w:color w:val="auto"/>
          <w:kern w:val="0"/>
          <w:lang w:val="en-US" w:eastAsia="en-US"/>
        </w:rPr>
        <w:t xml:space="preserve">A contemporary understanding of oral signs as gateways is further strengthened by advances in the oral–gut axis and microbiome research. The mouth continuously seeds the gastrointestinal tract with microbes via saliva, and under conditions of impaired </w:t>
      </w:r>
      <w:proofErr w:type="spellStart"/>
      <w:r w:rsidRPr="000F28EC">
        <w:rPr>
          <w:color w:val="auto"/>
          <w:kern w:val="0"/>
          <w:lang w:val="en-US" w:eastAsia="en-US"/>
        </w:rPr>
        <w:t>colonisation</w:t>
      </w:r>
      <w:proofErr w:type="spellEnd"/>
      <w:r w:rsidRPr="000F28EC">
        <w:rPr>
          <w:color w:val="auto"/>
          <w:kern w:val="0"/>
          <w:lang w:val="en-US" w:eastAsia="en-US"/>
        </w:rPr>
        <w:t xml:space="preserve"> resistance, inflammation, or barrier dysfunction, oral taxa may persist ectopically and influence intestinal immune responses. Experimental evidence has shown that ectopic intestinal </w:t>
      </w:r>
      <w:proofErr w:type="spellStart"/>
      <w:r w:rsidRPr="000F28EC">
        <w:rPr>
          <w:color w:val="auto"/>
          <w:kern w:val="0"/>
          <w:lang w:val="en-US" w:eastAsia="en-US"/>
        </w:rPr>
        <w:t>colonisation</w:t>
      </w:r>
      <w:proofErr w:type="spellEnd"/>
      <w:r w:rsidRPr="000F28EC">
        <w:rPr>
          <w:color w:val="auto"/>
          <w:kern w:val="0"/>
          <w:lang w:val="en-US" w:eastAsia="en-US"/>
        </w:rPr>
        <w:t xml:space="preserve"> by oral bacteria can induce pro-inflammatory immune pathways and intestinal inflammation in susceptible settings, lending biological plausibility to clinical observations linking oral status and gastrointestinal disease activity (</w:t>
      </w:r>
      <w:proofErr w:type="spellStart"/>
      <w:r w:rsidRPr="000F28EC">
        <w:rPr>
          <w:color w:val="auto"/>
          <w:kern w:val="0"/>
          <w:lang w:val="en-US" w:eastAsia="en-US"/>
        </w:rPr>
        <w:t>Atarashi</w:t>
      </w:r>
      <w:proofErr w:type="spellEnd"/>
      <w:r w:rsidRPr="000F28EC">
        <w:rPr>
          <w:color w:val="auto"/>
          <w:kern w:val="0"/>
          <w:lang w:val="en-US" w:eastAsia="en-US"/>
        </w:rPr>
        <w:t xml:space="preserve"> et al., 2017). Complementing this, integrative synthesis has argued that oral bacteria may play active roles in inflammatory bowel disease rather than being mere bystanders, reframing oral findings as potentially intertwined with pathophysiological processes (Read et al., 2021). Within a gateway framework, these insights support two practical implications: first, that oral findings may track systemic inflammatory states with greater fidelity than previously assumed; and second, that oral health assessment and management may become increasingly relevant within holistic gastrointestinal care.</w:t>
      </w:r>
    </w:p>
    <w:p w:rsidR="000F28EC" w:rsidRPr="000F28EC" w:rsidRDefault="000F28EC" w:rsidP="000F28EC">
      <w:pPr>
        <w:spacing w:before="100" w:beforeAutospacing="1" w:after="100" w:afterAutospacing="1" w:line="240" w:lineRule="auto"/>
        <w:ind w:left="0" w:right="0" w:firstLine="0"/>
        <w:jc w:val="left"/>
        <w:outlineLvl w:val="2"/>
        <w:rPr>
          <w:b/>
          <w:bCs/>
          <w:color w:val="auto"/>
          <w:kern w:val="0"/>
          <w:sz w:val="27"/>
          <w:szCs w:val="27"/>
          <w:lang w:val="en-US" w:eastAsia="en-US"/>
        </w:rPr>
      </w:pPr>
      <w:r w:rsidRPr="000F28EC">
        <w:rPr>
          <w:b/>
          <w:bCs/>
          <w:color w:val="auto"/>
          <w:kern w:val="0"/>
          <w:sz w:val="27"/>
          <w:szCs w:val="27"/>
          <w:lang w:val="en-US" w:eastAsia="en-US"/>
        </w:rPr>
        <w:t>1.1 The oral–gut continuum as a diagnostic opportunity</w:t>
      </w:r>
    </w:p>
    <w:p w:rsidR="000F28EC" w:rsidRPr="000F28EC" w:rsidRDefault="000F28EC" w:rsidP="000F28EC">
      <w:pPr>
        <w:spacing w:before="100" w:beforeAutospacing="1" w:after="100" w:afterAutospacing="1" w:line="240" w:lineRule="auto"/>
        <w:ind w:left="0" w:right="0" w:firstLine="0"/>
        <w:jc w:val="left"/>
        <w:rPr>
          <w:color w:val="auto"/>
          <w:kern w:val="0"/>
          <w:lang w:val="en-US" w:eastAsia="en-US"/>
        </w:rPr>
      </w:pPr>
      <w:r w:rsidRPr="000F28EC">
        <w:rPr>
          <w:color w:val="auto"/>
          <w:kern w:val="0"/>
          <w:lang w:val="en-US" w:eastAsia="en-US"/>
        </w:rPr>
        <w:t>Oral examination has distinctive advantages as a gateway tool: it is non-invasive, repeatable, and embedded in routine care across dentistry, oral medicine, and primary health services. The opportunity lies in moving beyond single-lesion thinking towards pattern recognition and contextual interpretation. Recurrent aphthae, for instance, are common and non-specific, but their persistence or clustering with enamel defects may strengthen suspicion of coeliac disease (</w:t>
      </w:r>
      <w:proofErr w:type="spellStart"/>
      <w:r w:rsidRPr="000F28EC">
        <w:rPr>
          <w:color w:val="auto"/>
          <w:kern w:val="0"/>
          <w:lang w:val="en-US" w:eastAsia="en-US"/>
        </w:rPr>
        <w:t>Nieri</w:t>
      </w:r>
      <w:proofErr w:type="spellEnd"/>
      <w:r w:rsidRPr="000F28EC">
        <w:rPr>
          <w:color w:val="auto"/>
          <w:kern w:val="0"/>
          <w:lang w:val="en-US" w:eastAsia="en-US"/>
        </w:rPr>
        <w:t xml:space="preserve"> et al., 2017; </w:t>
      </w:r>
      <w:proofErr w:type="spellStart"/>
      <w:r w:rsidRPr="000F28EC">
        <w:rPr>
          <w:color w:val="auto"/>
          <w:kern w:val="0"/>
          <w:lang w:val="en-US" w:eastAsia="en-US"/>
        </w:rPr>
        <w:t>Villemur</w:t>
      </w:r>
      <w:proofErr w:type="spellEnd"/>
      <w:r w:rsidRPr="000F28EC">
        <w:rPr>
          <w:color w:val="auto"/>
          <w:kern w:val="0"/>
          <w:lang w:val="en-US" w:eastAsia="en-US"/>
        </w:rPr>
        <w:t xml:space="preserve"> Moreau et al., 2021). Similarly, tooth wear is multifactorial, yet a reflux-consistent pattern—especially when progressing despite dietary counselling—can justify targeted assessment for reflux disease (Pace et al., 2008). Inflammatory oral patterns that are unusual in severity, distribution, or chronicity may warrant consideration of Crohn’s disease, particularly in young patients (Harty et al., 2005). A gateway approach does not claim that oral findings alone diagnose gastrointestinal syndromes; rather, it positions them as clinically accessible signals that can increase pre-test probability, sharpen questioning, and inform timely referral.</w:t>
      </w:r>
    </w:p>
    <w:p w:rsidR="000F28EC" w:rsidRPr="000F28EC" w:rsidRDefault="000F28EC" w:rsidP="000F28EC">
      <w:pPr>
        <w:spacing w:before="100" w:beforeAutospacing="1" w:after="100" w:afterAutospacing="1" w:line="240" w:lineRule="auto"/>
        <w:ind w:left="0" w:right="0" w:firstLine="0"/>
        <w:jc w:val="left"/>
        <w:outlineLvl w:val="2"/>
        <w:rPr>
          <w:b/>
          <w:bCs/>
          <w:color w:val="auto"/>
          <w:kern w:val="0"/>
          <w:sz w:val="27"/>
          <w:szCs w:val="27"/>
          <w:lang w:val="en-US" w:eastAsia="en-US"/>
        </w:rPr>
      </w:pPr>
      <w:r w:rsidRPr="000F28EC">
        <w:rPr>
          <w:b/>
          <w:bCs/>
          <w:color w:val="auto"/>
          <w:kern w:val="0"/>
          <w:sz w:val="27"/>
          <w:szCs w:val="27"/>
          <w:lang w:val="en-US" w:eastAsia="en-US"/>
        </w:rPr>
        <w:t>1.2 Sc</w:t>
      </w:r>
      <w:r>
        <w:rPr>
          <w:b/>
          <w:bCs/>
          <w:color w:val="auto"/>
          <w:kern w:val="0"/>
          <w:sz w:val="27"/>
          <w:szCs w:val="27"/>
          <w:lang w:val="en-US" w:eastAsia="en-US"/>
        </w:rPr>
        <w:t>ope and objectives</w:t>
      </w:r>
    </w:p>
    <w:p w:rsidR="000F28EC" w:rsidRPr="000F28EC" w:rsidRDefault="000F28EC" w:rsidP="000F28EC">
      <w:pPr>
        <w:spacing w:before="100" w:beforeAutospacing="1" w:after="100" w:afterAutospacing="1" w:line="240" w:lineRule="auto"/>
        <w:ind w:left="0" w:right="0" w:firstLine="0"/>
        <w:jc w:val="left"/>
        <w:rPr>
          <w:color w:val="auto"/>
          <w:kern w:val="0"/>
          <w:lang w:val="en-US" w:eastAsia="en-US"/>
        </w:rPr>
      </w:pPr>
      <w:r w:rsidRPr="000F28EC">
        <w:rPr>
          <w:color w:val="auto"/>
          <w:kern w:val="0"/>
          <w:lang w:val="en-US" w:eastAsia="en-US"/>
        </w:rPr>
        <w:lastRenderedPageBreak/>
        <w:t>This review examines how oral signs can operate as clinically useful diagnostic gateways to gastrointestinal syndromes, with an emphasis on features that are observable during routine dental or oral medicine assessment and that can meaningfully alter the probability of underlying gastrointestinal disease when interpreted in context. The scope includes mucosal lesions, soft-tissue changes, and hard-tissue findings in the oral cavity that have been reported in association with inflammatory bowel disease, immune-mediated enteropathies, reflux-related disorders, infectious dyspeptic syndromes, chronic liver disease, and hereditary polyposis conditions, with particular attention to oral patterns that may precede intestinal symptoms or coincide with systemic activity. The review further considers biological rationales for these links, including shared mucosal immune pathways and oral–gut microbial interactions, and evaluates how these mechanisms may help explain why certain oral phenotypes appear to track gastrointestinal inflammation or systemic consequences of malabsorption.</w:t>
      </w:r>
    </w:p>
    <w:p w:rsidR="000F28EC" w:rsidRPr="000F28EC" w:rsidRDefault="000F28EC" w:rsidP="000F28EC">
      <w:pPr>
        <w:spacing w:before="100" w:beforeAutospacing="1" w:after="100" w:afterAutospacing="1" w:line="240" w:lineRule="auto"/>
        <w:ind w:left="0" w:right="0" w:firstLine="0"/>
        <w:jc w:val="left"/>
        <w:rPr>
          <w:color w:val="auto"/>
          <w:kern w:val="0"/>
          <w:lang w:val="en-US" w:eastAsia="en-US"/>
        </w:rPr>
      </w:pPr>
      <w:r w:rsidRPr="000F28EC">
        <w:rPr>
          <w:color w:val="auto"/>
          <w:kern w:val="0"/>
          <w:lang w:val="en-US" w:eastAsia="en-US"/>
        </w:rPr>
        <w:t xml:space="preserve">The objectives are fourfold. First, the article aims to clarify which oral findings are more likely to be syndrome-indicative rather than non-specific, and to describe the circumstances in which common oral complaints—such as recurrent ulceration, erosive tooth wear, persistent halitosis, or distinctive pigmentation—should prompt clinicians to broaden history-taking towards gastrointestinal symptoms, nutritional compromise, medication exposure, and family history of gastrointestinal disease. Secondly, it aims to </w:t>
      </w:r>
      <w:proofErr w:type="spellStart"/>
      <w:r w:rsidRPr="000F28EC">
        <w:rPr>
          <w:color w:val="auto"/>
          <w:kern w:val="0"/>
          <w:lang w:val="en-US" w:eastAsia="en-US"/>
        </w:rPr>
        <w:t>synthesise</w:t>
      </w:r>
      <w:proofErr w:type="spellEnd"/>
      <w:r w:rsidRPr="000F28EC">
        <w:rPr>
          <w:color w:val="auto"/>
          <w:kern w:val="0"/>
          <w:lang w:val="en-US" w:eastAsia="en-US"/>
        </w:rPr>
        <w:t xml:space="preserve"> evidence on the timing and clinical utility of these signs, distinguishing oral findings that may occur early in disease courses from those that more commonly reflect established disease, complications, or treatment effects, thereby supporting more realistic diagnostic expectations. Thirdly, the review aims to translate this evidence into an interdisciplinary perspective by outlining how oral healthcare professionals and gastrointestinal clinicians can share descriptive frameworks and referral triggers so that oral observations can be incorporated into medical triage without generating unnecessary investigations. Finally, the review aims to identify limitations and evidence gaps—such as variability in oral lesion definitions, confounding by hygiene and diet, and the scarcity of prospective diagnostic-accuracy studies—to guide future research that can quantify the predictive value of oral signs and strengthen their integration into care pathways.</w:t>
      </w:r>
    </w:p>
    <w:p w:rsidR="005072B4" w:rsidRPr="005072B4" w:rsidRDefault="000F28EC" w:rsidP="005072B4">
      <w:pPr>
        <w:rPr>
          <w:lang w:val="en-GB"/>
        </w:rPr>
      </w:pPr>
      <w:r>
        <w:rPr>
          <w:lang w:val="en-GB"/>
        </w:rPr>
        <w:t xml:space="preserve">      </w:t>
      </w:r>
    </w:p>
    <w:p w:rsidR="005072B4" w:rsidRPr="005072B4" w:rsidRDefault="005072B4" w:rsidP="005072B4">
      <w:pPr>
        <w:pStyle w:val="Heading2"/>
        <w:rPr>
          <w:lang w:val="en-GB"/>
        </w:rPr>
      </w:pPr>
      <w:r w:rsidRPr="005072B4">
        <w:rPr>
          <w:lang w:val="en-GB"/>
        </w:rPr>
        <w:t>2. Methods for literature selection</w:t>
      </w:r>
    </w:p>
    <w:p w:rsidR="005072B4" w:rsidRPr="005072B4" w:rsidRDefault="005072B4" w:rsidP="005072B4">
      <w:pPr>
        <w:pStyle w:val="NormalWeb"/>
        <w:rPr>
          <w:lang w:val="en-GB"/>
        </w:rPr>
      </w:pPr>
      <w:r w:rsidRPr="005072B4">
        <w:rPr>
          <w:lang w:val="en-GB"/>
        </w:rPr>
        <w:t>A focused narrative review methodology was used. Searches were conducted in PubMed, Scopus, Web of Science, and Google Scholar for English-language literature published between January 2000 and February 2026. Core search concepts were combined using Boolean operators and truncation where appropriate, including: “oral manifestations” OR “oral lesions” OR “dental erosion” OR “aphthous” OR “halitosis” OR “oral pigmentation” AND “inflammatory bowel disease” OR “Crohn*” OR “ulcerative colitis” OR “coeliac/celiac” OR “gastroesophageal reflux” OR “Helicobacter pylori” OR “liver disease” OR “familial adenomatous polyposis” OR “</w:t>
      </w:r>
      <w:proofErr w:type="spellStart"/>
      <w:r w:rsidRPr="005072B4">
        <w:rPr>
          <w:lang w:val="en-GB"/>
        </w:rPr>
        <w:t>Peutz-Jeghers</w:t>
      </w:r>
      <w:proofErr w:type="spellEnd"/>
      <w:r w:rsidRPr="005072B4">
        <w:rPr>
          <w:lang w:val="en-GB"/>
        </w:rPr>
        <w:t xml:space="preserve">”. Title/abstract screening prioritised systematic reviews, meta-analyses, cohort studies, and well-characterised clinical series, with inclusion based on relevance to oral findings linked to defined GI syndromes and clarity of diagnostic criteria. Exclusion criteria included non-human studies unless directly informing translational mechanisms, reports lacking adequate clinical characterisation, and sources where bibliographic metadata could not be verified. Reference lists of included </w:t>
      </w:r>
      <w:r w:rsidRPr="005072B4">
        <w:rPr>
          <w:lang w:val="en-GB"/>
        </w:rPr>
        <w:lastRenderedPageBreak/>
        <w:t>articles were examined to identify additional relevant studies.</w:t>
      </w:r>
      <w:r w:rsidR="009E6513">
        <w:rPr>
          <w:lang w:val="en-GB"/>
        </w:rPr>
        <w:t xml:space="preserve"> </w:t>
      </w:r>
      <w:r w:rsidR="009E6513" w:rsidRPr="009E6513">
        <w:rPr>
          <w:lang w:val="en-GB"/>
        </w:rPr>
        <w:t>Figure 1 explains systematic methods of literature selection.</w:t>
      </w:r>
    </w:p>
    <w:p w:rsidR="009E6513" w:rsidRPr="004155A7" w:rsidRDefault="009E6513" w:rsidP="009E6513">
      <w:pPr>
        <w:spacing w:before="100" w:beforeAutospacing="1" w:after="100" w:afterAutospacing="1" w:line="240" w:lineRule="auto"/>
        <w:ind w:left="0" w:right="0" w:firstLine="0"/>
        <w:jc w:val="left"/>
        <w:rPr>
          <w:color w:val="auto"/>
          <w:kern w:val="0"/>
          <w:lang w:val="en-GB" w:eastAsia="en-US"/>
        </w:rPr>
      </w:pPr>
    </w:p>
    <w:p w:rsidR="009E6513" w:rsidRPr="004155A7" w:rsidRDefault="00643872" w:rsidP="009E6513">
      <w:pPr>
        <w:spacing w:after="0" w:line="240" w:lineRule="auto"/>
        <w:rPr>
          <w:lang w:val="en-GB"/>
        </w:rPr>
      </w:pPr>
      <w:r>
        <w:rPr>
          <w:noProof/>
          <w:lang w:val="en-GB"/>
        </w:rPr>
        <w:pict>
          <v:rect id="Rectangle 2" o:spid="_x0000_s1077" style="position:absolute;left:0;text-align:left;margin-left:239.35pt;margin-top:6.05pt;width:183.8pt;height:97.85pt;z-index:2516495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" filled="f" strokecolor="black [3213]" strokeweight="1pt">
            <v:textbox>
              <w:txbxContent>
                <w:p w:rsidR="009E6513" w:rsidRDefault="009E6513" w:rsidP="009E6513">
                  <w:pPr>
                    <w:spacing w:after="0" w:line="240" w:lineRule="auto"/>
                    <w:jc w:val="left"/>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removed </w:t>
                  </w:r>
                  <w:r w:rsidRPr="00A85C0A">
                    <w:rPr>
                      <w:rFonts w:ascii="Arial" w:hAnsi="Arial" w:cs="Arial"/>
                      <w:i/>
                      <w:iCs/>
                      <w:color w:val="000000" w:themeColor="text1"/>
                      <w:sz w:val="18"/>
                      <w:szCs w:val="20"/>
                    </w:rPr>
                    <w:t>before</w:t>
                  </w:r>
                  <w:r>
                    <w:rPr>
                      <w:rFonts w:ascii="Arial" w:hAnsi="Arial" w:cs="Arial"/>
                      <w:i/>
                      <w:iCs/>
                      <w:color w:val="000000" w:themeColor="text1"/>
                      <w:sz w:val="18"/>
                      <w:szCs w:val="20"/>
                    </w:rPr>
                    <w:t xml:space="preserve"> </w:t>
                  </w:r>
                  <w:r w:rsidRPr="00A85C0A">
                    <w:rPr>
                      <w:rFonts w:ascii="Arial" w:hAnsi="Arial" w:cs="Arial"/>
                      <w:i/>
                      <w:iCs/>
                      <w:color w:val="000000" w:themeColor="text1"/>
                      <w:sz w:val="18"/>
                      <w:szCs w:val="20"/>
                    </w:rPr>
                    <w:t>screening</w:t>
                  </w:r>
                  <w:r>
                    <w:rPr>
                      <w:rFonts w:ascii="Arial" w:hAnsi="Arial" w:cs="Arial"/>
                      <w:color w:val="000000" w:themeColor="text1"/>
                      <w:sz w:val="18"/>
                      <w:szCs w:val="20"/>
                    </w:rPr>
                    <w:t>:</w:t>
                  </w:r>
                </w:p>
                <w:p w:rsidR="009E6513" w:rsidRDefault="009E6513" w:rsidP="009E6513">
                  <w:pPr>
                    <w:spacing w:after="0" w:line="240" w:lineRule="auto"/>
                    <w:ind w:left="284"/>
                    <w:jc w:val="left"/>
                    <w:rPr>
                      <w:rFonts w:ascii="Arial" w:hAnsi="Arial" w:cs="Arial"/>
                      <w:color w:val="000000" w:themeColor="text1"/>
                      <w:sz w:val="18"/>
                      <w:szCs w:val="20"/>
                    </w:rPr>
                  </w:pPr>
                  <w:r>
                    <w:rPr>
                      <w:rFonts w:ascii="Arial" w:hAnsi="Arial" w:cs="Arial"/>
                      <w:color w:val="000000" w:themeColor="text1"/>
                      <w:sz w:val="18"/>
                      <w:szCs w:val="20"/>
                    </w:rPr>
                    <w:t xml:space="preserve">Duplicate records </w:t>
                  </w:r>
                  <w:proofErr w:type="gramStart"/>
                  <w:r>
                    <w:rPr>
                      <w:rFonts w:ascii="Arial" w:hAnsi="Arial" w:cs="Arial"/>
                      <w:color w:val="000000" w:themeColor="text1"/>
                      <w:sz w:val="18"/>
                      <w:szCs w:val="20"/>
                    </w:rPr>
                    <w:t>removed  (</w:t>
                  </w:r>
                  <w:proofErr w:type="gramEnd"/>
                  <w:r>
                    <w:rPr>
                      <w:rFonts w:ascii="Arial" w:hAnsi="Arial" w:cs="Arial"/>
                      <w:color w:val="000000" w:themeColor="text1"/>
                      <w:sz w:val="18"/>
                      <w:szCs w:val="20"/>
                    </w:rPr>
                    <w:t>n =143)</w:t>
                  </w:r>
                </w:p>
                <w:p w:rsidR="009E6513" w:rsidRDefault="009E6513" w:rsidP="009E6513">
                  <w:pPr>
                    <w:spacing w:after="0" w:line="240" w:lineRule="auto"/>
                    <w:ind w:left="284"/>
                    <w:jc w:val="left"/>
                    <w:rPr>
                      <w:rFonts w:ascii="Arial" w:hAnsi="Arial" w:cs="Arial"/>
                      <w:color w:val="000000" w:themeColor="text1"/>
                      <w:sz w:val="18"/>
                      <w:szCs w:val="20"/>
                    </w:rPr>
                  </w:pPr>
                  <w:r>
                    <w:rPr>
                      <w:rFonts w:ascii="Arial" w:hAnsi="Arial" w:cs="Arial"/>
                      <w:color w:val="000000" w:themeColor="text1"/>
                      <w:sz w:val="18"/>
                      <w:szCs w:val="20"/>
                    </w:rPr>
                    <w:t>Records marked as ineligible (n =26)</w:t>
                  </w:r>
                </w:p>
              </w:txbxContent>
            </v:textbox>
          </v:rect>
        </w:pict>
      </w:r>
      <w:r>
        <w:rPr>
          <w:noProof/>
          <w:lang w:val="en-GB"/>
        </w:rPr>
        <w:pict>
          <v:rect id="Rectangle 1" o:spid="_x0000_s1078" style="position:absolute;left:0;text-align:left;margin-left:44.05pt;margin-top:6.05pt;width:148.6pt;height:97.9pt;z-index:2516505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" filled="f" strokecolor="black [3213]" strokeweight="1pt">
            <v:textbox>
              <w:txbxContent>
                <w:p w:rsidR="009E6513" w:rsidRDefault="009E6513" w:rsidP="009E6513">
                  <w:pPr>
                    <w:spacing w:after="0" w:line="240" w:lineRule="auto"/>
                    <w:jc w:val="left"/>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from:</w:t>
                  </w:r>
                </w:p>
                <w:p w:rsidR="009E6513" w:rsidRDefault="009E6513" w:rsidP="009E6513">
                  <w:pPr>
                    <w:spacing w:after="0" w:line="240" w:lineRule="auto"/>
                    <w:ind w:left="284"/>
                    <w:jc w:val="left"/>
                    <w:rPr>
                      <w:rFonts w:ascii="Arial" w:hAnsi="Arial" w:cs="Arial"/>
                      <w:color w:val="000000" w:themeColor="text1"/>
                      <w:sz w:val="18"/>
                      <w:szCs w:val="20"/>
                    </w:rPr>
                  </w:pPr>
                  <w:r>
                    <w:rPr>
                      <w:rFonts w:ascii="Arial" w:hAnsi="Arial" w:cs="Arial"/>
                      <w:color w:val="000000" w:themeColor="text1"/>
                      <w:sz w:val="18"/>
                      <w:szCs w:val="20"/>
                    </w:rPr>
                    <w:t>Databases (n =523)</w:t>
                  </w:r>
                </w:p>
              </w:txbxContent>
            </v:textbox>
          </v:rect>
        </w:pict>
      </w:r>
    </w:p>
    <w:p w:rsidR="009E6513" w:rsidRPr="004155A7" w:rsidRDefault="009E6513" w:rsidP="009E6513">
      <w:pPr>
        <w:spacing w:after="0" w:line="240" w:lineRule="auto"/>
        <w:rPr>
          <w:lang w:val="en-GB"/>
        </w:rPr>
      </w:pPr>
    </w:p>
    <w:p w:rsidR="009E6513" w:rsidRPr="004155A7" w:rsidRDefault="009E6513" w:rsidP="009E6513">
      <w:pPr>
        <w:spacing w:after="0" w:line="240" w:lineRule="auto"/>
        <w:rPr>
          <w:lang w:val="en-GB"/>
        </w:rPr>
      </w:pPr>
    </w:p>
    <w:p w:rsidR="009E6513" w:rsidRPr="004155A7" w:rsidRDefault="009E6513" w:rsidP="009E6513">
      <w:pPr>
        <w:spacing w:after="0" w:line="240" w:lineRule="auto"/>
        <w:rPr>
          <w:lang w:val="en-GB"/>
        </w:rPr>
      </w:pPr>
    </w:p>
    <w:p w:rsidR="009E6513" w:rsidRPr="004155A7" w:rsidRDefault="00643872" w:rsidP="009E6513">
      <w:pPr>
        <w:spacing w:after="0" w:line="240" w:lineRule="auto"/>
        <w:rPr>
          <w:lang w:val="en-GB"/>
        </w:rPr>
      </w:pPr>
      <w:r>
        <w:rPr>
          <w:noProof/>
          <w:lang w:val="en-GB"/>
        </w:rPr>
        <w:pict>
          <v:shapetype id="_x0000_t32" coordsize="21600,21600" o:spt="32" o:oned="t" path="m,l21600,21600e" filled="f">
            <v:path arrowok="t" fillok="f" o:connecttype="none"/>
            <o:lock v:ext="edit" shapetype="t"/>
          </v:shapetype>
          <v:shape id="Straight Arrow Connector 14" o:spid="_x0000_s1062" type="#_x0000_t32" style="position:absolute;left:0;text-align:left;margin-left:193.25pt;margin-top:.75pt;width:44.35pt;height:0;z-index:251651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" strokecolor="black [3213]" strokeweight=".5pt">
            <v:stroke endarrow="block" joinstyle="miter"/>
          </v:shape>
        </w:pict>
      </w:r>
    </w:p>
    <w:p w:rsidR="009E6513" w:rsidRPr="004155A7" w:rsidRDefault="009E6513" w:rsidP="009E6513">
      <w:pPr>
        <w:spacing w:after="0" w:line="240" w:lineRule="auto"/>
        <w:rPr>
          <w:lang w:val="en-GB"/>
        </w:rPr>
      </w:pPr>
    </w:p>
    <w:p w:rsidR="009E6513" w:rsidRPr="004155A7" w:rsidRDefault="009E6513" w:rsidP="009E6513">
      <w:pPr>
        <w:spacing w:after="0" w:line="240" w:lineRule="auto"/>
        <w:rPr>
          <w:lang w:val="en-GB"/>
        </w:rPr>
      </w:pPr>
    </w:p>
    <w:p w:rsidR="009E6513" w:rsidRPr="004155A7" w:rsidRDefault="00643872" w:rsidP="009E6513">
      <w:pPr>
        <w:spacing w:after="0" w:line="240" w:lineRule="auto"/>
        <w:rPr>
          <w:lang w:val="en-GB"/>
        </w:rPr>
      </w:pPr>
      <w:r>
        <w:rPr>
          <w:noProof/>
          <w:lang w:val="en-GB"/>
        </w:rPr>
        <w:pict>
          <v:shape id="Straight Arrow Connector 27" o:spid="_x0000_s1063" type="#_x0000_t32" style="position:absolute;left:0;text-align:left;margin-left:110.25pt;margin-top:10.15pt;width:0;height:22.15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" strokecolor="black [3213]" strokeweight=".5pt">
            <v:stroke endarrow="block" joinstyle="miter"/>
          </v:shape>
        </w:pict>
      </w:r>
    </w:p>
    <w:p w:rsidR="009E6513" w:rsidRPr="004155A7" w:rsidRDefault="009E6513" w:rsidP="009E6513">
      <w:pPr>
        <w:spacing w:after="0" w:line="240" w:lineRule="auto"/>
        <w:rPr>
          <w:lang w:val="en-GB"/>
        </w:rPr>
      </w:pPr>
    </w:p>
    <w:p w:rsidR="009E6513" w:rsidRPr="004155A7" w:rsidRDefault="00643872" w:rsidP="009E6513">
      <w:pPr>
        <w:spacing w:after="0" w:line="240" w:lineRule="auto"/>
        <w:rPr>
          <w:lang w:val="en-GB"/>
        </w:rPr>
      </w:pPr>
      <w:r>
        <w:rPr>
          <w:noProof/>
          <w:lang w:val="en-GB"/>
        </w:rPr>
        <w:pict>
          <v:shape id="Straight Arrow Connector 15" o:spid="_x0000_s1064" type="#_x0000_t32" style="position:absolute;left:0;text-align:left;margin-left:193.2pt;margin-top:25.85pt;width:44.35pt;height:0;z-index:251653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" strokecolor="black [3213]" strokeweight=".5pt">
            <v:stroke endarrow="block" joinstyle="miter"/>
          </v:shape>
        </w:pict>
      </w:r>
      <w:r>
        <w:rPr>
          <w:noProof/>
          <w:lang w:val="en-GB"/>
        </w:rPr>
        <w:pict>
          <v:rect id="Rectangle 3" o:spid="_x0000_s1065" style="position:absolute;left:0;text-align:left;margin-left:44.05pt;margin-top:5.9pt;width:148.6pt;height:41.45pt;z-index:25165465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" filled="f" strokecolor="black [3213]" strokeweight="1pt">
            <v:textbox>
              <w:txbxContent>
                <w:p w:rsidR="009E6513" w:rsidRDefault="009E6513" w:rsidP="009E6513">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p>
                <w:p w:rsidR="009E6513" w:rsidRPr="00560609" w:rsidRDefault="009E6513" w:rsidP="009E6513">
                  <w:pPr>
                    <w:spacing w:after="0" w:line="240" w:lineRule="auto"/>
                    <w:rPr>
                      <w:rFonts w:ascii="Arial" w:hAnsi="Arial" w:cs="Arial"/>
                      <w:color w:val="000000" w:themeColor="text1"/>
                      <w:sz w:val="18"/>
                      <w:szCs w:val="20"/>
                    </w:rPr>
                  </w:pPr>
                  <w:r>
                    <w:rPr>
                      <w:rFonts w:ascii="Arial" w:hAnsi="Arial" w:cs="Arial"/>
                      <w:color w:val="000000" w:themeColor="text1"/>
                      <w:sz w:val="18"/>
                      <w:szCs w:val="20"/>
                    </w:rPr>
                    <w:t>(n =354)</w:t>
                  </w:r>
                </w:p>
              </w:txbxContent>
            </v:textbox>
          </v:rect>
        </w:pict>
      </w:r>
      <w:r>
        <w:rPr>
          <w:noProof/>
          <w:lang w:val="en-GB"/>
        </w:rPr>
        <w:pict>
          <v:rect id="Rectangle 4" o:spid="_x0000_s1066" style="position:absolute;left:0;text-align:left;margin-left:240pt;margin-top:5.9pt;width:148.6pt;height:41.45pt;z-index:25165568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" filled="f" strokecolor="black [3213]" strokeweight="1pt">
            <v:textbox>
              <w:txbxContent>
                <w:p w:rsidR="009E6513" w:rsidRDefault="009E6513" w:rsidP="009E6513">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w:t>
                  </w:r>
                </w:p>
                <w:p w:rsidR="009E6513" w:rsidRPr="00560609" w:rsidRDefault="009E6513" w:rsidP="009E6513">
                  <w:pPr>
                    <w:spacing w:after="0" w:line="240" w:lineRule="auto"/>
                    <w:rPr>
                      <w:rFonts w:ascii="Arial" w:hAnsi="Arial" w:cs="Arial"/>
                      <w:color w:val="000000" w:themeColor="text1"/>
                      <w:sz w:val="18"/>
                      <w:szCs w:val="20"/>
                    </w:rPr>
                  </w:pPr>
                  <w:r>
                    <w:rPr>
                      <w:rFonts w:ascii="Arial" w:hAnsi="Arial" w:cs="Arial"/>
                      <w:color w:val="000000" w:themeColor="text1"/>
                      <w:sz w:val="18"/>
                      <w:szCs w:val="20"/>
                    </w:rPr>
                    <w:t>(n =262)</w:t>
                  </w:r>
                </w:p>
              </w:txbxContent>
            </v:textbox>
          </v:rect>
        </w:pict>
      </w:r>
    </w:p>
    <w:p w:rsidR="009E6513" w:rsidRPr="004155A7" w:rsidRDefault="009E6513" w:rsidP="009E6513">
      <w:pPr>
        <w:spacing w:after="0" w:line="240" w:lineRule="auto"/>
        <w:rPr>
          <w:lang w:val="en-GB"/>
        </w:rPr>
      </w:pPr>
    </w:p>
    <w:p w:rsidR="009E6513" w:rsidRPr="004155A7" w:rsidRDefault="009E6513" w:rsidP="009E6513">
      <w:pPr>
        <w:spacing w:after="0" w:line="240" w:lineRule="auto"/>
        <w:rPr>
          <w:lang w:val="en-GB"/>
        </w:rPr>
      </w:pPr>
    </w:p>
    <w:p w:rsidR="009E6513" w:rsidRPr="004155A7" w:rsidRDefault="00643872" w:rsidP="009E6513">
      <w:pPr>
        <w:spacing w:after="0" w:line="240" w:lineRule="auto"/>
        <w:rPr>
          <w:lang w:val="en-GB"/>
        </w:rPr>
      </w:pPr>
      <w:r>
        <w:rPr>
          <w:noProof/>
          <w:lang w:val="en-GB"/>
        </w:rPr>
        <w:pict>
          <v:shape id="Straight Arrow Connector 35" o:spid="_x0000_s1067" type="#_x0000_t32" style="position:absolute;left:0;text-align:left;margin-left:110.25pt;margin-top:7.85pt;width:0;height:22.1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" strokecolor="black [3213]" strokeweight=".5pt">
            <v:stroke endarrow="block" joinstyle="miter"/>
          </v:shape>
        </w:pict>
      </w:r>
    </w:p>
    <w:p w:rsidR="009E6513" w:rsidRPr="004155A7" w:rsidRDefault="009E6513" w:rsidP="009E6513">
      <w:pPr>
        <w:spacing w:after="0" w:line="240" w:lineRule="auto"/>
        <w:rPr>
          <w:lang w:val="en-GB"/>
        </w:rPr>
      </w:pPr>
    </w:p>
    <w:p w:rsidR="009E6513" w:rsidRPr="004155A7" w:rsidRDefault="00643872" w:rsidP="009E6513">
      <w:pPr>
        <w:spacing w:after="0" w:line="240" w:lineRule="auto"/>
        <w:rPr>
          <w:lang w:val="en-GB"/>
        </w:rPr>
      </w:pPr>
      <w:r>
        <w:rPr>
          <w:noProof/>
          <w:lang w:val="en-GB"/>
        </w:rPr>
        <w:pict>
          <v:rect id="Rectangle 6" o:spid="_x0000_s1068" style="position:absolute;left:0;text-align:left;margin-left:240.1pt;margin-top:5.25pt;width:170.15pt;height:41.45pt;z-index:2516577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" filled="f" strokecolor="black [3213]" strokeweight="1pt">
            <v:textbox>
              <w:txbxContent>
                <w:p w:rsidR="009E6513" w:rsidRDefault="009E6513" w:rsidP="009E6513">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retrieved</w:t>
                  </w:r>
                </w:p>
                <w:p w:rsidR="009E6513" w:rsidRPr="00560609" w:rsidRDefault="009E6513" w:rsidP="009E6513">
                  <w:pPr>
                    <w:spacing w:after="0" w:line="240" w:lineRule="auto"/>
                    <w:rPr>
                      <w:rFonts w:ascii="Arial" w:hAnsi="Arial" w:cs="Arial"/>
                      <w:color w:val="000000" w:themeColor="text1"/>
                      <w:sz w:val="18"/>
                      <w:szCs w:val="20"/>
                    </w:rPr>
                  </w:pPr>
                  <w:r>
                    <w:rPr>
                      <w:rFonts w:ascii="Arial" w:hAnsi="Arial" w:cs="Arial"/>
                      <w:color w:val="000000" w:themeColor="text1"/>
                      <w:sz w:val="18"/>
                      <w:szCs w:val="20"/>
                    </w:rPr>
                    <w:t>(n =7)</w:t>
                  </w:r>
                </w:p>
              </w:txbxContent>
            </v:textbox>
          </v:rect>
        </w:pict>
      </w:r>
      <w:r>
        <w:rPr>
          <w:noProof/>
          <w:lang w:val="en-GB"/>
        </w:rPr>
        <w:pict>
          <v:rect id="Rectangle 5" o:spid="_x0000_s1069" style="position:absolute;left:0;text-align:left;margin-left:44.15pt;margin-top:3.75pt;width:148.6pt;height:41.45pt;z-index:25165875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" filled="f" strokecolor="black [3213]" strokeweight="1pt">
            <v:textbox>
              <w:txbxContent>
                <w:p w:rsidR="009E6513" w:rsidRDefault="009E6513" w:rsidP="009E6513">
                  <w:pPr>
                    <w:spacing w:after="0" w:line="240" w:lineRule="auto"/>
                    <w:jc w:val="left"/>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p>
                <w:p w:rsidR="009E6513" w:rsidRPr="00560609" w:rsidRDefault="009E6513" w:rsidP="009E6513">
                  <w:pPr>
                    <w:spacing w:after="0" w:line="240" w:lineRule="auto"/>
                    <w:rPr>
                      <w:rFonts w:ascii="Arial" w:hAnsi="Arial" w:cs="Arial"/>
                      <w:color w:val="000000" w:themeColor="text1"/>
                      <w:sz w:val="18"/>
                      <w:szCs w:val="20"/>
                    </w:rPr>
                  </w:pPr>
                  <w:r>
                    <w:rPr>
                      <w:rFonts w:ascii="Arial" w:hAnsi="Arial" w:cs="Arial"/>
                      <w:color w:val="000000" w:themeColor="text1"/>
                      <w:sz w:val="18"/>
                      <w:szCs w:val="20"/>
                    </w:rPr>
                    <w:t>(n =92)</w:t>
                  </w:r>
                </w:p>
              </w:txbxContent>
            </v:textbox>
          </v:rect>
        </w:pict>
      </w:r>
      <w:r>
        <w:rPr>
          <w:noProof/>
          <w:lang w:val="en-GB"/>
        </w:rPr>
        <w:pict>
          <v:shape id="Straight Arrow Connector 16" o:spid="_x0000_s1070" type="#_x0000_t32" style="position:absolute;left:0;text-align:left;margin-left:193.95pt;margin-top:25.25pt;width:44.35pt;height:0;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" strokecolor="black [3213]" strokeweight=".5pt">
            <v:stroke endarrow="block" joinstyle="miter"/>
          </v:shape>
        </w:pict>
      </w:r>
    </w:p>
    <w:p w:rsidR="009E6513" w:rsidRPr="004155A7" w:rsidRDefault="009E6513" w:rsidP="009E6513">
      <w:pPr>
        <w:spacing w:after="0" w:line="240" w:lineRule="auto"/>
        <w:rPr>
          <w:lang w:val="en-GB"/>
        </w:rPr>
      </w:pPr>
    </w:p>
    <w:p w:rsidR="009E6513" w:rsidRPr="004155A7" w:rsidRDefault="009E6513" w:rsidP="009E6513">
      <w:pPr>
        <w:spacing w:after="0" w:line="240" w:lineRule="auto"/>
        <w:rPr>
          <w:lang w:val="en-GB"/>
        </w:rPr>
      </w:pPr>
    </w:p>
    <w:p w:rsidR="009E6513" w:rsidRPr="004155A7" w:rsidRDefault="00643872" w:rsidP="009E6513">
      <w:pPr>
        <w:spacing w:after="0" w:line="240" w:lineRule="auto"/>
        <w:rPr>
          <w:lang w:val="en-GB"/>
        </w:rPr>
      </w:pPr>
      <w:r>
        <w:rPr>
          <w:noProof/>
          <w:lang w:val="en-GB"/>
        </w:rPr>
        <w:pict>
          <v:shape id="Straight Arrow Connector 36" o:spid="_x0000_s1071" type="#_x0000_t32" style="position:absolute;left:0;text-align:left;margin-left:111pt;margin-top:4.45pt;width:0;height:22.1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" strokecolor="black [3213]" strokeweight=".5pt">
            <v:stroke endarrow="block" joinstyle="miter"/>
          </v:shape>
        </w:pict>
      </w:r>
    </w:p>
    <w:p w:rsidR="009E6513" w:rsidRPr="004155A7" w:rsidRDefault="00643872" w:rsidP="009E6513">
      <w:pPr>
        <w:spacing w:after="0" w:line="240" w:lineRule="auto"/>
        <w:rPr>
          <w:lang w:val="en-GB"/>
        </w:rPr>
      </w:pPr>
      <w:r>
        <w:rPr>
          <w:noProof/>
          <w:lang w:val="en-GB"/>
        </w:rPr>
        <w:pict>
          <v:rect id="Rectangle 9" o:spid="_x0000_s1072" style="position:absolute;left:0;text-align:left;margin-left:240.75pt;margin-top:3.5pt;width:213.8pt;height:105.35pt;z-index:2516618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" filled="f" strokecolor="black [3213]" strokeweight="1pt">
            <v:textbox inset="1.5mm,1mm,1.5mm,1mm">
              <w:txbxContent>
                <w:p w:rsidR="009E6513" w:rsidRDefault="009E6513" w:rsidP="009E6513">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w:t>
                  </w:r>
                </w:p>
                <w:p w:rsidR="009E6513" w:rsidRDefault="009E6513" w:rsidP="009E6513">
                  <w:pPr>
                    <w:spacing w:after="0" w:line="240" w:lineRule="auto"/>
                    <w:ind w:left="284"/>
                    <w:jc w:val="left"/>
                    <w:rPr>
                      <w:rFonts w:ascii="Arial" w:hAnsi="Arial" w:cs="Arial"/>
                      <w:color w:val="000000" w:themeColor="text1"/>
                      <w:sz w:val="18"/>
                      <w:szCs w:val="20"/>
                    </w:rPr>
                  </w:pPr>
                  <w:r w:rsidRPr="00814804">
                    <w:rPr>
                      <w:rFonts w:ascii="Arial" w:hAnsi="Arial" w:cs="Arial"/>
                      <w:color w:val="000000" w:themeColor="text1"/>
                      <w:sz w:val="18"/>
                      <w:szCs w:val="20"/>
                    </w:rPr>
                    <w:t xml:space="preserve">Reason 1: </w:t>
                  </w:r>
                  <w:r w:rsidRPr="00B618C1">
                    <w:rPr>
                      <w:rFonts w:ascii="Arial" w:hAnsi="Arial" w:cs="Arial"/>
                      <w:color w:val="000000" w:themeColor="text1"/>
                      <w:sz w:val="18"/>
                      <w:szCs w:val="20"/>
                    </w:rPr>
                    <w:t xml:space="preserve">Not focused on defined GI syndromes or did not link oral signs to GI conditions clearly </w:t>
                  </w:r>
                  <w:r w:rsidRPr="00814804">
                    <w:rPr>
                      <w:rFonts w:ascii="Arial" w:hAnsi="Arial" w:cs="Arial"/>
                      <w:color w:val="000000" w:themeColor="text1"/>
                      <w:sz w:val="18"/>
                      <w:szCs w:val="20"/>
                    </w:rPr>
                    <w:t>(n =</w:t>
                  </w:r>
                  <w:r>
                    <w:rPr>
                      <w:rFonts w:ascii="Arial" w:hAnsi="Arial" w:cs="Arial"/>
                      <w:color w:val="000000" w:themeColor="text1"/>
                      <w:sz w:val="18"/>
                      <w:szCs w:val="20"/>
                    </w:rPr>
                    <w:t>27</w:t>
                  </w:r>
                  <w:r w:rsidRPr="00814804">
                    <w:rPr>
                      <w:rFonts w:ascii="Arial" w:hAnsi="Arial" w:cs="Arial"/>
                      <w:color w:val="000000" w:themeColor="text1"/>
                      <w:sz w:val="18"/>
                      <w:szCs w:val="20"/>
                    </w:rPr>
                    <w:t>)</w:t>
                  </w:r>
                </w:p>
                <w:p w:rsidR="009E6513" w:rsidRDefault="009E6513" w:rsidP="009E6513">
                  <w:pPr>
                    <w:spacing w:after="0" w:line="240" w:lineRule="auto"/>
                    <w:ind w:left="284"/>
                    <w:jc w:val="left"/>
                    <w:rPr>
                      <w:rFonts w:ascii="Arial" w:hAnsi="Arial" w:cs="Arial"/>
                      <w:color w:val="000000" w:themeColor="text1"/>
                      <w:sz w:val="18"/>
                      <w:szCs w:val="20"/>
                    </w:rPr>
                  </w:pPr>
                  <w:r w:rsidRPr="00814804">
                    <w:rPr>
                      <w:rFonts w:ascii="Arial" w:hAnsi="Arial" w:cs="Arial"/>
                      <w:color w:val="000000" w:themeColor="text1"/>
                      <w:sz w:val="18"/>
                      <w:szCs w:val="20"/>
                    </w:rPr>
                    <w:t xml:space="preserve">Reason 2: </w:t>
                  </w:r>
                  <w:r w:rsidRPr="00B618C1">
                    <w:rPr>
                      <w:rFonts w:ascii="Arial" w:hAnsi="Arial" w:cs="Arial"/>
                      <w:color w:val="000000" w:themeColor="text1"/>
                      <w:sz w:val="18"/>
                      <w:szCs w:val="20"/>
                    </w:rPr>
                    <w:t>Insufficient clinical/diagnostic clarity for oral lesions or GI diagnosis</w:t>
                  </w:r>
                  <w:r w:rsidRPr="00682053">
                    <w:rPr>
                      <w:rFonts w:ascii="Arial" w:hAnsi="Arial" w:cs="Arial"/>
                      <w:color w:val="000000" w:themeColor="text1"/>
                      <w:sz w:val="18"/>
                      <w:szCs w:val="20"/>
                    </w:rPr>
                    <w:t xml:space="preserve"> </w:t>
                  </w:r>
                  <w:r w:rsidRPr="00814804">
                    <w:rPr>
                      <w:rFonts w:ascii="Arial" w:hAnsi="Arial" w:cs="Arial"/>
                      <w:color w:val="000000" w:themeColor="text1"/>
                      <w:sz w:val="18"/>
                      <w:szCs w:val="20"/>
                    </w:rPr>
                    <w:t>(n =</w:t>
                  </w:r>
                  <w:r>
                    <w:rPr>
                      <w:rFonts w:ascii="Arial" w:hAnsi="Arial" w:cs="Arial"/>
                      <w:color w:val="000000" w:themeColor="text1"/>
                      <w:sz w:val="18"/>
                      <w:szCs w:val="20"/>
                    </w:rPr>
                    <w:t>19</w:t>
                  </w:r>
                  <w:r w:rsidRPr="00814804">
                    <w:rPr>
                      <w:rFonts w:ascii="Arial" w:hAnsi="Arial" w:cs="Arial"/>
                      <w:color w:val="000000" w:themeColor="text1"/>
                      <w:sz w:val="18"/>
                      <w:szCs w:val="20"/>
                    </w:rPr>
                    <w:t>)</w:t>
                  </w:r>
                </w:p>
                <w:p w:rsidR="009E6513" w:rsidRPr="00560609" w:rsidRDefault="009E6513" w:rsidP="009E6513">
                  <w:pPr>
                    <w:spacing w:after="0" w:line="240" w:lineRule="auto"/>
                    <w:ind w:left="284"/>
                    <w:jc w:val="left"/>
                    <w:rPr>
                      <w:rFonts w:ascii="Arial" w:hAnsi="Arial" w:cs="Arial"/>
                      <w:color w:val="000000" w:themeColor="text1"/>
                      <w:sz w:val="18"/>
                      <w:szCs w:val="20"/>
                    </w:rPr>
                  </w:pPr>
                  <w:r w:rsidRPr="00814804">
                    <w:rPr>
                      <w:rFonts w:ascii="Arial" w:hAnsi="Arial" w:cs="Arial"/>
                      <w:color w:val="000000" w:themeColor="text1"/>
                      <w:sz w:val="18"/>
                      <w:szCs w:val="20"/>
                    </w:rPr>
                    <w:t xml:space="preserve">Reason 3: </w:t>
                  </w:r>
                  <w:r w:rsidRPr="00B618C1">
                    <w:rPr>
                      <w:rFonts w:ascii="Arial" w:hAnsi="Arial" w:cs="Arial"/>
                      <w:color w:val="000000" w:themeColor="text1"/>
                      <w:sz w:val="18"/>
                      <w:szCs w:val="20"/>
                    </w:rPr>
                    <w:t xml:space="preserve">Metadata/DOI could not be reliably verified or full text/essential details unavailable </w:t>
                  </w:r>
                  <w:r w:rsidRPr="00814804">
                    <w:rPr>
                      <w:rFonts w:ascii="Arial" w:hAnsi="Arial" w:cs="Arial"/>
                      <w:color w:val="000000" w:themeColor="text1"/>
                      <w:sz w:val="18"/>
                      <w:szCs w:val="20"/>
                    </w:rPr>
                    <w:t>(n =</w:t>
                  </w:r>
                  <w:r>
                    <w:rPr>
                      <w:rFonts w:ascii="Arial" w:hAnsi="Arial" w:cs="Arial"/>
                      <w:color w:val="000000" w:themeColor="text1"/>
                      <w:sz w:val="18"/>
                      <w:szCs w:val="20"/>
                    </w:rPr>
                    <w:t>15</w:t>
                  </w:r>
                  <w:r w:rsidRPr="00814804">
                    <w:rPr>
                      <w:rFonts w:ascii="Arial" w:hAnsi="Arial" w:cs="Arial"/>
                      <w:color w:val="000000" w:themeColor="text1"/>
                      <w:sz w:val="18"/>
                      <w:szCs w:val="20"/>
                    </w:rPr>
                    <w:t>)</w:t>
                  </w:r>
                  <w:r>
                    <w:rPr>
                      <w:rFonts w:ascii="Arial" w:hAnsi="Arial" w:cs="Arial"/>
                      <w:color w:val="000000" w:themeColor="text1"/>
                      <w:sz w:val="18"/>
                      <w:szCs w:val="20"/>
                    </w:rPr>
                    <w:t>.</w:t>
                  </w:r>
                </w:p>
              </w:txbxContent>
            </v:textbox>
          </v:rect>
        </w:pict>
      </w:r>
    </w:p>
    <w:p w:rsidR="009E6513" w:rsidRPr="004155A7" w:rsidRDefault="00643872" w:rsidP="009E6513">
      <w:pPr>
        <w:spacing w:after="0" w:line="240" w:lineRule="auto"/>
        <w:rPr>
          <w:lang w:val="en-GB"/>
        </w:rPr>
      </w:pPr>
      <w:r>
        <w:rPr>
          <w:noProof/>
          <w:lang w:val="en-GB"/>
        </w:rPr>
        <w:pict>
          <v:shape id="Straight Arrow Connector 17" o:spid="_x0000_s1073" type="#_x0000_t32" style="position:absolute;left:0;text-align:left;margin-left:195pt;margin-top:23.2pt;width:44.35pt;height:0;z-index:251662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" strokecolor="black [3213]" strokeweight=".5pt">
            <v:stroke endarrow="block" joinstyle="miter"/>
          </v:shape>
        </w:pict>
      </w:r>
      <w:r>
        <w:rPr>
          <w:noProof/>
          <w:lang w:val="en-GB"/>
        </w:rPr>
        <w:pict>
          <v:rect id="Rectangle 8" o:spid="_x0000_s1074" style="position:absolute;left:0;text-align:left;margin-left:44.25pt;margin-top:1.05pt;width:148.6pt;height:41.45pt;z-index:2516638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" filled="f" strokecolor="black [3213]" strokeweight="1pt">
            <v:textbox>
              <w:txbxContent>
                <w:p w:rsidR="009E6513" w:rsidRDefault="009E6513" w:rsidP="009E6513">
                  <w:pPr>
                    <w:spacing w:after="0" w:line="240" w:lineRule="auto"/>
                    <w:jc w:val="left"/>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rsidR="009E6513" w:rsidRPr="00560609" w:rsidRDefault="009E6513" w:rsidP="009E6513">
                  <w:pPr>
                    <w:spacing w:after="0" w:line="240" w:lineRule="auto"/>
                    <w:rPr>
                      <w:rFonts w:ascii="Arial" w:hAnsi="Arial" w:cs="Arial"/>
                      <w:color w:val="000000" w:themeColor="text1"/>
                      <w:sz w:val="18"/>
                      <w:szCs w:val="20"/>
                    </w:rPr>
                  </w:pPr>
                  <w:r>
                    <w:rPr>
                      <w:rFonts w:ascii="Arial" w:hAnsi="Arial" w:cs="Arial"/>
                      <w:color w:val="000000" w:themeColor="text1"/>
                      <w:sz w:val="18"/>
                      <w:szCs w:val="20"/>
                    </w:rPr>
                    <w:t>(n =85)</w:t>
                  </w:r>
                </w:p>
              </w:txbxContent>
            </v:textbox>
          </v:rect>
        </w:pict>
      </w:r>
    </w:p>
    <w:p w:rsidR="009E6513" w:rsidRPr="004155A7" w:rsidRDefault="009E6513" w:rsidP="009E6513">
      <w:pPr>
        <w:spacing w:after="0" w:line="240" w:lineRule="auto"/>
        <w:rPr>
          <w:lang w:val="en-GB"/>
        </w:rPr>
      </w:pPr>
    </w:p>
    <w:p w:rsidR="009E6513" w:rsidRPr="004155A7" w:rsidRDefault="009E6513" w:rsidP="009E6513">
      <w:pPr>
        <w:spacing w:after="0" w:line="240" w:lineRule="auto"/>
        <w:rPr>
          <w:lang w:val="en-GB"/>
        </w:rPr>
      </w:pPr>
    </w:p>
    <w:p w:rsidR="009E6513" w:rsidRPr="004155A7" w:rsidRDefault="00643872" w:rsidP="009E6513">
      <w:pPr>
        <w:spacing w:after="0" w:line="240" w:lineRule="auto"/>
        <w:rPr>
          <w:lang w:val="en-GB"/>
        </w:rPr>
      </w:pPr>
      <w:r>
        <w:rPr>
          <w:noProof/>
          <w:lang w:val="en-GB"/>
        </w:rPr>
        <w:pict>
          <v:shape id="Straight Arrow Connector 19" o:spid="_x0000_s1075" type="#_x0000_t32" style="position:absolute;left:0;text-align:left;margin-left:110.3pt;margin-top:2.35pt;width:0;height:58.75pt;z-index:251664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" strokecolor="black [3213]" strokeweight=".5pt">
            <v:stroke endarrow="block" joinstyle="miter"/>
          </v:shape>
        </w:pict>
      </w:r>
    </w:p>
    <w:p w:rsidR="009E6513" w:rsidRPr="004155A7" w:rsidRDefault="009E6513" w:rsidP="009E6513">
      <w:pPr>
        <w:spacing w:after="0" w:line="240" w:lineRule="auto"/>
        <w:rPr>
          <w:lang w:val="en-GB"/>
        </w:rPr>
      </w:pPr>
    </w:p>
    <w:p w:rsidR="009E6513" w:rsidRPr="004155A7" w:rsidRDefault="009E6513" w:rsidP="009E6513">
      <w:pPr>
        <w:spacing w:after="0" w:line="240" w:lineRule="auto"/>
        <w:rPr>
          <w:lang w:val="en-GB"/>
        </w:rPr>
      </w:pPr>
    </w:p>
    <w:p w:rsidR="009E6513" w:rsidRPr="004155A7" w:rsidRDefault="009E6513" w:rsidP="009E6513">
      <w:pPr>
        <w:spacing w:after="0" w:line="240" w:lineRule="auto"/>
        <w:rPr>
          <w:lang w:val="en-GB"/>
        </w:rPr>
      </w:pPr>
    </w:p>
    <w:p w:rsidR="009E6513" w:rsidRPr="004155A7" w:rsidRDefault="00643872" w:rsidP="009E6513">
      <w:pPr>
        <w:spacing w:after="0" w:line="240" w:lineRule="auto"/>
        <w:rPr>
          <w:lang w:val="en-GB"/>
        </w:rPr>
      </w:pPr>
      <w:r>
        <w:rPr>
          <w:noProof/>
          <w:lang w:val="en-GB"/>
        </w:rPr>
        <w:pict>
          <v:rect id="Rectangle 13" o:spid="_x0000_s1076" style="position:absolute;left:0;text-align:left;margin-left:42.55pt;margin-top:8.7pt;width:148.6pt;height:36.1pt;z-index:2516659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" filled="f" strokecolor="black [3213]" strokeweight="1pt">
            <v:textbox>
              <w:txbxContent>
                <w:p w:rsidR="009E6513" w:rsidRDefault="009E6513" w:rsidP="009E6513">
                  <w:pPr>
                    <w:spacing w:after="0" w:line="240" w:lineRule="auto"/>
                    <w:jc w:val="left"/>
                    <w:rPr>
                      <w:rFonts w:ascii="Arial" w:hAnsi="Arial" w:cs="Arial"/>
                      <w:color w:val="000000" w:themeColor="text1"/>
                      <w:sz w:val="18"/>
                      <w:szCs w:val="20"/>
                    </w:rPr>
                  </w:pPr>
                  <w:r>
                    <w:rPr>
                      <w:rFonts w:ascii="Arial" w:hAnsi="Arial" w:cs="Arial"/>
                      <w:color w:val="000000" w:themeColor="text1"/>
                      <w:sz w:val="18"/>
                      <w:szCs w:val="20"/>
                    </w:rPr>
                    <w:t>Report/Studies included in review (n = 24)</w:t>
                  </w:r>
                </w:p>
              </w:txbxContent>
            </v:textbox>
          </v:rect>
        </w:pict>
      </w:r>
    </w:p>
    <w:p w:rsidR="009E6513" w:rsidRPr="004155A7" w:rsidRDefault="009E6513" w:rsidP="009E6513">
      <w:pPr>
        <w:spacing w:after="0" w:line="240" w:lineRule="auto"/>
        <w:rPr>
          <w:lang w:val="en-GB"/>
        </w:rPr>
      </w:pPr>
    </w:p>
    <w:p w:rsidR="009E6513" w:rsidRPr="004155A7" w:rsidRDefault="009E6513" w:rsidP="009E6513">
      <w:pPr>
        <w:spacing w:after="0" w:line="240" w:lineRule="auto"/>
        <w:rPr>
          <w:lang w:val="en-GB"/>
        </w:rPr>
      </w:pPr>
    </w:p>
    <w:p w:rsidR="009E6513" w:rsidRPr="004155A7" w:rsidRDefault="009E6513" w:rsidP="009E6513">
      <w:pPr>
        <w:spacing w:after="0" w:line="240" w:lineRule="auto"/>
        <w:rPr>
          <w:lang w:val="en-GB"/>
        </w:rPr>
      </w:pPr>
    </w:p>
    <w:p w:rsidR="009E6513" w:rsidRPr="004155A7" w:rsidRDefault="009E6513" w:rsidP="009E6513">
      <w:pPr>
        <w:pStyle w:val="NormalWeb"/>
        <w:jc w:val="center"/>
        <w:rPr>
          <w:lang w:val="en-GB"/>
        </w:rPr>
      </w:pPr>
      <w:r w:rsidRPr="004155A7">
        <w:rPr>
          <w:lang w:val="en-GB"/>
        </w:rPr>
        <w:t xml:space="preserve">Figure 1: </w:t>
      </w:r>
      <w:r>
        <w:rPr>
          <w:lang w:val="en-GB"/>
        </w:rPr>
        <w:t>Systematic</w:t>
      </w:r>
      <w:r w:rsidRPr="004155A7">
        <w:rPr>
          <w:lang w:val="en-GB"/>
        </w:rPr>
        <w:t xml:space="preserve"> methods of literature selection</w:t>
      </w:r>
    </w:p>
    <w:p w:rsidR="005072B4" w:rsidRPr="005072B4" w:rsidRDefault="005072B4" w:rsidP="005072B4">
      <w:pPr>
        <w:rPr>
          <w:lang w:val="en-GB"/>
        </w:rPr>
      </w:pPr>
    </w:p>
    <w:p w:rsidR="00D033FD" w:rsidRPr="00D033FD" w:rsidRDefault="00D033FD" w:rsidP="00D033FD">
      <w:pPr>
        <w:spacing w:before="100" w:beforeAutospacing="1" w:after="100" w:afterAutospacing="1" w:line="240" w:lineRule="auto"/>
        <w:ind w:left="0" w:right="0" w:firstLine="0"/>
        <w:jc w:val="left"/>
        <w:outlineLvl w:val="1"/>
        <w:rPr>
          <w:b/>
          <w:bCs/>
          <w:color w:val="auto"/>
          <w:kern w:val="0"/>
          <w:sz w:val="36"/>
          <w:szCs w:val="36"/>
          <w:lang w:val="en-US" w:eastAsia="en-US"/>
        </w:rPr>
      </w:pPr>
      <w:r w:rsidRPr="00D033FD">
        <w:rPr>
          <w:b/>
          <w:bCs/>
          <w:color w:val="auto"/>
          <w:kern w:val="0"/>
          <w:sz w:val="36"/>
          <w:szCs w:val="36"/>
          <w:lang w:val="en-US" w:eastAsia="en-US"/>
        </w:rPr>
        <w:t>3. Biological pathways linking oral findings with gastrointestinal syndromes</w:t>
      </w:r>
    </w:p>
    <w:p w:rsidR="00D033FD" w:rsidRPr="00D033FD" w:rsidRDefault="00D033FD" w:rsidP="00D033FD">
      <w:pPr>
        <w:spacing w:before="100" w:beforeAutospacing="1" w:after="100" w:afterAutospacing="1" w:line="240" w:lineRule="auto"/>
        <w:ind w:left="0" w:right="0" w:firstLine="0"/>
        <w:jc w:val="left"/>
        <w:rPr>
          <w:color w:val="auto"/>
          <w:kern w:val="0"/>
          <w:lang w:val="en-US" w:eastAsia="en-US"/>
        </w:rPr>
      </w:pPr>
      <w:r w:rsidRPr="00D033FD">
        <w:rPr>
          <w:color w:val="auto"/>
          <w:kern w:val="0"/>
          <w:lang w:val="en-US" w:eastAsia="en-US"/>
        </w:rPr>
        <w:t>Oral signs associated with gastrointestinal syndromes arise through several overlapping biological routes rather than a single unifying mechanism. At one end of the spectrum are manifestations that represent direct extension of disease-specific mucosal pathology into the oral cavity, such as granulomatous inflammatory changes in oral Crohn’s disease (</w:t>
      </w:r>
      <w:proofErr w:type="spellStart"/>
      <w:r w:rsidRPr="00D033FD">
        <w:rPr>
          <w:color w:val="auto"/>
          <w:kern w:val="0"/>
          <w:lang w:val="en-US" w:eastAsia="en-US"/>
        </w:rPr>
        <w:t>Zbar</w:t>
      </w:r>
      <w:proofErr w:type="spellEnd"/>
      <w:r w:rsidRPr="00D033FD">
        <w:rPr>
          <w:color w:val="auto"/>
          <w:kern w:val="0"/>
          <w:lang w:val="en-US" w:eastAsia="en-US"/>
        </w:rPr>
        <w:t xml:space="preserve"> et al., 2012). At the other end are oral changes that reflect systemic consequences of gastrointestinal </w:t>
      </w:r>
      <w:r w:rsidRPr="00D033FD">
        <w:rPr>
          <w:color w:val="auto"/>
          <w:kern w:val="0"/>
          <w:lang w:val="en-US" w:eastAsia="en-US"/>
        </w:rPr>
        <w:lastRenderedPageBreak/>
        <w:t xml:space="preserve">disease—malabsorption, chronic inflammation, </w:t>
      </w:r>
      <w:proofErr w:type="spellStart"/>
      <w:r w:rsidRPr="00D033FD">
        <w:rPr>
          <w:color w:val="auto"/>
          <w:kern w:val="0"/>
          <w:lang w:val="en-US" w:eastAsia="en-US"/>
        </w:rPr>
        <w:t>anaemia</w:t>
      </w:r>
      <w:proofErr w:type="spellEnd"/>
      <w:r w:rsidRPr="00D033FD">
        <w:rPr>
          <w:color w:val="auto"/>
          <w:kern w:val="0"/>
          <w:lang w:val="en-US" w:eastAsia="en-US"/>
        </w:rPr>
        <w:t>, immune dysregulation, and medication exposure—which may present as non-specific but clinically informative patterns when persistent or clustered (</w:t>
      </w:r>
      <w:proofErr w:type="spellStart"/>
      <w:r w:rsidRPr="00D033FD">
        <w:rPr>
          <w:color w:val="auto"/>
          <w:kern w:val="0"/>
          <w:lang w:val="en-US" w:eastAsia="en-US"/>
        </w:rPr>
        <w:t>Lankarani</w:t>
      </w:r>
      <w:proofErr w:type="spellEnd"/>
      <w:r w:rsidRPr="00D033FD">
        <w:rPr>
          <w:color w:val="auto"/>
          <w:kern w:val="0"/>
          <w:lang w:val="en-US" w:eastAsia="en-US"/>
        </w:rPr>
        <w:t xml:space="preserve"> et al., 2013). Between these poles lie mechanisms driven by chemical injury (particularly refluxate exposure), microbial ecology and translocation across the oral–gut axis, and genetically determined mucocutaneous or </w:t>
      </w:r>
      <w:proofErr w:type="spellStart"/>
      <w:r w:rsidRPr="00D033FD">
        <w:rPr>
          <w:color w:val="auto"/>
          <w:kern w:val="0"/>
          <w:lang w:val="en-US" w:eastAsia="en-US"/>
        </w:rPr>
        <w:t>dento</w:t>
      </w:r>
      <w:proofErr w:type="spellEnd"/>
      <w:r w:rsidRPr="00D033FD">
        <w:rPr>
          <w:color w:val="auto"/>
          <w:kern w:val="0"/>
          <w:lang w:val="en-US" w:eastAsia="en-US"/>
        </w:rPr>
        <w:t>-osseous phenotypes that signal inherited GI cancer risk (</w:t>
      </w:r>
      <w:proofErr w:type="spellStart"/>
      <w:r w:rsidRPr="00D033FD">
        <w:rPr>
          <w:color w:val="auto"/>
          <w:kern w:val="0"/>
          <w:lang w:val="en-US" w:eastAsia="en-US"/>
        </w:rPr>
        <w:t>Beggs</w:t>
      </w:r>
      <w:proofErr w:type="spellEnd"/>
      <w:r w:rsidRPr="00D033FD">
        <w:rPr>
          <w:color w:val="auto"/>
          <w:kern w:val="0"/>
          <w:lang w:val="en-US" w:eastAsia="en-US"/>
        </w:rPr>
        <w:t xml:space="preserve"> et al., 2010; Pace et al., 2008). Appreciating this mechanistic diversity is central to the “diagnostic gateway” concept: oral findings become most useful when the clinician can infer which pathway is most plausible and align that inference with targeted gastrointestinal evaluation.</w:t>
      </w:r>
    </w:p>
    <w:p w:rsidR="00D033FD" w:rsidRPr="00D033FD" w:rsidRDefault="00D033FD" w:rsidP="00D033FD">
      <w:pPr>
        <w:spacing w:before="100" w:beforeAutospacing="1" w:after="100" w:afterAutospacing="1" w:line="240" w:lineRule="auto"/>
        <w:ind w:left="0" w:right="0" w:firstLine="0"/>
        <w:jc w:val="left"/>
        <w:outlineLvl w:val="2"/>
        <w:rPr>
          <w:b/>
          <w:bCs/>
          <w:color w:val="auto"/>
          <w:kern w:val="0"/>
          <w:sz w:val="27"/>
          <w:szCs w:val="27"/>
          <w:lang w:val="en-US" w:eastAsia="en-US"/>
        </w:rPr>
      </w:pPr>
      <w:r w:rsidRPr="00D033FD">
        <w:rPr>
          <w:b/>
          <w:bCs/>
          <w:color w:val="auto"/>
          <w:kern w:val="0"/>
          <w:sz w:val="27"/>
          <w:szCs w:val="27"/>
          <w:lang w:val="en-US" w:eastAsia="en-US"/>
        </w:rPr>
        <w:t>3.1 Shared mucosal immunology, epithelial barrier stress, and inflammatory trafficking</w:t>
      </w:r>
    </w:p>
    <w:p w:rsidR="00D033FD" w:rsidRPr="00D033FD" w:rsidRDefault="00D033FD" w:rsidP="00D033FD">
      <w:pPr>
        <w:spacing w:before="100" w:beforeAutospacing="1" w:after="100" w:afterAutospacing="1" w:line="240" w:lineRule="auto"/>
        <w:ind w:left="0" w:right="0" w:firstLine="0"/>
        <w:jc w:val="left"/>
        <w:rPr>
          <w:color w:val="auto"/>
          <w:kern w:val="0"/>
          <w:lang w:val="en-US" w:eastAsia="en-US"/>
        </w:rPr>
      </w:pPr>
      <w:r w:rsidRPr="00D033FD">
        <w:rPr>
          <w:color w:val="auto"/>
          <w:kern w:val="0"/>
          <w:lang w:val="en-US" w:eastAsia="en-US"/>
        </w:rPr>
        <w:t xml:space="preserve">The oral and intestinal mucosae operate as immune-active barriers that must maintain tolerance to commensals and diet while remaining capable of rapid inflammatory </w:t>
      </w:r>
      <w:proofErr w:type="spellStart"/>
      <w:r w:rsidRPr="00D033FD">
        <w:rPr>
          <w:color w:val="auto"/>
          <w:kern w:val="0"/>
          <w:lang w:val="en-US" w:eastAsia="en-US"/>
        </w:rPr>
        <w:t>defence</w:t>
      </w:r>
      <w:proofErr w:type="spellEnd"/>
      <w:r w:rsidRPr="00D033FD">
        <w:rPr>
          <w:color w:val="auto"/>
          <w:kern w:val="0"/>
          <w:lang w:val="en-US" w:eastAsia="en-US"/>
        </w:rPr>
        <w:t>. When gastrointestinal disease perturbs this balance, oral tissues may show inflammatory patterns that echo intestinal immune activation. In inflammatory bowel disease, oral lesions may reflect systemic inflammatory burden and extraintestinal immune trafficking, giving rise to aphthous-like ulceration, erythema, and mucosal fragility that can accompany flares or nutritional compromise (</w:t>
      </w:r>
      <w:proofErr w:type="spellStart"/>
      <w:r w:rsidRPr="00D033FD">
        <w:rPr>
          <w:color w:val="auto"/>
          <w:kern w:val="0"/>
          <w:lang w:val="en-US" w:eastAsia="en-US"/>
        </w:rPr>
        <w:t>Lankarani</w:t>
      </w:r>
      <w:proofErr w:type="spellEnd"/>
      <w:r w:rsidRPr="00D033FD">
        <w:rPr>
          <w:color w:val="auto"/>
          <w:kern w:val="0"/>
          <w:lang w:val="en-US" w:eastAsia="en-US"/>
        </w:rPr>
        <w:t xml:space="preserve"> et al., 2013). Some oral lesions are comparatively more suggestive of specific intestinal pathology: in ulcerative colitis, the literature highlights oral involvement ranging from non-specific ulceration to more characteristic inflammatory presentations that can function as clinical pointers to underlying disease (Li et al., 2022). In Crohn’s disease, granulomatous inflammation can manifest in the oral cavity as persistent swelling, </w:t>
      </w:r>
      <w:proofErr w:type="spellStart"/>
      <w:r w:rsidRPr="00D033FD">
        <w:rPr>
          <w:color w:val="auto"/>
          <w:kern w:val="0"/>
          <w:lang w:val="en-US" w:eastAsia="en-US"/>
        </w:rPr>
        <w:t>cobblestoning</w:t>
      </w:r>
      <w:proofErr w:type="spellEnd"/>
      <w:r w:rsidRPr="00D033FD">
        <w:rPr>
          <w:color w:val="auto"/>
          <w:kern w:val="0"/>
          <w:lang w:val="en-US" w:eastAsia="en-US"/>
        </w:rPr>
        <w:t>, and linear ulceration; importantly, these may be clinically separable from other granulomatous oral disorders only through integrated clinicopathological assessment and systemic evaluation (</w:t>
      </w:r>
      <w:proofErr w:type="spellStart"/>
      <w:r w:rsidRPr="00D033FD">
        <w:rPr>
          <w:color w:val="auto"/>
          <w:kern w:val="0"/>
          <w:lang w:val="en-US" w:eastAsia="en-US"/>
        </w:rPr>
        <w:t>Zbar</w:t>
      </w:r>
      <w:proofErr w:type="spellEnd"/>
      <w:r w:rsidRPr="00D033FD">
        <w:rPr>
          <w:color w:val="auto"/>
          <w:kern w:val="0"/>
          <w:lang w:val="en-US" w:eastAsia="en-US"/>
        </w:rPr>
        <w:t xml:space="preserve"> et al., 2012). Mechanistically, these patterns can be </w:t>
      </w:r>
      <w:proofErr w:type="spellStart"/>
      <w:r w:rsidRPr="00D033FD">
        <w:rPr>
          <w:color w:val="auto"/>
          <w:kern w:val="0"/>
          <w:lang w:val="en-US" w:eastAsia="en-US"/>
        </w:rPr>
        <w:t>conceptualised</w:t>
      </w:r>
      <w:proofErr w:type="spellEnd"/>
      <w:r w:rsidRPr="00D033FD">
        <w:rPr>
          <w:color w:val="auto"/>
          <w:kern w:val="0"/>
          <w:lang w:val="en-US" w:eastAsia="en-US"/>
        </w:rPr>
        <w:t xml:space="preserve"> as the product of cytokine-driven epithelial injury, altered wound healing, and migration of activated immune cells across mucosal sites, with the oral mucosa acting as a visible, accessible surface on which systemic immune disturbances can be read.</w:t>
      </w:r>
    </w:p>
    <w:p w:rsidR="00D033FD" w:rsidRPr="00D033FD" w:rsidRDefault="00D033FD" w:rsidP="00D033FD">
      <w:pPr>
        <w:spacing w:before="100" w:beforeAutospacing="1" w:after="100" w:afterAutospacing="1" w:line="240" w:lineRule="auto"/>
        <w:ind w:left="0" w:right="0" w:firstLine="0"/>
        <w:jc w:val="left"/>
        <w:outlineLvl w:val="2"/>
        <w:rPr>
          <w:b/>
          <w:bCs/>
          <w:color w:val="auto"/>
          <w:kern w:val="0"/>
          <w:sz w:val="27"/>
          <w:szCs w:val="27"/>
          <w:lang w:val="en-US" w:eastAsia="en-US"/>
        </w:rPr>
      </w:pPr>
      <w:r w:rsidRPr="00D033FD">
        <w:rPr>
          <w:b/>
          <w:bCs/>
          <w:color w:val="auto"/>
          <w:kern w:val="0"/>
          <w:sz w:val="27"/>
          <w:szCs w:val="27"/>
          <w:lang w:val="en-US" w:eastAsia="en-US"/>
        </w:rPr>
        <w:t xml:space="preserve">3.2 Oral–gut microbial exchange and ectopic </w:t>
      </w:r>
      <w:proofErr w:type="spellStart"/>
      <w:r w:rsidRPr="00D033FD">
        <w:rPr>
          <w:b/>
          <w:bCs/>
          <w:color w:val="auto"/>
          <w:kern w:val="0"/>
          <w:sz w:val="27"/>
          <w:szCs w:val="27"/>
          <w:lang w:val="en-US" w:eastAsia="en-US"/>
        </w:rPr>
        <w:t>colonisation</w:t>
      </w:r>
      <w:proofErr w:type="spellEnd"/>
    </w:p>
    <w:p w:rsidR="00D033FD" w:rsidRPr="00D033FD" w:rsidRDefault="00D033FD" w:rsidP="00D033FD">
      <w:pPr>
        <w:spacing w:before="100" w:beforeAutospacing="1" w:after="100" w:afterAutospacing="1" w:line="240" w:lineRule="auto"/>
        <w:ind w:left="0" w:right="0" w:firstLine="0"/>
        <w:jc w:val="left"/>
        <w:rPr>
          <w:color w:val="auto"/>
          <w:kern w:val="0"/>
          <w:lang w:val="en-US" w:eastAsia="en-US"/>
        </w:rPr>
      </w:pPr>
      <w:r w:rsidRPr="00D033FD">
        <w:rPr>
          <w:color w:val="auto"/>
          <w:kern w:val="0"/>
          <w:lang w:val="en-US" w:eastAsia="en-US"/>
        </w:rPr>
        <w:t xml:space="preserve">The mouth is a major upstream source of microbes entering the gastrointestinal tract through swallowed saliva. Under healthy conditions, </w:t>
      </w:r>
      <w:proofErr w:type="spellStart"/>
      <w:r w:rsidRPr="00D033FD">
        <w:rPr>
          <w:color w:val="auto"/>
          <w:kern w:val="0"/>
          <w:lang w:val="en-US" w:eastAsia="en-US"/>
        </w:rPr>
        <w:t>colonisation</w:t>
      </w:r>
      <w:proofErr w:type="spellEnd"/>
      <w:r w:rsidRPr="00D033FD">
        <w:rPr>
          <w:color w:val="auto"/>
          <w:kern w:val="0"/>
          <w:lang w:val="en-US" w:eastAsia="en-US"/>
        </w:rPr>
        <w:t xml:space="preserve"> resistance, gastric acidity, and intact barriers reduce the likelihood that oral taxa will persist and expand distally. However, gastrointestinal inflammation and dysbiosis can weaken these constraints, enabling oral-derived bacteria to </w:t>
      </w:r>
      <w:proofErr w:type="spellStart"/>
      <w:r w:rsidRPr="00D033FD">
        <w:rPr>
          <w:color w:val="auto"/>
          <w:kern w:val="0"/>
          <w:lang w:val="en-US" w:eastAsia="en-US"/>
        </w:rPr>
        <w:t>colonise</w:t>
      </w:r>
      <w:proofErr w:type="spellEnd"/>
      <w:r w:rsidRPr="00D033FD">
        <w:rPr>
          <w:color w:val="auto"/>
          <w:kern w:val="0"/>
          <w:lang w:val="en-US" w:eastAsia="en-US"/>
        </w:rPr>
        <w:t xml:space="preserve"> the gut and modulate intestinal immunity. Experimental evidence demonstrates that ectopic intestinal </w:t>
      </w:r>
      <w:proofErr w:type="spellStart"/>
      <w:r w:rsidRPr="00D033FD">
        <w:rPr>
          <w:color w:val="auto"/>
          <w:kern w:val="0"/>
          <w:lang w:val="en-US" w:eastAsia="en-US"/>
        </w:rPr>
        <w:t>colonisation</w:t>
      </w:r>
      <w:proofErr w:type="spellEnd"/>
      <w:r w:rsidRPr="00D033FD">
        <w:rPr>
          <w:color w:val="auto"/>
          <w:kern w:val="0"/>
          <w:lang w:val="en-US" w:eastAsia="en-US"/>
        </w:rPr>
        <w:t xml:space="preserve"> by oral bacteria can drive pro-inflammatory T-helper responses and intestinal inflammation, offering a causal framework that supports clinical observations linking oral disease and gut inflammation (</w:t>
      </w:r>
      <w:proofErr w:type="spellStart"/>
      <w:r w:rsidRPr="00D033FD">
        <w:rPr>
          <w:color w:val="auto"/>
          <w:kern w:val="0"/>
          <w:lang w:val="en-US" w:eastAsia="en-US"/>
        </w:rPr>
        <w:t>Atarashi</w:t>
      </w:r>
      <w:proofErr w:type="spellEnd"/>
      <w:r w:rsidRPr="00D033FD">
        <w:rPr>
          <w:color w:val="auto"/>
          <w:kern w:val="0"/>
          <w:lang w:val="en-US" w:eastAsia="en-US"/>
        </w:rPr>
        <w:t xml:space="preserve"> et al., 2017). Complementing this mechanistic evidence, integrative synthesis has argued that oral bacteria may participate in inflammatory bowel disease pathogenesis and perpetuation rather than merely reflecting disease, strengthening the conceptual basis for oral findings as biologically meaningful signals (Read et al., 2021). In practical terms, this pathway suggests that oral inflammation and periodontal dysbiosis may not only co-occur with gastrointestinal disease but could also shape risk and disease activity in susceptible hosts—an idea with implications for both diagnosis and integrated management.</w:t>
      </w:r>
    </w:p>
    <w:p w:rsidR="00D033FD" w:rsidRPr="00D033FD" w:rsidRDefault="00D033FD" w:rsidP="00D033FD">
      <w:pPr>
        <w:spacing w:before="100" w:beforeAutospacing="1" w:after="100" w:afterAutospacing="1" w:line="240" w:lineRule="auto"/>
        <w:ind w:left="0" w:right="0" w:firstLine="0"/>
        <w:jc w:val="left"/>
        <w:outlineLvl w:val="2"/>
        <w:rPr>
          <w:b/>
          <w:bCs/>
          <w:color w:val="auto"/>
          <w:kern w:val="0"/>
          <w:sz w:val="27"/>
          <w:szCs w:val="27"/>
          <w:lang w:val="en-US" w:eastAsia="en-US"/>
        </w:rPr>
      </w:pPr>
      <w:r w:rsidRPr="00D033FD">
        <w:rPr>
          <w:b/>
          <w:bCs/>
          <w:color w:val="auto"/>
          <w:kern w:val="0"/>
          <w:sz w:val="27"/>
          <w:szCs w:val="27"/>
          <w:lang w:val="en-US" w:eastAsia="en-US"/>
        </w:rPr>
        <w:lastRenderedPageBreak/>
        <w:t>3.3 Chemical injury, reservoir dynamics, and genetically patterned phenotypes</w:t>
      </w:r>
    </w:p>
    <w:p w:rsidR="00D033FD" w:rsidRPr="00D033FD" w:rsidRDefault="00D033FD" w:rsidP="00D033FD">
      <w:pPr>
        <w:spacing w:before="100" w:beforeAutospacing="1" w:after="100" w:afterAutospacing="1" w:line="240" w:lineRule="auto"/>
        <w:ind w:left="0" w:right="0" w:firstLine="0"/>
        <w:jc w:val="left"/>
        <w:rPr>
          <w:color w:val="auto"/>
          <w:kern w:val="0"/>
          <w:lang w:val="en-US" w:eastAsia="en-US"/>
        </w:rPr>
      </w:pPr>
      <w:r w:rsidRPr="00D033FD">
        <w:rPr>
          <w:color w:val="auto"/>
          <w:kern w:val="0"/>
          <w:lang w:val="en-US" w:eastAsia="en-US"/>
        </w:rPr>
        <w:t>Some gastrointestinal syndromes produce oral signs through direct chemical exposure rather than immune-mediated mechanisms. Gastro-</w:t>
      </w:r>
      <w:proofErr w:type="spellStart"/>
      <w:r w:rsidRPr="00D033FD">
        <w:rPr>
          <w:color w:val="auto"/>
          <w:kern w:val="0"/>
          <w:lang w:val="en-US" w:eastAsia="en-US"/>
        </w:rPr>
        <w:t>oesophageal</w:t>
      </w:r>
      <w:proofErr w:type="spellEnd"/>
      <w:r w:rsidRPr="00D033FD">
        <w:rPr>
          <w:color w:val="auto"/>
          <w:kern w:val="0"/>
          <w:lang w:val="en-US" w:eastAsia="en-US"/>
        </w:rPr>
        <w:t xml:space="preserve"> reflux is the clearest example: exposure of teeth and mucosa to acidic refluxate and pepsin can result in erosive tooth wear and mucosal irritation, creating a pattern that, when consistent with reflux history, can prompt gastrointestinal assessment even in patients who underreport classic symptoms (Pace et al., 2008). In infectious dyspeptic syndromes, the concept of extra-gastric reservoirs provides another mechanistic route linking mouth and stomach. Dental plaque has been </w:t>
      </w:r>
      <w:proofErr w:type="spellStart"/>
      <w:r w:rsidRPr="00D033FD">
        <w:rPr>
          <w:color w:val="auto"/>
          <w:kern w:val="0"/>
          <w:lang w:val="en-US" w:eastAsia="en-US"/>
        </w:rPr>
        <w:t>synthesised</w:t>
      </w:r>
      <w:proofErr w:type="spellEnd"/>
      <w:r w:rsidRPr="00D033FD">
        <w:rPr>
          <w:color w:val="auto"/>
          <w:kern w:val="0"/>
          <w:lang w:val="en-US" w:eastAsia="en-US"/>
        </w:rPr>
        <w:t xml:space="preserve"> as a potential reservoir for </w:t>
      </w:r>
      <w:r w:rsidRPr="00D033FD">
        <w:rPr>
          <w:i/>
          <w:iCs/>
          <w:color w:val="auto"/>
          <w:kern w:val="0"/>
          <w:lang w:val="en-US" w:eastAsia="en-US"/>
        </w:rPr>
        <w:t>Helicobacter pylori</w:t>
      </w:r>
      <w:r w:rsidRPr="00D033FD">
        <w:rPr>
          <w:color w:val="auto"/>
          <w:kern w:val="0"/>
          <w:lang w:val="en-US" w:eastAsia="en-US"/>
        </w:rPr>
        <w:t xml:space="preserve">, supporting the plausibility that oral niches may contribute to persistence or reinfection dynamics and thereby intersect with gastrointestinal symptomatology (Anand et al., 2025). Finally, hereditary polyposis syndromes highlight a genetically patterned pathway in which oral phenotypes—particularly mucocutaneous pigmentation in </w:t>
      </w:r>
      <w:proofErr w:type="spellStart"/>
      <w:r w:rsidRPr="00D033FD">
        <w:rPr>
          <w:color w:val="auto"/>
          <w:kern w:val="0"/>
          <w:lang w:val="en-US" w:eastAsia="en-US"/>
        </w:rPr>
        <w:t>Peutz</w:t>
      </w:r>
      <w:proofErr w:type="spellEnd"/>
      <w:r w:rsidRPr="00D033FD">
        <w:rPr>
          <w:color w:val="auto"/>
          <w:kern w:val="0"/>
          <w:lang w:val="en-US" w:eastAsia="en-US"/>
        </w:rPr>
        <w:t>–</w:t>
      </w:r>
      <w:proofErr w:type="spellStart"/>
      <w:r w:rsidRPr="00D033FD">
        <w:rPr>
          <w:color w:val="auto"/>
          <w:kern w:val="0"/>
          <w:lang w:val="en-US" w:eastAsia="en-US"/>
        </w:rPr>
        <w:t>Jeghers</w:t>
      </w:r>
      <w:proofErr w:type="spellEnd"/>
      <w:r w:rsidRPr="00D033FD">
        <w:rPr>
          <w:color w:val="auto"/>
          <w:kern w:val="0"/>
          <w:lang w:val="en-US" w:eastAsia="en-US"/>
        </w:rPr>
        <w:t xml:space="preserve"> syndrome—can precede gastrointestinal recognition and should trigger consideration of inherited risk and surveillance pathways (</w:t>
      </w:r>
      <w:proofErr w:type="spellStart"/>
      <w:r w:rsidRPr="00D033FD">
        <w:rPr>
          <w:color w:val="auto"/>
          <w:kern w:val="0"/>
          <w:lang w:val="en-US" w:eastAsia="en-US"/>
        </w:rPr>
        <w:t>Beggs</w:t>
      </w:r>
      <w:proofErr w:type="spellEnd"/>
      <w:r w:rsidRPr="00D033FD">
        <w:rPr>
          <w:color w:val="auto"/>
          <w:kern w:val="0"/>
          <w:lang w:val="en-US" w:eastAsia="en-US"/>
        </w:rPr>
        <w:t xml:space="preserve"> et al., 2010). Collectively, these mechanisms reinforce that oral findings can be diagnostically powerful when their biological route is inferred correctly: the same visible oral sign may reflect immune activation, chemical injury, microbial reservoir effects, or inherited syndromic expression, each implying a different diagnostic next step.</w:t>
      </w:r>
    </w:p>
    <w:p w:rsidR="005072B4" w:rsidRPr="005072B4" w:rsidRDefault="005072B4" w:rsidP="005072B4">
      <w:pPr>
        <w:rPr>
          <w:lang w:val="en-GB"/>
        </w:rPr>
      </w:pPr>
    </w:p>
    <w:p w:rsidR="008666DC" w:rsidRPr="008666DC" w:rsidRDefault="008666DC" w:rsidP="008666DC">
      <w:pPr>
        <w:spacing w:before="100" w:beforeAutospacing="1" w:after="100" w:afterAutospacing="1" w:line="240" w:lineRule="auto"/>
        <w:ind w:left="0" w:right="0" w:firstLine="0"/>
        <w:jc w:val="left"/>
        <w:outlineLvl w:val="1"/>
        <w:rPr>
          <w:b/>
          <w:bCs/>
          <w:color w:val="auto"/>
          <w:kern w:val="0"/>
          <w:sz w:val="36"/>
          <w:szCs w:val="36"/>
          <w:lang w:val="en-US" w:eastAsia="en-US"/>
        </w:rPr>
      </w:pPr>
      <w:r w:rsidRPr="008666DC">
        <w:rPr>
          <w:b/>
          <w:bCs/>
          <w:color w:val="auto"/>
          <w:kern w:val="0"/>
          <w:sz w:val="36"/>
          <w:szCs w:val="36"/>
          <w:lang w:val="en-US" w:eastAsia="en-US"/>
        </w:rPr>
        <w:t>4. Inflammatory bowel disease as a prototype for oral diagnostic gateways</w:t>
      </w:r>
    </w:p>
    <w:p w:rsidR="008666DC" w:rsidRPr="008666DC" w:rsidRDefault="008666DC" w:rsidP="008666DC">
      <w:pPr>
        <w:spacing w:before="100" w:beforeAutospacing="1" w:after="100" w:afterAutospacing="1" w:line="240" w:lineRule="auto"/>
        <w:ind w:left="0" w:right="0" w:firstLine="0"/>
        <w:jc w:val="left"/>
        <w:rPr>
          <w:color w:val="auto"/>
          <w:kern w:val="0"/>
          <w:lang w:val="en-US" w:eastAsia="en-US"/>
        </w:rPr>
      </w:pPr>
      <w:r w:rsidRPr="008666DC">
        <w:rPr>
          <w:color w:val="auto"/>
          <w:kern w:val="0"/>
          <w:lang w:val="en-US" w:eastAsia="en-US"/>
        </w:rPr>
        <w:t xml:space="preserve">Inflammatory bowel disease (IBD), encompassing Crohn’s disease and ulcerative colitis, provides one of the most instructive clinical models for understanding how oral findings can operate as diagnostic gateways. This is partly because the spectrum of oral involvement in IBD ranges from highly suggestive, disease-associated lesions to more non-specific changes reflecting systemic inflammation, nutritional compromise, and treatment effects. The practical challenge is that many oral complaints in IBD—such as aphthous-like ulceration, mucosal soreness, and xerostomia—also occur in the general population. The diagnostic opportunity therefore lies in </w:t>
      </w:r>
      <w:proofErr w:type="spellStart"/>
      <w:r w:rsidRPr="008666DC">
        <w:rPr>
          <w:color w:val="auto"/>
          <w:kern w:val="0"/>
          <w:lang w:val="en-US" w:eastAsia="en-US"/>
        </w:rPr>
        <w:t>recognising</w:t>
      </w:r>
      <w:proofErr w:type="spellEnd"/>
      <w:r w:rsidRPr="008666DC">
        <w:rPr>
          <w:color w:val="auto"/>
          <w:kern w:val="0"/>
          <w:lang w:val="en-US" w:eastAsia="en-US"/>
        </w:rPr>
        <w:t xml:space="preserve"> combinations of lesion morphology, anatomical distribution, chronicity, and recurrence that are disproportionate to common oral disease and that align with intestinal inflammatory syndromes. A broad synthesis of oral manifestations in IBD underscores both the clinical breadth of oral involvement and the need for careful assessment to distinguish IBD-related presentations from coincidental oral pathology (</w:t>
      </w:r>
      <w:proofErr w:type="spellStart"/>
      <w:r w:rsidRPr="008666DC">
        <w:rPr>
          <w:color w:val="auto"/>
          <w:kern w:val="0"/>
          <w:lang w:val="en-US" w:eastAsia="en-US"/>
        </w:rPr>
        <w:t>Lankarani</w:t>
      </w:r>
      <w:proofErr w:type="spellEnd"/>
      <w:r w:rsidRPr="008666DC">
        <w:rPr>
          <w:color w:val="auto"/>
          <w:kern w:val="0"/>
          <w:lang w:val="en-US" w:eastAsia="en-US"/>
        </w:rPr>
        <w:t xml:space="preserve"> et al., 2013).</w:t>
      </w:r>
    </w:p>
    <w:p w:rsidR="008666DC" w:rsidRPr="008666DC" w:rsidRDefault="008666DC" w:rsidP="008666DC">
      <w:pPr>
        <w:spacing w:before="100" w:beforeAutospacing="1" w:after="100" w:afterAutospacing="1" w:line="240" w:lineRule="auto"/>
        <w:ind w:left="0" w:right="0" w:firstLine="0"/>
        <w:jc w:val="left"/>
        <w:outlineLvl w:val="2"/>
        <w:rPr>
          <w:b/>
          <w:bCs/>
          <w:color w:val="auto"/>
          <w:kern w:val="0"/>
          <w:sz w:val="27"/>
          <w:szCs w:val="27"/>
          <w:lang w:val="en-US" w:eastAsia="en-US"/>
        </w:rPr>
      </w:pPr>
      <w:r w:rsidRPr="008666DC">
        <w:rPr>
          <w:b/>
          <w:bCs/>
          <w:color w:val="auto"/>
          <w:kern w:val="0"/>
          <w:sz w:val="27"/>
          <w:szCs w:val="27"/>
          <w:lang w:val="en-US" w:eastAsia="en-US"/>
        </w:rPr>
        <w:t>4.1 Oral Crohn’s disease and orofacial granulomatous phenotypes</w:t>
      </w:r>
    </w:p>
    <w:p w:rsidR="008666DC" w:rsidRPr="008666DC" w:rsidRDefault="008666DC" w:rsidP="008666DC">
      <w:pPr>
        <w:spacing w:before="100" w:beforeAutospacing="1" w:after="100" w:afterAutospacing="1" w:line="240" w:lineRule="auto"/>
        <w:ind w:left="0" w:right="0" w:firstLine="0"/>
        <w:jc w:val="left"/>
        <w:rPr>
          <w:color w:val="auto"/>
          <w:kern w:val="0"/>
          <w:lang w:val="en-US" w:eastAsia="en-US"/>
        </w:rPr>
      </w:pPr>
      <w:r w:rsidRPr="008666DC">
        <w:rPr>
          <w:color w:val="auto"/>
          <w:kern w:val="0"/>
          <w:lang w:val="en-US" w:eastAsia="en-US"/>
        </w:rPr>
        <w:t xml:space="preserve">Crohn’s disease is particularly relevant because oral lesions may be specific and may appear early, sometimes preceding definitive intestinal diagnosis. Characteristic oral presentations include persistent labial or facial swelling, </w:t>
      </w:r>
      <w:proofErr w:type="spellStart"/>
      <w:r w:rsidRPr="008666DC">
        <w:rPr>
          <w:color w:val="auto"/>
          <w:kern w:val="0"/>
          <w:lang w:val="en-US" w:eastAsia="en-US"/>
        </w:rPr>
        <w:t>cobblestoning</w:t>
      </w:r>
      <w:proofErr w:type="spellEnd"/>
      <w:r w:rsidRPr="008666DC">
        <w:rPr>
          <w:color w:val="auto"/>
          <w:kern w:val="0"/>
          <w:lang w:val="en-US" w:eastAsia="en-US"/>
        </w:rPr>
        <w:t xml:space="preserve"> of the buccal mucosa, mucosal tags, and deep linear ulcerations, often accompanied by gingival inflammation and discomfort. In a prospective study focusing on children newly diagnosed with Crohn’s disease, disease-specific oral manifestations were sufficiently frequent to justify systematic oral examination </w:t>
      </w:r>
      <w:r w:rsidRPr="008666DC">
        <w:rPr>
          <w:color w:val="auto"/>
          <w:kern w:val="0"/>
          <w:lang w:val="en-US" w:eastAsia="en-US"/>
        </w:rPr>
        <w:lastRenderedPageBreak/>
        <w:t xml:space="preserve">as part of initial assessment, highlighting that oral signs can be clinically prominent even when intestinal symptoms have not yet led to specialist evaluation (Harty et al., 2005). From a gateway perspective, this finding is important because </w:t>
      </w:r>
      <w:proofErr w:type="spellStart"/>
      <w:r w:rsidRPr="008666DC">
        <w:rPr>
          <w:color w:val="auto"/>
          <w:kern w:val="0"/>
          <w:lang w:val="en-US" w:eastAsia="en-US"/>
        </w:rPr>
        <w:t>paediatric</w:t>
      </w:r>
      <w:proofErr w:type="spellEnd"/>
      <w:r w:rsidRPr="008666DC">
        <w:rPr>
          <w:color w:val="auto"/>
          <w:kern w:val="0"/>
          <w:lang w:val="en-US" w:eastAsia="en-US"/>
        </w:rPr>
        <w:t xml:space="preserve"> patients may present to dental services with recurrent ulceration or swelling, and the clinician’s decision to ask about abdominal pain, altered bowel habit, weight change, and growth patterns can shorten diagnostic delay.</w:t>
      </w:r>
    </w:p>
    <w:p w:rsidR="008666DC" w:rsidRPr="008666DC" w:rsidRDefault="008666DC" w:rsidP="008666DC">
      <w:pPr>
        <w:spacing w:before="100" w:beforeAutospacing="1" w:after="100" w:afterAutospacing="1" w:line="240" w:lineRule="auto"/>
        <w:ind w:left="0" w:right="0" w:firstLine="0"/>
        <w:jc w:val="left"/>
        <w:rPr>
          <w:color w:val="auto"/>
          <w:kern w:val="0"/>
          <w:lang w:val="en-US" w:eastAsia="en-US"/>
        </w:rPr>
      </w:pPr>
      <w:r w:rsidRPr="008666DC">
        <w:rPr>
          <w:color w:val="auto"/>
          <w:kern w:val="0"/>
          <w:lang w:val="en-US" w:eastAsia="en-US"/>
        </w:rPr>
        <w:t>A persistent conceptual and diagnostic difficulty is the overlap between oral Crohn’s disease and orofacial granulomatosis. A detailed review has asked whether oral Crohn’s disease is separable from orofacial granulomatosis, arguing that, despite overlapping granulomatous histology, they may represent distinct clinical entities requiring careful longitudinal and systemic evaluation (</w:t>
      </w:r>
      <w:proofErr w:type="spellStart"/>
      <w:r w:rsidRPr="008666DC">
        <w:rPr>
          <w:color w:val="auto"/>
          <w:kern w:val="0"/>
          <w:lang w:val="en-US" w:eastAsia="en-US"/>
        </w:rPr>
        <w:t>Zbar</w:t>
      </w:r>
      <w:proofErr w:type="spellEnd"/>
      <w:r w:rsidRPr="008666DC">
        <w:rPr>
          <w:color w:val="auto"/>
          <w:kern w:val="0"/>
          <w:lang w:val="en-US" w:eastAsia="en-US"/>
        </w:rPr>
        <w:t xml:space="preserve"> et al., 2012). This distinction matters for gateway use: granulomatous oral lesions should prompt clinicians not only to consider Crohn’s disease but also to avoid premature closure by integrating histopathology, systemic review, and appropriate referral rather than assuming that all granulomatous oral inflammation is a direct proxy for intestinal Crohn’s disease.</w:t>
      </w:r>
    </w:p>
    <w:p w:rsidR="008666DC" w:rsidRPr="008666DC" w:rsidRDefault="008666DC" w:rsidP="008666DC">
      <w:pPr>
        <w:spacing w:before="100" w:beforeAutospacing="1" w:after="100" w:afterAutospacing="1" w:line="240" w:lineRule="auto"/>
        <w:ind w:left="0" w:right="0" w:firstLine="0"/>
        <w:jc w:val="left"/>
        <w:outlineLvl w:val="2"/>
        <w:rPr>
          <w:b/>
          <w:bCs/>
          <w:color w:val="auto"/>
          <w:kern w:val="0"/>
          <w:sz w:val="27"/>
          <w:szCs w:val="27"/>
          <w:lang w:val="en-US" w:eastAsia="en-US"/>
        </w:rPr>
      </w:pPr>
      <w:r w:rsidRPr="008666DC">
        <w:rPr>
          <w:b/>
          <w:bCs/>
          <w:color w:val="auto"/>
          <w:kern w:val="0"/>
          <w:sz w:val="27"/>
          <w:szCs w:val="27"/>
          <w:lang w:val="en-US" w:eastAsia="en-US"/>
        </w:rPr>
        <w:t xml:space="preserve">4.2 Ulcerative colitis and </w:t>
      </w:r>
      <w:proofErr w:type="spellStart"/>
      <w:r w:rsidRPr="008666DC">
        <w:rPr>
          <w:b/>
          <w:bCs/>
          <w:color w:val="auto"/>
          <w:kern w:val="0"/>
          <w:sz w:val="27"/>
          <w:szCs w:val="27"/>
          <w:lang w:val="en-US" w:eastAsia="en-US"/>
        </w:rPr>
        <w:t>pyostomatitis</w:t>
      </w:r>
      <w:proofErr w:type="spellEnd"/>
      <w:r w:rsidRPr="008666DC">
        <w:rPr>
          <w:b/>
          <w:bCs/>
          <w:color w:val="auto"/>
          <w:kern w:val="0"/>
          <w:sz w:val="27"/>
          <w:szCs w:val="27"/>
          <w:lang w:val="en-US" w:eastAsia="en-US"/>
        </w:rPr>
        <w:t xml:space="preserve"> </w:t>
      </w:r>
      <w:proofErr w:type="spellStart"/>
      <w:r w:rsidRPr="008666DC">
        <w:rPr>
          <w:b/>
          <w:bCs/>
          <w:color w:val="auto"/>
          <w:kern w:val="0"/>
          <w:sz w:val="27"/>
          <w:szCs w:val="27"/>
          <w:lang w:val="en-US" w:eastAsia="en-US"/>
        </w:rPr>
        <w:t>vegetans</w:t>
      </w:r>
      <w:proofErr w:type="spellEnd"/>
      <w:r w:rsidRPr="008666DC">
        <w:rPr>
          <w:b/>
          <w:bCs/>
          <w:color w:val="auto"/>
          <w:kern w:val="0"/>
          <w:sz w:val="27"/>
          <w:szCs w:val="27"/>
          <w:lang w:val="en-US" w:eastAsia="en-US"/>
        </w:rPr>
        <w:t xml:space="preserve"> as a high-yield clue</w:t>
      </w:r>
    </w:p>
    <w:p w:rsidR="008666DC" w:rsidRPr="008666DC" w:rsidRDefault="008666DC" w:rsidP="008666DC">
      <w:pPr>
        <w:spacing w:before="100" w:beforeAutospacing="1" w:after="100" w:afterAutospacing="1" w:line="240" w:lineRule="auto"/>
        <w:ind w:left="0" w:right="0" w:firstLine="0"/>
        <w:jc w:val="left"/>
        <w:rPr>
          <w:color w:val="auto"/>
          <w:kern w:val="0"/>
          <w:lang w:val="en-US" w:eastAsia="en-US"/>
        </w:rPr>
      </w:pPr>
      <w:r w:rsidRPr="008666DC">
        <w:rPr>
          <w:color w:val="auto"/>
          <w:kern w:val="0"/>
          <w:lang w:val="en-US" w:eastAsia="en-US"/>
        </w:rPr>
        <w:t xml:space="preserve">Oral manifestations in ulcerative colitis are less often discussed than those in Crohn’s disease, yet they can be diagnostically valuable, particularly when characteristic patterns are observed. A focused review has </w:t>
      </w:r>
      <w:proofErr w:type="spellStart"/>
      <w:r w:rsidRPr="008666DC">
        <w:rPr>
          <w:color w:val="auto"/>
          <w:kern w:val="0"/>
          <w:lang w:val="en-US" w:eastAsia="en-US"/>
        </w:rPr>
        <w:t>summarised</w:t>
      </w:r>
      <w:proofErr w:type="spellEnd"/>
      <w:r w:rsidRPr="008666DC">
        <w:rPr>
          <w:color w:val="auto"/>
          <w:kern w:val="0"/>
          <w:lang w:val="en-US" w:eastAsia="en-US"/>
        </w:rPr>
        <w:t xml:space="preserve"> oral signs in ulcerative colitis, </w:t>
      </w:r>
      <w:proofErr w:type="spellStart"/>
      <w:r w:rsidRPr="008666DC">
        <w:rPr>
          <w:color w:val="auto"/>
          <w:kern w:val="0"/>
          <w:lang w:val="en-US" w:eastAsia="en-US"/>
        </w:rPr>
        <w:t>emphasising</w:t>
      </w:r>
      <w:proofErr w:type="spellEnd"/>
      <w:r w:rsidRPr="008666DC">
        <w:rPr>
          <w:color w:val="auto"/>
          <w:kern w:val="0"/>
          <w:lang w:val="en-US" w:eastAsia="en-US"/>
        </w:rPr>
        <w:t xml:space="preserve"> both non-specific findings and more distinctive inflammatory lesions that may function as clinical pointers (Li et al., 2022). Among these, </w:t>
      </w:r>
      <w:proofErr w:type="spellStart"/>
      <w:r w:rsidRPr="008666DC">
        <w:rPr>
          <w:color w:val="auto"/>
          <w:kern w:val="0"/>
          <w:lang w:val="en-US" w:eastAsia="en-US"/>
        </w:rPr>
        <w:t>pyostomatitis</w:t>
      </w:r>
      <w:proofErr w:type="spellEnd"/>
      <w:r w:rsidRPr="008666DC">
        <w:rPr>
          <w:color w:val="auto"/>
          <w:kern w:val="0"/>
          <w:lang w:val="en-US" w:eastAsia="en-US"/>
        </w:rPr>
        <w:t xml:space="preserve"> </w:t>
      </w:r>
      <w:proofErr w:type="spellStart"/>
      <w:r w:rsidRPr="008666DC">
        <w:rPr>
          <w:color w:val="auto"/>
          <w:kern w:val="0"/>
          <w:lang w:val="en-US" w:eastAsia="en-US"/>
        </w:rPr>
        <w:t>vegetans</w:t>
      </w:r>
      <w:proofErr w:type="spellEnd"/>
      <w:r w:rsidRPr="008666DC">
        <w:rPr>
          <w:color w:val="auto"/>
          <w:kern w:val="0"/>
          <w:lang w:val="en-US" w:eastAsia="en-US"/>
        </w:rPr>
        <w:t xml:space="preserve"> is often treated as a classic oral marker of IBD. Although uncommon, its distinctive pustular and erosive presentation can prompt investigation for underlying colitis, including in patients whose bowel symptoms are not yet </w:t>
      </w:r>
      <w:proofErr w:type="spellStart"/>
      <w:r w:rsidRPr="008666DC">
        <w:rPr>
          <w:color w:val="auto"/>
          <w:kern w:val="0"/>
          <w:lang w:val="en-US" w:eastAsia="en-US"/>
        </w:rPr>
        <w:t>recognised</w:t>
      </w:r>
      <w:proofErr w:type="spellEnd"/>
      <w:r w:rsidRPr="008666DC">
        <w:rPr>
          <w:color w:val="auto"/>
          <w:kern w:val="0"/>
          <w:lang w:val="en-US" w:eastAsia="en-US"/>
        </w:rPr>
        <w:t xml:space="preserve"> as pathological. In the gateway framework, the key value of such a lesion is its specificity: while many ulcers are non-specific, certain inflammatory patterns provide a stronger signal that the oral cavity is reflecting a systemic inflammatory disease process rather than isolated local irritation.</w:t>
      </w:r>
    </w:p>
    <w:p w:rsidR="008666DC" w:rsidRPr="008666DC" w:rsidRDefault="008666DC" w:rsidP="008666DC">
      <w:pPr>
        <w:spacing w:before="100" w:beforeAutospacing="1" w:after="100" w:afterAutospacing="1" w:line="240" w:lineRule="auto"/>
        <w:ind w:left="0" w:right="0" w:firstLine="0"/>
        <w:jc w:val="left"/>
        <w:outlineLvl w:val="2"/>
        <w:rPr>
          <w:b/>
          <w:bCs/>
          <w:color w:val="auto"/>
          <w:kern w:val="0"/>
          <w:sz w:val="27"/>
          <w:szCs w:val="27"/>
          <w:lang w:val="en-US" w:eastAsia="en-US"/>
        </w:rPr>
      </w:pPr>
      <w:r w:rsidRPr="008666DC">
        <w:rPr>
          <w:b/>
          <w:bCs/>
          <w:color w:val="auto"/>
          <w:kern w:val="0"/>
          <w:sz w:val="27"/>
          <w:szCs w:val="27"/>
          <w:lang w:val="en-US" w:eastAsia="en-US"/>
        </w:rPr>
        <w:t>4.3 Periodontitis, shared inflammation, and contextual risk enrichment</w:t>
      </w:r>
    </w:p>
    <w:p w:rsidR="008666DC" w:rsidRPr="008666DC" w:rsidRDefault="008666DC" w:rsidP="008666DC">
      <w:pPr>
        <w:spacing w:before="100" w:beforeAutospacing="1" w:after="100" w:afterAutospacing="1" w:line="240" w:lineRule="auto"/>
        <w:ind w:left="0" w:right="0" w:firstLine="0"/>
        <w:jc w:val="left"/>
        <w:rPr>
          <w:color w:val="auto"/>
          <w:kern w:val="0"/>
          <w:lang w:val="en-US" w:eastAsia="en-US"/>
        </w:rPr>
      </w:pPr>
      <w:r w:rsidRPr="008666DC">
        <w:rPr>
          <w:color w:val="auto"/>
          <w:kern w:val="0"/>
          <w:lang w:val="en-US" w:eastAsia="en-US"/>
        </w:rPr>
        <w:t>Beyond mucosal lesions, periodontal disease has drawn attention as a comorbidity in IBD, potentially linked through shared inflammatory pathways and microbial–immune interactions. A systematic review and meta-analysis reported an association between periodontitis and IBD, supporting the concept that periodontal inflammation may be more prevalent or severe in IBD populations than in controls (Zhang et al., 2021). In isolation, periodontitis is too common to act as a specific marker of IBD; however, its value as a gateway signal increases when it is unusually severe, refractory to standard care, or accompanied by recurrent oral ulceration, unexplained mucosal inflammation, or systemic symptoms suggestive of intestinal disease. In such contexts, periodontal findings enrich risk assessment rather than determine diagnosis, nudging clinicians towards a broader systemic review and appropriate referral.</w:t>
      </w:r>
    </w:p>
    <w:p w:rsidR="008666DC" w:rsidRPr="008666DC" w:rsidRDefault="008666DC" w:rsidP="008666DC">
      <w:pPr>
        <w:spacing w:before="100" w:beforeAutospacing="1" w:after="100" w:afterAutospacing="1" w:line="240" w:lineRule="auto"/>
        <w:ind w:left="0" w:right="0" w:firstLine="0"/>
        <w:jc w:val="left"/>
        <w:outlineLvl w:val="2"/>
        <w:rPr>
          <w:b/>
          <w:bCs/>
          <w:color w:val="auto"/>
          <w:kern w:val="0"/>
          <w:sz w:val="27"/>
          <w:szCs w:val="27"/>
          <w:lang w:val="en-US" w:eastAsia="en-US"/>
        </w:rPr>
      </w:pPr>
      <w:r w:rsidRPr="008666DC">
        <w:rPr>
          <w:b/>
          <w:bCs/>
          <w:color w:val="auto"/>
          <w:kern w:val="0"/>
          <w:sz w:val="27"/>
          <w:szCs w:val="27"/>
          <w:lang w:val="en-US" w:eastAsia="en-US"/>
        </w:rPr>
        <w:t>4.4 Translating oral findings into diagnostic action</w:t>
      </w:r>
    </w:p>
    <w:p w:rsidR="008666DC" w:rsidRPr="008666DC" w:rsidRDefault="008666DC" w:rsidP="008666DC">
      <w:pPr>
        <w:spacing w:before="100" w:beforeAutospacing="1" w:after="100" w:afterAutospacing="1" w:line="240" w:lineRule="auto"/>
        <w:ind w:left="0" w:right="0" w:firstLine="0"/>
        <w:jc w:val="left"/>
        <w:rPr>
          <w:color w:val="auto"/>
          <w:kern w:val="0"/>
          <w:lang w:val="en-US" w:eastAsia="en-US"/>
        </w:rPr>
      </w:pPr>
      <w:r w:rsidRPr="008666DC">
        <w:rPr>
          <w:color w:val="auto"/>
          <w:kern w:val="0"/>
          <w:lang w:val="en-US" w:eastAsia="en-US"/>
        </w:rPr>
        <w:t xml:space="preserve">The gateway function of oral findings in IBD depends on a disciplined approach to interpretation. A broad review of oral manifestations in IBD </w:t>
      </w:r>
      <w:proofErr w:type="spellStart"/>
      <w:r w:rsidRPr="008666DC">
        <w:rPr>
          <w:color w:val="auto"/>
          <w:kern w:val="0"/>
          <w:lang w:val="en-US" w:eastAsia="en-US"/>
        </w:rPr>
        <w:t>emphasises</w:t>
      </w:r>
      <w:proofErr w:type="spellEnd"/>
      <w:r w:rsidRPr="008666DC">
        <w:rPr>
          <w:color w:val="auto"/>
          <w:kern w:val="0"/>
          <w:lang w:val="en-US" w:eastAsia="en-US"/>
        </w:rPr>
        <w:t xml:space="preserve"> that oral lesions may reflect either direct disease activity or secondary systemic effects, and that careful clinical </w:t>
      </w:r>
      <w:r w:rsidRPr="008666DC">
        <w:rPr>
          <w:color w:val="auto"/>
          <w:kern w:val="0"/>
          <w:lang w:val="en-US" w:eastAsia="en-US"/>
        </w:rPr>
        <w:lastRenderedPageBreak/>
        <w:t>correlation is essential (</w:t>
      </w:r>
      <w:proofErr w:type="spellStart"/>
      <w:r w:rsidRPr="008666DC">
        <w:rPr>
          <w:color w:val="auto"/>
          <w:kern w:val="0"/>
          <w:lang w:val="en-US" w:eastAsia="en-US"/>
        </w:rPr>
        <w:t>Lankarani</w:t>
      </w:r>
      <w:proofErr w:type="spellEnd"/>
      <w:r w:rsidRPr="008666DC">
        <w:rPr>
          <w:color w:val="auto"/>
          <w:kern w:val="0"/>
          <w:lang w:val="en-US" w:eastAsia="en-US"/>
        </w:rPr>
        <w:t xml:space="preserve"> et al., 2013). In practical terms, this means </w:t>
      </w:r>
      <w:proofErr w:type="spellStart"/>
      <w:r w:rsidRPr="008666DC">
        <w:rPr>
          <w:color w:val="auto"/>
          <w:kern w:val="0"/>
          <w:lang w:val="en-US" w:eastAsia="en-US"/>
        </w:rPr>
        <w:t>prioritising</w:t>
      </w:r>
      <w:proofErr w:type="spellEnd"/>
      <w:r w:rsidRPr="008666DC">
        <w:rPr>
          <w:color w:val="auto"/>
          <w:kern w:val="0"/>
          <w:lang w:val="en-US" w:eastAsia="en-US"/>
        </w:rPr>
        <w:t xml:space="preserve"> lesion patterns that are unusual in morphology and persistence—such as granulomatous swelling and </w:t>
      </w:r>
      <w:proofErr w:type="spellStart"/>
      <w:r w:rsidRPr="008666DC">
        <w:rPr>
          <w:color w:val="auto"/>
          <w:kern w:val="0"/>
          <w:lang w:val="en-US" w:eastAsia="en-US"/>
        </w:rPr>
        <w:t>cobblestoning</w:t>
      </w:r>
      <w:proofErr w:type="spellEnd"/>
      <w:r w:rsidRPr="008666DC">
        <w:rPr>
          <w:color w:val="auto"/>
          <w:kern w:val="0"/>
          <w:lang w:val="en-US" w:eastAsia="en-US"/>
        </w:rPr>
        <w:t xml:space="preserve"> in suspected Crohn’s disease (Harty et al., 2005; </w:t>
      </w:r>
      <w:proofErr w:type="spellStart"/>
      <w:r w:rsidRPr="008666DC">
        <w:rPr>
          <w:color w:val="auto"/>
          <w:kern w:val="0"/>
          <w:lang w:val="en-US" w:eastAsia="en-US"/>
        </w:rPr>
        <w:t>Zbar</w:t>
      </w:r>
      <w:proofErr w:type="spellEnd"/>
      <w:r w:rsidRPr="008666DC">
        <w:rPr>
          <w:color w:val="auto"/>
          <w:kern w:val="0"/>
          <w:lang w:val="en-US" w:eastAsia="en-US"/>
        </w:rPr>
        <w:t xml:space="preserve"> et al., 2012), or characteristic inflammatory patterns suggestive of ulcerative colitis (Li et al., 2022)—and using these observations to trigger focused history-taking and medical investigation. In parallel, </w:t>
      </w:r>
      <w:proofErr w:type="spellStart"/>
      <w:r w:rsidRPr="008666DC">
        <w:rPr>
          <w:color w:val="auto"/>
          <w:kern w:val="0"/>
          <w:lang w:val="en-US" w:eastAsia="en-US"/>
        </w:rPr>
        <w:t>recognising</w:t>
      </w:r>
      <w:proofErr w:type="spellEnd"/>
      <w:r w:rsidRPr="008666DC">
        <w:rPr>
          <w:color w:val="auto"/>
          <w:kern w:val="0"/>
          <w:lang w:val="en-US" w:eastAsia="en-US"/>
        </w:rPr>
        <w:t xml:space="preserve"> the association between periodontal disease and IBD can support more integrated care, in which oral health assessment is not an afterthought but part of the wider management of chronic intestinal inflammation (Zhang et al., 2021).</w:t>
      </w:r>
    </w:p>
    <w:p w:rsidR="005072B4" w:rsidRPr="005072B4" w:rsidRDefault="005072B4" w:rsidP="005072B4">
      <w:pPr>
        <w:rPr>
          <w:lang w:val="en-GB"/>
        </w:rPr>
      </w:pPr>
    </w:p>
    <w:p w:rsidR="008666DC" w:rsidRPr="008666DC" w:rsidRDefault="008666DC" w:rsidP="008666DC">
      <w:pPr>
        <w:spacing w:before="100" w:beforeAutospacing="1" w:after="100" w:afterAutospacing="1" w:line="240" w:lineRule="auto"/>
        <w:ind w:left="0" w:right="0" w:firstLine="0"/>
        <w:jc w:val="left"/>
        <w:outlineLvl w:val="1"/>
        <w:rPr>
          <w:b/>
          <w:bCs/>
          <w:color w:val="auto"/>
          <w:kern w:val="0"/>
          <w:sz w:val="36"/>
          <w:szCs w:val="36"/>
          <w:lang w:val="en-US" w:eastAsia="en-US"/>
        </w:rPr>
      </w:pPr>
      <w:r w:rsidRPr="008666DC">
        <w:rPr>
          <w:b/>
          <w:bCs/>
          <w:color w:val="auto"/>
          <w:kern w:val="0"/>
          <w:sz w:val="36"/>
          <w:szCs w:val="36"/>
          <w:lang w:val="en-US" w:eastAsia="en-US"/>
        </w:rPr>
        <w:t>5. Coeliac disease and malabsorptive enteropathies: enamel and mucosal clues</w:t>
      </w:r>
    </w:p>
    <w:p w:rsidR="008666DC" w:rsidRPr="008666DC" w:rsidRDefault="008666DC" w:rsidP="008666DC">
      <w:pPr>
        <w:spacing w:before="100" w:beforeAutospacing="1" w:after="100" w:afterAutospacing="1" w:line="240" w:lineRule="auto"/>
        <w:ind w:left="0" w:right="0" w:firstLine="0"/>
        <w:jc w:val="left"/>
        <w:rPr>
          <w:color w:val="auto"/>
          <w:kern w:val="0"/>
          <w:lang w:val="en-US" w:eastAsia="en-US"/>
        </w:rPr>
      </w:pPr>
      <w:r w:rsidRPr="008666DC">
        <w:rPr>
          <w:color w:val="auto"/>
          <w:kern w:val="0"/>
          <w:lang w:val="en-US" w:eastAsia="en-US"/>
        </w:rPr>
        <w:t>Coeliac disease is an immune-mediated enteropathy precipitated by gluten exposure in genetically susceptible individuals, but its clinical footprint extends well beyond the small intestine. Among the extra-intestinal signals, oral findings are particularly valuable because they are readily observable, frequently documented during routine dental attendance, and—crucially—may appear in patients who do not report classic gastrointestinal symptoms. Within the diagnostic gateway framework, coeliac-associated oral features are best understood as downstream consequences of intestinal immune injury and malabsorption rather than as direct oral extension of gut lesions. This distinction matters clinically: when oral abnormalities are driven by chronic or intermittent systemic disruption during development or mucosal maintenance, the mouth can act as a visible record of prior physiological stress and current mucosal vulnerability, prompting clinicians to widen the diagnostic lens to include coeliac disease even when abdominal complaints are absent or non-specific.</w:t>
      </w:r>
    </w:p>
    <w:p w:rsidR="008666DC" w:rsidRPr="008666DC" w:rsidRDefault="008666DC" w:rsidP="008666DC">
      <w:pPr>
        <w:spacing w:before="100" w:beforeAutospacing="1" w:after="100" w:afterAutospacing="1" w:line="240" w:lineRule="auto"/>
        <w:ind w:left="0" w:right="0" w:firstLine="0"/>
        <w:jc w:val="left"/>
        <w:outlineLvl w:val="2"/>
        <w:rPr>
          <w:b/>
          <w:bCs/>
          <w:color w:val="auto"/>
          <w:kern w:val="0"/>
          <w:sz w:val="27"/>
          <w:szCs w:val="27"/>
          <w:lang w:val="en-US" w:eastAsia="en-US"/>
        </w:rPr>
      </w:pPr>
      <w:r w:rsidRPr="008666DC">
        <w:rPr>
          <w:b/>
          <w:bCs/>
          <w:color w:val="auto"/>
          <w:kern w:val="0"/>
          <w:sz w:val="27"/>
          <w:szCs w:val="27"/>
          <w:lang w:val="en-US" w:eastAsia="en-US"/>
        </w:rPr>
        <w:t>5.1 Dental enamel defects as developmental “time-stamps” of systemic disturbance</w:t>
      </w:r>
    </w:p>
    <w:p w:rsidR="008666DC" w:rsidRPr="008666DC" w:rsidRDefault="008666DC" w:rsidP="008666DC">
      <w:pPr>
        <w:spacing w:before="100" w:beforeAutospacing="1" w:after="100" w:afterAutospacing="1" w:line="240" w:lineRule="auto"/>
        <w:ind w:left="0" w:right="0" w:firstLine="0"/>
        <w:jc w:val="left"/>
        <w:rPr>
          <w:color w:val="auto"/>
          <w:kern w:val="0"/>
          <w:lang w:val="en-US" w:eastAsia="en-US"/>
        </w:rPr>
      </w:pPr>
      <w:r w:rsidRPr="008666DC">
        <w:rPr>
          <w:color w:val="auto"/>
          <w:kern w:val="0"/>
          <w:lang w:val="en-US" w:eastAsia="en-US"/>
        </w:rPr>
        <w:t xml:space="preserve">Dental enamel defects are among the most widely discussed oral signs linked with coeliac disease because enamel formation occurs in defined developmental windows and is sensitive to systemic perturbation. In contrast to caries—which typically reflects local biofilm activity and fermentable carbohydrate exposure—enamel defects can reflect disturbances in </w:t>
      </w:r>
      <w:proofErr w:type="spellStart"/>
      <w:r w:rsidRPr="008666DC">
        <w:rPr>
          <w:color w:val="auto"/>
          <w:kern w:val="0"/>
          <w:lang w:val="en-US" w:eastAsia="en-US"/>
        </w:rPr>
        <w:t>mineralisation</w:t>
      </w:r>
      <w:proofErr w:type="spellEnd"/>
      <w:r w:rsidRPr="008666DC">
        <w:rPr>
          <w:color w:val="auto"/>
          <w:kern w:val="0"/>
          <w:lang w:val="en-US" w:eastAsia="en-US"/>
        </w:rPr>
        <w:t xml:space="preserve"> or </w:t>
      </w:r>
      <w:proofErr w:type="spellStart"/>
      <w:r w:rsidRPr="008666DC">
        <w:rPr>
          <w:color w:val="auto"/>
          <w:kern w:val="0"/>
          <w:lang w:val="en-US" w:eastAsia="en-US"/>
        </w:rPr>
        <w:t>ameloblast</w:t>
      </w:r>
      <w:proofErr w:type="spellEnd"/>
      <w:r w:rsidRPr="008666DC">
        <w:rPr>
          <w:color w:val="auto"/>
          <w:kern w:val="0"/>
          <w:lang w:val="en-US" w:eastAsia="en-US"/>
        </w:rPr>
        <w:t xml:space="preserve"> function during tooth development. The clinical usefulness of enamel defects as a gateway sign rests on pattern recognition. When defects are symmetrical, involve multiple teeth, and are distributed in a manner consistent with the chronology of enamel formation, they are less easily explained by local factors alone and may prompt consideration of a systemic </w:t>
      </w:r>
      <w:proofErr w:type="spellStart"/>
      <w:r w:rsidRPr="008666DC">
        <w:rPr>
          <w:color w:val="auto"/>
          <w:kern w:val="0"/>
          <w:lang w:val="en-US" w:eastAsia="en-US"/>
        </w:rPr>
        <w:t>aetiology</w:t>
      </w:r>
      <w:proofErr w:type="spellEnd"/>
      <w:r w:rsidRPr="008666DC">
        <w:rPr>
          <w:color w:val="auto"/>
          <w:kern w:val="0"/>
          <w:lang w:val="en-US" w:eastAsia="en-US"/>
        </w:rPr>
        <w:t xml:space="preserve">. Controlled evidence </w:t>
      </w:r>
      <w:proofErr w:type="spellStart"/>
      <w:r w:rsidRPr="008666DC">
        <w:rPr>
          <w:color w:val="auto"/>
          <w:kern w:val="0"/>
          <w:lang w:val="en-US" w:eastAsia="en-US"/>
        </w:rPr>
        <w:t>synthesised</w:t>
      </w:r>
      <w:proofErr w:type="spellEnd"/>
      <w:r w:rsidRPr="008666DC">
        <w:rPr>
          <w:color w:val="auto"/>
          <w:kern w:val="0"/>
          <w:lang w:val="en-US" w:eastAsia="en-US"/>
        </w:rPr>
        <w:t xml:space="preserve"> in a systematic review and meta-analysis indicates that enamel defects are more frequent in individuals with coeliac disease than in healthy controls, supporting the view that these defects are not merely incidental findings in this population (</w:t>
      </w:r>
      <w:proofErr w:type="spellStart"/>
      <w:r w:rsidRPr="008666DC">
        <w:rPr>
          <w:color w:val="auto"/>
          <w:kern w:val="0"/>
          <w:lang w:val="en-US" w:eastAsia="en-US"/>
        </w:rPr>
        <w:t>Nieri</w:t>
      </w:r>
      <w:proofErr w:type="spellEnd"/>
      <w:r w:rsidRPr="008666DC">
        <w:rPr>
          <w:color w:val="auto"/>
          <w:kern w:val="0"/>
          <w:lang w:val="en-US" w:eastAsia="en-US"/>
        </w:rPr>
        <w:t xml:space="preserve"> et al., 2017). </w:t>
      </w:r>
      <w:proofErr w:type="spellStart"/>
      <w:r w:rsidRPr="008666DC">
        <w:rPr>
          <w:color w:val="auto"/>
          <w:kern w:val="0"/>
          <w:lang w:val="en-US" w:eastAsia="en-US"/>
        </w:rPr>
        <w:t>Paediatric</w:t>
      </w:r>
      <w:proofErr w:type="spellEnd"/>
      <w:r w:rsidRPr="008666DC">
        <w:rPr>
          <w:color w:val="auto"/>
          <w:kern w:val="0"/>
          <w:lang w:val="en-US" w:eastAsia="en-US"/>
        </w:rPr>
        <w:t xml:space="preserve"> clinical observations similarly report enamel defects as a recurring feature in affected children, reinforcing their relevance to real-world diagnostic reasoning (</w:t>
      </w:r>
      <w:proofErr w:type="spellStart"/>
      <w:r w:rsidRPr="008666DC">
        <w:rPr>
          <w:color w:val="auto"/>
          <w:kern w:val="0"/>
          <w:lang w:val="en-US" w:eastAsia="en-US"/>
        </w:rPr>
        <w:t>Villemur</w:t>
      </w:r>
      <w:proofErr w:type="spellEnd"/>
      <w:r w:rsidRPr="008666DC">
        <w:rPr>
          <w:color w:val="auto"/>
          <w:kern w:val="0"/>
          <w:lang w:val="en-US" w:eastAsia="en-US"/>
        </w:rPr>
        <w:t xml:space="preserve"> Moreau et al., 2021).</w:t>
      </w:r>
    </w:p>
    <w:p w:rsidR="008666DC" w:rsidRPr="008666DC" w:rsidRDefault="008666DC" w:rsidP="008666DC">
      <w:pPr>
        <w:spacing w:before="100" w:beforeAutospacing="1" w:after="100" w:afterAutospacing="1" w:line="240" w:lineRule="auto"/>
        <w:ind w:left="0" w:right="0" w:firstLine="0"/>
        <w:jc w:val="left"/>
        <w:rPr>
          <w:color w:val="auto"/>
          <w:kern w:val="0"/>
          <w:lang w:val="en-US" w:eastAsia="en-US"/>
        </w:rPr>
      </w:pPr>
      <w:r w:rsidRPr="008666DC">
        <w:rPr>
          <w:color w:val="auto"/>
          <w:kern w:val="0"/>
          <w:lang w:val="en-US" w:eastAsia="en-US"/>
        </w:rPr>
        <w:t xml:space="preserve">Mechanistically, enamel disturbances in coeliac disease can be </w:t>
      </w:r>
      <w:proofErr w:type="spellStart"/>
      <w:r w:rsidRPr="008666DC">
        <w:rPr>
          <w:color w:val="auto"/>
          <w:kern w:val="0"/>
          <w:lang w:val="en-US" w:eastAsia="en-US"/>
        </w:rPr>
        <w:t>conceptualised</w:t>
      </w:r>
      <w:proofErr w:type="spellEnd"/>
      <w:r w:rsidRPr="008666DC">
        <w:rPr>
          <w:color w:val="auto"/>
          <w:kern w:val="0"/>
          <w:lang w:val="en-US" w:eastAsia="en-US"/>
        </w:rPr>
        <w:t xml:space="preserve"> through two non-exclusive routes. First, malabsorption and chronic intestinal inflammation can disrupt </w:t>
      </w:r>
      <w:r w:rsidRPr="008666DC">
        <w:rPr>
          <w:color w:val="auto"/>
          <w:kern w:val="0"/>
          <w:lang w:val="en-US" w:eastAsia="en-US"/>
        </w:rPr>
        <w:lastRenderedPageBreak/>
        <w:t xml:space="preserve">calcium–phosphate balance and broader nutritional status during odontogenesis, potentially affecting enamel quality. Secondly, immune-mediated processes may influence epithelial function and </w:t>
      </w:r>
      <w:proofErr w:type="spellStart"/>
      <w:r w:rsidRPr="008666DC">
        <w:rPr>
          <w:color w:val="auto"/>
          <w:kern w:val="0"/>
          <w:lang w:val="en-US" w:eastAsia="en-US"/>
        </w:rPr>
        <w:t>mineralisation</w:t>
      </w:r>
      <w:proofErr w:type="spellEnd"/>
      <w:r w:rsidRPr="008666DC">
        <w:rPr>
          <w:color w:val="auto"/>
          <w:kern w:val="0"/>
          <w:lang w:val="en-US" w:eastAsia="en-US"/>
        </w:rPr>
        <w:t xml:space="preserve"> indirectly, especially in children with sustained inflammatory activity. While these mechanisms are plausibly linked to enteropathy, the practical point for clinicians is that enamel defects gain diagnostic weight when they are not isolated, when they occur alongside other oral or systemic clues, and when their distribution suggests a systemic timing effect rather than a local insult. In this way, enamel defects can be treated as developmental “time-stamps” that prompt targeted questions about growth patterns, fatigue, dietary tolerance, family history, and prior diagnoses of iron deficiency or other nutritional issues—questions that can lead to appropriate medical testing.</w:t>
      </w:r>
    </w:p>
    <w:p w:rsidR="008666DC" w:rsidRPr="008666DC" w:rsidRDefault="008666DC" w:rsidP="008666DC">
      <w:pPr>
        <w:spacing w:before="100" w:beforeAutospacing="1" w:after="100" w:afterAutospacing="1" w:line="240" w:lineRule="auto"/>
        <w:ind w:left="0" w:right="0" w:firstLine="0"/>
        <w:jc w:val="left"/>
        <w:outlineLvl w:val="2"/>
        <w:rPr>
          <w:b/>
          <w:bCs/>
          <w:color w:val="auto"/>
          <w:kern w:val="0"/>
          <w:sz w:val="27"/>
          <w:szCs w:val="27"/>
          <w:lang w:val="en-US" w:eastAsia="en-US"/>
        </w:rPr>
      </w:pPr>
      <w:r w:rsidRPr="008666DC">
        <w:rPr>
          <w:b/>
          <w:bCs/>
          <w:color w:val="auto"/>
          <w:kern w:val="0"/>
          <w:sz w:val="27"/>
          <w:szCs w:val="27"/>
          <w:lang w:val="en-US" w:eastAsia="en-US"/>
        </w:rPr>
        <w:t>5.2 Recurrent aphthous stomatitis as a mucosal vulnerability signal</w:t>
      </w:r>
    </w:p>
    <w:p w:rsidR="008666DC" w:rsidRPr="008666DC" w:rsidRDefault="008666DC" w:rsidP="008666DC">
      <w:pPr>
        <w:spacing w:before="100" w:beforeAutospacing="1" w:after="100" w:afterAutospacing="1" w:line="240" w:lineRule="auto"/>
        <w:ind w:left="0" w:right="0" w:firstLine="0"/>
        <w:jc w:val="left"/>
        <w:rPr>
          <w:color w:val="auto"/>
          <w:kern w:val="0"/>
          <w:lang w:val="en-US" w:eastAsia="en-US"/>
        </w:rPr>
      </w:pPr>
      <w:r w:rsidRPr="008666DC">
        <w:rPr>
          <w:color w:val="auto"/>
          <w:kern w:val="0"/>
          <w:lang w:val="en-US" w:eastAsia="en-US"/>
        </w:rPr>
        <w:t>Recurrent aphthous stomatitis is common in the general population, which can tempt clinicians to dismiss it as a routine oral complaint. However, in the context of coeliac disease, recurrent aphthae may reflect an underlying tendency to mucosal fragility driven by nutrient deficiency, immune dysregulation, or chronic inflammatory load. Importantly, the diagnostic value does not lie in a single episode but in the pattern: frequent recurrence, notable severity, persistent pain, impaired oral intake, or prolonged disease course despite typical local measures. The same systematic review and meta-analysis that assessed enamel defects also reported an association between coeliac disease and aphthous stomatitis in controlled comparisons, supporting its role as an oral clue that can raise suspicion in appropriately selected patients (</w:t>
      </w:r>
      <w:proofErr w:type="spellStart"/>
      <w:r w:rsidRPr="008666DC">
        <w:rPr>
          <w:color w:val="auto"/>
          <w:kern w:val="0"/>
          <w:lang w:val="en-US" w:eastAsia="en-US"/>
        </w:rPr>
        <w:t>Nieri</w:t>
      </w:r>
      <w:proofErr w:type="spellEnd"/>
      <w:r w:rsidRPr="008666DC">
        <w:rPr>
          <w:color w:val="auto"/>
          <w:kern w:val="0"/>
          <w:lang w:val="en-US" w:eastAsia="en-US"/>
        </w:rPr>
        <w:t xml:space="preserve"> et al., 2017). </w:t>
      </w:r>
      <w:proofErr w:type="spellStart"/>
      <w:r w:rsidRPr="008666DC">
        <w:rPr>
          <w:color w:val="auto"/>
          <w:kern w:val="0"/>
          <w:lang w:val="en-US" w:eastAsia="en-US"/>
        </w:rPr>
        <w:t>Paediatric</w:t>
      </w:r>
      <w:proofErr w:type="spellEnd"/>
      <w:r w:rsidRPr="008666DC">
        <w:rPr>
          <w:color w:val="auto"/>
          <w:kern w:val="0"/>
          <w:lang w:val="en-US" w:eastAsia="en-US"/>
        </w:rPr>
        <w:t xml:space="preserve"> clinical evidence likewise documents recurrent aphthous lesions among the oral manifestations encountered in children with coeliac disease (</w:t>
      </w:r>
      <w:proofErr w:type="spellStart"/>
      <w:r w:rsidRPr="008666DC">
        <w:rPr>
          <w:color w:val="auto"/>
          <w:kern w:val="0"/>
          <w:lang w:val="en-US" w:eastAsia="en-US"/>
        </w:rPr>
        <w:t>Villemur</w:t>
      </w:r>
      <w:proofErr w:type="spellEnd"/>
      <w:r w:rsidRPr="008666DC">
        <w:rPr>
          <w:color w:val="auto"/>
          <w:kern w:val="0"/>
          <w:lang w:val="en-US" w:eastAsia="en-US"/>
        </w:rPr>
        <w:t xml:space="preserve"> Moreau et al., 2021).</w:t>
      </w:r>
    </w:p>
    <w:p w:rsidR="008666DC" w:rsidRPr="008666DC" w:rsidRDefault="008666DC" w:rsidP="008666DC">
      <w:pPr>
        <w:spacing w:before="100" w:beforeAutospacing="1" w:after="100" w:afterAutospacing="1" w:line="240" w:lineRule="auto"/>
        <w:ind w:left="0" w:right="0" w:firstLine="0"/>
        <w:jc w:val="left"/>
        <w:rPr>
          <w:color w:val="auto"/>
          <w:kern w:val="0"/>
          <w:lang w:val="en-US" w:eastAsia="en-US"/>
        </w:rPr>
      </w:pPr>
      <w:r w:rsidRPr="008666DC">
        <w:rPr>
          <w:color w:val="auto"/>
          <w:kern w:val="0"/>
          <w:lang w:val="en-US" w:eastAsia="en-US"/>
        </w:rPr>
        <w:t xml:space="preserve">From the standpoint of clinical triage, aphthous ulceration becomes a more powerful gateway sign when it clusters with enamel defects or other developmental dental anomalies. This clustering is diagnostically meaningful because it unites two different biological time-scales: enamel defects reflect historical systemic disruption during tooth development, whereas aphthae reflect current mucosal vulnerability. When both are present, the likelihood of a systemic driver increases, and the clinical rationale for recommending coeliac serology becomes stronger than it would be for either sign alone. In practice, this can be particularly important in adolescents and young adults who may </w:t>
      </w:r>
      <w:proofErr w:type="spellStart"/>
      <w:r w:rsidRPr="008666DC">
        <w:rPr>
          <w:color w:val="auto"/>
          <w:kern w:val="0"/>
          <w:lang w:val="en-US" w:eastAsia="en-US"/>
        </w:rPr>
        <w:t>normalise</w:t>
      </w:r>
      <w:proofErr w:type="spellEnd"/>
      <w:r w:rsidRPr="008666DC">
        <w:rPr>
          <w:color w:val="auto"/>
          <w:kern w:val="0"/>
          <w:lang w:val="en-US" w:eastAsia="en-US"/>
        </w:rPr>
        <w:t xml:space="preserve"> gastrointestinal discomfort or avoid discussing bowel symptoms, yet repeatedly seek care for oral ulceration.</w:t>
      </w:r>
    </w:p>
    <w:p w:rsidR="008666DC" w:rsidRPr="008666DC" w:rsidRDefault="008666DC" w:rsidP="008666DC">
      <w:pPr>
        <w:spacing w:before="100" w:beforeAutospacing="1" w:after="100" w:afterAutospacing="1" w:line="240" w:lineRule="auto"/>
        <w:ind w:left="0" w:right="0" w:firstLine="0"/>
        <w:jc w:val="left"/>
        <w:outlineLvl w:val="2"/>
        <w:rPr>
          <w:b/>
          <w:bCs/>
          <w:color w:val="auto"/>
          <w:kern w:val="0"/>
          <w:sz w:val="27"/>
          <w:szCs w:val="27"/>
          <w:lang w:val="en-US" w:eastAsia="en-US"/>
        </w:rPr>
      </w:pPr>
      <w:r w:rsidRPr="008666DC">
        <w:rPr>
          <w:b/>
          <w:bCs/>
          <w:color w:val="auto"/>
          <w:kern w:val="0"/>
          <w:sz w:val="27"/>
          <w:szCs w:val="27"/>
          <w:lang w:val="en-US" w:eastAsia="en-US"/>
        </w:rPr>
        <w:t xml:space="preserve">5.3 Why </w:t>
      </w:r>
      <w:proofErr w:type="spellStart"/>
      <w:r w:rsidRPr="008666DC">
        <w:rPr>
          <w:b/>
          <w:bCs/>
          <w:color w:val="auto"/>
          <w:kern w:val="0"/>
          <w:sz w:val="27"/>
          <w:szCs w:val="27"/>
          <w:lang w:val="en-US" w:eastAsia="en-US"/>
        </w:rPr>
        <w:t>paediatric</w:t>
      </w:r>
      <w:proofErr w:type="spellEnd"/>
      <w:r w:rsidRPr="008666DC">
        <w:rPr>
          <w:b/>
          <w:bCs/>
          <w:color w:val="auto"/>
          <w:kern w:val="0"/>
          <w:sz w:val="27"/>
          <w:szCs w:val="27"/>
          <w:lang w:val="en-US" w:eastAsia="en-US"/>
        </w:rPr>
        <w:t xml:space="preserve"> detection is especially impactful</w:t>
      </w:r>
    </w:p>
    <w:p w:rsidR="008666DC" w:rsidRPr="008666DC" w:rsidRDefault="008666DC" w:rsidP="008666DC">
      <w:pPr>
        <w:spacing w:before="100" w:beforeAutospacing="1" w:after="100" w:afterAutospacing="1" w:line="240" w:lineRule="auto"/>
        <w:ind w:left="0" w:right="0" w:firstLine="0"/>
        <w:jc w:val="left"/>
        <w:rPr>
          <w:color w:val="auto"/>
          <w:kern w:val="0"/>
          <w:lang w:val="en-US" w:eastAsia="en-US"/>
        </w:rPr>
      </w:pPr>
      <w:r w:rsidRPr="008666DC">
        <w:rPr>
          <w:color w:val="auto"/>
          <w:kern w:val="0"/>
          <w:lang w:val="en-US" w:eastAsia="en-US"/>
        </w:rPr>
        <w:t xml:space="preserve">The gateway role of oral findings is arguably greatest in </w:t>
      </w:r>
      <w:proofErr w:type="spellStart"/>
      <w:r w:rsidRPr="008666DC">
        <w:rPr>
          <w:color w:val="auto"/>
          <w:kern w:val="0"/>
          <w:lang w:val="en-US" w:eastAsia="en-US"/>
        </w:rPr>
        <w:t>paediatric</w:t>
      </w:r>
      <w:proofErr w:type="spellEnd"/>
      <w:r w:rsidRPr="008666DC">
        <w:rPr>
          <w:color w:val="auto"/>
          <w:kern w:val="0"/>
          <w:lang w:val="en-US" w:eastAsia="en-US"/>
        </w:rPr>
        <w:t xml:space="preserve"> care because teeth and oral mucosa may reveal disease when children cannot articulate symptoms clearly or when caregivers interpret gastrointestinal complaints as common dietary intolerance. Clinical </w:t>
      </w:r>
      <w:proofErr w:type="spellStart"/>
      <w:r w:rsidRPr="008666DC">
        <w:rPr>
          <w:color w:val="auto"/>
          <w:kern w:val="0"/>
          <w:lang w:val="en-US" w:eastAsia="en-US"/>
        </w:rPr>
        <w:t>paediatric</w:t>
      </w:r>
      <w:proofErr w:type="spellEnd"/>
      <w:r w:rsidRPr="008666DC">
        <w:rPr>
          <w:color w:val="auto"/>
          <w:kern w:val="0"/>
          <w:lang w:val="en-US" w:eastAsia="en-US"/>
        </w:rPr>
        <w:t xml:space="preserve"> data reporting oral manifestations in children with coeliac disease underscore that dental and mucosal findings can be encountered in routine settings and can meaningfully contribute to early suspicion (</w:t>
      </w:r>
      <w:proofErr w:type="spellStart"/>
      <w:r w:rsidRPr="008666DC">
        <w:rPr>
          <w:color w:val="auto"/>
          <w:kern w:val="0"/>
          <w:lang w:val="en-US" w:eastAsia="en-US"/>
        </w:rPr>
        <w:t>Villemur</w:t>
      </w:r>
      <w:proofErr w:type="spellEnd"/>
      <w:r w:rsidRPr="008666DC">
        <w:rPr>
          <w:color w:val="auto"/>
          <w:kern w:val="0"/>
          <w:lang w:val="en-US" w:eastAsia="en-US"/>
        </w:rPr>
        <w:t xml:space="preserve"> Moreau et al., 2021). Moreover, </w:t>
      </w:r>
      <w:proofErr w:type="spellStart"/>
      <w:r w:rsidRPr="008666DC">
        <w:rPr>
          <w:color w:val="auto"/>
          <w:kern w:val="0"/>
          <w:lang w:val="en-US" w:eastAsia="en-US"/>
        </w:rPr>
        <w:t>paediatric</w:t>
      </w:r>
      <w:proofErr w:type="spellEnd"/>
      <w:r w:rsidRPr="008666DC">
        <w:rPr>
          <w:color w:val="auto"/>
          <w:kern w:val="0"/>
          <w:lang w:val="en-US" w:eastAsia="en-US"/>
        </w:rPr>
        <w:t xml:space="preserve"> dentistry offers an unusually consistent longitudinal contact point: regular reviews allow clinicians to observe whether enamel defects appear in a systematic pattern, whether ulceration recurs with a characteristic cadence, and whether oral symptoms improve after medical management. This longitudinal perspective supports the gateway framework not only at diagnosis but also in follow-up, where improvement in mucosal symptoms may parallel systemic control.</w:t>
      </w:r>
    </w:p>
    <w:p w:rsidR="008666DC" w:rsidRPr="008666DC" w:rsidRDefault="008666DC" w:rsidP="008666DC">
      <w:pPr>
        <w:spacing w:before="100" w:beforeAutospacing="1" w:after="100" w:afterAutospacing="1" w:line="240" w:lineRule="auto"/>
        <w:ind w:left="0" w:right="0" w:firstLine="0"/>
        <w:jc w:val="left"/>
        <w:outlineLvl w:val="2"/>
        <w:rPr>
          <w:b/>
          <w:bCs/>
          <w:color w:val="auto"/>
          <w:kern w:val="0"/>
          <w:sz w:val="27"/>
          <w:szCs w:val="27"/>
          <w:lang w:val="en-US" w:eastAsia="en-US"/>
        </w:rPr>
      </w:pPr>
      <w:r w:rsidRPr="008666DC">
        <w:rPr>
          <w:b/>
          <w:bCs/>
          <w:color w:val="auto"/>
          <w:kern w:val="0"/>
          <w:sz w:val="27"/>
          <w:szCs w:val="27"/>
          <w:lang w:val="en-US" w:eastAsia="en-US"/>
        </w:rPr>
        <w:lastRenderedPageBreak/>
        <w:t>5.4 Using oral signs to guide referral without over-</w:t>
      </w:r>
      <w:proofErr w:type="spellStart"/>
      <w:r w:rsidRPr="008666DC">
        <w:rPr>
          <w:b/>
          <w:bCs/>
          <w:color w:val="auto"/>
          <w:kern w:val="0"/>
          <w:sz w:val="27"/>
          <w:szCs w:val="27"/>
          <w:lang w:val="en-US" w:eastAsia="en-US"/>
        </w:rPr>
        <w:t>medicalising</w:t>
      </w:r>
      <w:proofErr w:type="spellEnd"/>
      <w:r w:rsidRPr="008666DC">
        <w:rPr>
          <w:b/>
          <w:bCs/>
          <w:color w:val="auto"/>
          <w:kern w:val="0"/>
          <w:sz w:val="27"/>
          <w:szCs w:val="27"/>
          <w:lang w:val="en-US" w:eastAsia="en-US"/>
        </w:rPr>
        <w:t xml:space="preserve"> common findings</w:t>
      </w:r>
    </w:p>
    <w:p w:rsidR="008666DC" w:rsidRPr="008666DC" w:rsidRDefault="008666DC" w:rsidP="008666DC">
      <w:pPr>
        <w:spacing w:before="100" w:beforeAutospacing="1" w:after="100" w:afterAutospacing="1" w:line="240" w:lineRule="auto"/>
        <w:ind w:left="0" w:right="0" w:firstLine="0"/>
        <w:jc w:val="left"/>
        <w:rPr>
          <w:color w:val="auto"/>
          <w:kern w:val="0"/>
          <w:lang w:val="en-US" w:eastAsia="en-US"/>
        </w:rPr>
      </w:pPr>
      <w:r w:rsidRPr="008666DC">
        <w:rPr>
          <w:color w:val="auto"/>
          <w:kern w:val="0"/>
          <w:lang w:val="en-US" w:eastAsia="en-US"/>
        </w:rPr>
        <w:t>A key risk in applying oral gateways is over-referral based on non-specific signs. The evidence base itself contains heterogeneity in lesion definitions and study designs, which means that oral findings should be treated as probability-raising indicators rather than stand-alone diagnostic tests (</w:t>
      </w:r>
      <w:proofErr w:type="spellStart"/>
      <w:r w:rsidRPr="008666DC">
        <w:rPr>
          <w:color w:val="auto"/>
          <w:kern w:val="0"/>
          <w:lang w:val="en-US" w:eastAsia="en-US"/>
        </w:rPr>
        <w:t>Nieri</w:t>
      </w:r>
      <w:proofErr w:type="spellEnd"/>
      <w:r w:rsidRPr="008666DC">
        <w:rPr>
          <w:color w:val="auto"/>
          <w:kern w:val="0"/>
          <w:lang w:val="en-US" w:eastAsia="en-US"/>
        </w:rPr>
        <w:t xml:space="preserve"> et al., 2017). The most defensible clinical approach is therefore contextual: enamel defects and aphthous stomatitis should prompt coeliac consideration when they are patterned, persistent, or clustered, and when they appear alongside supportive contextual cues such as growth concerns, chronic tiredness, family history of coeliac disease, or recurrent unexplained nutritional deficiency. In those circumstances, a dental or oral medicine clinician does not need to “diagnose” coeliac disease; instead, the clinician’s role is to </w:t>
      </w:r>
      <w:proofErr w:type="spellStart"/>
      <w:r w:rsidRPr="008666DC">
        <w:rPr>
          <w:color w:val="auto"/>
          <w:kern w:val="0"/>
          <w:lang w:val="en-US" w:eastAsia="en-US"/>
        </w:rPr>
        <w:t>recognise</w:t>
      </w:r>
      <w:proofErr w:type="spellEnd"/>
      <w:r w:rsidRPr="008666DC">
        <w:rPr>
          <w:color w:val="auto"/>
          <w:kern w:val="0"/>
          <w:lang w:val="en-US" w:eastAsia="en-US"/>
        </w:rPr>
        <w:t xml:space="preserve"> that oral features plausibly align with a systemic enteropathy and to recommend appropriate medical assessment. This </w:t>
      </w:r>
      <w:proofErr w:type="spellStart"/>
      <w:r w:rsidRPr="008666DC">
        <w:rPr>
          <w:color w:val="auto"/>
          <w:kern w:val="0"/>
          <w:lang w:val="en-US" w:eastAsia="en-US"/>
        </w:rPr>
        <w:t>operationalises</w:t>
      </w:r>
      <w:proofErr w:type="spellEnd"/>
      <w:r w:rsidRPr="008666DC">
        <w:rPr>
          <w:color w:val="auto"/>
          <w:kern w:val="0"/>
          <w:lang w:val="en-US" w:eastAsia="en-US"/>
        </w:rPr>
        <w:t xml:space="preserve"> the diagnostic gateway concept in a manner that is cautious, evidence-aligned, and clinically efficient, while still leveraging the mouth’s unique accessibility as an early warning site (</w:t>
      </w:r>
      <w:proofErr w:type="spellStart"/>
      <w:r w:rsidRPr="008666DC">
        <w:rPr>
          <w:color w:val="auto"/>
          <w:kern w:val="0"/>
          <w:lang w:val="en-US" w:eastAsia="en-US"/>
        </w:rPr>
        <w:t>Nieri</w:t>
      </w:r>
      <w:proofErr w:type="spellEnd"/>
      <w:r w:rsidRPr="008666DC">
        <w:rPr>
          <w:color w:val="auto"/>
          <w:kern w:val="0"/>
          <w:lang w:val="en-US" w:eastAsia="en-US"/>
        </w:rPr>
        <w:t xml:space="preserve"> et al., 2017; </w:t>
      </w:r>
      <w:proofErr w:type="spellStart"/>
      <w:r w:rsidRPr="008666DC">
        <w:rPr>
          <w:color w:val="auto"/>
          <w:kern w:val="0"/>
          <w:lang w:val="en-US" w:eastAsia="en-US"/>
        </w:rPr>
        <w:t>Villemur</w:t>
      </w:r>
      <w:proofErr w:type="spellEnd"/>
      <w:r w:rsidRPr="008666DC">
        <w:rPr>
          <w:color w:val="auto"/>
          <w:kern w:val="0"/>
          <w:lang w:val="en-US" w:eastAsia="en-US"/>
        </w:rPr>
        <w:t xml:space="preserve"> Moreau et al., 2021).</w:t>
      </w:r>
    </w:p>
    <w:p w:rsidR="005072B4" w:rsidRPr="005072B4" w:rsidRDefault="005072B4" w:rsidP="005072B4">
      <w:pPr>
        <w:rPr>
          <w:lang w:val="en-GB"/>
        </w:rPr>
      </w:pPr>
    </w:p>
    <w:p w:rsidR="003A5332" w:rsidRPr="003A5332" w:rsidRDefault="003A5332" w:rsidP="003A5332">
      <w:pPr>
        <w:spacing w:before="100" w:beforeAutospacing="1" w:after="100" w:afterAutospacing="1" w:line="240" w:lineRule="auto"/>
        <w:ind w:left="0" w:right="0" w:firstLine="0"/>
        <w:jc w:val="left"/>
        <w:outlineLvl w:val="1"/>
        <w:rPr>
          <w:b/>
          <w:bCs/>
          <w:color w:val="auto"/>
          <w:kern w:val="0"/>
          <w:sz w:val="36"/>
          <w:szCs w:val="36"/>
          <w:lang w:val="en-US" w:eastAsia="en-US"/>
        </w:rPr>
      </w:pPr>
      <w:r w:rsidRPr="003A5332">
        <w:rPr>
          <w:b/>
          <w:bCs/>
          <w:color w:val="auto"/>
          <w:kern w:val="0"/>
          <w:sz w:val="36"/>
          <w:szCs w:val="36"/>
          <w:lang w:val="en-US" w:eastAsia="en-US"/>
        </w:rPr>
        <w:t>6. Reflux-related syndromes: erosive tooth wear as an extra-</w:t>
      </w:r>
      <w:proofErr w:type="spellStart"/>
      <w:r w:rsidRPr="003A5332">
        <w:rPr>
          <w:b/>
          <w:bCs/>
          <w:color w:val="auto"/>
          <w:kern w:val="0"/>
          <w:sz w:val="36"/>
          <w:szCs w:val="36"/>
          <w:lang w:val="en-US" w:eastAsia="en-US"/>
        </w:rPr>
        <w:t>oesophageal</w:t>
      </w:r>
      <w:proofErr w:type="spellEnd"/>
      <w:r w:rsidRPr="003A5332">
        <w:rPr>
          <w:b/>
          <w:bCs/>
          <w:color w:val="auto"/>
          <w:kern w:val="0"/>
          <w:sz w:val="36"/>
          <w:szCs w:val="36"/>
          <w:lang w:val="en-US" w:eastAsia="en-US"/>
        </w:rPr>
        <w:t xml:space="preserve"> marker</w:t>
      </w:r>
    </w:p>
    <w:p w:rsidR="003A5332" w:rsidRPr="003A5332" w:rsidRDefault="003A5332" w:rsidP="003A5332">
      <w:pPr>
        <w:spacing w:before="100" w:beforeAutospacing="1" w:after="100" w:afterAutospacing="1" w:line="240" w:lineRule="auto"/>
        <w:ind w:left="0" w:right="0" w:firstLine="0"/>
        <w:jc w:val="left"/>
        <w:rPr>
          <w:color w:val="auto"/>
          <w:kern w:val="0"/>
          <w:lang w:val="en-US" w:eastAsia="en-US"/>
        </w:rPr>
      </w:pPr>
      <w:r w:rsidRPr="003A5332">
        <w:rPr>
          <w:color w:val="auto"/>
          <w:kern w:val="0"/>
          <w:lang w:val="en-US" w:eastAsia="en-US"/>
        </w:rPr>
        <w:t xml:space="preserve">Reflux-related syndromes offer one of the clearest examples of how gastrointestinal pathology can produce </w:t>
      </w:r>
      <w:proofErr w:type="spellStart"/>
      <w:r w:rsidRPr="003A5332">
        <w:rPr>
          <w:color w:val="auto"/>
          <w:kern w:val="0"/>
          <w:lang w:val="en-US" w:eastAsia="en-US"/>
        </w:rPr>
        <w:t>recognisable</w:t>
      </w:r>
      <w:proofErr w:type="spellEnd"/>
      <w:r w:rsidRPr="003A5332">
        <w:rPr>
          <w:color w:val="auto"/>
          <w:kern w:val="0"/>
          <w:lang w:val="en-US" w:eastAsia="en-US"/>
        </w:rPr>
        <w:t xml:space="preserve"> oral signatures through direct chemical injury. Gastric contents—acid, pepsin, and, in some cases, bile constituents—can reach the upper aerodigestive tract and the oral cavity, especially during nocturnal episodes or in individuals with impaired </w:t>
      </w:r>
      <w:proofErr w:type="spellStart"/>
      <w:r w:rsidRPr="003A5332">
        <w:rPr>
          <w:color w:val="auto"/>
          <w:kern w:val="0"/>
          <w:lang w:val="en-US" w:eastAsia="en-US"/>
        </w:rPr>
        <w:t>oesophageal</w:t>
      </w:r>
      <w:proofErr w:type="spellEnd"/>
      <w:r w:rsidRPr="003A5332">
        <w:rPr>
          <w:color w:val="auto"/>
          <w:kern w:val="0"/>
          <w:lang w:val="en-US" w:eastAsia="en-US"/>
        </w:rPr>
        <w:t xml:space="preserve"> clearance. When this exposure is repeated, the hard tissues of the dentition may undergo irreversible surface loss, and the oral mucosa may experience irritation and inflammation. Within the diagnostic gateway framework, erosive tooth wear is particularly valuable because it is often detectable during routine dental examination, may progress silently, and can be present even in patients who do not report classic reflux symptoms. In this sense, teeth become a durable “exposure record”, translating episodes of reflux into a visible pattern that can prompt medical enquiry and, when appropriate, gastroenterological evaluation.</w:t>
      </w:r>
    </w:p>
    <w:p w:rsidR="003A5332" w:rsidRPr="003A5332" w:rsidRDefault="003A5332" w:rsidP="003A5332">
      <w:pPr>
        <w:spacing w:before="100" w:beforeAutospacing="1" w:after="100" w:afterAutospacing="1" w:line="240" w:lineRule="auto"/>
        <w:ind w:left="0" w:right="0" w:firstLine="0"/>
        <w:jc w:val="left"/>
        <w:outlineLvl w:val="2"/>
        <w:rPr>
          <w:b/>
          <w:bCs/>
          <w:color w:val="auto"/>
          <w:kern w:val="0"/>
          <w:sz w:val="27"/>
          <w:szCs w:val="27"/>
          <w:lang w:val="en-US" w:eastAsia="en-US"/>
        </w:rPr>
      </w:pPr>
      <w:r w:rsidRPr="003A5332">
        <w:rPr>
          <w:b/>
          <w:bCs/>
          <w:color w:val="auto"/>
          <w:kern w:val="0"/>
          <w:sz w:val="27"/>
          <w:szCs w:val="27"/>
          <w:lang w:val="en-US" w:eastAsia="en-US"/>
        </w:rPr>
        <w:t>6.1 Mechanistic basis: why reflux patterns imprint on teeth</w:t>
      </w:r>
    </w:p>
    <w:p w:rsidR="003A5332" w:rsidRPr="003A5332" w:rsidRDefault="003A5332" w:rsidP="003A5332">
      <w:pPr>
        <w:spacing w:before="100" w:beforeAutospacing="1" w:after="100" w:afterAutospacing="1" w:line="240" w:lineRule="auto"/>
        <w:ind w:left="0" w:right="0" w:firstLine="0"/>
        <w:jc w:val="left"/>
        <w:rPr>
          <w:color w:val="auto"/>
          <w:kern w:val="0"/>
          <w:lang w:val="en-US" w:eastAsia="en-US"/>
        </w:rPr>
      </w:pPr>
      <w:r w:rsidRPr="003A5332">
        <w:rPr>
          <w:color w:val="auto"/>
          <w:kern w:val="0"/>
          <w:lang w:val="en-US" w:eastAsia="en-US"/>
        </w:rPr>
        <w:t xml:space="preserve">Dental erosion refers to chemical dissolution of tooth mineral by non-bacterial acids. In reflux-related erosion, the acid source is intrinsic, and the exposure can be frequent, prolonged, and difficult for the patient to perceive—especially when reflux is “silent” or occurs predominantly at night. Saliva normally buffers acids, supplies calcium and phosphate for </w:t>
      </w:r>
      <w:proofErr w:type="spellStart"/>
      <w:r w:rsidRPr="003A5332">
        <w:rPr>
          <w:color w:val="auto"/>
          <w:kern w:val="0"/>
          <w:lang w:val="en-US" w:eastAsia="en-US"/>
        </w:rPr>
        <w:t>remineralisation</w:t>
      </w:r>
      <w:proofErr w:type="spellEnd"/>
      <w:r w:rsidRPr="003A5332">
        <w:rPr>
          <w:color w:val="auto"/>
          <w:kern w:val="0"/>
          <w:lang w:val="en-US" w:eastAsia="en-US"/>
        </w:rPr>
        <w:t xml:space="preserve">, and helps clear acidic residues; therefore, conditions that reduce salivary flow or impair buffering capacity can amplify erosive effects. Clinically, the pattern of erosion can reflect the route and timing of refluxate contact. Palatal erosion of maxillary anterior teeth is frequently described as suggestive of intrinsic acid exposure, while occlusal changes may also occur, particularly where erosion interacts with attrition. Although no single pattern is perfectly specific—dietary acids and </w:t>
      </w:r>
      <w:proofErr w:type="spellStart"/>
      <w:r w:rsidRPr="003A5332">
        <w:rPr>
          <w:color w:val="auto"/>
          <w:kern w:val="0"/>
          <w:lang w:val="en-US" w:eastAsia="en-US"/>
        </w:rPr>
        <w:t>behavioural</w:t>
      </w:r>
      <w:proofErr w:type="spellEnd"/>
      <w:r w:rsidRPr="003A5332">
        <w:rPr>
          <w:color w:val="auto"/>
          <w:kern w:val="0"/>
          <w:lang w:val="en-US" w:eastAsia="en-US"/>
        </w:rPr>
        <w:t xml:space="preserve"> factors can also </w:t>
      </w:r>
      <w:r w:rsidRPr="003A5332">
        <w:rPr>
          <w:color w:val="auto"/>
          <w:kern w:val="0"/>
          <w:lang w:val="en-US" w:eastAsia="en-US"/>
        </w:rPr>
        <w:lastRenderedPageBreak/>
        <w:t>contribute—the overall distribution, symmetry, and progression rate can raise suspicion for reflux when they do not align with reported dietary exposure.</w:t>
      </w:r>
    </w:p>
    <w:p w:rsidR="003A5332" w:rsidRPr="003A5332" w:rsidRDefault="003A5332" w:rsidP="003A5332">
      <w:pPr>
        <w:spacing w:before="100" w:beforeAutospacing="1" w:after="100" w:afterAutospacing="1" w:line="240" w:lineRule="auto"/>
        <w:ind w:left="0" w:right="0" w:firstLine="0"/>
        <w:jc w:val="left"/>
        <w:outlineLvl w:val="2"/>
        <w:rPr>
          <w:b/>
          <w:bCs/>
          <w:color w:val="auto"/>
          <w:kern w:val="0"/>
          <w:sz w:val="27"/>
          <w:szCs w:val="27"/>
          <w:lang w:val="en-US" w:eastAsia="en-US"/>
        </w:rPr>
      </w:pPr>
      <w:r w:rsidRPr="003A5332">
        <w:rPr>
          <w:b/>
          <w:bCs/>
          <w:color w:val="auto"/>
          <w:kern w:val="0"/>
          <w:sz w:val="27"/>
          <w:szCs w:val="27"/>
          <w:lang w:val="en-US" w:eastAsia="en-US"/>
        </w:rPr>
        <w:t>6.2 Evidence base for GERD–erosion associations</w:t>
      </w:r>
    </w:p>
    <w:p w:rsidR="003A5332" w:rsidRPr="003A5332" w:rsidRDefault="003A5332" w:rsidP="003A5332">
      <w:pPr>
        <w:spacing w:before="100" w:beforeAutospacing="1" w:after="100" w:afterAutospacing="1" w:line="240" w:lineRule="auto"/>
        <w:ind w:left="0" w:right="0" w:firstLine="0"/>
        <w:jc w:val="left"/>
        <w:rPr>
          <w:color w:val="auto"/>
          <w:kern w:val="0"/>
          <w:lang w:val="en-US" w:eastAsia="en-US"/>
        </w:rPr>
      </w:pPr>
      <w:r w:rsidRPr="003A5332">
        <w:rPr>
          <w:color w:val="auto"/>
          <w:kern w:val="0"/>
          <w:lang w:val="en-US" w:eastAsia="en-US"/>
        </w:rPr>
        <w:t>The link between gastro-</w:t>
      </w:r>
      <w:proofErr w:type="spellStart"/>
      <w:r w:rsidRPr="003A5332">
        <w:rPr>
          <w:color w:val="auto"/>
          <w:kern w:val="0"/>
          <w:lang w:val="en-US" w:eastAsia="en-US"/>
        </w:rPr>
        <w:t>oesophageal</w:t>
      </w:r>
      <w:proofErr w:type="spellEnd"/>
      <w:r w:rsidRPr="003A5332">
        <w:rPr>
          <w:color w:val="auto"/>
          <w:kern w:val="0"/>
          <w:lang w:val="en-US" w:eastAsia="en-US"/>
        </w:rPr>
        <w:t xml:space="preserve"> reflux disease (GORD/GERD) and dental lesions has been </w:t>
      </w:r>
      <w:proofErr w:type="spellStart"/>
      <w:r w:rsidRPr="003A5332">
        <w:rPr>
          <w:color w:val="auto"/>
          <w:kern w:val="0"/>
          <w:lang w:val="en-US" w:eastAsia="en-US"/>
        </w:rPr>
        <w:t>recognised</w:t>
      </w:r>
      <w:proofErr w:type="spellEnd"/>
      <w:r w:rsidRPr="003A5332">
        <w:rPr>
          <w:color w:val="auto"/>
          <w:kern w:val="0"/>
          <w:lang w:val="en-US" w:eastAsia="en-US"/>
        </w:rPr>
        <w:t xml:space="preserve"> for decades, and a systematic review has </w:t>
      </w:r>
      <w:proofErr w:type="spellStart"/>
      <w:r w:rsidRPr="003A5332">
        <w:rPr>
          <w:color w:val="auto"/>
          <w:kern w:val="0"/>
          <w:lang w:val="en-US" w:eastAsia="en-US"/>
        </w:rPr>
        <w:t>synthesised</w:t>
      </w:r>
      <w:proofErr w:type="spellEnd"/>
      <w:r w:rsidRPr="003A5332">
        <w:rPr>
          <w:color w:val="auto"/>
          <w:kern w:val="0"/>
          <w:lang w:val="en-US" w:eastAsia="en-US"/>
        </w:rPr>
        <w:t xml:space="preserve"> evidence that GERD is associated with dental erosion and other oral changes, while also </w:t>
      </w:r>
      <w:proofErr w:type="spellStart"/>
      <w:r w:rsidRPr="003A5332">
        <w:rPr>
          <w:color w:val="auto"/>
          <w:kern w:val="0"/>
          <w:lang w:val="en-US" w:eastAsia="en-US"/>
        </w:rPr>
        <w:t>emphasising</w:t>
      </w:r>
      <w:proofErr w:type="spellEnd"/>
      <w:r w:rsidRPr="003A5332">
        <w:rPr>
          <w:color w:val="auto"/>
          <w:kern w:val="0"/>
          <w:lang w:val="en-US" w:eastAsia="en-US"/>
        </w:rPr>
        <w:t xml:space="preserve"> limitations in study </w:t>
      </w:r>
      <w:proofErr w:type="spellStart"/>
      <w:r w:rsidRPr="003A5332">
        <w:rPr>
          <w:color w:val="auto"/>
          <w:kern w:val="0"/>
          <w:lang w:val="en-US" w:eastAsia="en-US"/>
        </w:rPr>
        <w:t>standardisation</w:t>
      </w:r>
      <w:proofErr w:type="spellEnd"/>
      <w:r w:rsidRPr="003A5332">
        <w:rPr>
          <w:color w:val="auto"/>
          <w:kern w:val="0"/>
          <w:lang w:val="en-US" w:eastAsia="en-US"/>
        </w:rPr>
        <w:t xml:space="preserve"> and diagnostic criteria across the literature (Pace et al., 2008). This early synthesis remains clinically relevant because it frames tooth wear as an extra-</w:t>
      </w:r>
      <w:proofErr w:type="spellStart"/>
      <w:r w:rsidRPr="003A5332">
        <w:rPr>
          <w:color w:val="auto"/>
          <w:kern w:val="0"/>
          <w:lang w:val="en-US" w:eastAsia="en-US"/>
        </w:rPr>
        <w:t>oesophageal</w:t>
      </w:r>
      <w:proofErr w:type="spellEnd"/>
      <w:r w:rsidRPr="003A5332">
        <w:rPr>
          <w:color w:val="auto"/>
          <w:kern w:val="0"/>
          <w:lang w:val="en-US" w:eastAsia="en-US"/>
        </w:rPr>
        <w:t xml:space="preserve"> manifestation rather than a purely dental phenomenon, supporting more integrated management between dentistry and medicine.</w:t>
      </w:r>
    </w:p>
    <w:p w:rsidR="003A5332" w:rsidRPr="003A5332" w:rsidRDefault="003A5332" w:rsidP="003A5332">
      <w:pPr>
        <w:spacing w:before="100" w:beforeAutospacing="1" w:after="100" w:afterAutospacing="1" w:line="240" w:lineRule="auto"/>
        <w:ind w:left="0" w:right="0" w:firstLine="0"/>
        <w:jc w:val="left"/>
        <w:rPr>
          <w:color w:val="auto"/>
          <w:kern w:val="0"/>
          <w:lang w:val="en-US" w:eastAsia="en-US"/>
        </w:rPr>
      </w:pPr>
      <w:r w:rsidRPr="003A5332">
        <w:rPr>
          <w:color w:val="auto"/>
          <w:kern w:val="0"/>
          <w:lang w:val="en-US" w:eastAsia="en-US"/>
        </w:rPr>
        <w:t>More recent evidence has reinforced this association through higher-level evidence syntheses. An overview of systematic reviews concluded that GERD constitutes a risk factor for dental erosion, while also drawing attention to heterogeneity in study methods and the need for cautious interpretation (</w:t>
      </w:r>
      <w:proofErr w:type="spellStart"/>
      <w:r w:rsidRPr="003A5332">
        <w:rPr>
          <w:color w:val="auto"/>
          <w:kern w:val="0"/>
          <w:lang w:val="en-US" w:eastAsia="en-US"/>
        </w:rPr>
        <w:t>Chatzidimitriou</w:t>
      </w:r>
      <w:proofErr w:type="spellEnd"/>
      <w:r w:rsidRPr="003A5332">
        <w:rPr>
          <w:color w:val="auto"/>
          <w:kern w:val="0"/>
          <w:lang w:val="en-US" w:eastAsia="en-US"/>
        </w:rPr>
        <w:t xml:space="preserve"> et al., 2023). A meta-analysis focusing on adults with GERD quantified both prevalence and risk, reporting that dental erosion is common among GERD patients and that GERD is associated with greater likelihood of erosion relative to control populations (</w:t>
      </w:r>
      <w:proofErr w:type="spellStart"/>
      <w:r w:rsidRPr="003A5332">
        <w:rPr>
          <w:color w:val="auto"/>
          <w:kern w:val="0"/>
          <w:lang w:val="en-US" w:eastAsia="en-US"/>
        </w:rPr>
        <w:t>Yanushevich</w:t>
      </w:r>
      <w:proofErr w:type="spellEnd"/>
      <w:r w:rsidRPr="003A5332">
        <w:rPr>
          <w:color w:val="auto"/>
          <w:kern w:val="0"/>
          <w:lang w:val="en-US" w:eastAsia="en-US"/>
        </w:rPr>
        <w:t xml:space="preserve"> et al., 2022). Taken together, these syntheses support a clinically defensible proposition: when erosive tooth wear is present in a pattern compatible with intrinsic acid exposure—particularly when dietary causes are insufficient to explain severity or distribution—reflux-related disease should be considered as a plausible contributor.</w:t>
      </w:r>
    </w:p>
    <w:p w:rsidR="003A5332" w:rsidRPr="003A5332" w:rsidRDefault="003A5332" w:rsidP="003A5332">
      <w:pPr>
        <w:spacing w:before="100" w:beforeAutospacing="1" w:after="100" w:afterAutospacing="1" w:line="240" w:lineRule="auto"/>
        <w:ind w:left="0" w:right="0" w:firstLine="0"/>
        <w:jc w:val="left"/>
        <w:outlineLvl w:val="2"/>
        <w:rPr>
          <w:b/>
          <w:bCs/>
          <w:color w:val="auto"/>
          <w:kern w:val="0"/>
          <w:sz w:val="27"/>
          <w:szCs w:val="27"/>
          <w:lang w:val="en-US" w:eastAsia="en-US"/>
        </w:rPr>
      </w:pPr>
      <w:r w:rsidRPr="003A5332">
        <w:rPr>
          <w:b/>
          <w:bCs/>
          <w:color w:val="auto"/>
          <w:kern w:val="0"/>
          <w:sz w:val="27"/>
          <w:szCs w:val="27"/>
          <w:lang w:val="en-US" w:eastAsia="en-US"/>
        </w:rPr>
        <w:t>6.3 The diagnostic gateway value of erosive tooth wear</w:t>
      </w:r>
    </w:p>
    <w:p w:rsidR="003A5332" w:rsidRPr="003A5332" w:rsidRDefault="003A5332" w:rsidP="003A5332">
      <w:pPr>
        <w:spacing w:before="100" w:beforeAutospacing="1" w:after="100" w:afterAutospacing="1" w:line="240" w:lineRule="auto"/>
        <w:ind w:left="0" w:right="0" w:firstLine="0"/>
        <w:jc w:val="left"/>
        <w:rPr>
          <w:color w:val="auto"/>
          <w:kern w:val="0"/>
          <w:lang w:val="en-US" w:eastAsia="en-US"/>
        </w:rPr>
      </w:pPr>
      <w:r w:rsidRPr="003A5332">
        <w:rPr>
          <w:color w:val="auto"/>
          <w:kern w:val="0"/>
          <w:lang w:val="en-US" w:eastAsia="en-US"/>
        </w:rPr>
        <w:t xml:space="preserve">The gateway function of erosive tooth wear is strongest in three clinical scenarios. First, it is valuable when erosion is discovered incidentally in asymptomatic individuals or those who </w:t>
      </w:r>
      <w:proofErr w:type="spellStart"/>
      <w:r w:rsidRPr="003A5332">
        <w:rPr>
          <w:color w:val="auto"/>
          <w:kern w:val="0"/>
          <w:lang w:val="en-US" w:eastAsia="en-US"/>
        </w:rPr>
        <w:t>normalise</w:t>
      </w:r>
      <w:proofErr w:type="spellEnd"/>
      <w:r w:rsidRPr="003A5332">
        <w:rPr>
          <w:color w:val="auto"/>
          <w:kern w:val="0"/>
          <w:lang w:val="en-US" w:eastAsia="en-US"/>
        </w:rPr>
        <w:t xml:space="preserve"> reflux symptoms. Such patients may not report heartburn or regurgitation unless directly asked, yet their dentition may show progressive palatal and occlusal surface loss that is inconsistent with age and reported habits. In this setting, the dentist’s recognition of a reflux-consistent pattern can trigger targeted questioning regarding nocturnal symptoms, chronic cough, hoarseness, throat clearing, dysphagia, or sleep disturbance—features that may broaden the clinical picture beyond classic GERD.</w:t>
      </w:r>
    </w:p>
    <w:p w:rsidR="003A5332" w:rsidRPr="003A5332" w:rsidRDefault="003A5332" w:rsidP="003A5332">
      <w:pPr>
        <w:spacing w:before="100" w:beforeAutospacing="1" w:after="100" w:afterAutospacing="1" w:line="240" w:lineRule="auto"/>
        <w:ind w:left="0" w:right="0" w:firstLine="0"/>
        <w:jc w:val="left"/>
        <w:rPr>
          <w:color w:val="auto"/>
          <w:kern w:val="0"/>
          <w:lang w:val="en-US" w:eastAsia="en-US"/>
        </w:rPr>
      </w:pPr>
      <w:r w:rsidRPr="003A5332">
        <w:rPr>
          <w:color w:val="auto"/>
          <w:kern w:val="0"/>
          <w:lang w:val="en-US" w:eastAsia="en-US"/>
        </w:rPr>
        <w:t>Secondly, erosive tooth wear is informative when patients present with oral sensitivity, aesthetic concerns, or chipping that appears disproportionate to caries activity. Patients may attribute symptoms to “weak teeth” or brushing habits, whereas the underlying driver may be intrinsic acid exposure. Here, the oral finding becomes a gateway not only to reflux evaluation but also to preventive interventions that reduce ongoing mineral loss.</w:t>
      </w:r>
    </w:p>
    <w:p w:rsidR="003A5332" w:rsidRPr="003A5332" w:rsidRDefault="003A5332" w:rsidP="003A5332">
      <w:pPr>
        <w:spacing w:before="100" w:beforeAutospacing="1" w:after="100" w:afterAutospacing="1" w:line="240" w:lineRule="auto"/>
        <w:ind w:left="0" w:right="0" w:firstLine="0"/>
        <w:jc w:val="left"/>
        <w:rPr>
          <w:color w:val="auto"/>
          <w:kern w:val="0"/>
          <w:lang w:val="en-US" w:eastAsia="en-US"/>
        </w:rPr>
      </w:pPr>
      <w:r w:rsidRPr="003A5332">
        <w:rPr>
          <w:color w:val="auto"/>
          <w:kern w:val="0"/>
          <w:lang w:val="en-US" w:eastAsia="en-US"/>
        </w:rPr>
        <w:t>Thirdly, the gateway role is important in patients with known GERD because oral examination provides objective evidence of extra-</w:t>
      </w:r>
      <w:proofErr w:type="spellStart"/>
      <w:r w:rsidRPr="003A5332">
        <w:rPr>
          <w:color w:val="auto"/>
          <w:kern w:val="0"/>
          <w:lang w:val="en-US" w:eastAsia="en-US"/>
        </w:rPr>
        <w:t>oesophageal</w:t>
      </w:r>
      <w:proofErr w:type="spellEnd"/>
      <w:r w:rsidRPr="003A5332">
        <w:rPr>
          <w:color w:val="auto"/>
          <w:kern w:val="0"/>
          <w:lang w:val="en-US" w:eastAsia="en-US"/>
        </w:rPr>
        <w:t xml:space="preserve"> impact and helps guide the intensity of preventive dental management. Even when reflux is medically treated, erosive wear may continue if exposures persist (for example, due to nocturnal reflux or </w:t>
      </w:r>
      <w:proofErr w:type="spellStart"/>
      <w:r w:rsidRPr="003A5332">
        <w:rPr>
          <w:color w:val="auto"/>
          <w:kern w:val="0"/>
          <w:lang w:val="en-US" w:eastAsia="en-US"/>
        </w:rPr>
        <w:t>behavioural</w:t>
      </w:r>
      <w:proofErr w:type="spellEnd"/>
      <w:r w:rsidRPr="003A5332">
        <w:rPr>
          <w:color w:val="auto"/>
          <w:kern w:val="0"/>
          <w:lang w:val="en-US" w:eastAsia="en-US"/>
        </w:rPr>
        <w:t xml:space="preserve"> triggers) or if protective factors such as salivary buffering are compromised. The literature synthesis on GERD and dental lesions </w:t>
      </w:r>
      <w:proofErr w:type="spellStart"/>
      <w:r w:rsidRPr="003A5332">
        <w:rPr>
          <w:color w:val="auto"/>
          <w:kern w:val="0"/>
          <w:lang w:val="en-US" w:eastAsia="en-US"/>
        </w:rPr>
        <w:t>emphasises</w:t>
      </w:r>
      <w:proofErr w:type="spellEnd"/>
      <w:r w:rsidRPr="003A5332">
        <w:rPr>
          <w:color w:val="auto"/>
          <w:kern w:val="0"/>
          <w:lang w:val="en-US" w:eastAsia="en-US"/>
        </w:rPr>
        <w:t xml:space="preserve"> the relevance of dental evaluation as part of comprehensive reflux care, rather than as an optional add-on (Pace et al., 2008). In effect, </w:t>
      </w:r>
      <w:r w:rsidRPr="003A5332">
        <w:rPr>
          <w:color w:val="auto"/>
          <w:kern w:val="0"/>
          <w:lang w:val="en-US" w:eastAsia="en-US"/>
        </w:rPr>
        <w:lastRenderedPageBreak/>
        <w:t>teeth provide a clinically accessible endpoint that can reflect cumulative exposure and, in some cases, ongoing risk.</w:t>
      </w:r>
    </w:p>
    <w:p w:rsidR="003A5332" w:rsidRPr="003A5332" w:rsidRDefault="003A5332" w:rsidP="003A5332">
      <w:pPr>
        <w:spacing w:before="100" w:beforeAutospacing="1" w:after="100" w:afterAutospacing="1" w:line="240" w:lineRule="auto"/>
        <w:ind w:left="0" w:right="0" w:firstLine="0"/>
        <w:jc w:val="left"/>
        <w:outlineLvl w:val="2"/>
        <w:rPr>
          <w:b/>
          <w:bCs/>
          <w:color w:val="auto"/>
          <w:kern w:val="0"/>
          <w:sz w:val="27"/>
          <w:szCs w:val="27"/>
          <w:lang w:val="en-US" w:eastAsia="en-US"/>
        </w:rPr>
      </w:pPr>
      <w:r w:rsidRPr="003A5332">
        <w:rPr>
          <w:b/>
          <w:bCs/>
          <w:color w:val="auto"/>
          <w:kern w:val="0"/>
          <w:sz w:val="27"/>
          <w:szCs w:val="27"/>
          <w:lang w:val="en-US" w:eastAsia="en-US"/>
        </w:rPr>
        <w:t>6.4 Differential diagnosis and clinical integration</w:t>
      </w:r>
    </w:p>
    <w:p w:rsidR="003A5332" w:rsidRPr="003A5332" w:rsidRDefault="003A5332" w:rsidP="003A5332">
      <w:pPr>
        <w:spacing w:before="100" w:beforeAutospacing="1" w:after="100" w:afterAutospacing="1" w:line="240" w:lineRule="auto"/>
        <w:ind w:left="0" w:right="0" w:firstLine="0"/>
        <w:jc w:val="left"/>
        <w:rPr>
          <w:color w:val="auto"/>
          <w:kern w:val="0"/>
          <w:lang w:val="en-US" w:eastAsia="en-US"/>
        </w:rPr>
      </w:pPr>
      <w:r w:rsidRPr="003A5332">
        <w:rPr>
          <w:color w:val="auto"/>
          <w:kern w:val="0"/>
          <w:lang w:val="en-US" w:eastAsia="en-US"/>
        </w:rPr>
        <w:t>A major clinical caveat is that erosion is multifactorial. Extrinsic dietary acids, eating patterns, sports drinks, and occupational exposures can mimic or contribute to erosive wear, and parafunctional habits can compound tissue loss by adding attrition to an erosion-softened surface. Therefore, the diagnostic gateway approach must remain probabilistic rather than definitive. The most robust use of erosive tooth wear as a reflux marker relies on triangulation: the clinical pattern of wear, the patient’s history of reflux or extra-</w:t>
      </w:r>
      <w:proofErr w:type="spellStart"/>
      <w:r w:rsidRPr="003A5332">
        <w:rPr>
          <w:color w:val="auto"/>
          <w:kern w:val="0"/>
          <w:lang w:val="en-US" w:eastAsia="en-US"/>
        </w:rPr>
        <w:t>oesophageal</w:t>
      </w:r>
      <w:proofErr w:type="spellEnd"/>
      <w:r w:rsidRPr="003A5332">
        <w:rPr>
          <w:color w:val="auto"/>
          <w:kern w:val="0"/>
          <w:lang w:val="en-US" w:eastAsia="en-US"/>
        </w:rPr>
        <w:t xml:space="preserve"> symptoms, and the plausibility of alternative explanations. The overview-of-reviews literature explicitly notes heterogeneity and the need to interpret associations carefully, reinforcing that erosion should prompt </w:t>
      </w:r>
      <w:r w:rsidRPr="003A5332">
        <w:rPr>
          <w:i/>
          <w:iCs/>
          <w:color w:val="auto"/>
          <w:kern w:val="0"/>
          <w:lang w:val="en-US" w:eastAsia="en-US"/>
        </w:rPr>
        <w:t>consideration</w:t>
      </w:r>
      <w:r w:rsidRPr="003A5332">
        <w:rPr>
          <w:color w:val="auto"/>
          <w:kern w:val="0"/>
          <w:lang w:val="en-US" w:eastAsia="en-US"/>
        </w:rPr>
        <w:t xml:space="preserve"> of reflux rather than act as a diagnostic substitute for gastroenterological assessment (</w:t>
      </w:r>
      <w:proofErr w:type="spellStart"/>
      <w:r w:rsidRPr="003A5332">
        <w:rPr>
          <w:color w:val="auto"/>
          <w:kern w:val="0"/>
          <w:lang w:val="en-US" w:eastAsia="en-US"/>
        </w:rPr>
        <w:t>Chatzidimitriou</w:t>
      </w:r>
      <w:proofErr w:type="spellEnd"/>
      <w:r w:rsidRPr="003A5332">
        <w:rPr>
          <w:color w:val="auto"/>
          <w:kern w:val="0"/>
          <w:lang w:val="en-US" w:eastAsia="en-US"/>
        </w:rPr>
        <w:t xml:space="preserve"> et al., 2023).</w:t>
      </w:r>
    </w:p>
    <w:p w:rsidR="003A5332" w:rsidRPr="003A5332" w:rsidRDefault="003A5332" w:rsidP="003A5332">
      <w:pPr>
        <w:spacing w:before="100" w:beforeAutospacing="1" w:after="100" w:afterAutospacing="1" w:line="240" w:lineRule="auto"/>
        <w:ind w:left="0" w:right="0" w:firstLine="0"/>
        <w:jc w:val="left"/>
        <w:rPr>
          <w:color w:val="auto"/>
          <w:kern w:val="0"/>
          <w:lang w:val="en-US" w:eastAsia="en-US"/>
        </w:rPr>
      </w:pPr>
      <w:r w:rsidRPr="003A5332">
        <w:rPr>
          <w:color w:val="auto"/>
          <w:kern w:val="0"/>
          <w:lang w:val="en-US" w:eastAsia="en-US"/>
        </w:rPr>
        <w:t xml:space="preserve">When applied with this caution, the gateway model yields tangible clinical benefits. It encourages earlier identification of possible reflux in patients who might otherwise remain untreated, potentially reducing both dental harm and upper aerodigestive complications. It also supports coordinated care: dental clinicians can implement protective strategies while recommending appropriate medical evaluation, and medical clinicians can </w:t>
      </w:r>
      <w:proofErr w:type="spellStart"/>
      <w:r w:rsidRPr="003A5332">
        <w:rPr>
          <w:color w:val="auto"/>
          <w:kern w:val="0"/>
          <w:lang w:val="en-US" w:eastAsia="en-US"/>
        </w:rPr>
        <w:t>recognise</w:t>
      </w:r>
      <w:proofErr w:type="spellEnd"/>
      <w:r w:rsidRPr="003A5332">
        <w:rPr>
          <w:color w:val="auto"/>
          <w:kern w:val="0"/>
          <w:lang w:val="en-US" w:eastAsia="en-US"/>
        </w:rPr>
        <w:t xml:space="preserve"> that oral findings may reflect the cumulative burden of reflux, strengthening the rationale for comprehensive symptom assessment and management (Pace et al., 2008; </w:t>
      </w:r>
      <w:proofErr w:type="spellStart"/>
      <w:r w:rsidRPr="003A5332">
        <w:rPr>
          <w:color w:val="auto"/>
          <w:kern w:val="0"/>
          <w:lang w:val="en-US" w:eastAsia="en-US"/>
        </w:rPr>
        <w:t>Yanushevich</w:t>
      </w:r>
      <w:proofErr w:type="spellEnd"/>
      <w:r w:rsidRPr="003A5332">
        <w:rPr>
          <w:color w:val="auto"/>
          <w:kern w:val="0"/>
          <w:lang w:val="en-US" w:eastAsia="en-US"/>
        </w:rPr>
        <w:t xml:space="preserve"> et al., 2022).</w:t>
      </w:r>
    </w:p>
    <w:p w:rsidR="005072B4" w:rsidRPr="005072B4" w:rsidRDefault="005072B4" w:rsidP="005072B4">
      <w:pPr>
        <w:rPr>
          <w:lang w:val="en-GB"/>
        </w:rPr>
      </w:pPr>
    </w:p>
    <w:p w:rsidR="003A5332" w:rsidRPr="003A5332" w:rsidRDefault="003A5332" w:rsidP="003A5332">
      <w:pPr>
        <w:spacing w:before="100" w:beforeAutospacing="1" w:after="100" w:afterAutospacing="1" w:line="240" w:lineRule="auto"/>
        <w:ind w:left="0" w:right="0" w:firstLine="0"/>
        <w:jc w:val="left"/>
        <w:outlineLvl w:val="1"/>
        <w:rPr>
          <w:b/>
          <w:bCs/>
          <w:color w:val="auto"/>
          <w:kern w:val="0"/>
          <w:sz w:val="36"/>
          <w:szCs w:val="36"/>
          <w:lang w:val="en-US" w:eastAsia="en-US"/>
        </w:rPr>
      </w:pPr>
      <w:r w:rsidRPr="003A5332">
        <w:rPr>
          <w:b/>
          <w:bCs/>
          <w:color w:val="auto"/>
          <w:kern w:val="0"/>
          <w:sz w:val="36"/>
          <w:szCs w:val="36"/>
          <w:lang w:val="en-US" w:eastAsia="en-US"/>
        </w:rPr>
        <w:t xml:space="preserve">7. </w:t>
      </w:r>
      <w:r w:rsidRPr="003A5332">
        <w:rPr>
          <w:b/>
          <w:bCs/>
          <w:i/>
          <w:iCs/>
          <w:color w:val="auto"/>
          <w:kern w:val="0"/>
          <w:sz w:val="36"/>
          <w:szCs w:val="36"/>
          <w:lang w:val="en-US" w:eastAsia="en-US"/>
        </w:rPr>
        <w:t>Helicobacter pylori</w:t>
      </w:r>
      <w:r w:rsidRPr="003A5332">
        <w:rPr>
          <w:b/>
          <w:bCs/>
          <w:color w:val="auto"/>
          <w:kern w:val="0"/>
          <w:sz w:val="36"/>
          <w:szCs w:val="36"/>
          <w:lang w:val="en-US" w:eastAsia="en-US"/>
        </w:rPr>
        <w:t>–associated syndromes and halitosis: breath as a cross-disciplinary symptom</w:t>
      </w:r>
    </w:p>
    <w:p w:rsidR="003A5332" w:rsidRPr="003A5332" w:rsidRDefault="003A5332" w:rsidP="003A5332">
      <w:pPr>
        <w:spacing w:before="100" w:beforeAutospacing="1" w:after="100" w:afterAutospacing="1" w:line="240" w:lineRule="auto"/>
        <w:ind w:left="0" w:right="0" w:firstLine="0"/>
        <w:jc w:val="left"/>
        <w:rPr>
          <w:color w:val="auto"/>
          <w:kern w:val="0"/>
          <w:lang w:val="en-US" w:eastAsia="en-US"/>
        </w:rPr>
      </w:pPr>
      <w:r w:rsidRPr="003A5332">
        <w:rPr>
          <w:color w:val="auto"/>
          <w:kern w:val="0"/>
          <w:lang w:val="en-US" w:eastAsia="en-US"/>
        </w:rPr>
        <w:t xml:space="preserve">Halitosis is among the most common and socially burdensome complaints encountered in oral healthcare, yet it is also one of the most diagnostically contested symptoms. The dominant </w:t>
      </w:r>
      <w:proofErr w:type="spellStart"/>
      <w:r w:rsidRPr="003A5332">
        <w:rPr>
          <w:color w:val="auto"/>
          <w:kern w:val="0"/>
          <w:lang w:val="en-US" w:eastAsia="en-US"/>
        </w:rPr>
        <w:t>aetiology</w:t>
      </w:r>
      <w:proofErr w:type="spellEnd"/>
      <w:r w:rsidRPr="003A5332">
        <w:rPr>
          <w:color w:val="auto"/>
          <w:kern w:val="0"/>
          <w:lang w:val="en-US" w:eastAsia="en-US"/>
        </w:rPr>
        <w:t xml:space="preserve"> is intra-oral, typically driven by tongue coating, periodontal disease, caries, xerostomia, or dietary factors. Nevertheless, a persistent subset of cases remains refractory to standard dental interventions and raises the possibility of extra-oral contributions, including gastrointestinal disease. Within the diagnostic gateway framework, halitosis is valuable not because it is specific, but because it is a symptom that frequently prompts care-seeking in dental settings, creating opportunities for broader clinical triage. When breath </w:t>
      </w:r>
      <w:proofErr w:type="spellStart"/>
      <w:r w:rsidRPr="003A5332">
        <w:rPr>
          <w:color w:val="auto"/>
          <w:kern w:val="0"/>
          <w:lang w:val="en-US" w:eastAsia="en-US"/>
        </w:rPr>
        <w:t>malodour</w:t>
      </w:r>
      <w:proofErr w:type="spellEnd"/>
      <w:r w:rsidRPr="003A5332">
        <w:rPr>
          <w:color w:val="auto"/>
          <w:kern w:val="0"/>
          <w:lang w:val="en-US" w:eastAsia="en-US"/>
        </w:rPr>
        <w:t xml:space="preserve"> persists despite appropriate oral assessment and management, and when it co-occurs with dyspeptic symptoms or reflux-like complaints, it can serve as a reasonable gateway to consider </w:t>
      </w:r>
      <w:r w:rsidRPr="003A5332">
        <w:rPr>
          <w:i/>
          <w:iCs/>
          <w:color w:val="auto"/>
          <w:kern w:val="0"/>
          <w:lang w:val="en-US" w:eastAsia="en-US"/>
        </w:rPr>
        <w:t>Helicobacter pylori</w:t>
      </w:r>
      <w:r w:rsidRPr="003A5332">
        <w:rPr>
          <w:color w:val="auto"/>
          <w:kern w:val="0"/>
          <w:lang w:val="en-US" w:eastAsia="en-US"/>
        </w:rPr>
        <w:t xml:space="preserve"> infection and related upper gastrointestinal syndromes rather than repeatedly escalating local oral treatments alone (Dou et al., 2016).</w:t>
      </w:r>
    </w:p>
    <w:p w:rsidR="003A5332" w:rsidRPr="003A5332" w:rsidRDefault="003A5332" w:rsidP="003A5332">
      <w:pPr>
        <w:spacing w:before="100" w:beforeAutospacing="1" w:after="100" w:afterAutospacing="1" w:line="240" w:lineRule="auto"/>
        <w:ind w:left="0" w:right="0" w:firstLine="0"/>
        <w:jc w:val="left"/>
        <w:outlineLvl w:val="2"/>
        <w:rPr>
          <w:b/>
          <w:bCs/>
          <w:color w:val="auto"/>
          <w:kern w:val="0"/>
          <w:sz w:val="27"/>
          <w:szCs w:val="27"/>
          <w:lang w:val="en-US" w:eastAsia="en-US"/>
        </w:rPr>
      </w:pPr>
      <w:r w:rsidRPr="003A5332">
        <w:rPr>
          <w:b/>
          <w:bCs/>
          <w:color w:val="auto"/>
          <w:kern w:val="0"/>
          <w:sz w:val="27"/>
          <w:szCs w:val="27"/>
          <w:lang w:val="en-US" w:eastAsia="en-US"/>
        </w:rPr>
        <w:t xml:space="preserve">7.1 Biological plausibility: how </w:t>
      </w:r>
      <w:r w:rsidRPr="003A5332">
        <w:rPr>
          <w:b/>
          <w:bCs/>
          <w:i/>
          <w:iCs/>
          <w:color w:val="auto"/>
          <w:kern w:val="0"/>
          <w:sz w:val="27"/>
          <w:szCs w:val="27"/>
          <w:lang w:val="en-US" w:eastAsia="en-US"/>
        </w:rPr>
        <w:t>H. pylori</w:t>
      </w:r>
      <w:r w:rsidRPr="003A5332">
        <w:rPr>
          <w:b/>
          <w:bCs/>
          <w:color w:val="auto"/>
          <w:kern w:val="0"/>
          <w:sz w:val="27"/>
          <w:szCs w:val="27"/>
          <w:lang w:val="en-US" w:eastAsia="en-US"/>
        </w:rPr>
        <w:t xml:space="preserve"> might relate to halitosis</w:t>
      </w:r>
    </w:p>
    <w:p w:rsidR="003A5332" w:rsidRPr="003A5332" w:rsidRDefault="003A5332" w:rsidP="003A5332">
      <w:pPr>
        <w:spacing w:before="100" w:beforeAutospacing="1" w:after="100" w:afterAutospacing="1" w:line="240" w:lineRule="auto"/>
        <w:ind w:left="0" w:right="0" w:firstLine="0"/>
        <w:jc w:val="left"/>
        <w:rPr>
          <w:color w:val="auto"/>
          <w:kern w:val="0"/>
          <w:lang w:val="en-US" w:eastAsia="en-US"/>
        </w:rPr>
      </w:pPr>
      <w:r w:rsidRPr="003A5332">
        <w:rPr>
          <w:color w:val="auto"/>
          <w:kern w:val="0"/>
          <w:lang w:val="en-US" w:eastAsia="en-US"/>
        </w:rPr>
        <w:t xml:space="preserve">The </w:t>
      </w:r>
      <w:proofErr w:type="spellStart"/>
      <w:r w:rsidRPr="003A5332">
        <w:rPr>
          <w:color w:val="auto"/>
          <w:kern w:val="0"/>
          <w:lang w:val="en-US" w:eastAsia="en-US"/>
        </w:rPr>
        <w:t>hypothesised</w:t>
      </w:r>
      <w:proofErr w:type="spellEnd"/>
      <w:r w:rsidRPr="003A5332">
        <w:rPr>
          <w:color w:val="auto"/>
          <w:kern w:val="0"/>
          <w:lang w:val="en-US" w:eastAsia="en-US"/>
        </w:rPr>
        <w:t xml:space="preserve"> links between </w:t>
      </w:r>
      <w:r w:rsidRPr="003A5332">
        <w:rPr>
          <w:i/>
          <w:iCs/>
          <w:color w:val="auto"/>
          <w:kern w:val="0"/>
          <w:lang w:val="en-US" w:eastAsia="en-US"/>
        </w:rPr>
        <w:t>H. pylori</w:t>
      </w:r>
      <w:r w:rsidRPr="003A5332">
        <w:rPr>
          <w:color w:val="auto"/>
          <w:kern w:val="0"/>
          <w:lang w:val="en-US" w:eastAsia="en-US"/>
        </w:rPr>
        <w:t xml:space="preserve"> and halitosis are multifactorial. </w:t>
      </w:r>
      <w:r w:rsidRPr="003A5332">
        <w:rPr>
          <w:i/>
          <w:iCs/>
          <w:color w:val="auto"/>
          <w:kern w:val="0"/>
          <w:lang w:val="en-US" w:eastAsia="en-US"/>
        </w:rPr>
        <w:t>H. pylori</w:t>
      </w:r>
      <w:r w:rsidRPr="003A5332">
        <w:rPr>
          <w:color w:val="auto"/>
          <w:kern w:val="0"/>
          <w:lang w:val="en-US" w:eastAsia="en-US"/>
        </w:rPr>
        <w:t xml:space="preserve"> is primarily a gastric pathogen associated with chronic gastritis, peptic ulcer disease, and </w:t>
      </w:r>
      <w:r w:rsidRPr="003A5332">
        <w:rPr>
          <w:color w:val="auto"/>
          <w:kern w:val="0"/>
          <w:lang w:val="en-US" w:eastAsia="en-US"/>
        </w:rPr>
        <w:lastRenderedPageBreak/>
        <w:t xml:space="preserve">dyspepsia. The gastrointestinal contribution to halitosis, where present, is often </w:t>
      </w:r>
      <w:proofErr w:type="spellStart"/>
      <w:r w:rsidRPr="003A5332">
        <w:rPr>
          <w:color w:val="auto"/>
          <w:kern w:val="0"/>
          <w:lang w:val="en-US" w:eastAsia="en-US"/>
        </w:rPr>
        <w:t>conceptualised</w:t>
      </w:r>
      <w:proofErr w:type="spellEnd"/>
      <w:r w:rsidRPr="003A5332">
        <w:rPr>
          <w:color w:val="auto"/>
          <w:kern w:val="0"/>
          <w:lang w:val="en-US" w:eastAsia="en-US"/>
        </w:rPr>
        <w:t xml:space="preserve"> through changes in gastric milieu and volatile compound production, reflux-related transport of odorous gases, and interactions with oral microbial ecosystems. However, the symptom remains difficult to attribute confidently because volatile </w:t>
      </w:r>
      <w:proofErr w:type="spellStart"/>
      <w:r w:rsidRPr="003A5332">
        <w:rPr>
          <w:color w:val="auto"/>
          <w:kern w:val="0"/>
          <w:lang w:val="en-US" w:eastAsia="en-US"/>
        </w:rPr>
        <w:t>sulphur</w:t>
      </w:r>
      <w:proofErr w:type="spellEnd"/>
      <w:r w:rsidRPr="003A5332">
        <w:rPr>
          <w:color w:val="auto"/>
          <w:kern w:val="0"/>
          <w:lang w:val="en-US" w:eastAsia="en-US"/>
        </w:rPr>
        <w:t xml:space="preserve"> compounds—the main mediators of oral </w:t>
      </w:r>
      <w:proofErr w:type="spellStart"/>
      <w:r w:rsidRPr="003A5332">
        <w:rPr>
          <w:color w:val="auto"/>
          <w:kern w:val="0"/>
          <w:lang w:val="en-US" w:eastAsia="en-US"/>
        </w:rPr>
        <w:t>malodour</w:t>
      </w:r>
      <w:proofErr w:type="spellEnd"/>
      <w:r w:rsidRPr="003A5332">
        <w:rPr>
          <w:color w:val="auto"/>
          <w:kern w:val="0"/>
          <w:lang w:val="en-US" w:eastAsia="en-US"/>
        </w:rPr>
        <w:t xml:space="preserve">—are usually generated by oral anaerobes rather than gastric sources. This creates a clinical paradox: </w:t>
      </w:r>
      <w:r w:rsidRPr="003A5332">
        <w:rPr>
          <w:i/>
          <w:iCs/>
          <w:color w:val="auto"/>
          <w:kern w:val="0"/>
          <w:lang w:val="en-US" w:eastAsia="en-US"/>
        </w:rPr>
        <w:t>H. pylori</w:t>
      </w:r>
      <w:r w:rsidRPr="003A5332">
        <w:rPr>
          <w:color w:val="auto"/>
          <w:kern w:val="0"/>
          <w:lang w:val="en-US" w:eastAsia="en-US"/>
        </w:rPr>
        <w:t xml:space="preserve"> may be associated with halitosis in some patients, yet the mouth remains the most common site of causation. As a result, the gateway use of halitosis requires careful selection and contextual reasoning rather than indiscriminate gastrointestinal work-up.</w:t>
      </w:r>
    </w:p>
    <w:p w:rsidR="003A5332" w:rsidRPr="003A5332" w:rsidRDefault="003A5332" w:rsidP="003A5332">
      <w:pPr>
        <w:spacing w:before="100" w:beforeAutospacing="1" w:after="100" w:afterAutospacing="1" w:line="240" w:lineRule="auto"/>
        <w:ind w:left="0" w:right="0" w:firstLine="0"/>
        <w:jc w:val="left"/>
        <w:outlineLvl w:val="2"/>
        <w:rPr>
          <w:b/>
          <w:bCs/>
          <w:color w:val="auto"/>
          <w:kern w:val="0"/>
          <w:sz w:val="27"/>
          <w:szCs w:val="27"/>
          <w:lang w:val="en-US" w:eastAsia="en-US"/>
        </w:rPr>
      </w:pPr>
      <w:r w:rsidRPr="003A5332">
        <w:rPr>
          <w:b/>
          <w:bCs/>
          <w:color w:val="auto"/>
          <w:kern w:val="0"/>
          <w:sz w:val="27"/>
          <w:szCs w:val="27"/>
          <w:lang w:val="en-US" w:eastAsia="en-US"/>
        </w:rPr>
        <w:t>7.2 Evidence for association: what the synthesis literature suggests</w:t>
      </w:r>
    </w:p>
    <w:p w:rsidR="003A5332" w:rsidRPr="003A5332" w:rsidRDefault="003A5332" w:rsidP="003A5332">
      <w:pPr>
        <w:spacing w:before="100" w:beforeAutospacing="1" w:after="100" w:afterAutospacing="1" w:line="240" w:lineRule="auto"/>
        <w:ind w:left="0" w:right="0" w:firstLine="0"/>
        <w:jc w:val="left"/>
        <w:rPr>
          <w:color w:val="auto"/>
          <w:kern w:val="0"/>
          <w:lang w:val="en-US" w:eastAsia="en-US"/>
        </w:rPr>
      </w:pPr>
      <w:r w:rsidRPr="003A5332">
        <w:rPr>
          <w:color w:val="auto"/>
          <w:kern w:val="0"/>
          <w:lang w:val="en-US" w:eastAsia="en-US"/>
        </w:rPr>
        <w:t xml:space="preserve">A meta-analysis evaluating the relationship between halitosis and </w:t>
      </w:r>
      <w:r w:rsidRPr="003A5332">
        <w:rPr>
          <w:i/>
          <w:iCs/>
          <w:color w:val="auto"/>
          <w:kern w:val="0"/>
          <w:lang w:val="en-US" w:eastAsia="en-US"/>
        </w:rPr>
        <w:t>H. pylori</w:t>
      </w:r>
      <w:r w:rsidRPr="003A5332">
        <w:rPr>
          <w:color w:val="auto"/>
          <w:kern w:val="0"/>
          <w:lang w:val="en-US" w:eastAsia="en-US"/>
        </w:rPr>
        <w:t xml:space="preserve"> infection reported a positive association and suggested that eradication may improve halitosis in some cases (Dou et al., 2016). This finding supports the plausibility that </w:t>
      </w:r>
      <w:r w:rsidRPr="003A5332">
        <w:rPr>
          <w:i/>
          <w:iCs/>
          <w:color w:val="auto"/>
          <w:kern w:val="0"/>
          <w:lang w:val="en-US" w:eastAsia="en-US"/>
        </w:rPr>
        <w:t>H. pylori</w:t>
      </w:r>
      <w:r w:rsidRPr="003A5332">
        <w:rPr>
          <w:color w:val="auto"/>
          <w:kern w:val="0"/>
          <w:lang w:val="en-US" w:eastAsia="en-US"/>
        </w:rPr>
        <w:t xml:space="preserve"> can contribute to breath </w:t>
      </w:r>
      <w:proofErr w:type="spellStart"/>
      <w:r w:rsidRPr="003A5332">
        <w:rPr>
          <w:color w:val="auto"/>
          <w:kern w:val="0"/>
          <w:lang w:val="en-US" w:eastAsia="en-US"/>
        </w:rPr>
        <w:t>malodour</w:t>
      </w:r>
      <w:proofErr w:type="spellEnd"/>
      <w:r w:rsidRPr="003A5332">
        <w:rPr>
          <w:color w:val="auto"/>
          <w:kern w:val="0"/>
          <w:lang w:val="en-US" w:eastAsia="en-US"/>
        </w:rPr>
        <w:t xml:space="preserve"> in a subset of patients, but it does not resolve key interpretive challenges. Halitosis measurement varies widely across studies, ranging from organoleptic scoring to volatile </w:t>
      </w:r>
      <w:proofErr w:type="spellStart"/>
      <w:r w:rsidRPr="003A5332">
        <w:rPr>
          <w:color w:val="auto"/>
          <w:kern w:val="0"/>
          <w:lang w:val="en-US" w:eastAsia="en-US"/>
        </w:rPr>
        <w:t>sulphur</w:t>
      </w:r>
      <w:proofErr w:type="spellEnd"/>
      <w:r w:rsidRPr="003A5332">
        <w:rPr>
          <w:color w:val="auto"/>
          <w:kern w:val="0"/>
          <w:lang w:val="en-US" w:eastAsia="en-US"/>
        </w:rPr>
        <w:t xml:space="preserve"> compound quantification, and many investigations are vulnerable to confounding by periodontal status, smoking, diet, and concurrent reflux. Therefore, the most clinically appropriate reading of the evidence is not that halitosis is a reliable diagnostic marker of </w:t>
      </w:r>
      <w:r w:rsidRPr="003A5332">
        <w:rPr>
          <w:i/>
          <w:iCs/>
          <w:color w:val="auto"/>
          <w:kern w:val="0"/>
          <w:lang w:val="en-US" w:eastAsia="en-US"/>
        </w:rPr>
        <w:t>H. pylori</w:t>
      </w:r>
      <w:r w:rsidRPr="003A5332">
        <w:rPr>
          <w:color w:val="auto"/>
          <w:kern w:val="0"/>
          <w:lang w:val="en-US" w:eastAsia="en-US"/>
        </w:rPr>
        <w:t xml:space="preserve">, but that </w:t>
      </w:r>
      <w:r w:rsidRPr="003A5332">
        <w:rPr>
          <w:i/>
          <w:iCs/>
          <w:color w:val="auto"/>
          <w:kern w:val="0"/>
          <w:lang w:val="en-US" w:eastAsia="en-US"/>
        </w:rPr>
        <w:t>H. pylori</w:t>
      </w:r>
      <w:r w:rsidRPr="003A5332">
        <w:rPr>
          <w:color w:val="auto"/>
          <w:kern w:val="0"/>
          <w:lang w:val="en-US" w:eastAsia="en-US"/>
        </w:rPr>
        <w:t xml:space="preserve"> should enter the differential diagnosis when halitosis is persistent and when contextual features raise the probability of gastrointestinal involvement.</w:t>
      </w:r>
    </w:p>
    <w:p w:rsidR="003A5332" w:rsidRPr="003A5332" w:rsidRDefault="003A5332" w:rsidP="003A5332">
      <w:pPr>
        <w:spacing w:before="100" w:beforeAutospacing="1" w:after="100" w:afterAutospacing="1" w:line="240" w:lineRule="auto"/>
        <w:ind w:left="0" w:right="0" w:firstLine="0"/>
        <w:jc w:val="left"/>
        <w:outlineLvl w:val="2"/>
        <w:rPr>
          <w:b/>
          <w:bCs/>
          <w:color w:val="auto"/>
          <w:kern w:val="0"/>
          <w:sz w:val="27"/>
          <w:szCs w:val="27"/>
          <w:lang w:val="en-US" w:eastAsia="en-US"/>
        </w:rPr>
      </w:pPr>
      <w:r w:rsidRPr="003A5332">
        <w:rPr>
          <w:b/>
          <w:bCs/>
          <w:color w:val="auto"/>
          <w:kern w:val="0"/>
          <w:sz w:val="27"/>
          <w:szCs w:val="27"/>
          <w:lang w:val="en-US" w:eastAsia="en-US"/>
        </w:rPr>
        <w:t>7.3 Dental plaque as a potential reservoir: implications for persistence and recurrence</w:t>
      </w:r>
    </w:p>
    <w:p w:rsidR="003A5332" w:rsidRPr="003A5332" w:rsidRDefault="003A5332" w:rsidP="003A5332">
      <w:pPr>
        <w:spacing w:before="100" w:beforeAutospacing="1" w:after="100" w:afterAutospacing="1" w:line="240" w:lineRule="auto"/>
        <w:ind w:left="0" w:right="0" w:firstLine="0"/>
        <w:jc w:val="left"/>
        <w:rPr>
          <w:color w:val="auto"/>
          <w:kern w:val="0"/>
          <w:lang w:val="en-US" w:eastAsia="en-US"/>
        </w:rPr>
      </w:pPr>
      <w:r w:rsidRPr="003A5332">
        <w:rPr>
          <w:color w:val="auto"/>
          <w:kern w:val="0"/>
          <w:lang w:val="en-US" w:eastAsia="en-US"/>
        </w:rPr>
        <w:t xml:space="preserve">One of the most clinically relevant translational ideas in this domain is the possibility that the oral cavity can act as an extra-gastric reservoir for </w:t>
      </w:r>
      <w:r w:rsidRPr="003A5332">
        <w:rPr>
          <w:i/>
          <w:iCs/>
          <w:color w:val="auto"/>
          <w:kern w:val="0"/>
          <w:lang w:val="en-US" w:eastAsia="en-US"/>
        </w:rPr>
        <w:t>H. pylori</w:t>
      </w:r>
      <w:r w:rsidRPr="003A5332">
        <w:rPr>
          <w:color w:val="auto"/>
          <w:kern w:val="0"/>
          <w:lang w:val="en-US" w:eastAsia="en-US"/>
        </w:rPr>
        <w:t xml:space="preserve">. A systematic review and meta-analysis </w:t>
      </w:r>
      <w:proofErr w:type="spellStart"/>
      <w:r w:rsidRPr="003A5332">
        <w:rPr>
          <w:color w:val="auto"/>
          <w:kern w:val="0"/>
          <w:lang w:val="en-US" w:eastAsia="en-US"/>
        </w:rPr>
        <w:t>synthesised</w:t>
      </w:r>
      <w:proofErr w:type="spellEnd"/>
      <w:r w:rsidRPr="003A5332">
        <w:rPr>
          <w:color w:val="auto"/>
          <w:kern w:val="0"/>
          <w:lang w:val="en-US" w:eastAsia="en-US"/>
        </w:rPr>
        <w:t xml:space="preserve"> evidence that dental plaque may </w:t>
      </w:r>
      <w:proofErr w:type="spellStart"/>
      <w:r w:rsidRPr="003A5332">
        <w:rPr>
          <w:color w:val="auto"/>
          <w:kern w:val="0"/>
          <w:lang w:val="en-US" w:eastAsia="en-US"/>
        </w:rPr>
        <w:t>harbour</w:t>
      </w:r>
      <w:proofErr w:type="spellEnd"/>
      <w:r w:rsidRPr="003A5332">
        <w:rPr>
          <w:color w:val="auto"/>
          <w:kern w:val="0"/>
          <w:lang w:val="en-US" w:eastAsia="en-US"/>
        </w:rPr>
        <w:t xml:space="preserve"> </w:t>
      </w:r>
      <w:r w:rsidRPr="003A5332">
        <w:rPr>
          <w:i/>
          <w:iCs/>
          <w:color w:val="auto"/>
          <w:kern w:val="0"/>
          <w:lang w:val="en-US" w:eastAsia="en-US"/>
        </w:rPr>
        <w:t>H. pylori</w:t>
      </w:r>
      <w:r w:rsidRPr="003A5332">
        <w:rPr>
          <w:color w:val="auto"/>
          <w:kern w:val="0"/>
          <w:lang w:val="en-US" w:eastAsia="en-US"/>
        </w:rPr>
        <w:t>, supporting the concept that oral niches could contribute to persistence, reinfection, or incomplete eradication in some individuals (Anand et al., 2025). This reservoir hypothesis matters for two reasons within a gateway framework. First, it provides a mechanism by which oral health status might influence gastrointestinal infection dynamics, thereby linking dental findings and upper GI outcomes more directly than symptom association alone. Secondly, it suggests that, in selected patients—especially those with recurrence after therapy—addressing oral biofilm and periodontal inflammation may be a rational adjunct to purely pharmacological eradication approaches.</w:t>
      </w:r>
    </w:p>
    <w:p w:rsidR="003A5332" w:rsidRPr="003A5332" w:rsidRDefault="003A5332" w:rsidP="003A5332">
      <w:pPr>
        <w:spacing w:before="100" w:beforeAutospacing="1" w:after="100" w:afterAutospacing="1" w:line="240" w:lineRule="auto"/>
        <w:ind w:left="0" w:right="0" w:firstLine="0"/>
        <w:jc w:val="left"/>
        <w:rPr>
          <w:color w:val="auto"/>
          <w:kern w:val="0"/>
          <w:lang w:val="en-US" w:eastAsia="en-US"/>
        </w:rPr>
      </w:pPr>
      <w:r w:rsidRPr="003A5332">
        <w:rPr>
          <w:color w:val="auto"/>
          <w:kern w:val="0"/>
          <w:lang w:val="en-US" w:eastAsia="en-US"/>
        </w:rPr>
        <w:t xml:space="preserve">Clinically, however, the reservoir concept should not be overextended. Detection of </w:t>
      </w:r>
      <w:r w:rsidRPr="003A5332">
        <w:rPr>
          <w:i/>
          <w:iCs/>
          <w:color w:val="auto"/>
          <w:kern w:val="0"/>
          <w:lang w:val="en-US" w:eastAsia="en-US"/>
        </w:rPr>
        <w:t>H. pylori</w:t>
      </w:r>
      <w:r w:rsidRPr="003A5332">
        <w:rPr>
          <w:color w:val="auto"/>
          <w:kern w:val="0"/>
          <w:lang w:val="en-US" w:eastAsia="en-US"/>
        </w:rPr>
        <w:t xml:space="preserve"> in plaque does not automatically imply causation of halitosis, nor does it mean that routine dental debridement is sufficient for eradication. Instead, it frames a plausible bidirectional interaction: persistent oral biofilm may support microbial persistence, while gastric infection and dyspeptic symptoms may influence oral ecology and patient </w:t>
      </w:r>
      <w:proofErr w:type="spellStart"/>
      <w:r w:rsidRPr="003A5332">
        <w:rPr>
          <w:color w:val="auto"/>
          <w:kern w:val="0"/>
          <w:lang w:val="en-US" w:eastAsia="en-US"/>
        </w:rPr>
        <w:t>behaviours</w:t>
      </w:r>
      <w:proofErr w:type="spellEnd"/>
      <w:r w:rsidRPr="003A5332">
        <w:rPr>
          <w:color w:val="auto"/>
          <w:kern w:val="0"/>
          <w:lang w:val="en-US" w:eastAsia="en-US"/>
        </w:rPr>
        <w:t xml:space="preserve"> (e.g., altered diet, mouth breathing, medication use) that secondarily affect </w:t>
      </w:r>
      <w:proofErr w:type="spellStart"/>
      <w:r w:rsidRPr="003A5332">
        <w:rPr>
          <w:color w:val="auto"/>
          <w:kern w:val="0"/>
          <w:lang w:val="en-US" w:eastAsia="en-US"/>
        </w:rPr>
        <w:t>malodour</w:t>
      </w:r>
      <w:proofErr w:type="spellEnd"/>
      <w:r w:rsidRPr="003A5332">
        <w:rPr>
          <w:color w:val="auto"/>
          <w:kern w:val="0"/>
          <w:lang w:val="en-US" w:eastAsia="en-US"/>
        </w:rPr>
        <w:t>. The practical implication is that collaborative care—aligning gastrointestinal evaluation with robust oral hygiene and periodontal management—may be particularly sensible when halitosis coexists with dyspepsia, gastritis, or treatment-refractory symptoms (Anand et al., 2025; Dou et al., 2016).</w:t>
      </w:r>
    </w:p>
    <w:p w:rsidR="003A5332" w:rsidRPr="003A5332" w:rsidRDefault="003A5332" w:rsidP="003A5332">
      <w:pPr>
        <w:spacing w:before="100" w:beforeAutospacing="1" w:after="100" w:afterAutospacing="1" w:line="240" w:lineRule="auto"/>
        <w:ind w:left="0" w:right="0" w:firstLine="0"/>
        <w:jc w:val="left"/>
        <w:outlineLvl w:val="2"/>
        <w:rPr>
          <w:b/>
          <w:bCs/>
          <w:color w:val="auto"/>
          <w:kern w:val="0"/>
          <w:sz w:val="27"/>
          <w:szCs w:val="27"/>
          <w:lang w:val="en-US" w:eastAsia="en-US"/>
        </w:rPr>
      </w:pPr>
      <w:r w:rsidRPr="003A5332">
        <w:rPr>
          <w:b/>
          <w:bCs/>
          <w:color w:val="auto"/>
          <w:kern w:val="0"/>
          <w:sz w:val="27"/>
          <w:szCs w:val="27"/>
          <w:lang w:val="en-US" w:eastAsia="en-US"/>
        </w:rPr>
        <w:lastRenderedPageBreak/>
        <w:t xml:space="preserve">7.4 </w:t>
      </w:r>
      <w:proofErr w:type="spellStart"/>
      <w:r w:rsidRPr="003A5332">
        <w:rPr>
          <w:b/>
          <w:bCs/>
          <w:color w:val="auto"/>
          <w:kern w:val="0"/>
          <w:sz w:val="27"/>
          <w:szCs w:val="27"/>
          <w:lang w:val="en-US" w:eastAsia="en-US"/>
        </w:rPr>
        <w:t>Operationalising</w:t>
      </w:r>
      <w:proofErr w:type="spellEnd"/>
      <w:r w:rsidRPr="003A5332">
        <w:rPr>
          <w:b/>
          <w:bCs/>
          <w:color w:val="auto"/>
          <w:kern w:val="0"/>
          <w:sz w:val="27"/>
          <w:szCs w:val="27"/>
          <w:lang w:val="en-US" w:eastAsia="en-US"/>
        </w:rPr>
        <w:t xml:space="preserve"> halitosis as a diagnostic gateway without over-</w:t>
      </w:r>
      <w:proofErr w:type="spellStart"/>
      <w:r w:rsidRPr="003A5332">
        <w:rPr>
          <w:b/>
          <w:bCs/>
          <w:color w:val="auto"/>
          <w:kern w:val="0"/>
          <w:sz w:val="27"/>
          <w:szCs w:val="27"/>
          <w:lang w:val="en-US" w:eastAsia="en-US"/>
        </w:rPr>
        <w:t>medicalisation</w:t>
      </w:r>
      <w:proofErr w:type="spellEnd"/>
    </w:p>
    <w:p w:rsidR="003A5332" w:rsidRPr="003A5332" w:rsidRDefault="003A5332" w:rsidP="003A5332">
      <w:pPr>
        <w:spacing w:before="100" w:beforeAutospacing="1" w:after="100" w:afterAutospacing="1" w:line="240" w:lineRule="auto"/>
        <w:ind w:left="0" w:right="0" w:firstLine="0"/>
        <w:jc w:val="left"/>
        <w:rPr>
          <w:color w:val="auto"/>
          <w:kern w:val="0"/>
          <w:lang w:val="en-US" w:eastAsia="en-US"/>
        </w:rPr>
      </w:pPr>
      <w:r w:rsidRPr="003A5332">
        <w:rPr>
          <w:color w:val="auto"/>
          <w:kern w:val="0"/>
          <w:lang w:val="en-US" w:eastAsia="en-US"/>
        </w:rPr>
        <w:t xml:space="preserve">Given its non-specificity, halitosis should trigger gastrointestinal consideration only after a structured oral evaluation has addressed common local causes. The gateway model therefore begins with confirming and </w:t>
      </w:r>
      <w:proofErr w:type="spellStart"/>
      <w:r w:rsidRPr="003A5332">
        <w:rPr>
          <w:color w:val="auto"/>
          <w:kern w:val="0"/>
          <w:lang w:val="en-US" w:eastAsia="en-US"/>
        </w:rPr>
        <w:t>characterising</w:t>
      </w:r>
      <w:proofErr w:type="spellEnd"/>
      <w:r w:rsidRPr="003A5332">
        <w:rPr>
          <w:color w:val="auto"/>
          <w:kern w:val="0"/>
          <w:lang w:val="en-US" w:eastAsia="en-US"/>
        </w:rPr>
        <w:t xml:space="preserve"> the complaint, followed by assessment of tongue coating, periodontal status, caries, xerostomia risk, and </w:t>
      </w:r>
      <w:proofErr w:type="spellStart"/>
      <w:r w:rsidRPr="003A5332">
        <w:rPr>
          <w:color w:val="auto"/>
          <w:kern w:val="0"/>
          <w:lang w:val="en-US" w:eastAsia="en-US"/>
        </w:rPr>
        <w:t>behavioural</w:t>
      </w:r>
      <w:proofErr w:type="spellEnd"/>
      <w:r w:rsidRPr="003A5332">
        <w:rPr>
          <w:color w:val="auto"/>
          <w:kern w:val="0"/>
          <w:lang w:val="en-US" w:eastAsia="en-US"/>
        </w:rPr>
        <w:t xml:space="preserve"> contributors. Only when halitosis persists despite appropriate local interventions does a broader systemic screen become proportionate. In that subset, the clinician can use symptom pairing to refine suspicion. Co-occurring dyspepsia, epigastric discomfort, nausea, early satiety, reflux symptoms, or a history suggestive of peptic ulcer disease can justify discussion of </w:t>
      </w:r>
      <w:r w:rsidRPr="003A5332">
        <w:rPr>
          <w:i/>
          <w:iCs/>
          <w:color w:val="auto"/>
          <w:kern w:val="0"/>
          <w:lang w:val="en-US" w:eastAsia="en-US"/>
        </w:rPr>
        <w:t>H. pylori</w:t>
      </w:r>
      <w:r w:rsidRPr="003A5332">
        <w:rPr>
          <w:color w:val="auto"/>
          <w:kern w:val="0"/>
          <w:lang w:val="en-US" w:eastAsia="en-US"/>
        </w:rPr>
        <w:t xml:space="preserve"> testing with the patient’s medical provider. The meta-analytic evidence that associates </w:t>
      </w:r>
      <w:r w:rsidRPr="003A5332">
        <w:rPr>
          <w:i/>
          <w:iCs/>
          <w:color w:val="auto"/>
          <w:kern w:val="0"/>
          <w:lang w:val="en-US" w:eastAsia="en-US"/>
        </w:rPr>
        <w:t>H. pylori</w:t>
      </w:r>
      <w:r w:rsidRPr="003A5332">
        <w:rPr>
          <w:color w:val="auto"/>
          <w:kern w:val="0"/>
          <w:lang w:val="en-US" w:eastAsia="en-US"/>
        </w:rPr>
        <w:t xml:space="preserve"> with halitosis provides support for this selective pathway, particularly when the patient has concurrent upper GI symptoms (Dou et al., 2016).</w:t>
      </w:r>
    </w:p>
    <w:p w:rsidR="003A5332" w:rsidRPr="003A5332" w:rsidRDefault="003A5332" w:rsidP="003A5332">
      <w:pPr>
        <w:spacing w:before="100" w:beforeAutospacing="1" w:after="100" w:afterAutospacing="1" w:line="240" w:lineRule="auto"/>
        <w:ind w:left="0" w:right="0" w:firstLine="0"/>
        <w:jc w:val="left"/>
        <w:rPr>
          <w:color w:val="auto"/>
          <w:kern w:val="0"/>
          <w:lang w:val="en-US" w:eastAsia="en-US"/>
        </w:rPr>
      </w:pPr>
      <w:r w:rsidRPr="003A5332">
        <w:rPr>
          <w:color w:val="auto"/>
          <w:kern w:val="0"/>
          <w:lang w:val="en-US" w:eastAsia="en-US"/>
        </w:rPr>
        <w:t xml:space="preserve">The gateway approach also benefits from </w:t>
      </w:r>
      <w:proofErr w:type="spellStart"/>
      <w:r w:rsidRPr="003A5332">
        <w:rPr>
          <w:color w:val="auto"/>
          <w:kern w:val="0"/>
          <w:lang w:val="en-US" w:eastAsia="en-US"/>
        </w:rPr>
        <w:t>recognising</w:t>
      </w:r>
      <w:proofErr w:type="spellEnd"/>
      <w:r w:rsidRPr="003A5332">
        <w:rPr>
          <w:color w:val="auto"/>
          <w:kern w:val="0"/>
          <w:lang w:val="en-US" w:eastAsia="en-US"/>
        </w:rPr>
        <w:t xml:space="preserve"> when to avoid gastrointestinal escalation. If halitosis is clearly explained by severe periodontitis or heavy tongue coating, or if it improves with targeted oral therapy, then GI investigation is unlikely to add value. Conversely, if halitosis persists, is objectively noticeable, and is accompanied by symptoms of upper GI disease, then the threshold for medical evaluation decreases. In this context, the oral clinician’s role is not to diagnose </w:t>
      </w:r>
      <w:r w:rsidRPr="003A5332">
        <w:rPr>
          <w:i/>
          <w:iCs/>
          <w:color w:val="auto"/>
          <w:kern w:val="0"/>
          <w:lang w:val="en-US" w:eastAsia="en-US"/>
        </w:rPr>
        <w:t>H. pylori</w:t>
      </w:r>
      <w:r w:rsidRPr="003A5332">
        <w:rPr>
          <w:color w:val="auto"/>
          <w:kern w:val="0"/>
          <w:lang w:val="en-US" w:eastAsia="en-US"/>
        </w:rPr>
        <w:t xml:space="preserve"> infection directly, but to identify that the persistence and pattern of symptoms make gastrointestinal involvement plausible, and to recommend appropriately targeted referral.</w:t>
      </w:r>
    </w:p>
    <w:p w:rsidR="003A5332" w:rsidRPr="003A5332" w:rsidRDefault="003A5332" w:rsidP="003A5332">
      <w:pPr>
        <w:spacing w:before="100" w:beforeAutospacing="1" w:after="100" w:afterAutospacing="1" w:line="240" w:lineRule="auto"/>
        <w:ind w:left="0" w:right="0" w:firstLine="0"/>
        <w:jc w:val="left"/>
        <w:outlineLvl w:val="2"/>
        <w:rPr>
          <w:b/>
          <w:bCs/>
          <w:color w:val="auto"/>
          <w:kern w:val="0"/>
          <w:sz w:val="27"/>
          <w:szCs w:val="27"/>
          <w:lang w:val="en-US" w:eastAsia="en-US"/>
        </w:rPr>
      </w:pPr>
      <w:r w:rsidRPr="003A5332">
        <w:rPr>
          <w:b/>
          <w:bCs/>
          <w:color w:val="auto"/>
          <w:kern w:val="0"/>
          <w:sz w:val="27"/>
          <w:szCs w:val="27"/>
          <w:lang w:val="en-US" w:eastAsia="en-US"/>
        </w:rPr>
        <w:t>7.5 Integrative care implications: aligning eradication therapy with oral management</w:t>
      </w:r>
    </w:p>
    <w:p w:rsidR="003A5332" w:rsidRPr="003A5332" w:rsidRDefault="003A5332" w:rsidP="003A5332">
      <w:pPr>
        <w:spacing w:before="100" w:beforeAutospacing="1" w:after="100" w:afterAutospacing="1" w:line="240" w:lineRule="auto"/>
        <w:ind w:left="0" w:right="0" w:firstLine="0"/>
        <w:jc w:val="left"/>
        <w:rPr>
          <w:color w:val="auto"/>
          <w:kern w:val="0"/>
          <w:lang w:val="en-US" w:eastAsia="en-US"/>
        </w:rPr>
      </w:pPr>
      <w:r w:rsidRPr="003A5332">
        <w:rPr>
          <w:color w:val="auto"/>
          <w:kern w:val="0"/>
          <w:lang w:val="en-US" w:eastAsia="en-US"/>
        </w:rPr>
        <w:t xml:space="preserve">Where </w:t>
      </w:r>
      <w:r w:rsidRPr="003A5332">
        <w:rPr>
          <w:i/>
          <w:iCs/>
          <w:color w:val="auto"/>
          <w:kern w:val="0"/>
          <w:lang w:val="en-US" w:eastAsia="en-US"/>
        </w:rPr>
        <w:t>H. pylori</w:t>
      </w:r>
      <w:r w:rsidRPr="003A5332">
        <w:rPr>
          <w:color w:val="auto"/>
          <w:kern w:val="0"/>
          <w:lang w:val="en-US" w:eastAsia="en-US"/>
        </w:rPr>
        <w:t xml:space="preserve"> infection is confirmed and treated, the oral reservoir hypothesis suggests a pragmatic, patient-</w:t>
      </w:r>
      <w:proofErr w:type="spellStart"/>
      <w:r w:rsidRPr="003A5332">
        <w:rPr>
          <w:color w:val="auto"/>
          <w:kern w:val="0"/>
          <w:lang w:val="en-US" w:eastAsia="en-US"/>
        </w:rPr>
        <w:t>centred</w:t>
      </w:r>
      <w:proofErr w:type="spellEnd"/>
      <w:r w:rsidRPr="003A5332">
        <w:rPr>
          <w:color w:val="auto"/>
          <w:kern w:val="0"/>
          <w:lang w:val="en-US" w:eastAsia="en-US"/>
        </w:rPr>
        <w:t xml:space="preserve"> addition to care: </w:t>
      </w:r>
      <w:proofErr w:type="spellStart"/>
      <w:r w:rsidRPr="003A5332">
        <w:rPr>
          <w:color w:val="auto"/>
          <w:kern w:val="0"/>
          <w:lang w:val="en-US" w:eastAsia="en-US"/>
        </w:rPr>
        <w:t>optimising</w:t>
      </w:r>
      <w:proofErr w:type="spellEnd"/>
      <w:r w:rsidRPr="003A5332">
        <w:rPr>
          <w:color w:val="auto"/>
          <w:kern w:val="0"/>
          <w:lang w:val="en-US" w:eastAsia="en-US"/>
        </w:rPr>
        <w:t xml:space="preserve"> plaque control and periodontal health during and after eradication therapy. The systematic synthesis indicating dental plaque as an extra-gastric reservoir supports the rationale for ensuring that oral biofilm is addressed, particularly in individuals with recurrent infection or persistent symptoms (Anand et al., 2025). Moreover, because halitosis is often multi-factorial, combined management can provide symptomatic benefit even when the GI contribution is modest. The most realistic clinical expectation is therefore incremental improvement rather than a single-cause cure: eradication therapy may reduce a GI-related component where present, while oral interventions address the dominant oral sources of volatile </w:t>
      </w:r>
      <w:proofErr w:type="spellStart"/>
      <w:r w:rsidRPr="003A5332">
        <w:rPr>
          <w:color w:val="auto"/>
          <w:kern w:val="0"/>
          <w:lang w:val="en-US" w:eastAsia="en-US"/>
        </w:rPr>
        <w:t>sulphur</w:t>
      </w:r>
      <w:proofErr w:type="spellEnd"/>
      <w:r w:rsidRPr="003A5332">
        <w:rPr>
          <w:color w:val="auto"/>
          <w:kern w:val="0"/>
          <w:lang w:val="en-US" w:eastAsia="en-US"/>
        </w:rPr>
        <w:t xml:space="preserve"> compounds. In this way, the diagnostic gateway function of halitosis can evolve into a therapeutic gateway for integrated care, linking dentistry and gastroenterology through a shared symptom that matters greatly to patients’ quality of life (Anand et al., 2025; Dou et al., 2016).</w:t>
      </w:r>
    </w:p>
    <w:p w:rsidR="003A5332" w:rsidRPr="003A5332" w:rsidRDefault="003A5332" w:rsidP="003A5332">
      <w:pPr>
        <w:spacing w:before="100" w:beforeAutospacing="1" w:after="100" w:afterAutospacing="1" w:line="240" w:lineRule="auto"/>
        <w:ind w:left="0" w:right="0" w:firstLine="0"/>
        <w:jc w:val="left"/>
        <w:outlineLvl w:val="1"/>
        <w:rPr>
          <w:b/>
          <w:bCs/>
          <w:color w:val="auto"/>
          <w:kern w:val="0"/>
          <w:sz w:val="36"/>
          <w:szCs w:val="36"/>
          <w:lang w:val="en-US" w:eastAsia="en-US"/>
        </w:rPr>
      </w:pPr>
      <w:r w:rsidRPr="003A5332">
        <w:rPr>
          <w:b/>
          <w:bCs/>
          <w:color w:val="auto"/>
          <w:kern w:val="0"/>
          <w:sz w:val="36"/>
          <w:szCs w:val="36"/>
          <w:lang w:val="en-US" w:eastAsia="en-US"/>
        </w:rPr>
        <w:t>8. Chronic liver disease: oral–gut–liver interactions and mucosal vulnerability</w:t>
      </w:r>
    </w:p>
    <w:p w:rsidR="003A5332" w:rsidRPr="003A5332" w:rsidRDefault="003A5332" w:rsidP="003A5332">
      <w:pPr>
        <w:spacing w:before="100" w:beforeAutospacing="1" w:after="100" w:afterAutospacing="1" w:line="240" w:lineRule="auto"/>
        <w:ind w:left="0" w:right="0" w:firstLine="0"/>
        <w:jc w:val="left"/>
        <w:rPr>
          <w:color w:val="auto"/>
          <w:kern w:val="0"/>
          <w:lang w:val="en-US" w:eastAsia="en-US"/>
        </w:rPr>
      </w:pPr>
      <w:r w:rsidRPr="003A5332">
        <w:rPr>
          <w:color w:val="auto"/>
          <w:kern w:val="0"/>
          <w:lang w:val="en-US" w:eastAsia="en-US"/>
        </w:rPr>
        <w:t xml:space="preserve">Chronic liver disease (CLD) creates a distinctive clinical environment in which the oral cavity often reflects systemic vulnerability, treatment burden, and downstream consequences of inflammation and malnutrition. Although the liver is not within the gastrointestinal lumen, it is functionally coupled to the gut through portal circulation, bile acid </w:t>
      </w:r>
      <w:proofErr w:type="spellStart"/>
      <w:r w:rsidRPr="003A5332">
        <w:rPr>
          <w:color w:val="auto"/>
          <w:kern w:val="0"/>
          <w:lang w:val="en-US" w:eastAsia="en-US"/>
        </w:rPr>
        <w:t>signalling</w:t>
      </w:r>
      <w:proofErr w:type="spellEnd"/>
      <w:r w:rsidRPr="003A5332">
        <w:rPr>
          <w:color w:val="auto"/>
          <w:kern w:val="0"/>
          <w:lang w:val="en-US" w:eastAsia="en-US"/>
        </w:rPr>
        <w:t xml:space="preserve">, and </w:t>
      </w:r>
      <w:r w:rsidRPr="003A5332">
        <w:rPr>
          <w:color w:val="auto"/>
          <w:kern w:val="0"/>
          <w:lang w:val="en-US" w:eastAsia="en-US"/>
        </w:rPr>
        <w:lastRenderedPageBreak/>
        <w:t>immune surveillance, making oral–gut–liver interactions clinically plausible and increasingly relevant. A contemporary narrative synthesis has highlighted that oral manifestations such as ulcers, xerostomia, mucosal irritation, erosive changes and tongue abnormalities appear to be relatively frequent in CLD, with contributions that may be causal, coincidental, or secondary to therapy and comorbidity (</w:t>
      </w:r>
      <w:proofErr w:type="spellStart"/>
      <w:r w:rsidRPr="003A5332">
        <w:rPr>
          <w:color w:val="auto"/>
          <w:kern w:val="0"/>
          <w:lang w:val="en-US" w:eastAsia="en-US"/>
        </w:rPr>
        <w:t>Åberg</w:t>
      </w:r>
      <w:proofErr w:type="spellEnd"/>
      <w:r w:rsidRPr="003A5332">
        <w:rPr>
          <w:color w:val="auto"/>
          <w:kern w:val="0"/>
          <w:lang w:val="en-US" w:eastAsia="en-US"/>
        </w:rPr>
        <w:t xml:space="preserve"> &amp; </w:t>
      </w:r>
      <w:proofErr w:type="spellStart"/>
      <w:r w:rsidRPr="003A5332">
        <w:rPr>
          <w:color w:val="auto"/>
          <w:kern w:val="0"/>
          <w:lang w:val="en-US" w:eastAsia="en-US"/>
        </w:rPr>
        <w:t>Helenius-Hietala</w:t>
      </w:r>
      <w:proofErr w:type="spellEnd"/>
      <w:r w:rsidRPr="003A5332">
        <w:rPr>
          <w:color w:val="auto"/>
          <w:kern w:val="0"/>
          <w:lang w:val="en-US" w:eastAsia="en-US"/>
        </w:rPr>
        <w:t>, 2022). At the same time, the relationship is not purely “downstream”: poor oral health can act as a chronic inflammatory stimulus, potentially compounding systemic inflammation and vulnerability in cirrhosis and advanced liver disease states (</w:t>
      </w:r>
      <w:proofErr w:type="spellStart"/>
      <w:r w:rsidRPr="003A5332">
        <w:rPr>
          <w:color w:val="auto"/>
          <w:kern w:val="0"/>
          <w:lang w:val="en-US" w:eastAsia="en-US"/>
        </w:rPr>
        <w:t>Åberg</w:t>
      </w:r>
      <w:proofErr w:type="spellEnd"/>
      <w:r w:rsidRPr="003A5332">
        <w:rPr>
          <w:color w:val="auto"/>
          <w:kern w:val="0"/>
          <w:lang w:val="en-US" w:eastAsia="en-US"/>
        </w:rPr>
        <w:t xml:space="preserve"> &amp; </w:t>
      </w:r>
      <w:proofErr w:type="spellStart"/>
      <w:r w:rsidRPr="003A5332">
        <w:rPr>
          <w:color w:val="auto"/>
          <w:kern w:val="0"/>
          <w:lang w:val="en-US" w:eastAsia="en-US"/>
        </w:rPr>
        <w:t>Helenius-Hietala</w:t>
      </w:r>
      <w:proofErr w:type="spellEnd"/>
      <w:r w:rsidRPr="003A5332">
        <w:rPr>
          <w:color w:val="auto"/>
          <w:kern w:val="0"/>
          <w:lang w:val="en-US" w:eastAsia="en-US"/>
        </w:rPr>
        <w:t xml:space="preserve">, 2022). In this section, oral findings are framed as diagnostic and clinical “gateways” not because they uniquely identify CLD, but because they can prompt clinicians to </w:t>
      </w:r>
      <w:proofErr w:type="spellStart"/>
      <w:r w:rsidRPr="003A5332">
        <w:rPr>
          <w:color w:val="auto"/>
          <w:kern w:val="0"/>
          <w:lang w:val="en-US" w:eastAsia="en-US"/>
        </w:rPr>
        <w:t>recognise</w:t>
      </w:r>
      <w:proofErr w:type="spellEnd"/>
      <w:r w:rsidRPr="003A5332">
        <w:rPr>
          <w:color w:val="auto"/>
          <w:kern w:val="0"/>
          <w:lang w:val="en-US" w:eastAsia="en-US"/>
        </w:rPr>
        <w:t xml:space="preserve"> systemic risk, anticipate complications, and coordinate safer interdisciplinary care.</w:t>
      </w:r>
    </w:p>
    <w:p w:rsidR="003A5332" w:rsidRPr="003A5332" w:rsidRDefault="003A5332" w:rsidP="003A5332">
      <w:pPr>
        <w:spacing w:before="100" w:beforeAutospacing="1" w:after="100" w:afterAutospacing="1" w:line="240" w:lineRule="auto"/>
        <w:ind w:left="0" w:right="0" w:firstLine="0"/>
        <w:jc w:val="left"/>
        <w:outlineLvl w:val="2"/>
        <w:rPr>
          <w:b/>
          <w:bCs/>
          <w:color w:val="auto"/>
          <w:kern w:val="0"/>
          <w:sz w:val="27"/>
          <w:szCs w:val="27"/>
          <w:lang w:val="en-US" w:eastAsia="en-US"/>
        </w:rPr>
      </w:pPr>
      <w:r w:rsidRPr="003A5332">
        <w:rPr>
          <w:b/>
          <w:bCs/>
          <w:color w:val="auto"/>
          <w:kern w:val="0"/>
          <w:sz w:val="27"/>
          <w:szCs w:val="27"/>
          <w:lang w:val="en-US" w:eastAsia="en-US"/>
        </w:rPr>
        <w:t>8.1 Pathophysiological routes from liver dysfunction to oral vulnerability</w:t>
      </w:r>
    </w:p>
    <w:p w:rsidR="003A5332" w:rsidRPr="003A5332" w:rsidRDefault="003A5332" w:rsidP="003A5332">
      <w:pPr>
        <w:spacing w:before="100" w:beforeAutospacing="1" w:after="100" w:afterAutospacing="1" w:line="240" w:lineRule="auto"/>
        <w:ind w:left="0" w:right="0" w:firstLine="0"/>
        <w:jc w:val="left"/>
        <w:rPr>
          <w:color w:val="auto"/>
          <w:kern w:val="0"/>
          <w:lang w:val="en-US" w:eastAsia="en-US"/>
        </w:rPr>
      </w:pPr>
      <w:r w:rsidRPr="003A5332">
        <w:rPr>
          <w:color w:val="auto"/>
          <w:kern w:val="0"/>
          <w:lang w:val="en-US" w:eastAsia="en-US"/>
        </w:rPr>
        <w:t xml:space="preserve">Several intersecting mechanisms explain why oral tissues may become fragile or inflamed in CLD. </w:t>
      </w:r>
      <w:proofErr w:type="spellStart"/>
      <w:r w:rsidRPr="003A5332">
        <w:rPr>
          <w:color w:val="auto"/>
          <w:kern w:val="0"/>
          <w:lang w:val="en-US" w:eastAsia="en-US"/>
        </w:rPr>
        <w:t>Haemostatic</w:t>
      </w:r>
      <w:proofErr w:type="spellEnd"/>
      <w:r w:rsidRPr="003A5332">
        <w:rPr>
          <w:color w:val="auto"/>
          <w:kern w:val="0"/>
          <w:lang w:val="en-US" w:eastAsia="en-US"/>
        </w:rPr>
        <w:t xml:space="preserve"> imbalance is central: impaired hepatic synthesis of coagulation factors and portal hypertension–related thrombocytopenia can amplify gingival bleeding, petechiae, and prolonged bleeding after minor oral trauma. Oral clinicians may encounter bleeding patterns that appear disproportionate to local plaque levels or gingival inflammation, and this mismatch should trigger a broader systemic review rather than repeated purely local interventions. Beyond </w:t>
      </w:r>
      <w:proofErr w:type="spellStart"/>
      <w:r w:rsidRPr="003A5332">
        <w:rPr>
          <w:color w:val="auto"/>
          <w:kern w:val="0"/>
          <w:lang w:val="en-US" w:eastAsia="en-US"/>
        </w:rPr>
        <w:t>haemostasis</w:t>
      </w:r>
      <w:proofErr w:type="spellEnd"/>
      <w:r w:rsidRPr="003A5332">
        <w:rPr>
          <w:color w:val="auto"/>
          <w:kern w:val="0"/>
          <w:lang w:val="en-US" w:eastAsia="en-US"/>
        </w:rPr>
        <w:t xml:space="preserve">, CLD is associated with immune dysfunction and chronic systemic inflammation, which can impair mucosal healing and increase susceptibility to opportunistic infection and persistent ulceration. The overall pattern is therefore one of reduced mucosal resilience: common oral insults (mechanical irritation, minor trauma, routine periodontal instrumentation) may produce outsized symptoms and slower resolution. In line with this, a broad review of oral health in liver disease </w:t>
      </w:r>
      <w:proofErr w:type="spellStart"/>
      <w:r w:rsidRPr="003A5332">
        <w:rPr>
          <w:color w:val="auto"/>
          <w:kern w:val="0"/>
          <w:lang w:val="en-US" w:eastAsia="en-US"/>
        </w:rPr>
        <w:t>emphasises</w:t>
      </w:r>
      <w:proofErr w:type="spellEnd"/>
      <w:r w:rsidRPr="003A5332">
        <w:rPr>
          <w:color w:val="auto"/>
          <w:kern w:val="0"/>
          <w:lang w:val="en-US" w:eastAsia="en-US"/>
        </w:rPr>
        <w:t xml:space="preserve"> that ulcers and other inflammatory mucosal findings are encountered with notable frequency in CLD and may reflect immune and nutritional compromise rather than isolated local pathology (</w:t>
      </w:r>
      <w:proofErr w:type="spellStart"/>
      <w:r w:rsidRPr="003A5332">
        <w:rPr>
          <w:color w:val="auto"/>
          <w:kern w:val="0"/>
          <w:lang w:val="en-US" w:eastAsia="en-US"/>
        </w:rPr>
        <w:t>Åberg</w:t>
      </w:r>
      <w:proofErr w:type="spellEnd"/>
      <w:r w:rsidRPr="003A5332">
        <w:rPr>
          <w:color w:val="auto"/>
          <w:kern w:val="0"/>
          <w:lang w:val="en-US" w:eastAsia="en-US"/>
        </w:rPr>
        <w:t xml:space="preserve"> &amp; </w:t>
      </w:r>
      <w:proofErr w:type="spellStart"/>
      <w:r w:rsidRPr="003A5332">
        <w:rPr>
          <w:color w:val="auto"/>
          <w:kern w:val="0"/>
          <w:lang w:val="en-US" w:eastAsia="en-US"/>
        </w:rPr>
        <w:t>Helenius-Hietala</w:t>
      </w:r>
      <w:proofErr w:type="spellEnd"/>
      <w:r w:rsidRPr="003A5332">
        <w:rPr>
          <w:color w:val="auto"/>
          <w:kern w:val="0"/>
          <w:lang w:val="en-US" w:eastAsia="en-US"/>
        </w:rPr>
        <w:t>, 2022).</w:t>
      </w:r>
    </w:p>
    <w:p w:rsidR="003A5332" w:rsidRPr="003A5332" w:rsidRDefault="003A5332" w:rsidP="003A5332">
      <w:pPr>
        <w:spacing w:before="100" w:beforeAutospacing="1" w:after="100" w:afterAutospacing="1" w:line="240" w:lineRule="auto"/>
        <w:ind w:left="0" w:right="0" w:firstLine="0"/>
        <w:jc w:val="left"/>
        <w:outlineLvl w:val="2"/>
        <w:rPr>
          <w:b/>
          <w:bCs/>
          <w:color w:val="auto"/>
          <w:kern w:val="0"/>
          <w:sz w:val="27"/>
          <w:szCs w:val="27"/>
          <w:lang w:val="en-US" w:eastAsia="en-US"/>
        </w:rPr>
      </w:pPr>
      <w:r w:rsidRPr="003A5332">
        <w:rPr>
          <w:b/>
          <w:bCs/>
          <w:color w:val="auto"/>
          <w:kern w:val="0"/>
          <w:sz w:val="27"/>
          <w:szCs w:val="27"/>
          <w:lang w:val="en-US" w:eastAsia="en-US"/>
        </w:rPr>
        <w:t>8.2 Periodontal tissue breakdown as a marker of systemic susceptibility</w:t>
      </w:r>
    </w:p>
    <w:p w:rsidR="003A5332" w:rsidRPr="003A5332" w:rsidRDefault="003A5332" w:rsidP="003A5332">
      <w:pPr>
        <w:spacing w:before="100" w:beforeAutospacing="1" w:after="100" w:afterAutospacing="1" w:line="240" w:lineRule="auto"/>
        <w:ind w:left="0" w:right="0" w:firstLine="0"/>
        <w:jc w:val="left"/>
        <w:rPr>
          <w:color w:val="auto"/>
          <w:kern w:val="0"/>
          <w:lang w:val="en-US" w:eastAsia="en-US"/>
        </w:rPr>
      </w:pPr>
      <w:r w:rsidRPr="003A5332">
        <w:rPr>
          <w:color w:val="auto"/>
          <w:kern w:val="0"/>
          <w:lang w:val="en-US" w:eastAsia="en-US"/>
        </w:rPr>
        <w:t>Periodontal disease is common in the general population and is therefore not specific to CLD; however, evidence suggests that cirrhosis is associated with measurably worse periodontal status, supporting the use of periodontal findings as a clinical signal of vulnerability and a prompt for systemic enquiry. A systematic review and meta-analysis reported that cirrhotic patients had higher mean clinical attachment loss (weighted mean difference 1.078), probing depth (0.796) and alveolar bone loss (3.465) than non-cirrhotic controls, and that the prevalence of periodontitis was increased (odds ratio 2.630) (</w:t>
      </w:r>
      <w:proofErr w:type="spellStart"/>
      <w:r w:rsidRPr="003A5332">
        <w:rPr>
          <w:color w:val="auto"/>
          <w:kern w:val="0"/>
          <w:lang w:val="en-US" w:eastAsia="en-US"/>
        </w:rPr>
        <w:t>Bie</w:t>
      </w:r>
      <w:proofErr w:type="spellEnd"/>
      <w:r w:rsidRPr="003A5332">
        <w:rPr>
          <w:color w:val="auto"/>
          <w:kern w:val="0"/>
          <w:lang w:val="en-US" w:eastAsia="en-US"/>
        </w:rPr>
        <w:t xml:space="preserve"> et al., 2023). These pooled findings strengthen a practical inference for gateway reasoning: when periodontal breakdown is unusually severe or rapidly progressive—especially if accompanied by spontaneous bleeding or poor healing—clinicians should consider whether systemic factors such as liver disease, malnutrition, or immune dysfunction are contributing. The same narrative synthesis that surveys oral manifestations in liver disease also treats periodontal inflammation as clinically relevant within CLD care, arguing for greater integration of oral assessment and prevention in hepatology pathways (</w:t>
      </w:r>
      <w:proofErr w:type="spellStart"/>
      <w:r w:rsidRPr="003A5332">
        <w:rPr>
          <w:color w:val="auto"/>
          <w:kern w:val="0"/>
          <w:lang w:val="en-US" w:eastAsia="en-US"/>
        </w:rPr>
        <w:t>Åberg</w:t>
      </w:r>
      <w:proofErr w:type="spellEnd"/>
      <w:r w:rsidRPr="003A5332">
        <w:rPr>
          <w:color w:val="auto"/>
          <w:kern w:val="0"/>
          <w:lang w:val="en-US" w:eastAsia="en-US"/>
        </w:rPr>
        <w:t xml:space="preserve"> &amp; </w:t>
      </w:r>
      <w:proofErr w:type="spellStart"/>
      <w:r w:rsidRPr="003A5332">
        <w:rPr>
          <w:color w:val="auto"/>
          <w:kern w:val="0"/>
          <w:lang w:val="en-US" w:eastAsia="en-US"/>
        </w:rPr>
        <w:t>Helenius-Hietala</w:t>
      </w:r>
      <w:proofErr w:type="spellEnd"/>
      <w:r w:rsidRPr="003A5332">
        <w:rPr>
          <w:color w:val="auto"/>
          <w:kern w:val="0"/>
          <w:lang w:val="en-US" w:eastAsia="en-US"/>
        </w:rPr>
        <w:t>, 2022). Importantly, this does not imply that periodontitis “diagnoses” cirrhosis; rather, it supports a risk-enrichment approach in which periodontal severity becomes one component of a broader systemic appraisal.</w:t>
      </w:r>
    </w:p>
    <w:p w:rsidR="003A5332" w:rsidRPr="003A5332" w:rsidRDefault="003A5332" w:rsidP="003A5332">
      <w:pPr>
        <w:spacing w:before="100" w:beforeAutospacing="1" w:after="100" w:afterAutospacing="1" w:line="240" w:lineRule="auto"/>
        <w:ind w:left="0" w:right="0" w:firstLine="0"/>
        <w:jc w:val="left"/>
        <w:outlineLvl w:val="2"/>
        <w:rPr>
          <w:b/>
          <w:bCs/>
          <w:color w:val="auto"/>
          <w:kern w:val="0"/>
          <w:sz w:val="27"/>
          <w:szCs w:val="27"/>
          <w:lang w:val="en-US" w:eastAsia="en-US"/>
        </w:rPr>
      </w:pPr>
      <w:r w:rsidRPr="003A5332">
        <w:rPr>
          <w:b/>
          <w:bCs/>
          <w:color w:val="auto"/>
          <w:kern w:val="0"/>
          <w:sz w:val="27"/>
          <w:szCs w:val="27"/>
          <w:lang w:val="en-US" w:eastAsia="en-US"/>
        </w:rPr>
        <w:lastRenderedPageBreak/>
        <w:t>8.3 Clinical significance: oral disease burden and cirrhosis outcomes</w:t>
      </w:r>
    </w:p>
    <w:p w:rsidR="003A5332" w:rsidRPr="003A5332" w:rsidRDefault="003A5332" w:rsidP="003A5332">
      <w:pPr>
        <w:spacing w:before="100" w:beforeAutospacing="1" w:after="100" w:afterAutospacing="1" w:line="240" w:lineRule="auto"/>
        <w:ind w:left="0" w:right="0" w:firstLine="0"/>
        <w:jc w:val="left"/>
        <w:rPr>
          <w:color w:val="auto"/>
          <w:kern w:val="0"/>
          <w:lang w:val="en-US" w:eastAsia="en-US"/>
        </w:rPr>
      </w:pPr>
      <w:r w:rsidRPr="003A5332">
        <w:rPr>
          <w:color w:val="auto"/>
          <w:kern w:val="0"/>
          <w:lang w:val="en-US" w:eastAsia="en-US"/>
        </w:rPr>
        <w:t>The gateway value of oral findings increases substantially when oral disease burden is linked to clinically important outcomes. In a cohort study of 184 cirrhosis patients followed for two years, oral disease was common—gross caries (26%), periapical lesions (46%), oral mucosal lesions (27%) and periodontitis (68%)—and having more than one oral disease was associated with more cirrhosis complications, higher inflammatory markers and higher nutritional risk at baseline (</w:t>
      </w:r>
      <w:proofErr w:type="spellStart"/>
      <w:r w:rsidRPr="003A5332">
        <w:rPr>
          <w:color w:val="auto"/>
          <w:kern w:val="0"/>
          <w:lang w:val="en-US" w:eastAsia="en-US"/>
        </w:rPr>
        <w:t>Grønkjær</w:t>
      </w:r>
      <w:proofErr w:type="spellEnd"/>
      <w:r w:rsidRPr="003A5332">
        <w:rPr>
          <w:color w:val="auto"/>
          <w:kern w:val="0"/>
          <w:lang w:val="en-US" w:eastAsia="en-US"/>
        </w:rPr>
        <w:t xml:space="preserve"> et al., 2021). Notably, the same study reported higher mortality risks in those with multiple oral diseases compared with those without oral disease, supporting the clinical claim that oral pathology in cirrhosis may be more than a quality-of-life issue and may correlate with systemic deterioration (</w:t>
      </w:r>
      <w:proofErr w:type="spellStart"/>
      <w:r w:rsidRPr="003A5332">
        <w:rPr>
          <w:color w:val="auto"/>
          <w:kern w:val="0"/>
          <w:lang w:val="en-US" w:eastAsia="en-US"/>
        </w:rPr>
        <w:t>Grønkjær</w:t>
      </w:r>
      <w:proofErr w:type="spellEnd"/>
      <w:r w:rsidRPr="003A5332">
        <w:rPr>
          <w:color w:val="auto"/>
          <w:kern w:val="0"/>
          <w:lang w:val="en-US" w:eastAsia="en-US"/>
        </w:rPr>
        <w:t xml:space="preserve"> et al., 2021). This evidence strengthens the argument for proactive oral screening in cirrhosis and supports a gateway workflow in which the discovery of clustered oral disease (for example, concurrent periodontitis and periapical infection) prompts clinicians to consider the patient’s broader nutritional status, infection risk, medication exposures and liver disease severity rather than treating oral pathology as an isolated domain.</w:t>
      </w:r>
    </w:p>
    <w:p w:rsidR="003A5332" w:rsidRPr="003A5332" w:rsidRDefault="003A5332" w:rsidP="003A5332">
      <w:pPr>
        <w:spacing w:before="100" w:beforeAutospacing="1" w:after="100" w:afterAutospacing="1" w:line="240" w:lineRule="auto"/>
        <w:ind w:left="0" w:right="0" w:firstLine="0"/>
        <w:jc w:val="left"/>
        <w:outlineLvl w:val="2"/>
        <w:rPr>
          <w:b/>
          <w:bCs/>
          <w:color w:val="auto"/>
          <w:kern w:val="0"/>
          <w:sz w:val="27"/>
          <w:szCs w:val="27"/>
          <w:lang w:val="en-US" w:eastAsia="en-US"/>
        </w:rPr>
      </w:pPr>
      <w:r w:rsidRPr="003A5332">
        <w:rPr>
          <w:b/>
          <w:bCs/>
          <w:color w:val="auto"/>
          <w:kern w:val="0"/>
          <w:sz w:val="27"/>
          <w:szCs w:val="27"/>
          <w:lang w:val="en-US" w:eastAsia="en-US"/>
        </w:rPr>
        <w:t>8.4 Transplant contexts: infection foci, immunosuppression, and post-transplant complications</w:t>
      </w:r>
    </w:p>
    <w:p w:rsidR="003A5332" w:rsidRPr="003A5332" w:rsidRDefault="003A5332" w:rsidP="003A5332">
      <w:pPr>
        <w:spacing w:before="100" w:beforeAutospacing="1" w:after="100" w:afterAutospacing="1" w:line="240" w:lineRule="auto"/>
        <w:ind w:left="0" w:right="0" w:firstLine="0"/>
        <w:jc w:val="left"/>
        <w:rPr>
          <w:color w:val="auto"/>
          <w:kern w:val="0"/>
          <w:lang w:val="en-US" w:eastAsia="en-US"/>
        </w:rPr>
      </w:pPr>
      <w:r w:rsidRPr="003A5332">
        <w:rPr>
          <w:color w:val="auto"/>
          <w:kern w:val="0"/>
          <w:lang w:val="en-US" w:eastAsia="en-US"/>
        </w:rPr>
        <w:t xml:space="preserve">The oral cavity becomes particularly clinically consequential when patients approach liver transplantation, because immunosuppression amplifies the stakes of chronic oral infection. Evidence indicates that pre-transplant oral status can be associated with important post-transplant outcomes. In a study of liver transplant recipients with documented pre-transplant dental assessment, poorer pre-transplant dental status was associated with a higher risk of acute rejection and with less </w:t>
      </w:r>
      <w:proofErr w:type="spellStart"/>
      <w:r w:rsidRPr="003A5332">
        <w:rPr>
          <w:color w:val="auto"/>
          <w:kern w:val="0"/>
          <w:lang w:val="en-US" w:eastAsia="en-US"/>
        </w:rPr>
        <w:t>favourable</w:t>
      </w:r>
      <w:proofErr w:type="spellEnd"/>
      <w:r w:rsidRPr="003A5332">
        <w:rPr>
          <w:color w:val="auto"/>
          <w:kern w:val="0"/>
          <w:lang w:val="en-US" w:eastAsia="en-US"/>
        </w:rPr>
        <w:t xml:space="preserve"> one-year laboratory markers, including higher alanine aminotransferase and lower albumin levels (Olander et al., 2023). These findings support a pragmatic clinical message: dental infection foci and broader oral disease should be identified and managed early in the course of CLD, not only immediately before transplantation, because oral disease may reflect and potentially contribute to systemic inflammatory load (Olander et al., 2023). This aligns with broader synthesis work </w:t>
      </w:r>
      <w:proofErr w:type="spellStart"/>
      <w:r w:rsidRPr="003A5332">
        <w:rPr>
          <w:color w:val="auto"/>
          <w:kern w:val="0"/>
          <w:lang w:val="en-US" w:eastAsia="en-US"/>
        </w:rPr>
        <w:t>emphasising</w:t>
      </w:r>
      <w:proofErr w:type="spellEnd"/>
      <w:r w:rsidRPr="003A5332">
        <w:rPr>
          <w:color w:val="auto"/>
          <w:kern w:val="0"/>
          <w:lang w:val="en-US" w:eastAsia="en-US"/>
        </w:rPr>
        <w:t xml:space="preserve"> bidirectional relationships between oral health and liver disease and arguing that oral assessment should be integrated into routine CLD care rather than deferred until late-stage planning (</w:t>
      </w:r>
      <w:proofErr w:type="spellStart"/>
      <w:r w:rsidRPr="003A5332">
        <w:rPr>
          <w:color w:val="auto"/>
          <w:kern w:val="0"/>
          <w:lang w:val="en-US" w:eastAsia="en-US"/>
        </w:rPr>
        <w:t>Åberg</w:t>
      </w:r>
      <w:proofErr w:type="spellEnd"/>
      <w:r w:rsidRPr="003A5332">
        <w:rPr>
          <w:color w:val="auto"/>
          <w:kern w:val="0"/>
          <w:lang w:val="en-US" w:eastAsia="en-US"/>
        </w:rPr>
        <w:t xml:space="preserve"> &amp; </w:t>
      </w:r>
      <w:proofErr w:type="spellStart"/>
      <w:r w:rsidRPr="003A5332">
        <w:rPr>
          <w:color w:val="auto"/>
          <w:kern w:val="0"/>
          <w:lang w:val="en-US" w:eastAsia="en-US"/>
        </w:rPr>
        <w:t>Helenius-Hietala</w:t>
      </w:r>
      <w:proofErr w:type="spellEnd"/>
      <w:r w:rsidRPr="003A5332">
        <w:rPr>
          <w:color w:val="auto"/>
          <w:kern w:val="0"/>
          <w:lang w:val="en-US" w:eastAsia="en-US"/>
        </w:rPr>
        <w:t>, 2022). Within a gateway model, the presence of recurrent oral infection, poor healing, or multiple active dental foci should prompt timely liaison with hepatology teams, particularly when transplant evaluation is anticipated.</w:t>
      </w:r>
    </w:p>
    <w:p w:rsidR="003A5332" w:rsidRPr="003A5332" w:rsidRDefault="003A5332" w:rsidP="003A5332">
      <w:pPr>
        <w:spacing w:before="100" w:beforeAutospacing="1" w:after="100" w:afterAutospacing="1" w:line="240" w:lineRule="auto"/>
        <w:ind w:left="0" w:right="0" w:firstLine="0"/>
        <w:jc w:val="left"/>
        <w:outlineLvl w:val="2"/>
        <w:rPr>
          <w:b/>
          <w:bCs/>
          <w:color w:val="auto"/>
          <w:kern w:val="0"/>
          <w:sz w:val="27"/>
          <w:szCs w:val="27"/>
          <w:lang w:val="en-US" w:eastAsia="en-US"/>
        </w:rPr>
      </w:pPr>
      <w:r w:rsidRPr="003A5332">
        <w:rPr>
          <w:b/>
          <w:bCs/>
          <w:color w:val="auto"/>
          <w:kern w:val="0"/>
          <w:sz w:val="27"/>
          <w:szCs w:val="27"/>
          <w:lang w:val="en-US" w:eastAsia="en-US"/>
        </w:rPr>
        <w:t>8.5 Oral–gut–liver axis and disparities: why access to oral care matters in cirrhosis</w:t>
      </w:r>
    </w:p>
    <w:p w:rsidR="003A5332" w:rsidRPr="003A5332" w:rsidRDefault="003A5332" w:rsidP="003A5332">
      <w:pPr>
        <w:spacing w:before="100" w:beforeAutospacing="1" w:after="100" w:afterAutospacing="1" w:line="240" w:lineRule="auto"/>
        <w:ind w:left="0" w:right="0" w:firstLine="0"/>
        <w:jc w:val="left"/>
        <w:rPr>
          <w:color w:val="auto"/>
          <w:kern w:val="0"/>
          <w:lang w:val="en-US" w:eastAsia="en-US"/>
        </w:rPr>
      </w:pPr>
      <w:r w:rsidRPr="003A5332">
        <w:rPr>
          <w:color w:val="auto"/>
          <w:kern w:val="0"/>
          <w:lang w:val="en-US" w:eastAsia="en-US"/>
        </w:rPr>
        <w:t xml:space="preserve">Oral findings in CLD also intersect with social determinants of health and patient </w:t>
      </w:r>
      <w:proofErr w:type="spellStart"/>
      <w:r w:rsidRPr="003A5332">
        <w:rPr>
          <w:color w:val="auto"/>
          <w:kern w:val="0"/>
          <w:lang w:val="en-US" w:eastAsia="en-US"/>
        </w:rPr>
        <w:t>behaviour</w:t>
      </w:r>
      <w:proofErr w:type="spellEnd"/>
      <w:r w:rsidRPr="003A5332">
        <w:rPr>
          <w:color w:val="auto"/>
          <w:kern w:val="0"/>
          <w:lang w:val="en-US" w:eastAsia="en-US"/>
        </w:rPr>
        <w:t xml:space="preserve"> in ways that can directly affect hepatic outcomes. A gastroenterology commentary on poor oral health in cirrhosis explicitly foregrounds disparities and describes how unmanaged dental pain can drive unsafe self-medication and downstream complications, thereby situating oral disease within broader risk cycles in cirrhosis care (</w:t>
      </w:r>
      <w:proofErr w:type="spellStart"/>
      <w:r w:rsidRPr="003A5332">
        <w:rPr>
          <w:color w:val="auto"/>
          <w:kern w:val="0"/>
          <w:lang w:val="en-US" w:eastAsia="en-US"/>
        </w:rPr>
        <w:t>Lauridsen</w:t>
      </w:r>
      <w:proofErr w:type="spellEnd"/>
      <w:r w:rsidRPr="003A5332">
        <w:rPr>
          <w:color w:val="auto"/>
          <w:kern w:val="0"/>
          <w:lang w:val="en-US" w:eastAsia="en-US"/>
        </w:rPr>
        <w:t xml:space="preserve"> et al., 2024). This framing is clinically useful for gateway reasoning because it encourages clinicians to treat oral disease not only as a biomedical issue but also as an access-sensitive condition that can influence nutrition, medication use, inflammation and healthcare </w:t>
      </w:r>
      <w:proofErr w:type="spellStart"/>
      <w:r w:rsidRPr="003A5332">
        <w:rPr>
          <w:color w:val="auto"/>
          <w:kern w:val="0"/>
          <w:lang w:val="en-US" w:eastAsia="en-US"/>
        </w:rPr>
        <w:t>utilisation</w:t>
      </w:r>
      <w:proofErr w:type="spellEnd"/>
      <w:r w:rsidRPr="003A5332">
        <w:rPr>
          <w:color w:val="auto"/>
          <w:kern w:val="0"/>
          <w:lang w:val="en-US" w:eastAsia="en-US"/>
        </w:rPr>
        <w:t xml:space="preserve">. Conceptually, this perspective complements the broader view that CLD and oral disease can worsen each other </w:t>
      </w:r>
      <w:r w:rsidRPr="003A5332">
        <w:rPr>
          <w:color w:val="auto"/>
          <w:kern w:val="0"/>
          <w:lang w:val="en-US" w:eastAsia="en-US"/>
        </w:rPr>
        <w:lastRenderedPageBreak/>
        <w:t>through immune dysfunction, dysbiosis, and systemic inflammation, reinforcing the rationale for earlier prevention and coordinated referral pathways (</w:t>
      </w:r>
      <w:proofErr w:type="spellStart"/>
      <w:r w:rsidRPr="003A5332">
        <w:rPr>
          <w:color w:val="auto"/>
          <w:kern w:val="0"/>
          <w:lang w:val="en-US" w:eastAsia="en-US"/>
        </w:rPr>
        <w:t>Åberg</w:t>
      </w:r>
      <w:proofErr w:type="spellEnd"/>
      <w:r w:rsidRPr="003A5332">
        <w:rPr>
          <w:color w:val="auto"/>
          <w:kern w:val="0"/>
          <w:lang w:val="en-US" w:eastAsia="en-US"/>
        </w:rPr>
        <w:t xml:space="preserve"> &amp; </w:t>
      </w:r>
      <w:proofErr w:type="spellStart"/>
      <w:r w:rsidRPr="003A5332">
        <w:rPr>
          <w:color w:val="auto"/>
          <w:kern w:val="0"/>
          <w:lang w:val="en-US" w:eastAsia="en-US"/>
        </w:rPr>
        <w:t>Helenius-Hietala</w:t>
      </w:r>
      <w:proofErr w:type="spellEnd"/>
      <w:r w:rsidRPr="003A5332">
        <w:rPr>
          <w:color w:val="auto"/>
          <w:kern w:val="0"/>
          <w:lang w:val="en-US" w:eastAsia="en-US"/>
        </w:rPr>
        <w:t xml:space="preserve">, 2022; </w:t>
      </w:r>
      <w:proofErr w:type="spellStart"/>
      <w:r w:rsidRPr="003A5332">
        <w:rPr>
          <w:color w:val="auto"/>
          <w:kern w:val="0"/>
          <w:lang w:val="en-US" w:eastAsia="en-US"/>
        </w:rPr>
        <w:t>Lauridsen</w:t>
      </w:r>
      <w:proofErr w:type="spellEnd"/>
      <w:r w:rsidRPr="003A5332">
        <w:rPr>
          <w:color w:val="auto"/>
          <w:kern w:val="0"/>
          <w:lang w:val="en-US" w:eastAsia="en-US"/>
        </w:rPr>
        <w:t xml:space="preserve"> et al., 2024). In practice, </w:t>
      </w:r>
      <w:proofErr w:type="spellStart"/>
      <w:r w:rsidRPr="003A5332">
        <w:rPr>
          <w:color w:val="auto"/>
          <w:kern w:val="0"/>
          <w:lang w:val="en-US" w:eastAsia="en-US"/>
        </w:rPr>
        <w:t>recognising</w:t>
      </w:r>
      <w:proofErr w:type="spellEnd"/>
      <w:r w:rsidRPr="003A5332">
        <w:rPr>
          <w:color w:val="auto"/>
          <w:kern w:val="0"/>
          <w:lang w:val="en-US" w:eastAsia="en-US"/>
        </w:rPr>
        <w:t xml:space="preserve"> the oral–gut–liver linkage should prompt clinicians to ask not only “what is the lesion?” but also “what barriers prevent resolution?”, as this can determine whether oral pathology becomes an avoidable driver of worsening systemic risk.</w:t>
      </w:r>
    </w:p>
    <w:p w:rsidR="005072B4" w:rsidRPr="005072B4" w:rsidRDefault="005072B4" w:rsidP="005072B4">
      <w:pPr>
        <w:rPr>
          <w:lang w:val="en-GB"/>
        </w:rPr>
      </w:pPr>
    </w:p>
    <w:p w:rsidR="006D3E12" w:rsidRPr="006D3E12" w:rsidRDefault="006D3E12" w:rsidP="006D3E12">
      <w:pPr>
        <w:spacing w:before="100" w:beforeAutospacing="1" w:after="100" w:afterAutospacing="1" w:line="240" w:lineRule="auto"/>
        <w:ind w:left="0" w:right="0" w:firstLine="0"/>
        <w:jc w:val="left"/>
        <w:outlineLvl w:val="1"/>
        <w:rPr>
          <w:b/>
          <w:bCs/>
          <w:color w:val="auto"/>
          <w:kern w:val="0"/>
          <w:sz w:val="36"/>
          <w:szCs w:val="36"/>
          <w:lang w:val="en-US" w:eastAsia="en-US"/>
        </w:rPr>
      </w:pPr>
      <w:r w:rsidRPr="006D3E12">
        <w:rPr>
          <w:b/>
          <w:bCs/>
          <w:color w:val="auto"/>
          <w:kern w:val="0"/>
          <w:sz w:val="36"/>
          <w:szCs w:val="36"/>
          <w:lang w:val="en-US" w:eastAsia="en-US"/>
        </w:rPr>
        <w:t xml:space="preserve">9. Hereditary gastrointestinal polyposis syndromes: mucocutaneous and </w:t>
      </w:r>
      <w:proofErr w:type="spellStart"/>
      <w:r w:rsidRPr="006D3E12">
        <w:rPr>
          <w:b/>
          <w:bCs/>
          <w:color w:val="auto"/>
          <w:kern w:val="0"/>
          <w:sz w:val="36"/>
          <w:szCs w:val="36"/>
          <w:lang w:val="en-US" w:eastAsia="en-US"/>
        </w:rPr>
        <w:t>dento</w:t>
      </w:r>
      <w:proofErr w:type="spellEnd"/>
      <w:r w:rsidRPr="006D3E12">
        <w:rPr>
          <w:b/>
          <w:bCs/>
          <w:color w:val="auto"/>
          <w:kern w:val="0"/>
          <w:sz w:val="36"/>
          <w:szCs w:val="36"/>
          <w:lang w:val="en-US" w:eastAsia="en-US"/>
        </w:rPr>
        <w:t>-osseous gateways</w:t>
      </w:r>
    </w:p>
    <w:p w:rsidR="006D3E12" w:rsidRPr="006D3E12" w:rsidRDefault="006D3E12" w:rsidP="006D3E12">
      <w:pPr>
        <w:spacing w:before="100" w:beforeAutospacing="1" w:after="100" w:afterAutospacing="1" w:line="240" w:lineRule="auto"/>
        <w:ind w:left="0" w:right="0" w:firstLine="0"/>
        <w:jc w:val="left"/>
        <w:rPr>
          <w:color w:val="auto"/>
          <w:kern w:val="0"/>
          <w:lang w:val="en-US" w:eastAsia="en-US"/>
        </w:rPr>
      </w:pPr>
      <w:r w:rsidRPr="006D3E12">
        <w:rPr>
          <w:color w:val="auto"/>
          <w:kern w:val="0"/>
          <w:lang w:val="en-US" w:eastAsia="en-US"/>
        </w:rPr>
        <w:t xml:space="preserve">Hereditary gastrointestinal polyposis syndromes exemplify the strongest version of the “oral diagnostic gateway” concept because certain oral and maxillofacial phenotypes can be distinctive, observable early in life, and directly linked to clinically consequential outcomes such as cancer risk and the need for structured surveillance. In contrast to many inflammatory or functional gastrointestinal disorders—where oral findings may be non-specific or mediated through nutritional and inflammatory pathways—polyposis syndromes can produce patterned mucocutaneous or </w:t>
      </w:r>
      <w:proofErr w:type="spellStart"/>
      <w:r w:rsidRPr="006D3E12">
        <w:rPr>
          <w:color w:val="auto"/>
          <w:kern w:val="0"/>
          <w:lang w:val="en-US" w:eastAsia="en-US"/>
        </w:rPr>
        <w:t>dento</w:t>
      </w:r>
      <w:proofErr w:type="spellEnd"/>
      <w:r w:rsidRPr="006D3E12">
        <w:rPr>
          <w:color w:val="auto"/>
          <w:kern w:val="0"/>
          <w:lang w:val="en-US" w:eastAsia="en-US"/>
        </w:rPr>
        <w:t xml:space="preserve">-osseous signs that act as phenotypic flags for an underlying germline predisposition. When these signs are </w:t>
      </w:r>
      <w:proofErr w:type="spellStart"/>
      <w:r w:rsidRPr="006D3E12">
        <w:rPr>
          <w:color w:val="auto"/>
          <w:kern w:val="0"/>
          <w:lang w:val="en-US" w:eastAsia="en-US"/>
        </w:rPr>
        <w:t>recognised</w:t>
      </w:r>
      <w:proofErr w:type="spellEnd"/>
      <w:r w:rsidRPr="006D3E12">
        <w:rPr>
          <w:color w:val="auto"/>
          <w:kern w:val="0"/>
          <w:lang w:val="en-US" w:eastAsia="en-US"/>
        </w:rPr>
        <w:t xml:space="preserve"> in dental, oral medicine, dermatology, or primary-care settings, they can provide a practical entry point into genetic assessment, gastroenterological evaluation, and preventive management pathways. The clinical value is therefore not limited to diagnosis; it extends to risk stratification and timely initiation of surveillance that can reduce morbidity and mortality.</w:t>
      </w:r>
    </w:p>
    <w:p w:rsidR="006D3E12" w:rsidRPr="006D3E12" w:rsidRDefault="006D3E12" w:rsidP="006D3E12">
      <w:pPr>
        <w:spacing w:before="100" w:beforeAutospacing="1" w:after="100" w:afterAutospacing="1" w:line="240" w:lineRule="auto"/>
        <w:ind w:left="0" w:right="0" w:firstLine="0"/>
        <w:jc w:val="left"/>
        <w:outlineLvl w:val="2"/>
        <w:rPr>
          <w:b/>
          <w:bCs/>
          <w:color w:val="auto"/>
          <w:kern w:val="0"/>
          <w:sz w:val="27"/>
          <w:szCs w:val="27"/>
          <w:lang w:val="en-US" w:eastAsia="en-US"/>
        </w:rPr>
      </w:pPr>
      <w:r w:rsidRPr="006D3E12">
        <w:rPr>
          <w:b/>
          <w:bCs/>
          <w:color w:val="auto"/>
          <w:kern w:val="0"/>
          <w:sz w:val="27"/>
          <w:szCs w:val="27"/>
          <w:lang w:val="en-US" w:eastAsia="en-US"/>
        </w:rPr>
        <w:t xml:space="preserve">9.1 </w:t>
      </w:r>
      <w:proofErr w:type="spellStart"/>
      <w:r w:rsidRPr="006D3E12">
        <w:rPr>
          <w:b/>
          <w:bCs/>
          <w:color w:val="auto"/>
          <w:kern w:val="0"/>
          <w:sz w:val="27"/>
          <w:szCs w:val="27"/>
          <w:lang w:val="en-US" w:eastAsia="en-US"/>
        </w:rPr>
        <w:t>Peutz</w:t>
      </w:r>
      <w:proofErr w:type="spellEnd"/>
      <w:r w:rsidRPr="006D3E12">
        <w:rPr>
          <w:b/>
          <w:bCs/>
          <w:color w:val="auto"/>
          <w:kern w:val="0"/>
          <w:sz w:val="27"/>
          <w:szCs w:val="27"/>
          <w:lang w:val="en-US" w:eastAsia="en-US"/>
        </w:rPr>
        <w:t>–</w:t>
      </w:r>
      <w:proofErr w:type="spellStart"/>
      <w:r w:rsidRPr="006D3E12">
        <w:rPr>
          <w:b/>
          <w:bCs/>
          <w:color w:val="auto"/>
          <w:kern w:val="0"/>
          <w:sz w:val="27"/>
          <w:szCs w:val="27"/>
          <w:lang w:val="en-US" w:eastAsia="en-US"/>
        </w:rPr>
        <w:t>Jeghers</w:t>
      </w:r>
      <w:proofErr w:type="spellEnd"/>
      <w:r w:rsidRPr="006D3E12">
        <w:rPr>
          <w:b/>
          <w:bCs/>
          <w:color w:val="auto"/>
          <w:kern w:val="0"/>
          <w:sz w:val="27"/>
          <w:szCs w:val="27"/>
          <w:lang w:val="en-US" w:eastAsia="en-US"/>
        </w:rPr>
        <w:t xml:space="preserve"> syndrome and mucocutaneous pigmentation as an early phenotypic signal</w:t>
      </w:r>
    </w:p>
    <w:p w:rsidR="006D3E12" w:rsidRPr="006D3E12" w:rsidRDefault="006D3E12" w:rsidP="006D3E12">
      <w:pPr>
        <w:spacing w:before="100" w:beforeAutospacing="1" w:after="100" w:afterAutospacing="1" w:line="240" w:lineRule="auto"/>
        <w:ind w:left="0" w:right="0" w:firstLine="0"/>
        <w:jc w:val="left"/>
        <w:rPr>
          <w:color w:val="auto"/>
          <w:kern w:val="0"/>
          <w:lang w:val="en-US" w:eastAsia="en-US"/>
        </w:rPr>
      </w:pPr>
      <w:proofErr w:type="spellStart"/>
      <w:r w:rsidRPr="006D3E12">
        <w:rPr>
          <w:color w:val="auto"/>
          <w:kern w:val="0"/>
          <w:lang w:val="en-US" w:eastAsia="en-US"/>
        </w:rPr>
        <w:t>Peutz</w:t>
      </w:r>
      <w:proofErr w:type="spellEnd"/>
      <w:r w:rsidRPr="006D3E12">
        <w:rPr>
          <w:color w:val="auto"/>
          <w:kern w:val="0"/>
          <w:lang w:val="en-US" w:eastAsia="en-US"/>
        </w:rPr>
        <w:t>–</w:t>
      </w:r>
      <w:proofErr w:type="spellStart"/>
      <w:r w:rsidRPr="006D3E12">
        <w:rPr>
          <w:color w:val="auto"/>
          <w:kern w:val="0"/>
          <w:lang w:val="en-US" w:eastAsia="en-US"/>
        </w:rPr>
        <w:t>Jeghers</w:t>
      </w:r>
      <w:proofErr w:type="spellEnd"/>
      <w:r w:rsidRPr="006D3E12">
        <w:rPr>
          <w:color w:val="auto"/>
          <w:kern w:val="0"/>
          <w:lang w:val="en-US" w:eastAsia="en-US"/>
        </w:rPr>
        <w:t xml:space="preserve"> syndrome (PJS) is classically associated with </w:t>
      </w:r>
      <w:proofErr w:type="spellStart"/>
      <w:r w:rsidRPr="006D3E12">
        <w:rPr>
          <w:color w:val="auto"/>
          <w:kern w:val="0"/>
          <w:lang w:val="en-US" w:eastAsia="en-US"/>
        </w:rPr>
        <w:t>hamartomatous</w:t>
      </w:r>
      <w:proofErr w:type="spellEnd"/>
      <w:r w:rsidRPr="006D3E12">
        <w:rPr>
          <w:color w:val="auto"/>
          <w:kern w:val="0"/>
          <w:lang w:val="en-US" w:eastAsia="en-US"/>
        </w:rPr>
        <w:t xml:space="preserve"> gastrointestinal polyps and characteristic mucocutaneous pigmentation, often involving the lips and oral mucosa. In a gateway framework, the oral cavity is particularly important because pigmented macules are readily visible during routine dental examination, may be noticed in childhood or adolescence, and can trigger questioning about family history and gastrointestinal symptoms such as episodic abdominal pain or bleeding. The pigmentation is typically described as small, dark macules affecting perioral skin and oral sites such as the labial and buccal mucosa; importantly, oral pigmentation may persist even when cutaneous pigmentation fades with age. The diagnostic value lies in the pattern and distribution rather than in pigmentation per se, which has many benign differentials. When oral pigmentation appears in a distribution suggestive of a syndromic phenotype—especially if there is family history of polyps, early-onset cancers, or recurrent gastrointestinal complaints—the oral finding becomes a legitimate gateway to further assessment.</w:t>
      </w:r>
    </w:p>
    <w:p w:rsidR="006D3E12" w:rsidRPr="006D3E12" w:rsidRDefault="006D3E12" w:rsidP="006D3E12">
      <w:pPr>
        <w:spacing w:before="100" w:beforeAutospacing="1" w:after="100" w:afterAutospacing="1" w:line="240" w:lineRule="auto"/>
        <w:ind w:left="0" w:right="0" w:firstLine="0"/>
        <w:jc w:val="left"/>
        <w:rPr>
          <w:color w:val="auto"/>
          <w:kern w:val="0"/>
          <w:lang w:val="en-US" w:eastAsia="en-US"/>
        </w:rPr>
      </w:pPr>
      <w:r w:rsidRPr="006D3E12">
        <w:rPr>
          <w:color w:val="auto"/>
          <w:kern w:val="0"/>
          <w:lang w:val="en-US" w:eastAsia="en-US"/>
        </w:rPr>
        <w:t xml:space="preserve">Beyond recognition, PJS illustrates why this gateway matters: it is not simply an inherited “spotting” condition but a syndrome with significant clinical implications that benefits from structured management and surveillance. A systematic review and recommendations paper </w:t>
      </w:r>
      <w:proofErr w:type="spellStart"/>
      <w:r w:rsidRPr="006D3E12">
        <w:rPr>
          <w:color w:val="auto"/>
          <w:kern w:val="0"/>
          <w:lang w:val="en-US" w:eastAsia="en-US"/>
        </w:rPr>
        <w:t>synthesises</w:t>
      </w:r>
      <w:proofErr w:type="spellEnd"/>
      <w:r w:rsidRPr="006D3E12">
        <w:rPr>
          <w:color w:val="auto"/>
          <w:kern w:val="0"/>
          <w:lang w:val="en-US" w:eastAsia="en-US"/>
        </w:rPr>
        <w:t xml:space="preserve"> diagnostic and management principles for PJS, underscoring the need for clinical vigilance and coordinated follow-up (</w:t>
      </w:r>
      <w:proofErr w:type="spellStart"/>
      <w:r w:rsidRPr="006D3E12">
        <w:rPr>
          <w:color w:val="auto"/>
          <w:kern w:val="0"/>
          <w:lang w:val="en-US" w:eastAsia="en-US"/>
        </w:rPr>
        <w:t>Beggs</w:t>
      </w:r>
      <w:proofErr w:type="spellEnd"/>
      <w:r w:rsidRPr="006D3E12">
        <w:rPr>
          <w:color w:val="auto"/>
          <w:kern w:val="0"/>
          <w:lang w:val="en-US" w:eastAsia="en-US"/>
        </w:rPr>
        <w:t xml:space="preserve"> et al., 2010). In practical terms, this means that oral clinicians who detect suspicious mucocutaneous pigmentation patterns can contribute </w:t>
      </w:r>
      <w:r w:rsidRPr="006D3E12">
        <w:rPr>
          <w:color w:val="auto"/>
          <w:kern w:val="0"/>
          <w:lang w:val="en-US" w:eastAsia="en-US"/>
        </w:rPr>
        <w:lastRenderedPageBreak/>
        <w:t>directly to prevention by prompting referral into pathways where gastrointestinal evaluation and surveillance planning can occur. The gateway role is therefore both diagnostic and preventive, translating a superficial mucosal sign into an opportunity for timely, risk-appropriate care (</w:t>
      </w:r>
      <w:proofErr w:type="spellStart"/>
      <w:r w:rsidRPr="006D3E12">
        <w:rPr>
          <w:color w:val="auto"/>
          <w:kern w:val="0"/>
          <w:lang w:val="en-US" w:eastAsia="en-US"/>
        </w:rPr>
        <w:t>Beggs</w:t>
      </w:r>
      <w:proofErr w:type="spellEnd"/>
      <w:r w:rsidRPr="006D3E12">
        <w:rPr>
          <w:color w:val="auto"/>
          <w:kern w:val="0"/>
          <w:lang w:val="en-US" w:eastAsia="en-US"/>
        </w:rPr>
        <w:t xml:space="preserve"> et al., 2010).</w:t>
      </w:r>
    </w:p>
    <w:p w:rsidR="006D3E12" w:rsidRPr="006D3E12" w:rsidRDefault="006D3E12" w:rsidP="006D3E12">
      <w:pPr>
        <w:spacing w:before="100" w:beforeAutospacing="1" w:after="100" w:afterAutospacing="1" w:line="240" w:lineRule="auto"/>
        <w:ind w:left="0" w:right="0" w:firstLine="0"/>
        <w:jc w:val="left"/>
        <w:outlineLvl w:val="2"/>
        <w:rPr>
          <w:b/>
          <w:bCs/>
          <w:color w:val="auto"/>
          <w:kern w:val="0"/>
          <w:sz w:val="27"/>
          <w:szCs w:val="27"/>
          <w:lang w:val="en-US" w:eastAsia="en-US"/>
        </w:rPr>
      </w:pPr>
      <w:r w:rsidRPr="006D3E12">
        <w:rPr>
          <w:b/>
          <w:bCs/>
          <w:color w:val="auto"/>
          <w:kern w:val="0"/>
          <w:sz w:val="27"/>
          <w:szCs w:val="27"/>
          <w:lang w:val="en-US" w:eastAsia="en-US"/>
        </w:rPr>
        <w:t xml:space="preserve">9.2 Familial adenomatous polyposis and the diagnostic potential of </w:t>
      </w:r>
      <w:proofErr w:type="spellStart"/>
      <w:r w:rsidRPr="006D3E12">
        <w:rPr>
          <w:b/>
          <w:bCs/>
          <w:color w:val="auto"/>
          <w:kern w:val="0"/>
          <w:sz w:val="27"/>
          <w:szCs w:val="27"/>
          <w:lang w:val="en-US" w:eastAsia="en-US"/>
        </w:rPr>
        <w:t>dento</w:t>
      </w:r>
      <w:proofErr w:type="spellEnd"/>
      <w:r w:rsidRPr="006D3E12">
        <w:rPr>
          <w:b/>
          <w:bCs/>
          <w:color w:val="auto"/>
          <w:kern w:val="0"/>
          <w:sz w:val="27"/>
          <w:szCs w:val="27"/>
          <w:lang w:val="en-US" w:eastAsia="en-US"/>
        </w:rPr>
        <w:t>-osseous findings</w:t>
      </w:r>
    </w:p>
    <w:p w:rsidR="006D3E12" w:rsidRPr="006D3E12" w:rsidRDefault="006D3E12" w:rsidP="006D3E12">
      <w:pPr>
        <w:spacing w:before="100" w:beforeAutospacing="1" w:after="100" w:afterAutospacing="1" w:line="240" w:lineRule="auto"/>
        <w:ind w:left="0" w:right="0" w:firstLine="0"/>
        <w:jc w:val="left"/>
        <w:rPr>
          <w:color w:val="auto"/>
          <w:kern w:val="0"/>
          <w:lang w:val="en-US" w:eastAsia="en-US"/>
        </w:rPr>
      </w:pPr>
      <w:r w:rsidRPr="006D3E12">
        <w:rPr>
          <w:color w:val="auto"/>
          <w:kern w:val="0"/>
          <w:lang w:val="en-US" w:eastAsia="en-US"/>
        </w:rPr>
        <w:t xml:space="preserve">Familial adenomatous polyposis (FAP) offers a complementary gateway phenotype in which the oral and maxillofacial skeleton, rather than mucosal pigmentation, provides the principal diagnostic clues. Oral and </w:t>
      </w:r>
      <w:proofErr w:type="spellStart"/>
      <w:r w:rsidRPr="006D3E12">
        <w:rPr>
          <w:color w:val="auto"/>
          <w:kern w:val="0"/>
          <w:lang w:val="en-US" w:eastAsia="en-US"/>
        </w:rPr>
        <w:t>dento</w:t>
      </w:r>
      <w:proofErr w:type="spellEnd"/>
      <w:r w:rsidRPr="006D3E12">
        <w:rPr>
          <w:color w:val="auto"/>
          <w:kern w:val="0"/>
          <w:lang w:val="en-US" w:eastAsia="en-US"/>
        </w:rPr>
        <w:t>-osseous findings described in association with FAP include jaw osteomas, odontomas, supernumerary teeth, impacted or unerupted teeth, and other developmental anomalies. The gateway strength of these features arises from the way they are often detected incidentally. Panoramic radiographs and routine dental imaging are commonly undertaken for orthodontic planning, wisdom tooth assessment, or investigation of delayed eruption. When multiple anomalies are present, or when findings appear unusually patterned for a patient’s age and dental history, they can serve as a prompt for deeper systemic enquiry rather than being treated as isolated dental curiosities.</w:t>
      </w:r>
    </w:p>
    <w:p w:rsidR="006D3E12" w:rsidRPr="006D3E12" w:rsidRDefault="006D3E12" w:rsidP="006D3E12">
      <w:pPr>
        <w:spacing w:before="100" w:beforeAutospacing="1" w:after="100" w:afterAutospacing="1" w:line="240" w:lineRule="auto"/>
        <w:ind w:left="0" w:right="0" w:firstLine="0"/>
        <w:jc w:val="left"/>
        <w:rPr>
          <w:color w:val="auto"/>
          <w:kern w:val="0"/>
          <w:lang w:val="en-US" w:eastAsia="en-US"/>
        </w:rPr>
      </w:pPr>
      <w:r w:rsidRPr="006D3E12">
        <w:rPr>
          <w:color w:val="auto"/>
          <w:kern w:val="0"/>
          <w:lang w:val="en-US" w:eastAsia="en-US"/>
        </w:rPr>
        <w:t xml:space="preserve">A systematic review and meta-analysis has </w:t>
      </w:r>
      <w:proofErr w:type="spellStart"/>
      <w:r w:rsidRPr="006D3E12">
        <w:rPr>
          <w:color w:val="auto"/>
          <w:kern w:val="0"/>
          <w:lang w:val="en-US" w:eastAsia="en-US"/>
        </w:rPr>
        <w:t>synthesised</w:t>
      </w:r>
      <w:proofErr w:type="spellEnd"/>
      <w:r w:rsidRPr="006D3E12">
        <w:rPr>
          <w:color w:val="auto"/>
          <w:kern w:val="0"/>
          <w:lang w:val="en-US" w:eastAsia="en-US"/>
        </w:rPr>
        <w:t xml:space="preserve"> evidence on oral manifestations in FAP, supporting that </w:t>
      </w:r>
      <w:proofErr w:type="spellStart"/>
      <w:r w:rsidRPr="006D3E12">
        <w:rPr>
          <w:color w:val="auto"/>
          <w:kern w:val="0"/>
          <w:lang w:val="en-US" w:eastAsia="en-US"/>
        </w:rPr>
        <w:t>dento</w:t>
      </w:r>
      <w:proofErr w:type="spellEnd"/>
      <w:r w:rsidRPr="006D3E12">
        <w:rPr>
          <w:color w:val="auto"/>
          <w:kern w:val="0"/>
          <w:lang w:val="en-US" w:eastAsia="en-US"/>
        </w:rPr>
        <w:t xml:space="preserve">-osseous anomalies are sufficiently associated with the syndrome to be clinically meaningful and, in some circumstances, potentially useful as early markers (Almeida et al., 2016). This is particularly relevant because FAP-related colorectal risk is substantial and surveillance is time-sensitive; thus, earlier identification of at-risk individuals has clear preventive value. A follow-up study further </w:t>
      </w:r>
      <w:proofErr w:type="spellStart"/>
      <w:r w:rsidRPr="006D3E12">
        <w:rPr>
          <w:color w:val="auto"/>
          <w:kern w:val="0"/>
          <w:lang w:val="en-US" w:eastAsia="en-US"/>
        </w:rPr>
        <w:t>characterising</w:t>
      </w:r>
      <w:proofErr w:type="spellEnd"/>
      <w:r w:rsidRPr="006D3E12">
        <w:rPr>
          <w:color w:val="auto"/>
          <w:kern w:val="0"/>
          <w:lang w:val="en-US" w:eastAsia="en-US"/>
        </w:rPr>
        <w:t xml:space="preserve"> </w:t>
      </w:r>
      <w:proofErr w:type="spellStart"/>
      <w:r w:rsidRPr="006D3E12">
        <w:rPr>
          <w:color w:val="auto"/>
          <w:kern w:val="0"/>
          <w:lang w:val="en-US" w:eastAsia="en-US"/>
        </w:rPr>
        <w:t>dento</w:t>
      </w:r>
      <w:proofErr w:type="spellEnd"/>
      <w:r w:rsidRPr="006D3E12">
        <w:rPr>
          <w:color w:val="auto"/>
          <w:kern w:val="0"/>
          <w:lang w:val="en-US" w:eastAsia="en-US"/>
        </w:rPr>
        <w:t>-osseous anomalies in FAP supports the concept that these manifestations can be tracked longitudinally and may aid clinical recognition, including in younger individuals within affected families (Almeida et al., 2020). Within the gateway model, the implication is not that a single osteoma or a single impacted tooth should trigger alarm, but that clustering, multiplicity, or coexistence of several anomalies—especially when coupled with family history of colorectal disease—should prompt consideration of FAP and appropriate referral (Almeida et al., 2016; Almeida et al., 2020).</w:t>
      </w:r>
    </w:p>
    <w:p w:rsidR="006D3E12" w:rsidRPr="006D3E12" w:rsidRDefault="006D3E12" w:rsidP="006D3E12">
      <w:pPr>
        <w:spacing w:before="100" w:beforeAutospacing="1" w:after="100" w:afterAutospacing="1" w:line="240" w:lineRule="auto"/>
        <w:ind w:left="0" w:right="0" w:firstLine="0"/>
        <w:jc w:val="left"/>
        <w:outlineLvl w:val="2"/>
        <w:rPr>
          <w:b/>
          <w:bCs/>
          <w:color w:val="auto"/>
          <w:kern w:val="0"/>
          <w:sz w:val="27"/>
          <w:szCs w:val="27"/>
          <w:lang w:val="en-US" w:eastAsia="en-US"/>
        </w:rPr>
      </w:pPr>
      <w:r w:rsidRPr="006D3E12">
        <w:rPr>
          <w:b/>
          <w:bCs/>
          <w:color w:val="auto"/>
          <w:kern w:val="0"/>
          <w:sz w:val="27"/>
          <w:szCs w:val="27"/>
          <w:lang w:val="en-US" w:eastAsia="en-US"/>
        </w:rPr>
        <w:t>9.3 Translating oral findings into pathways: from recognition to referral and surveillance</w:t>
      </w:r>
    </w:p>
    <w:p w:rsidR="006D3E12" w:rsidRPr="006D3E12" w:rsidRDefault="006D3E12" w:rsidP="006D3E12">
      <w:pPr>
        <w:spacing w:before="100" w:beforeAutospacing="1" w:after="100" w:afterAutospacing="1" w:line="240" w:lineRule="auto"/>
        <w:ind w:left="0" w:right="0" w:firstLine="0"/>
        <w:jc w:val="left"/>
        <w:rPr>
          <w:color w:val="auto"/>
          <w:kern w:val="0"/>
          <w:lang w:val="en-US" w:eastAsia="en-US"/>
        </w:rPr>
      </w:pPr>
      <w:r w:rsidRPr="006D3E12">
        <w:rPr>
          <w:color w:val="auto"/>
          <w:kern w:val="0"/>
          <w:lang w:val="en-US" w:eastAsia="en-US"/>
        </w:rPr>
        <w:t xml:space="preserve">The practical challenge in using hereditary polyposis phenotypes as gateways is balancing sensitivity with specificity. Oral pigmentation is common and often benign; </w:t>
      </w:r>
      <w:proofErr w:type="spellStart"/>
      <w:r w:rsidRPr="006D3E12">
        <w:rPr>
          <w:color w:val="auto"/>
          <w:kern w:val="0"/>
          <w:lang w:val="en-US" w:eastAsia="en-US"/>
        </w:rPr>
        <w:t>dento</w:t>
      </w:r>
      <w:proofErr w:type="spellEnd"/>
      <w:r w:rsidRPr="006D3E12">
        <w:rPr>
          <w:color w:val="auto"/>
          <w:kern w:val="0"/>
          <w:lang w:val="en-US" w:eastAsia="en-US"/>
        </w:rPr>
        <w:t xml:space="preserve">-osseous anomalies also occur sporadically. The gateway approach therefore depends on pattern recognition combined with contextual risk appraisal. In suspected PJS, the key translational step is to </w:t>
      </w:r>
      <w:proofErr w:type="spellStart"/>
      <w:r w:rsidRPr="006D3E12">
        <w:rPr>
          <w:color w:val="auto"/>
          <w:kern w:val="0"/>
          <w:lang w:val="en-US" w:eastAsia="en-US"/>
        </w:rPr>
        <w:t>recognise</w:t>
      </w:r>
      <w:proofErr w:type="spellEnd"/>
      <w:r w:rsidRPr="006D3E12">
        <w:rPr>
          <w:color w:val="auto"/>
          <w:kern w:val="0"/>
          <w:lang w:val="en-US" w:eastAsia="en-US"/>
        </w:rPr>
        <w:t xml:space="preserve"> that oral pigmentation in a characteristic distribution may warrant discussion of family history and referral for further evaluation, consistent with management-oriented recommendations that </w:t>
      </w:r>
      <w:proofErr w:type="spellStart"/>
      <w:r w:rsidRPr="006D3E12">
        <w:rPr>
          <w:color w:val="auto"/>
          <w:kern w:val="0"/>
          <w:lang w:val="en-US" w:eastAsia="en-US"/>
        </w:rPr>
        <w:t>emphasise</w:t>
      </w:r>
      <w:proofErr w:type="spellEnd"/>
      <w:r w:rsidRPr="006D3E12">
        <w:rPr>
          <w:color w:val="auto"/>
          <w:kern w:val="0"/>
          <w:lang w:val="en-US" w:eastAsia="en-US"/>
        </w:rPr>
        <w:t xml:space="preserve"> coordinated care and surveillance (</w:t>
      </w:r>
      <w:proofErr w:type="spellStart"/>
      <w:r w:rsidRPr="006D3E12">
        <w:rPr>
          <w:color w:val="auto"/>
          <w:kern w:val="0"/>
          <w:lang w:val="en-US" w:eastAsia="en-US"/>
        </w:rPr>
        <w:t>Beggs</w:t>
      </w:r>
      <w:proofErr w:type="spellEnd"/>
      <w:r w:rsidRPr="006D3E12">
        <w:rPr>
          <w:color w:val="auto"/>
          <w:kern w:val="0"/>
          <w:lang w:val="en-US" w:eastAsia="en-US"/>
        </w:rPr>
        <w:t xml:space="preserve"> et al., 2010). In suspected FAP, the translational step is to move from “dental finding” to “systemic risk hypothesis” when anomalies cluster, recur, or appear alongside suggestive family history, supported by evidence that oral manifestations are relevant and potentially informative in this syndrome (Almeida et al., 2016; Almeida et al., 2020).</w:t>
      </w:r>
    </w:p>
    <w:p w:rsidR="006D3E12" w:rsidRPr="006D3E12" w:rsidRDefault="006D3E12" w:rsidP="006D3E12">
      <w:pPr>
        <w:spacing w:before="100" w:beforeAutospacing="1" w:after="100" w:afterAutospacing="1" w:line="240" w:lineRule="auto"/>
        <w:ind w:left="0" w:right="0" w:firstLine="0"/>
        <w:jc w:val="left"/>
        <w:rPr>
          <w:color w:val="auto"/>
          <w:kern w:val="0"/>
          <w:lang w:val="en-US" w:eastAsia="en-US"/>
        </w:rPr>
      </w:pPr>
      <w:r w:rsidRPr="006D3E12">
        <w:rPr>
          <w:color w:val="auto"/>
          <w:kern w:val="0"/>
          <w:lang w:val="en-US" w:eastAsia="en-US"/>
        </w:rPr>
        <w:lastRenderedPageBreak/>
        <w:t>The gateway model also encourages better interdisciplinary communication. Oral clinicians can increase the utility of referral by describing findings precisely—site and character of pigmentation; number, location, and radiographic characteristics of osteomas; presence of odontomas, supernumerary teeth, and eruption disturbances—rather than relying on non-specific labels. This helps medical teams assess pre-test probability and decide whether genetic evaluation, gastrointestinal investigation, or family-based cascade assessment is indicated. In this way, oral findings are not treated as definitive diagnoses but as structured phenotypic data that can accelerate appropriate work-up.</w:t>
      </w:r>
    </w:p>
    <w:p w:rsidR="006D3E12" w:rsidRPr="006D3E12" w:rsidRDefault="006D3E12" w:rsidP="006D3E12">
      <w:pPr>
        <w:spacing w:before="100" w:beforeAutospacing="1" w:after="100" w:afterAutospacing="1" w:line="240" w:lineRule="auto"/>
        <w:ind w:left="0" w:right="0" w:firstLine="0"/>
        <w:jc w:val="left"/>
        <w:outlineLvl w:val="2"/>
        <w:rPr>
          <w:b/>
          <w:bCs/>
          <w:color w:val="auto"/>
          <w:kern w:val="0"/>
          <w:sz w:val="27"/>
          <w:szCs w:val="27"/>
          <w:lang w:val="en-US" w:eastAsia="en-US"/>
        </w:rPr>
      </w:pPr>
      <w:r w:rsidRPr="006D3E12">
        <w:rPr>
          <w:b/>
          <w:bCs/>
          <w:color w:val="auto"/>
          <w:kern w:val="0"/>
          <w:sz w:val="27"/>
          <w:szCs w:val="27"/>
          <w:lang w:val="en-US" w:eastAsia="en-US"/>
        </w:rPr>
        <w:t>9.4 Clinical cautions and ethical considerations in gateway use</w:t>
      </w:r>
    </w:p>
    <w:p w:rsidR="006D3E12" w:rsidRPr="006D3E12" w:rsidRDefault="006D3E12" w:rsidP="006D3E12">
      <w:pPr>
        <w:spacing w:before="100" w:beforeAutospacing="1" w:after="100" w:afterAutospacing="1" w:line="240" w:lineRule="auto"/>
        <w:ind w:left="0" w:right="0" w:firstLine="0"/>
        <w:jc w:val="left"/>
        <w:rPr>
          <w:color w:val="auto"/>
          <w:kern w:val="0"/>
          <w:lang w:val="en-US" w:eastAsia="en-US"/>
        </w:rPr>
      </w:pPr>
      <w:r w:rsidRPr="006D3E12">
        <w:rPr>
          <w:color w:val="auto"/>
          <w:kern w:val="0"/>
          <w:lang w:val="en-US" w:eastAsia="en-US"/>
        </w:rPr>
        <w:t>Because these syndromes carry implications for genetic counselling and family members, clinicians should apply the gateway concept with care. Overinterpretation risks unnecessary anxiety and inappropriate investigations, while under-recognition risks missed prevention opportunities. The most defensible stance is to treat oral phenotypes as prompts for careful history-taking and referral when patterns are suggestive, aligned with the view that early recognition is valuable precisely because it enables structured management and surveillance (</w:t>
      </w:r>
      <w:proofErr w:type="spellStart"/>
      <w:r w:rsidRPr="006D3E12">
        <w:rPr>
          <w:color w:val="auto"/>
          <w:kern w:val="0"/>
          <w:lang w:val="en-US" w:eastAsia="en-US"/>
        </w:rPr>
        <w:t>Beggs</w:t>
      </w:r>
      <w:proofErr w:type="spellEnd"/>
      <w:r w:rsidRPr="006D3E12">
        <w:rPr>
          <w:color w:val="auto"/>
          <w:kern w:val="0"/>
          <w:lang w:val="en-US" w:eastAsia="en-US"/>
        </w:rPr>
        <w:t xml:space="preserve"> et al., 2010; Almeida et al., 2016). For FAP-related anomalies, the evidence base supports clinical relevance but does not justify equating isolated, common findings with syndromic disease; instead, it supports heightened suspicion when anomalies are multiple, unusual, or embedded in a suggestive family context (Almeida et al., 2016; Almeida et al., 2020). For PJS, the oral pigmentation gateway is best used when distribution and history raise suspicion, </w:t>
      </w:r>
      <w:proofErr w:type="spellStart"/>
      <w:r w:rsidRPr="006D3E12">
        <w:rPr>
          <w:color w:val="auto"/>
          <w:kern w:val="0"/>
          <w:lang w:val="en-US" w:eastAsia="en-US"/>
        </w:rPr>
        <w:t>recognising</w:t>
      </w:r>
      <w:proofErr w:type="spellEnd"/>
      <w:r w:rsidRPr="006D3E12">
        <w:rPr>
          <w:color w:val="auto"/>
          <w:kern w:val="0"/>
          <w:lang w:val="en-US" w:eastAsia="en-US"/>
        </w:rPr>
        <w:t xml:space="preserve"> that the downstream clinical value lies in connecting the patient to appropriate surveillance strategies (</w:t>
      </w:r>
      <w:proofErr w:type="spellStart"/>
      <w:r w:rsidRPr="006D3E12">
        <w:rPr>
          <w:color w:val="auto"/>
          <w:kern w:val="0"/>
          <w:lang w:val="en-US" w:eastAsia="en-US"/>
        </w:rPr>
        <w:t>Beggs</w:t>
      </w:r>
      <w:proofErr w:type="spellEnd"/>
      <w:r w:rsidRPr="006D3E12">
        <w:rPr>
          <w:color w:val="auto"/>
          <w:kern w:val="0"/>
          <w:lang w:val="en-US" w:eastAsia="en-US"/>
        </w:rPr>
        <w:t xml:space="preserve"> et al., 2010).</w:t>
      </w:r>
    </w:p>
    <w:p w:rsidR="005072B4" w:rsidRPr="005072B4" w:rsidRDefault="005072B4" w:rsidP="005072B4">
      <w:pPr>
        <w:rPr>
          <w:lang w:val="en-GB"/>
        </w:rPr>
      </w:pPr>
    </w:p>
    <w:p w:rsidR="006D3E12" w:rsidRPr="006D3E12" w:rsidRDefault="006D3E12" w:rsidP="006D3E12">
      <w:pPr>
        <w:spacing w:before="100" w:beforeAutospacing="1" w:after="100" w:afterAutospacing="1" w:line="240" w:lineRule="auto"/>
        <w:ind w:left="0" w:right="0" w:firstLine="0"/>
        <w:jc w:val="left"/>
        <w:outlineLvl w:val="1"/>
        <w:rPr>
          <w:b/>
          <w:bCs/>
          <w:color w:val="auto"/>
          <w:kern w:val="0"/>
          <w:sz w:val="36"/>
          <w:szCs w:val="36"/>
          <w:lang w:val="en-US" w:eastAsia="en-US"/>
        </w:rPr>
      </w:pPr>
      <w:r w:rsidRPr="006D3E12">
        <w:rPr>
          <w:b/>
          <w:bCs/>
          <w:color w:val="auto"/>
          <w:kern w:val="0"/>
          <w:sz w:val="36"/>
          <w:szCs w:val="36"/>
          <w:lang w:val="en-US" w:eastAsia="en-US"/>
        </w:rPr>
        <w:t>10. From oral sign to gastrointestinal diagnosis: principles for interdisciplinary clinical reasoning</w:t>
      </w:r>
    </w:p>
    <w:p w:rsidR="006D3E12" w:rsidRPr="006D3E12" w:rsidRDefault="006D3E12" w:rsidP="006D3E12">
      <w:pPr>
        <w:spacing w:before="100" w:beforeAutospacing="1" w:after="100" w:afterAutospacing="1" w:line="240" w:lineRule="auto"/>
        <w:ind w:left="0" w:right="0" w:firstLine="0"/>
        <w:jc w:val="left"/>
        <w:rPr>
          <w:color w:val="auto"/>
          <w:kern w:val="0"/>
          <w:lang w:val="en-US" w:eastAsia="en-US"/>
        </w:rPr>
      </w:pPr>
      <w:r w:rsidRPr="006D3E12">
        <w:rPr>
          <w:color w:val="auto"/>
          <w:kern w:val="0"/>
          <w:lang w:val="en-US" w:eastAsia="en-US"/>
        </w:rPr>
        <w:t xml:space="preserve">Oral findings become diagnostically useful for gastrointestinal (GI) syndromes when clinicians treat them as </w:t>
      </w:r>
      <w:r w:rsidRPr="006D3E12">
        <w:rPr>
          <w:i/>
          <w:iCs/>
          <w:color w:val="auto"/>
          <w:kern w:val="0"/>
          <w:lang w:val="en-US" w:eastAsia="en-US"/>
        </w:rPr>
        <w:t>probability-raising signals</w:t>
      </w:r>
      <w:r w:rsidRPr="006D3E12">
        <w:rPr>
          <w:color w:val="auto"/>
          <w:kern w:val="0"/>
          <w:lang w:val="en-US" w:eastAsia="en-US"/>
        </w:rPr>
        <w:t xml:space="preserve"> rather than stand-alone diagnoses. The central interdisciplinary task is to translate what is seen in the mouth into a structured hypothesis about systemic disease, while avoiding both under-recognition (missed opportunities for early diagnosis) and over-</w:t>
      </w:r>
      <w:proofErr w:type="spellStart"/>
      <w:r w:rsidRPr="006D3E12">
        <w:rPr>
          <w:color w:val="auto"/>
          <w:kern w:val="0"/>
          <w:lang w:val="en-US" w:eastAsia="en-US"/>
        </w:rPr>
        <w:t>medicalisation</w:t>
      </w:r>
      <w:proofErr w:type="spellEnd"/>
      <w:r w:rsidRPr="006D3E12">
        <w:rPr>
          <w:color w:val="auto"/>
          <w:kern w:val="0"/>
          <w:lang w:val="en-US" w:eastAsia="en-US"/>
        </w:rPr>
        <w:t xml:space="preserve"> (unnecessary investigations for common oral complaints). Reviews of oral involvement in inflammatory bowel disease (IBD) repeatedly </w:t>
      </w:r>
      <w:proofErr w:type="spellStart"/>
      <w:r w:rsidRPr="006D3E12">
        <w:rPr>
          <w:color w:val="auto"/>
          <w:kern w:val="0"/>
          <w:lang w:val="en-US" w:eastAsia="en-US"/>
        </w:rPr>
        <w:t>emphasise</w:t>
      </w:r>
      <w:proofErr w:type="spellEnd"/>
      <w:r w:rsidRPr="006D3E12">
        <w:rPr>
          <w:color w:val="auto"/>
          <w:kern w:val="0"/>
          <w:lang w:val="en-US" w:eastAsia="en-US"/>
        </w:rPr>
        <w:t xml:space="preserve"> that oral lesions can be either disease-related or secondary to systemic consequences such as nutritional deficiency and chronic inflammation, and that interpretation requires careful correlation with history and context (</w:t>
      </w:r>
      <w:proofErr w:type="spellStart"/>
      <w:r w:rsidRPr="006D3E12">
        <w:rPr>
          <w:color w:val="auto"/>
          <w:kern w:val="0"/>
          <w:lang w:val="en-US" w:eastAsia="en-US"/>
        </w:rPr>
        <w:t>Lankarani</w:t>
      </w:r>
      <w:proofErr w:type="spellEnd"/>
      <w:r w:rsidRPr="006D3E12">
        <w:rPr>
          <w:color w:val="auto"/>
          <w:kern w:val="0"/>
          <w:lang w:val="en-US" w:eastAsia="en-US"/>
        </w:rPr>
        <w:t xml:space="preserve"> et al., 2013). This principle </w:t>
      </w:r>
      <w:proofErr w:type="spellStart"/>
      <w:r w:rsidRPr="006D3E12">
        <w:rPr>
          <w:color w:val="auto"/>
          <w:kern w:val="0"/>
          <w:lang w:val="en-US" w:eastAsia="en-US"/>
        </w:rPr>
        <w:t>generalises</w:t>
      </w:r>
      <w:proofErr w:type="spellEnd"/>
      <w:r w:rsidRPr="006D3E12">
        <w:rPr>
          <w:color w:val="auto"/>
          <w:kern w:val="0"/>
          <w:lang w:val="en-US" w:eastAsia="en-US"/>
        </w:rPr>
        <w:t xml:space="preserve"> across GI syndromes: the same oral complaint—ulceration, burning, halitosis, or tooth wear—may be benign, local, and self-limited in one patient yet represent an important gateway to GI evaluation in another.</w:t>
      </w:r>
    </w:p>
    <w:p w:rsidR="006D3E12" w:rsidRPr="006D3E12" w:rsidRDefault="006D3E12" w:rsidP="006D3E12">
      <w:pPr>
        <w:spacing w:before="100" w:beforeAutospacing="1" w:after="100" w:afterAutospacing="1" w:line="240" w:lineRule="auto"/>
        <w:ind w:left="0" w:right="0" w:firstLine="0"/>
        <w:jc w:val="left"/>
        <w:rPr>
          <w:color w:val="auto"/>
          <w:kern w:val="0"/>
          <w:lang w:val="en-US" w:eastAsia="en-US"/>
        </w:rPr>
      </w:pPr>
      <w:r w:rsidRPr="006D3E12">
        <w:rPr>
          <w:color w:val="auto"/>
          <w:kern w:val="0"/>
          <w:lang w:val="en-US" w:eastAsia="en-US"/>
        </w:rPr>
        <w:t xml:space="preserve">A first step in reasoning is </w:t>
      </w:r>
      <w:r w:rsidRPr="006D3E12">
        <w:rPr>
          <w:i/>
          <w:iCs/>
          <w:color w:val="auto"/>
          <w:kern w:val="0"/>
          <w:lang w:val="en-US" w:eastAsia="en-US"/>
        </w:rPr>
        <w:t>phenotyping the oral finding precisely</w:t>
      </w:r>
      <w:r w:rsidRPr="006D3E12">
        <w:rPr>
          <w:color w:val="auto"/>
          <w:kern w:val="0"/>
          <w:lang w:val="en-US" w:eastAsia="en-US"/>
        </w:rPr>
        <w:t xml:space="preserve">. “Mouth ulcers” is a low-information label; by contrast, describing lesion morphology, distribution, depth, recurrence pattern, associated swelling, gingival involvement, and response to local care increases diagnostic yield. This distinction is especially important in suspected Crohn’s disease, where patterns such as persistent lip swelling, </w:t>
      </w:r>
      <w:proofErr w:type="spellStart"/>
      <w:r w:rsidRPr="006D3E12">
        <w:rPr>
          <w:color w:val="auto"/>
          <w:kern w:val="0"/>
          <w:lang w:val="en-US" w:eastAsia="en-US"/>
        </w:rPr>
        <w:t>cobblestoning</w:t>
      </w:r>
      <w:proofErr w:type="spellEnd"/>
      <w:r w:rsidRPr="006D3E12">
        <w:rPr>
          <w:color w:val="auto"/>
          <w:kern w:val="0"/>
          <w:lang w:val="en-US" w:eastAsia="en-US"/>
        </w:rPr>
        <w:t xml:space="preserve">, mucosal tags, and linear ulceration are </w:t>
      </w:r>
      <w:r w:rsidRPr="006D3E12">
        <w:rPr>
          <w:color w:val="auto"/>
          <w:kern w:val="0"/>
          <w:lang w:val="en-US" w:eastAsia="en-US"/>
        </w:rPr>
        <w:lastRenderedPageBreak/>
        <w:t xml:space="preserve">more suggestive of granulomatous disease than non-specific aphthae, and prospective </w:t>
      </w:r>
      <w:proofErr w:type="spellStart"/>
      <w:r w:rsidRPr="006D3E12">
        <w:rPr>
          <w:color w:val="auto"/>
          <w:kern w:val="0"/>
          <w:lang w:val="en-US" w:eastAsia="en-US"/>
        </w:rPr>
        <w:t>paediatric</w:t>
      </w:r>
      <w:proofErr w:type="spellEnd"/>
      <w:r w:rsidRPr="006D3E12">
        <w:rPr>
          <w:color w:val="auto"/>
          <w:kern w:val="0"/>
          <w:lang w:val="en-US" w:eastAsia="en-US"/>
        </w:rPr>
        <w:t xml:space="preserve"> data show that disease-specific oral signs can be common at diagnosis (Harty et al., 2005). At the same time, granulomatous oral inflammation has a differential diagnosis, and work </w:t>
      </w:r>
      <w:proofErr w:type="spellStart"/>
      <w:r w:rsidRPr="006D3E12">
        <w:rPr>
          <w:color w:val="auto"/>
          <w:kern w:val="0"/>
          <w:lang w:val="en-US" w:eastAsia="en-US"/>
        </w:rPr>
        <w:t>emphasising</w:t>
      </w:r>
      <w:proofErr w:type="spellEnd"/>
      <w:r w:rsidRPr="006D3E12">
        <w:rPr>
          <w:color w:val="auto"/>
          <w:kern w:val="0"/>
          <w:lang w:val="en-US" w:eastAsia="en-US"/>
        </w:rPr>
        <w:t xml:space="preserve"> the overlap between oral Crohn’s disease and orofacial granulomatosis cautions against premature closure; clinicopathological integration and systemic evaluation remain essential (</w:t>
      </w:r>
      <w:proofErr w:type="spellStart"/>
      <w:r w:rsidRPr="006D3E12">
        <w:rPr>
          <w:color w:val="auto"/>
          <w:kern w:val="0"/>
          <w:lang w:val="en-US" w:eastAsia="en-US"/>
        </w:rPr>
        <w:t>Zbar</w:t>
      </w:r>
      <w:proofErr w:type="spellEnd"/>
      <w:r w:rsidRPr="006D3E12">
        <w:rPr>
          <w:color w:val="auto"/>
          <w:kern w:val="0"/>
          <w:lang w:val="en-US" w:eastAsia="en-US"/>
        </w:rPr>
        <w:t xml:space="preserve"> et al., 2012). In ulcerative colitis, a structured review of oral manifestations underlines that oral lesions may be clinically meaningful, including more characteristic inflammatory patterns that warrant heightened suspicion when observed (Li et al., 2022). The practical message for dental and medical clinicians is that a careful description of “what exactly is present” can be more important than the mere presence of an oral symptom.</w:t>
      </w:r>
    </w:p>
    <w:p w:rsidR="006D3E12" w:rsidRPr="006D3E12" w:rsidRDefault="006D3E12" w:rsidP="006D3E12">
      <w:pPr>
        <w:spacing w:before="100" w:beforeAutospacing="1" w:after="100" w:afterAutospacing="1" w:line="240" w:lineRule="auto"/>
        <w:ind w:left="0" w:right="0" w:firstLine="0"/>
        <w:jc w:val="left"/>
        <w:rPr>
          <w:color w:val="auto"/>
          <w:kern w:val="0"/>
          <w:lang w:val="en-US" w:eastAsia="en-US"/>
        </w:rPr>
      </w:pPr>
      <w:r w:rsidRPr="006D3E12">
        <w:rPr>
          <w:color w:val="auto"/>
          <w:kern w:val="0"/>
          <w:lang w:val="en-US" w:eastAsia="en-US"/>
        </w:rPr>
        <w:t xml:space="preserve">A second step is </w:t>
      </w:r>
      <w:r w:rsidRPr="006D3E12">
        <w:rPr>
          <w:i/>
          <w:iCs/>
          <w:color w:val="auto"/>
          <w:kern w:val="0"/>
          <w:lang w:val="en-US" w:eastAsia="en-US"/>
        </w:rPr>
        <w:t>pattern recognition across time</w:t>
      </w:r>
      <w:r w:rsidRPr="006D3E12">
        <w:rPr>
          <w:color w:val="auto"/>
          <w:kern w:val="0"/>
          <w:lang w:val="en-US" w:eastAsia="en-US"/>
        </w:rPr>
        <w:t xml:space="preserve">, not only at a single visit. Many diagnostic gateways depend on chronicity or recurrence. Coeliac disease illustrates this well: enamel defects are most informative when they are symmetrical, multi-tooth, and consistent with developmental timing, and recurrent aphthous stomatitis becomes more diagnostically persuasive when it is frequent, severe, or persistent despite typical local management. Controlled evidence </w:t>
      </w:r>
      <w:proofErr w:type="spellStart"/>
      <w:r w:rsidRPr="006D3E12">
        <w:rPr>
          <w:color w:val="auto"/>
          <w:kern w:val="0"/>
          <w:lang w:val="en-US" w:eastAsia="en-US"/>
        </w:rPr>
        <w:t>synthesised</w:t>
      </w:r>
      <w:proofErr w:type="spellEnd"/>
      <w:r w:rsidRPr="006D3E12">
        <w:rPr>
          <w:color w:val="auto"/>
          <w:kern w:val="0"/>
          <w:lang w:val="en-US" w:eastAsia="en-US"/>
        </w:rPr>
        <w:t xml:space="preserve"> in a systematic review and meta-analysis supports associations between coeliac disease and both enamel defects and aphthous stomatitis, encouraging clinicians to consider screening when the pattern is suggestive (</w:t>
      </w:r>
      <w:proofErr w:type="spellStart"/>
      <w:r w:rsidRPr="006D3E12">
        <w:rPr>
          <w:color w:val="auto"/>
          <w:kern w:val="0"/>
          <w:lang w:val="en-US" w:eastAsia="en-US"/>
        </w:rPr>
        <w:t>Nieri</w:t>
      </w:r>
      <w:proofErr w:type="spellEnd"/>
      <w:r w:rsidRPr="006D3E12">
        <w:rPr>
          <w:color w:val="auto"/>
          <w:kern w:val="0"/>
          <w:lang w:val="en-US" w:eastAsia="en-US"/>
        </w:rPr>
        <w:t xml:space="preserve"> et al., 2017). </w:t>
      </w:r>
      <w:proofErr w:type="spellStart"/>
      <w:r w:rsidRPr="006D3E12">
        <w:rPr>
          <w:color w:val="auto"/>
          <w:kern w:val="0"/>
          <w:lang w:val="en-US" w:eastAsia="en-US"/>
        </w:rPr>
        <w:t>Paediatric</w:t>
      </w:r>
      <w:proofErr w:type="spellEnd"/>
      <w:r w:rsidRPr="006D3E12">
        <w:rPr>
          <w:color w:val="auto"/>
          <w:kern w:val="0"/>
          <w:lang w:val="en-US" w:eastAsia="en-US"/>
        </w:rPr>
        <w:t xml:space="preserve"> clinical evidence similarly highlights that oral manifestations are encountered in children with coeliac disease, reinforcing the practical value of oral examination as a trigger for targeted medical evaluation in appropriate contexts (</w:t>
      </w:r>
      <w:proofErr w:type="spellStart"/>
      <w:r w:rsidRPr="006D3E12">
        <w:rPr>
          <w:color w:val="auto"/>
          <w:kern w:val="0"/>
          <w:lang w:val="en-US" w:eastAsia="en-US"/>
        </w:rPr>
        <w:t>Villemur</w:t>
      </w:r>
      <w:proofErr w:type="spellEnd"/>
      <w:r w:rsidRPr="006D3E12">
        <w:rPr>
          <w:color w:val="auto"/>
          <w:kern w:val="0"/>
          <w:lang w:val="en-US" w:eastAsia="en-US"/>
        </w:rPr>
        <w:t xml:space="preserve"> Moreau et al., 2021). In other words, the gateway is activated less by a single enamel anomaly or isolated ulcer than by a constellation that tells a coherent systemic story.</w:t>
      </w:r>
    </w:p>
    <w:p w:rsidR="006D3E12" w:rsidRPr="006D3E12" w:rsidRDefault="006D3E12" w:rsidP="006D3E12">
      <w:pPr>
        <w:spacing w:before="100" w:beforeAutospacing="1" w:after="100" w:afterAutospacing="1" w:line="240" w:lineRule="auto"/>
        <w:ind w:left="0" w:right="0" w:firstLine="0"/>
        <w:jc w:val="left"/>
        <w:rPr>
          <w:color w:val="auto"/>
          <w:kern w:val="0"/>
          <w:lang w:val="en-US" w:eastAsia="en-US"/>
        </w:rPr>
      </w:pPr>
      <w:r w:rsidRPr="006D3E12">
        <w:rPr>
          <w:color w:val="auto"/>
          <w:kern w:val="0"/>
          <w:lang w:val="en-US" w:eastAsia="en-US"/>
        </w:rPr>
        <w:t xml:space="preserve">A third step is </w:t>
      </w:r>
      <w:r w:rsidRPr="006D3E12">
        <w:rPr>
          <w:i/>
          <w:iCs/>
          <w:color w:val="auto"/>
          <w:kern w:val="0"/>
          <w:lang w:val="en-US" w:eastAsia="en-US"/>
        </w:rPr>
        <w:t>triangulating oral findings with GI symptom profiles and risk context</w:t>
      </w:r>
      <w:r w:rsidRPr="006D3E12">
        <w:rPr>
          <w:color w:val="auto"/>
          <w:kern w:val="0"/>
          <w:lang w:val="en-US" w:eastAsia="en-US"/>
        </w:rPr>
        <w:t>. This does not require exhaustive history-taking; it requires focused questions that are logically tied to the oral phenotype. When erosive tooth wear suggests intrinsic acid exposure, the clinician should ask about heartburn, regurgitation, nocturnal symptoms, hoarseness, chronic cough, and dietary acid exposure, because systematic syntheses support GERD as a risk factor for dental erosion and highlight tooth wear as a relevant extra-</w:t>
      </w:r>
      <w:proofErr w:type="spellStart"/>
      <w:r w:rsidRPr="006D3E12">
        <w:rPr>
          <w:color w:val="auto"/>
          <w:kern w:val="0"/>
          <w:lang w:val="en-US" w:eastAsia="en-US"/>
        </w:rPr>
        <w:t>oesophageal</w:t>
      </w:r>
      <w:proofErr w:type="spellEnd"/>
      <w:r w:rsidRPr="006D3E12">
        <w:rPr>
          <w:color w:val="auto"/>
          <w:kern w:val="0"/>
          <w:lang w:val="en-US" w:eastAsia="en-US"/>
        </w:rPr>
        <w:t xml:space="preserve"> manifestation (</w:t>
      </w:r>
      <w:proofErr w:type="spellStart"/>
      <w:r w:rsidRPr="006D3E12">
        <w:rPr>
          <w:color w:val="auto"/>
          <w:kern w:val="0"/>
          <w:lang w:val="en-US" w:eastAsia="en-US"/>
        </w:rPr>
        <w:t>Chatzidimitriou</w:t>
      </w:r>
      <w:proofErr w:type="spellEnd"/>
      <w:r w:rsidRPr="006D3E12">
        <w:rPr>
          <w:color w:val="auto"/>
          <w:kern w:val="0"/>
          <w:lang w:val="en-US" w:eastAsia="en-US"/>
        </w:rPr>
        <w:t xml:space="preserve"> et al., 2023; Pace et al., 2008). A meta-analysis further supports that erosion is common in GERD populations and that GERD increases erosion risk relative to controls, strengthening the rationale for medical evaluation when dental patterns and symptoms align (</w:t>
      </w:r>
      <w:proofErr w:type="spellStart"/>
      <w:r w:rsidRPr="006D3E12">
        <w:rPr>
          <w:color w:val="auto"/>
          <w:kern w:val="0"/>
          <w:lang w:val="en-US" w:eastAsia="en-US"/>
        </w:rPr>
        <w:t>Yanushevich</w:t>
      </w:r>
      <w:proofErr w:type="spellEnd"/>
      <w:r w:rsidRPr="006D3E12">
        <w:rPr>
          <w:color w:val="auto"/>
          <w:kern w:val="0"/>
          <w:lang w:val="en-US" w:eastAsia="en-US"/>
        </w:rPr>
        <w:t xml:space="preserve"> et al., 2022). Similarly, halitosis should not automatically prompt GI work-up, yet meta-analytic evidence supports an association between </w:t>
      </w:r>
      <w:r w:rsidRPr="006D3E12">
        <w:rPr>
          <w:i/>
          <w:iCs/>
          <w:color w:val="auto"/>
          <w:kern w:val="0"/>
          <w:lang w:val="en-US" w:eastAsia="en-US"/>
        </w:rPr>
        <w:t>Helicobacter pylori</w:t>
      </w:r>
      <w:r w:rsidRPr="006D3E12">
        <w:rPr>
          <w:color w:val="auto"/>
          <w:kern w:val="0"/>
          <w:lang w:val="en-US" w:eastAsia="en-US"/>
        </w:rPr>
        <w:t xml:space="preserve"> infection and halitosis; this supports selective GI consideration when </w:t>
      </w:r>
      <w:proofErr w:type="spellStart"/>
      <w:r w:rsidRPr="006D3E12">
        <w:rPr>
          <w:color w:val="auto"/>
          <w:kern w:val="0"/>
          <w:lang w:val="en-US" w:eastAsia="en-US"/>
        </w:rPr>
        <w:t>malodour</w:t>
      </w:r>
      <w:proofErr w:type="spellEnd"/>
      <w:r w:rsidRPr="006D3E12">
        <w:rPr>
          <w:color w:val="auto"/>
          <w:kern w:val="0"/>
          <w:lang w:val="en-US" w:eastAsia="en-US"/>
        </w:rPr>
        <w:t xml:space="preserve"> persists despite appropriate oral care or co-occurs with dyspepsia (Dou et al., 2016). The reservoir hypothesis provides additional context: </w:t>
      </w:r>
      <w:proofErr w:type="spellStart"/>
      <w:r w:rsidRPr="006D3E12">
        <w:rPr>
          <w:color w:val="auto"/>
          <w:kern w:val="0"/>
          <w:lang w:val="en-US" w:eastAsia="en-US"/>
        </w:rPr>
        <w:t>synthesised</w:t>
      </w:r>
      <w:proofErr w:type="spellEnd"/>
      <w:r w:rsidRPr="006D3E12">
        <w:rPr>
          <w:color w:val="auto"/>
          <w:kern w:val="0"/>
          <w:lang w:val="en-US" w:eastAsia="en-US"/>
        </w:rPr>
        <w:t xml:space="preserve"> evidence that dental plaque may </w:t>
      </w:r>
      <w:proofErr w:type="spellStart"/>
      <w:r w:rsidRPr="006D3E12">
        <w:rPr>
          <w:color w:val="auto"/>
          <w:kern w:val="0"/>
          <w:lang w:val="en-US" w:eastAsia="en-US"/>
        </w:rPr>
        <w:t>harbour</w:t>
      </w:r>
      <w:proofErr w:type="spellEnd"/>
      <w:r w:rsidRPr="006D3E12">
        <w:rPr>
          <w:color w:val="auto"/>
          <w:kern w:val="0"/>
          <w:lang w:val="en-US" w:eastAsia="en-US"/>
        </w:rPr>
        <w:t xml:space="preserve"> </w:t>
      </w:r>
      <w:r w:rsidRPr="006D3E12">
        <w:rPr>
          <w:i/>
          <w:iCs/>
          <w:color w:val="auto"/>
          <w:kern w:val="0"/>
          <w:lang w:val="en-US" w:eastAsia="en-US"/>
        </w:rPr>
        <w:t>H. pylori</w:t>
      </w:r>
      <w:r w:rsidRPr="006D3E12">
        <w:rPr>
          <w:color w:val="auto"/>
          <w:kern w:val="0"/>
          <w:lang w:val="en-US" w:eastAsia="en-US"/>
        </w:rPr>
        <w:t xml:space="preserve"> supports a collaborative approach in selected cases, aligning oral biofilm control with medical testing and eradication where indicated (Anand et al., 2025). Across these examples, the interdisciplinary logic is consistent: oral findings guide which systemic questions to ask, and the combined picture determines whether referral is proportionate.</w:t>
      </w:r>
    </w:p>
    <w:p w:rsidR="006D3E12" w:rsidRPr="006D3E12" w:rsidRDefault="006D3E12" w:rsidP="006D3E12">
      <w:pPr>
        <w:spacing w:before="100" w:beforeAutospacing="1" w:after="100" w:afterAutospacing="1" w:line="240" w:lineRule="auto"/>
        <w:ind w:left="0" w:right="0" w:firstLine="0"/>
        <w:jc w:val="left"/>
        <w:rPr>
          <w:color w:val="auto"/>
          <w:kern w:val="0"/>
          <w:lang w:val="en-US" w:eastAsia="en-US"/>
        </w:rPr>
      </w:pPr>
      <w:r w:rsidRPr="006D3E12">
        <w:rPr>
          <w:color w:val="auto"/>
          <w:kern w:val="0"/>
          <w:lang w:val="en-US" w:eastAsia="en-US"/>
        </w:rPr>
        <w:t xml:space="preserve">A fourth principle is </w:t>
      </w:r>
      <w:r w:rsidRPr="006D3E12">
        <w:rPr>
          <w:i/>
          <w:iCs/>
          <w:color w:val="auto"/>
          <w:kern w:val="0"/>
          <w:lang w:val="en-US" w:eastAsia="en-US"/>
        </w:rPr>
        <w:t>threshold-setting and stewardship</w:t>
      </w:r>
      <w:r w:rsidRPr="006D3E12">
        <w:rPr>
          <w:color w:val="auto"/>
          <w:kern w:val="0"/>
          <w:lang w:val="en-US" w:eastAsia="en-US"/>
        </w:rPr>
        <w:t xml:space="preserve">: deciding when referral is justified and what type of referral is appropriate. Because many oral findings are common, the referral threshold should rise when alternative local explanations are strong and the systemic context is weak, and fall when oral findings are unusual in morphology, persistent, clustered, or accompanied by systemic symptoms, family history, or </w:t>
      </w:r>
      <w:proofErr w:type="spellStart"/>
      <w:r w:rsidRPr="006D3E12">
        <w:rPr>
          <w:color w:val="auto"/>
          <w:kern w:val="0"/>
          <w:lang w:val="en-US" w:eastAsia="en-US"/>
        </w:rPr>
        <w:t>paediatric</w:t>
      </w:r>
      <w:proofErr w:type="spellEnd"/>
      <w:r w:rsidRPr="006D3E12">
        <w:rPr>
          <w:color w:val="auto"/>
          <w:kern w:val="0"/>
          <w:lang w:val="en-US" w:eastAsia="en-US"/>
        </w:rPr>
        <w:t xml:space="preserve"> growth concerns. In IBD, </w:t>
      </w:r>
      <w:r w:rsidRPr="006D3E12">
        <w:rPr>
          <w:color w:val="auto"/>
          <w:kern w:val="0"/>
          <w:lang w:val="en-US" w:eastAsia="en-US"/>
        </w:rPr>
        <w:lastRenderedPageBreak/>
        <w:t xml:space="preserve">the threshold should be lower for granulomatous-appearing oral disease and distinctive inflammatory patterns than for isolated aphthae, while still acknowledging that non-specific oral lesions can be meaningful when coupled with </w:t>
      </w:r>
      <w:proofErr w:type="spellStart"/>
      <w:r w:rsidRPr="006D3E12">
        <w:rPr>
          <w:color w:val="auto"/>
          <w:kern w:val="0"/>
          <w:lang w:val="en-US" w:eastAsia="en-US"/>
        </w:rPr>
        <w:t>anaemia</w:t>
      </w:r>
      <w:proofErr w:type="spellEnd"/>
      <w:r w:rsidRPr="006D3E12">
        <w:rPr>
          <w:color w:val="auto"/>
          <w:kern w:val="0"/>
          <w:lang w:val="en-US" w:eastAsia="en-US"/>
        </w:rPr>
        <w:t xml:space="preserve">, fatigue, or weight loss (Harty et al., 2005; </w:t>
      </w:r>
      <w:proofErr w:type="spellStart"/>
      <w:r w:rsidRPr="006D3E12">
        <w:rPr>
          <w:color w:val="auto"/>
          <w:kern w:val="0"/>
          <w:lang w:val="en-US" w:eastAsia="en-US"/>
        </w:rPr>
        <w:t>Lankarani</w:t>
      </w:r>
      <w:proofErr w:type="spellEnd"/>
      <w:r w:rsidRPr="006D3E12">
        <w:rPr>
          <w:color w:val="auto"/>
          <w:kern w:val="0"/>
          <w:lang w:val="en-US" w:eastAsia="en-US"/>
        </w:rPr>
        <w:t xml:space="preserve"> et al., 2013; Li et al., 2022; </w:t>
      </w:r>
      <w:proofErr w:type="spellStart"/>
      <w:r w:rsidRPr="006D3E12">
        <w:rPr>
          <w:color w:val="auto"/>
          <w:kern w:val="0"/>
          <w:lang w:val="en-US" w:eastAsia="en-US"/>
        </w:rPr>
        <w:t>Zbar</w:t>
      </w:r>
      <w:proofErr w:type="spellEnd"/>
      <w:r w:rsidRPr="006D3E12">
        <w:rPr>
          <w:color w:val="auto"/>
          <w:kern w:val="0"/>
          <w:lang w:val="en-US" w:eastAsia="en-US"/>
        </w:rPr>
        <w:t xml:space="preserve"> et al., 2012). In coeliac disease, the threshold lowers when enamel defects and recurrent aphthae co-occur or when developmental and systemic cues align (</w:t>
      </w:r>
      <w:proofErr w:type="spellStart"/>
      <w:r w:rsidRPr="006D3E12">
        <w:rPr>
          <w:color w:val="auto"/>
          <w:kern w:val="0"/>
          <w:lang w:val="en-US" w:eastAsia="en-US"/>
        </w:rPr>
        <w:t>Nieri</w:t>
      </w:r>
      <w:proofErr w:type="spellEnd"/>
      <w:r w:rsidRPr="006D3E12">
        <w:rPr>
          <w:color w:val="auto"/>
          <w:kern w:val="0"/>
          <w:lang w:val="en-US" w:eastAsia="en-US"/>
        </w:rPr>
        <w:t xml:space="preserve"> et al., 2017; </w:t>
      </w:r>
      <w:proofErr w:type="spellStart"/>
      <w:r w:rsidRPr="006D3E12">
        <w:rPr>
          <w:color w:val="auto"/>
          <w:kern w:val="0"/>
          <w:lang w:val="en-US" w:eastAsia="en-US"/>
        </w:rPr>
        <w:t>Villemur</w:t>
      </w:r>
      <w:proofErr w:type="spellEnd"/>
      <w:r w:rsidRPr="006D3E12">
        <w:rPr>
          <w:color w:val="auto"/>
          <w:kern w:val="0"/>
          <w:lang w:val="en-US" w:eastAsia="en-US"/>
        </w:rPr>
        <w:t xml:space="preserve"> Moreau et al., 2021). In reflux-related disease, the threshold lowers when erosive patterns are severe, progressive, or inconsistent with diet alone (</w:t>
      </w:r>
      <w:proofErr w:type="spellStart"/>
      <w:r w:rsidRPr="006D3E12">
        <w:rPr>
          <w:color w:val="auto"/>
          <w:kern w:val="0"/>
          <w:lang w:val="en-US" w:eastAsia="en-US"/>
        </w:rPr>
        <w:t>Chatzidimitriou</w:t>
      </w:r>
      <w:proofErr w:type="spellEnd"/>
      <w:r w:rsidRPr="006D3E12">
        <w:rPr>
          <w:color w:val="auto"/>
          <w:kern w:val="0"/>
          <w:lang w:val="en-US" w:eastAsia="en-US"/>
        </w:rPr>
        <w:t xml:space="preserve"> et al., 2023; Pace et al., 2008; </w:t>
      </w:r>
      <w:proofErr w:type="spellStart"/>
      <w:r w:rsidRPr="006D3E12">
        <w:rPr>
          <w:color w:val="auto"/>
          <w:kern w:val="0"/>
          <w:lang w:val="en-US" w:eastAsia="en-US"/>
        </w:rPr>
        <w:t>Yanushevich</w:t>
      </w:r>
      <w:proofErr w:type="spellEnd"/>
      <w:r w:rsidRPr="006D3E12">
        <w:rPr>
          <w:color w:val="auto"/>
          <w:kern w:val="0"/>
          <w:lang w:val="en-US" w:eastAsia="en-US"/>
        </w:rPr>
        <w:t xml:space="preserve"> et al., 2022). In </w:t>
      </w:r>
      <w:r w:rsidRPr="006D3E12">
        <w:rPr>
          <w:i/>
          <w:iCs/>
          <w:color w:val="auto"/>
          <w:kern w:val="0"/>
          <w:lang w:val="en-US" w:eastAsia="en-US"/>
        </w:rPr>
        <w:t>H. pylori</w:t>
      </w:r>
      <w:r w:rsidRPr="006D3E12">
        <w:rPr>
          <w:color w:val="auto"/>
          <w:kern w:val="0"/>
          <w:lang w:val="en-US" w:eastAsia="en-US"/>
        </w:rPr>
        <w:t xml:space="preserve"> contexts, the threshold lowers when halitosis is persistent, objectively evident, and paired with dyspepsia or relapse concerns, with the plaque reservoir concept supporting integrated management where appropriate (Anand et al., 2025; Dou et al., 2016).</w:t>
      </w:r>
    </w:p>
    <w:p w:rsidR="006D3E12" w:rsidRPr="006D3E12" w:rsidRDefault="006D3E12" w:rsidP="006D3E12">
      <w:pPr>
        <w:spacing w:before="100" w:beforeAutospacing="1" w:after="100" w:afterAutospacing="1" w:line="240" w:lineRule="auto"/>
        <w:ind w:left="0" w:right="0" w:firstLine="0"/>
        <w:jc w:val="left"/>
        <w:rPr>
          <w:color w:val="auto"/>
          <w:kern w:val="0"/>
          <w:lang w:val="en-US" w:eastAsia="en-US"/>
        </w:rPr>
      </w:pPr>
      <w:r w:rsidRPr="006D3E12">
        <w:rPr>
          <w:color w:val="auto"/>
          <w:kern w:val="0"/>
          <w:lang w:val="en-US" w:eastAsia="en-US"/>
        </w:rPr>
        <w:t xml:space="preserve">A fifth and final principle concerns </w:t>
      </w:r>
      <w:r w:rsidRPr="006D3E12">
        <w:rPr>
          <w:i/>
          <w:iCs/>
          <w:color w:val="auto"/>
          <w:kern w:val="0"/>
          <w:lang w:val="en-US" w:eastAsia="en-US"/>
        </w:rPr>
        <w:t>communication and pathway design</w:t>
      </w:r>
      <w:r w:rsidRPr="006D3E12">
        <w:rPr>
          <w:color w:val="auto"/>
          <w:kern w:val="0"/>
          <w:lang w:val="en-US" w:eastAsia="en-US"/>
        </w:rPr>
        <w:t xml:space="preserve">. Oral clinicians can increase the usefulness of referral by providing a succinct phenotype description, duration/recurrence, key negatives (e.g., absence of dietary acid excess in erosion cases), and the specific GI question being posed (e.g., “rule out coeliac disease given patterned enamel defects and recurrent aphthae”). Gastroenterology teams, in turn, can support dental colleagues by clarifying which initial tests or symptom triggers most influence triage. This reciprocity is especially important in hereditary polyposis syndromes, where oral findings can be early and clinically consequential. Systematic synthesis indicates that oral manifestations and </w:t>
      </w:r>
      <w:proofErr w:type="spellStart"/>
      <w:r w:rsidRPr="006D3E12">
        <w:rPr>
          <w:color w:val="auto"/>
          <w:kern w:val="0"/>
          <w:lang w:val="en-US" w:eastAsia="en-US"/>
        </w:rPr>
        <w:t>dento</w:t>
      </w:r>
      <w:proofErr w:type="spellEnd"/>
      <w:r w:rsidRPr="006D3E12">
        <w:rPr>
          <w:color w:val="auto"/>
          <w:kern w:val="0"/>
          <w:lang w:val="en-US" w:eastAsia="en-US"/>
        </w:rPr>
        <w:t xml:space="preserve">-osseous anomalies occur in familial adenomatous polyposis and may help identify affected individuals, particularly when anomalies cluster rather than appearing in isolation (Almeida et al., 2016). In </w:t>
      </w:r>
      <w:proofErr w:type="spellStart"/>
      <w:r w:rsidRPr="006D3E12">
        <w:rPr>
          <w:color w:val="auto"/>
          <w:kern w:val="0"/>
          <w:lang w:val="en-US" w:eastAsia="en-US"/>
        </w:rPr>
        <w:t>Peutz</w:t>
      </w:r>
      <w:proofErr w:type="spellEnd"/>
      <w:r w:rsidRPr="006D3E12">
        <w:rPr>
          <w:color w:val="auto"/>
          <w:kern w:val="0"/>
          <w:lang w:val="en-US" w:eastAsia="en-US"/>
        </w:rPr>
        <w:t>–</w:t>
      </w:r>
      <w:proofErr w:type="spellStart"/>
      <w:r w:rsidRPr="006D3E12">
        <w:rPr>
          <w:color w:val="auto"/>
          <w:kern w:val="0"/>
          <w:lang w:val="en-US" w:eastAsia="en-US"/>
        </w:rPr>
        <w:t>Jeghers</w:t>
      </w:r>
      <w:proofErr w:type="spellEnd"/>
      <w:r w:rsidRPr="006D3E12">
        <w:rPr>
          <w:color w:val="auto"/>
          <w:kern w:val="0"/>
          <w:lang w:val="en-US" w:eastAsia="en-US"/>
        </w:rPr>
        <w:t xml:space="preserve"> syndrome, management-focused synthesis underscores the importance of </w:t>
      </w:r>
      <w:proofErr w:type="spellStart"/>
      <w:r w:rsidRPr="006D3E12">
        <w:rPr>
          <w:color w:val="auto"/>
          <w:kern w:val="0"/>
          <w:lang w:val="en-US" w:eastAsia="en-US"/>
        </w:rPr>
        <w:t>recognising</w:t>
      </w:r>
      <w:proofErr w:type="spellEnd"/>
      <w:r w:rsidRPr="006D3E12">
        <w:rPr>
          <w:color w:val="auto"/>
          <w:kern w:val="0"/>
          <w:lang w:val="en-US" w:eastAsia="en-US"/>
        </w:rPr>
        <w:t xml:space="preserve"> mucocutaneous pigmentation and linking patients to appropriate surveillance pathways, making oral recognition potentially preventive rather than merely diagnostic (</w:t>
      </w:r>
      <w:proofErr w:type="spellStart"/>
      <w:r w:rsidRPr="006D3E12">
        <w:rPr>
          <w:color w:val="auto"/>
          <w:kern w:val="0"/>
          <w:lang w:val="en-US" w:eastAsia="en-US"/>
        </w:rPr>
        <w:t>Beggs</w:t>
      </w:r>
      <w:proofErr w:type="spellEnd"/>
      <w:r w:rsidRPr="006D3E12">
        <w:rPr>
          <w:color w:val="auto"/>
          <w:kern w:val="0"/>
          <w:lang w:val="en-US" w:eastAsia="en-US"/>
        </w:rPr>
        <w:t xml:space="preserve"> et al., 2010). Here, interdisciplinary reasoning must also incorporate family implications and the need for carefully framed referral to genetic and GI services.</w:t>
      </w:r>
    </w:p>
    <w:p w:rsidR="005072B4" w:rsidRPr="005072B4" w:rsidRDefault="005072B4" w:rsidP="005072B4">
      <w:pPr>
        <w:rPr>
          <w:lang w:val="en-GB"/>
        </w:rPr>
      </w:pPr>
    </w:p>
    <w:p w:rsidR="006D3E12" w:rsidRPr="006D3E12" w:rsidRDefault="006D3E12" w:rsidP="006D3E12">
      <w:pPr>
        <w:spacing w:before="100" w:beforeAutospacing="1" w:after="100" w:afterAutospacing="1" w:line="240" w:lineRule="auto"/>
        <w:ind w:left="0" w:right="0" w:firstLine="0"/>
        <w:jc w:val="left"/>
        <w:outlineLvl w:val="1"/>
        <w:rPr>
          <w:b/>
          <w:bCs/>
          <w:color w:val="auto"/>
          <w:kern w:val="0"/>
          <w:sz w:val="36"/>
          <w:szCs w:val="36"/>
          <w:lang w:val="en-US" w:eastAsia="en-US"/>
        </w:rPr>
      </w:pPr>
      <w:r w:rsidRPr="006D3E12">
        <w:rPr>
          <w:b/>
          <w:bCs/>
          <w:color w:val="auto"/>
          <w:kern w:val="0"/>
          <w:sz w:val="36"/>
          <w:szCs w:val="36"/>
          <w:lang w:val="en-US" w:eastAsia="en-US"/>
        </w:rPr>
        <w:t>11. Oral–gut axis as a translational frontier: why oral findings may track disease dynamics</w:t>
      </w:r>
    </w:p>
    <w:p w:rsidR="006D3E12" w:rsidRPr="006D3E12" w:rsidRDefault="006D3E12" w:rsidP="006D3E12">
      <w:pPr>
        <w:spacing w:before="100" w:beforeAutospacing="1" w:after="100" w:afterAutospacing="1" w:line="240" w:lineRule="auto"/>
        <w:ind w:left="0" w:right="0" w:firstLine="0"/>
        <w:jc w:val="left"/>
        <w:rPr>
          <w:color w:val="auto"/>
          <w:kern w:val="0"/>
          <w:lang w:val="en-US" w:eastAsia="en-US"/>
        </w:rPr>
      </w:pPr>
      <w:r w:rsidRPr="006D3E12">
        <w:rPr>
          <w:color w:val="auto"/>
          <w:kern w:val="0"/>
          <w:lang w:val="en-US" w:eastAsia="en-US"/>
        </w:rPr>
        <w:t xml:space="preserve">The oral–gut axis has progressed from a conceptual metaphor to a testable biological framework, offering a compelling explanation for why certain oral findings appear to correlate with gastrointestinal disease activity rather than merely co-occur as incidental comorbidity. Traditionally, oral lesions in gastrointestinal syndromes were interpreted as downstream reflections of malabsorption, chronic inflammation, or medication burden. While these explanations remain important, they do not fully account for observations that oral inflammatory states and intestinal inflammation can fluctuate together, nor for emerging evidence that oral taxa can </w:t>
      </w:r>
      <w:proofErr w:type="spellStart"/>
      <w:r w:rsidRPr="006D3E12">
        <w:rPr>
          <w:color w:val="auto"/>
          <w:kern w:val="0"/>
          <w:lang w:val="en-US" w:eastAsia="en-US"/>
        </w:rPr>
        <w:t>colonise</w:t>
      </w:r>
      <w:proofErr w:type="spellEnd"/>
      <w:r w:rsidRPr="006D3E12">
        <w:rPr>
          <w:color w:val="auto"/>
          <w:kern w:val="0"/>
          <w:lang w:val="en-US" w:eastAsia="en-US"/>
        </w:rPr>
        <w:t xml:space="preserve"> the gut and modulate immune responses in ways relevant to inflammatory bowel disease (IBD). The translational significance of the oral–gut axis is therefore twofold: it helps explain why oral signs may track disease dynamics, and it identifies potentially modifiable oral factors that could influence intestinal outcomes. A high-level synthesis has argued that oral bacteria may actively participate in IBD pathogenesis and persistence, reframing oral findings as elements of a shared inflammatory ecosystem rather than isolated extraintestinal manifestations (Read et al., 2021).</w:t>
      </w:r>
    </w:p>
    <w:p w:rsidR="006D3E12" w:rsidRPr="006D3E12" w:rsidRDefault="006D3E12" w:rsidP="006D3E12">
      <w:pPr>
        <w:spacing w:before="100" w:beforeAutospacing="1" w:after="100" w:afterAutospacing="1" w:line="240" w:lineRule="auto"/>
        <w:ind w:left="0" w:right="0" w:firstLine="0"/>
        <w:jc w:val="left"/>
        <w:outlineLvl w:val="2"/>
        <w:rPr>
          <w:b/>
          <w:bCs/>
          <w:color w:val="auto"/>
          <w:kern w:val="0"/>
          <w:sz w:val="27"/>
          <w:szCs w:val="27"/>
          <w:lang w:val="en-US" w:eastAsia="en-US"/>
        </w:rPr>
      </w:pPr>
      <w:r w:rsidRPr="006D3E12">
        <w:rPr>
          <w:b/>
          <w:bCs/>
          <w:color w:val="auto"/>
          <w:kern w:val="0"/>
          <w:sz w:val="27"/>
          <w:szCs w:val="27"/>
          <w:lang w:val="en-US" w:eastAsia="en-US"/>
        </w:rPr>
        <w:lastRenderedPageBreak/>
        <w:t xml:space="preserve">11.1 From correlation to causality: ectopic </w:t>
      </w:r>
      <w:proofErr w:type="spellStart"/>
      <w:r w:rsidRPr="006D3E12">
        <w:rPr>
          <w:b/>
          <w:bCs/>
          <w:color w:val="auto"/>
          <w:kern w:val="0"/>
          <w:sz w:val="27"/>
          <w:szCs w:val="27"/>
          <w:lang w:val="en-US" w:eastAsia="en-US"/>
        </w:rPr>
        <w:t>colonisation</w:t>
      </w:r>
      <w:proofErr w:type="spellEnd"/>
      <w:r w:rsidRPr="006D3E12">
        <w:rPr>
          <w:b/>
          <w:bCs/>
          <w:color w:val="auto"/>
          <w:kern w:val="0"/>
          <w:sz w:val="27"/>
          <w:szCs w:val="27"/>
          <w:lang w:val="en-US" w:eastAsia="en-US"/>
        </w:rPr>
        <w:t xml:space="preserve"> as a mechanistic bridge</w:t>
      </w:r>
    </w:p>
    <w:p w:rsidR="006D3E12" w:rsidRPr="006D3E12" w:rsidRDefault="006D3E12" w:rsidP="006D3E12">
      <w:pPr>
        <w:spacing w:before="100" w:beforeAutospacing="1" w:after="100" w:afterAutospacing="1" w:line="240" w:lineRule="auto"/>
        <w:ind w:left="0" w:right="0" w:firstLine="0"/>
        <w:jc w:val="left"/>
        <w:rPr>
          <w:color w:val="auto"/>
          <w:kern w:val="0"/>
          <w:lang w:val="en-US" w:eastAsia="en-US"/>
        </w:rPr>
      </w:pPr>
      <w:r w:rsidRPr="006D3E12">
        <w:rPr>
          <w:color w:val="auto"/>
          <w:kern w:val="0"/>
          <w:lang w:val="en-US" w:eastAsia="en-US"/>
        </w:rPr>
        <w:t xml:space="preserve">A central translational advance is experimental evidence supporting causal links between oral microbes and intestinal inflammation. Elegant mechanistic work has demonstrated that oral-derived bacteria can </w:t>
      </w:r>
      <w:proofErr w:type="spellStart"/>
      <w:r w:rsidRPr="006D3E12">
        <w:rPr>
          <w:color w:val="auto"/>
          <w:kern w:val="0"/>
          <w:lang w:val="en-US" w:eastAsia="en-US"/>
        </w:rPr>
        <w:t>colonise</w:t>
      </w:r>
      <w:proofErr w:type="spellEnd"/>
      <w:r w:rsidRPr="006D3E12">
        <w:rPr>
          <w:color w:val="auto"/>
          <w:kern w:val="0"/>
          <w:lang w:val="en-US" w:eastAsia="en-US"/>
        </w:rPr>
        <w:t xml:space="preserve"> the intestine ectopically and drive pro-inflammatory immune responses, including induction of T helper pathways that promote intestinal inflammation (</w:t>
      </w:r>
      <w:proofErr w:type="spellStart"/>
      <w:r w:rsidRPr="006D3E12">
        <w:rPr>
          <w:color w:val="auto"/>
          <w:kern w:val="0"/>
          <w:lang w:val="en-US" w:eastAsia="en-US"/>
        </w:rPr>
        <w:t>Atarashi</w:t>
      </w:r>
      <w:proofErr w:type="spellEnd"/>
      <w:r w:rsidRPr="006D3E12">
        <w:rPr>
          <w:color w:val="auto"/>
          <w:kern w:val="0"/>
          <w:lang w:val="en-US" w:eastAsia="en-US"/>
        </w:rPr>
        <w:t xml:space="preserve"> et al., 2017). This evidence matters clinically because it provides biological plausibility for why oral disease states—such as periodontitis or severe oral dysbiosis—might correlate with intestinal symptoms, systemic inflammatory markers, or flare propensity in subsets of patients. It also suggests that the oral cavity may be more than a passive mirror: it may constitute an upstream reservoir of organisms and inflammatory stimuli that become clinically relevant when intestinal </w:t>
      </w:r>
      <w:proofErr w:type="spellStart"/>
      <w:r w:rsidRPr="006D3E12">
        <w:rPr>
          <w:color w:val="auto"/>
          <w:kern w:val="0"/>
          <w:lang w:val="en-US" w:eastAsia="en-US"/>
        </w:rPr>
        <w:t>colonisation</w:t>
      </w:r>
      <w:proofErr w:type="spellEnd"/>
      <w:r w:rsidRPr="006D3E12">
        <w:rPr>
          <w:color w:val="auto"/>
          <w:kern w:val="0"/>
          <w:lang w:val="en-US" w:eastAsia="en-US"/>
        </w:rPr>
        <w:t xml:space="preserve"> resistance is impaired by dysbiosis, barrier disruption, or immunological susceptibility (</w:t>
      </w:r>
      <w:proofErr w:type="spellStart"/>
      <w:r w:rsidRPr="006D3E12">
        <w:rPr>
          <w:color w:val="auto"/>
          <w:kern w:val="0"/>
          <w:lang w:val="en-US" w:eastAsia="en-US"/>
        </w:rPr>
        <w:t>Atarashi</w:t>
      </w:r>
      <w:proofErr w:type="spellEnd"/>
      <w:r w:rsidRPr="006D3E12">
        <w:rPr>
          <w:color w:val="auto"/>
          <w:kern w:val="0"/>
          <w:lang w:val="en-US" w:eastAsia="en-US"/>
        </w:rPr>
        <w:t xml:space="preserve"> et al., 2017).</w:t>
      </w:r>
    </w:p>
    <w:p w:rsidR="006D3E12" w:rsidRPr="006D3E12" w:rsidRDefault="006D3E12" w:rsidP="006D3E12">
      <w:pPr>
        <w:spacing w:before="100" w:beforeAutospacing="1" w:after="100" w:afterAutospacing="1" w:line="240" w:lineRule="auto"/>
        <w:ind w:left="0" w:right="0" w:firstLine="0"/>
        <w:jc w:val="left"/>
        <w:rPr>
          <w:color w:val="auto"/>
          <w:kern w:val="0"/>
          <w:lang w:val="en-US" w:eastAsia="en-US"/>
        </w:rPr>
      </w:pPr>
      <w:r w:rsidRPr="006D3E12">
        <w:rPr>
          <w:color w:val="auto"/>
          <w:kern w:val="0"/>
          <w:lang w:val="en-US" w:eastAsia="en-US"/>
        </w:rPr>
        <w:t xml:space="preserve">Translationally, ectopic </w:t>
      </w:r>
      <w:proofErr w:type="spellStart"/>
      <w:r w:rsidRPr="006D3E12">
        <w:rPr>
          <w:color w:val="auto"/>
          <w:kern w:val="0"/>
          <w:lang w:val="en-US" w:eastAsia="en-US"/>
        </w:rPr>
        <w:t>colonisation</w:t>
      </w:r>
      <w:proofErr w:type="spellEnd"/>
      <w:r w:rsidRPr="006D3E12">
        <w:rPr>
          <w:color w:val="auto"/>
          <w:kern w:val="0"/>
          <w:lang w:val="en-US" w:eastAsia="en-US"/>
        </w:rPr>
        <w:t xml:space="preserve"> provides a bridge between everyday clinical observations and mechanistic immunology. In practice, clinicians often note that some patients with IBD exhibit recurrent oral ulceration or persistent periodontal inflammation that seems to wax and wane with intestinal activity. While such patterns can still be explained by systemic inflammation or nutritional compromise, experimental evidence now supports an additional hypothesis: oral taxa enriched during oral inflammation may access and persist within a permissive intestinal environment, amplifying local immune activation and thereby becoming entangled with disease dynamics (</w:t>
      </w:r>
      <w:proofErr w:type="spellStart"/>
      <w:r w:rsidRPr="006D3E12">
        <w:rPr>
          <w:color w:val="auto"/>
          <w:kern w:val="0"/>
          <w:lang w:val="en-US" w:eastAsia="en-US"/>
        </w:rPr>
        <w:t>Atarashi</w:t>
      </w:r>
      <w:proofErr w:type="spellEnd"/>
      <w:r w:rsidRPr="006D3E12">
        <w:rPr>
          <w:color w:val="auto"/>
          <w:kern w:val="0"/>
          <w:lang w:val="en-US" w:eastAsia="en-US"/>
        </w:rPr>
        <w:t xml:space="preserve"> et al., 2017; Read et al., 2021). The translational frontier lies in determining which patients fit this model, how to identify them clinically, and whether interventions targeting oral reservoirs can influence outcomes.</w:t>
      </w:r>
    </w:p>
    <w:p w:rsidR="006D3E12" w:rsidRPr="006D3E12" w:rsidRDefault="006D3E12" w:rsidP="006D3E12">
      <w:pPr>
        <w:spacing w:before="100" w:beforeAutospacing="1" w:after="100" w:afterAutospacing="1" w:line="240" w:lineRule="auto"/>
        <w:ind w:left="0" w:right="0" w:firstLine="0"/>
        <w:jc w:val="left"/>
        <w:outlineLvl w:val="2"/>
        <w:rPr>
          <w:b/>
          <w:bCs/>
          <w:color w:val="auto"/>
          <w:kern w:val="0"/>
          <w:sz w:val="27"/>
          <w:szCs w:val="27"/>
          <w:lang w:val="en-US" w:eastAsia="en-US"/>
        </w:rPr>
      </w:pPr>
      <w:r w:rsidRPr="006D3E12">
        <w:rPr>
          <w:b/>
          <w:bCs/>
          <w:color w:val="auto"/>
          <w:kern w:val="0"/>
          <w:sz w:val="27"/>
          <w:szCs w:val="27"/>
          <w:lang w:val="en-US" w:eastAsia="en-US"/>
        </w:rPr>
        <w:t>11.2 Oral inflammation as a reservoir state: why the mouth may predict intestinal shifts</w:t>
      </w:r>
    </w:p>
    <w:p w:rsidR="006D3E12" w:rsidRPr="006D3E12" w:rsidRDefault="006D3E12" w:rsidP="006D3E12">
      <w:pPr>
        <w:spacing w:before="100" w:beforeAutospacing="1" w:after="100" w:afterAutospacing="1" w:line="240" w:lineRule="auto"/>
        <w:ind w:left="0" w:right="0" w:firstLine="0"/>
        <w:jc w:val="left"/>
        <w:rPr>
          <w:color w:val="auto"/>
          <w:kern w:val="0"/>
          <w:lang w:val="en-US" w:eastAsia="en-US"/>
        </w:rPr>
      </w:pPr>
      <w:r w:rsidRPr="006D3E12">
        <w:rPr>
          <w:color w:val="auto"/>
          <w:kern w:val="0"/>
          <w:lang w:val="en-US" w:eastAsia="en-US"/>
        </w:rPr>
        <w:t xml:space="preserve">The mouth is a uniquely dense microbial ecosystem, and its biofilms are shaped by local inflammation, salivary ecology, diet, hygiene practices, and host immunity. When periodontal or mucosal inflammation develops, the oral community can shift towards taxa with inflammatory potential. The oral–gut axis model proposed in contemporary synthesis work suggests a multi-stage pathway: oral disease enriches for pathobionts; swallowing delivers these organisms repeatedly to the gut; intestinal inflammation and dysbiosis reduce </w:t>
      </w:r>
      <w:proofErr w:type="spellStart"/>
      <w:r w:rsidRPr="006D3E12">
        <w:rPr>
          <w:color w:val="auto"/>
          <w:kern w:val="0"/>
          <w:lang w:val="en-US" w:eastAsia="en-US"/>
        </w:rPr>
        <w:t>colonisation</w:t>
      </w:r>
      <w:proofErr w:type="spellEnd"/>
      <w:r w:rsidRPr="006D3E12">
        <w:rPr>
          <w:color w:val="auto"/>
          <w:kern w:val="0"/>
          <w:lang w:val="en-US" w:eastAsia="en-US"/>
        </w:rPr>
        <w:t xml:space="preserve"> resistance; and oral-derived organisms can then expand and intensify gut immune activation (Read et al., 2021). This model offers a rationale for why oral findings may sometimes precede intestinal worsening rather than simply follow it. If the oral cavity enters a “reservoir” state—</w:t>
      </w:r>
      <w:proofErr w:type="spellStart"/>
      <w:r w:rsidRPr="006D3E12">
        <w:rPr>
          <w:color w:val="auto"/>
          <w:kern w:val="0"/>
          <w:lang w:val="en-US" w:eastAsia="en-US"/>
        </w:rPr>
        <w:t>characterised</w:t>
      </w:r>
      <w:proofErr w:type="spellEnd"/>
      <w:r w:rsidRPr="006D3E12">
        <w:rPr>
          <w:color w:val="auto"/>
          <w:kern w:val="0"/>
          <w:lang w:val="en-US" w:eastAsia="en-US"/>
        </w:rPr>
        <w:t xml:space="preserve"> by chronic inflammation and dysbiosis—the probability of downstream microbial transfer and immune stimulation may increase, potentially manifesting clinically as concurrent or subsequent intestinal flare activity in susceptible individuals.</w:t>
      </w:r>
    </w:p>
    <w:p w:rsidR="006D3E12" w:rsidRPr="006D3E12" w:rsidRDefault="006D3E12" w:rsidP="006D3E12">
      <w:pPr>
        <w:spacing w:before="100" w:beforeAutospacing="1" w:after="100" w:afterAutospacing="1" w:line="240" w:lineRule="auto"/>
        <w:ind w:left="0" w:right="0" w:firstLine="0"/>
        <w:jc w:val="left"/>
        <w:rPr>
          <w:color w:val="auto"/>
          <w:kern w:val="0"/>
          <w:lang w:val="en-US" w:eastAsia="en-US"/>
        </w:rPr>
      </w:pPr>
      <w:r w:rsidRPr="006D3E12">
        <w:rPr>
          <w:color w:val="auto"/>
          <w:kern w:val="0"/>
          <w:lang w:val="en-US" w:eastAsia="en-US"/>
        </w:rPr>
        <w:t xml:space="preserve">This reservoir framing can also help explain variability across patients. Many individuals have periodontal disease without developing IBD, and many IBD patients have minimal oral disease. The translational question is therefore not whether the oral–gut axis exists, but under what conditions it becomes clinically impactful. Mechanistic evidence indicates that host susceptibility and gut ecological permissiveness are critical, as oral bacteria appear most likely to </w:t>
      </w:r>
      <w:proofErr w:type="spellStart"/>
      <w:r w:rsidRPr="006D3E12">
        <w:rPr>
          <w:color w:val="auto"/>
          <w:kern w:val="0"/>
          <w:lang w:val="en-US" w:eastAsia="en-US"/>
        </w:rPr>
        <w:t>colonise</w:t>
      </w:r>
      <w:proofErr w:type="spellEnd"/>
      <w:r w:rsidRPr="006D3E12">
        <w:rPr>
          <w:color w:val="auto"/>
          <w:kern w:val="0"/>
          <w:lang w:val="en-US" w:eastAsia="en-US"/>
        </w:rPr>
        <w:t xml:space="preserve"> and drive inflammation when the intestinal environment is already altered (</w:t>
      </w:r>
      <w:proofErr w:type="spellStart"/>
      <w:r w:rsidRPr="006D3E12">
        <w:rPr>
          <w:color w:val="auto"/>
          <w:kern w:val="0"/>
          <w:lang w:val="en-US" w:eastAsia="en-US"/>
        </w:rPr>
        <w:t>Atarashi</w:t>
      </w:r>
      <w:proofErr w:type="spellEnd"/>
      <w:r w:rsidRPr="006D3E12">
        <w:rPr>
          <w:color w:val="auto"/>
          <w:kern w:val="0"/>
          <w:lang w:val="en-US" w:eastAsia="en-US"/>
        </w:rPr>
        <w:t xml:space="preserve"> et al., 2017). This aligns with clinical heterogeneity and suggests that oral findings </w:t>
      </w:r>
      <w:r w:rsidRPr="006D3E12">
        <w:rPr>
          <w:color w:val="auto"/>
          <w:kern w:val="0"/>
          <w:lang w:val="en-US" w:eastAsia="en-US"/>
        </w:rPr>
        <w:lastRenderedPageBreak/>
        <w:t>may be most predictive in patients with established dysbiosis, barrier dysfunction, or active intestinal inflammation. The frontier is to define biomarkers and phenotypes that identify such “axis-active” individuals.</w:t>
      </w:r>
    </w:p>
    <w:p w:rsidR="00A77093" w:rsidRPr="00A77093" w:rsidRDefault="00A77093" w:rsidP="00A77093">
      <w:pPr>
        <w:spacing w:before="100" w:beforeAutospacing="1" w:after="100" w:afterAutospacing="1" w:line="240" w:lineRule="auto"/>
        <w:ind w:left="0" w:right="0" w:firstLine="0"/>
        <w:jc w:val="left"/>
        <w:outlineLvl w:val="2"/>
        <w:rPr>
          <w:b/>
          <w:bCs/>
          <w:color w:val="auto"/>
          <w:kern w:val="0"/>
          <w:sz w:val="27"/>
          <w:szCs w:val="27"/>
          <w:lang w:val="en-US" w:eastAsia="en-US"/>
        </w:rPr>
      </w:pPr>
      <w:r w:rsidRPr="00A77093">
        <w:rPr>
          <w:b/>
          <w:bCs/>
          <w:color w:val="auto"/>
          <w:kern w:val="0"/>
          <w:sz w:val="27"/>
          <w:szCs w:val="27"/>
          <w:lang w:val="en-US" w:eastAsia="en-US"/>
        </w:rPr>
        <w:t>11.3 Implications for monitoring: oral findings as accessible phenotypes</w:t>
      </w:r>
    </w:p>
    <w:p w:rsidR="00A77093" w:rsidRPr="00A77093" w:rsidRDefault="00A77093" w:rsidP="00A77093">
      <w:pPr>
        <w:spacing w:before="100" w:beforeAutospacing="1" w:after="100" w:afterAutospacing="1" w:line="240" w:lineRule="auto"/>
        <w:ind w:left="0" w:right="0" w:firstLine="0"/>
        <w:jc w:val="left"/>
        <w:rPr>
          <w:color w:val="auto"/>
          <w:kern w:val="0"/>
          <w:lang w:val="en-US" w:eastAsia="en-US"/>
        </w:rPr>
      </w:pPr>
      <w:r w:rsidRPr="00A77093">
        <w:rPr>
          <w:color w:val="auto"/>
          <w:kern w:val="0"/>
          <w:lang w:val="en-US" w:eastAsia="en-US"/>
        </w:rPr>
        <w:t xml:space="preserve">If oral findings are to be used as indicators that track gastrointestinal disease dynamics, they must be measurable in a way that is repeatable, interpretable, and realistically deployable outside specialist research settings. The oral cavity has pragmatic advantages as a monitoring site: examination is rapid and non-invasive, mucosal changes can be documented longitudinally, and saliva-based sampling is comparatively acceptable to patients and feasible at scale. The oral–gut axis framework provides a biological rationale for monitoring oral phenotypes in parallel with intestinal outcomes, because oral microbial and inflammatory states may reflect upstream ecological shifts that become clinically relevant when gut barriers and </w:t>
      </w:r>
      <w:proofErr w:type="spellStart"/>
      <w:r w:rsidRPr="00A77093">
        <w:rPr>
          <w:color w:val="auto"/>
          <w:kern w:val="0"/>
          <w:lang w:val="en-US" w:eastAsia="en-US"/>
        </w:rPr>
        <w:t>colonisation</w:t>
      </w:r>
      <w:proofErr w:type="spellEnd"/>
      <w:r w:rsidRPr="00A77093">
        <w:rPr>
          <w:color w:val="auto"/>
          <w:kern w:val="0"/>
          <w:lang w:val="en-US" w:eastAsia="en-US"/>
        </w:rPr>
        <w:t xml:space="preserve"> resistance are compromised (Read et al., 2021). This concept is strengthened by experimental evidence showing that oral-derived bacteria can ectopically </w:t>
      </w:r>
      <w:proofErr w:type="spellStart"/>
      <w:r w:rsidRPr="00A77093">
        <w:rPr>
          <w:color w:val="auto"/>
          <w:kern w:val="0"/>
          <w:lang w:val="en-US" w:eastAsia="en-US"/>
        </w:rPr>
        <w:t>colonise</w:t>
      </w:r>
      <w:proofErr w:type="spellEnd"/>
      <w:r w:rsidRPr="00A77093">
        <w:rPr>
          <w:color w:val="auto"/>
          <w:kern w:val="0"/>
          <w:lang w:val="en-US" w:eastAsia="en-US"/>
        </w:rPr>
        <w:t xml:space="preserve"> the intestine and induce pro-inflammatory immune responses, supporting the plausibility that oral ecological changes may accompany—or in some settings contribute to—intestinal inflammatory trajectories (</w:t>
      </w:r>
      <w:proofErr w:type="spellStart"/>
      <w:r w:rsidRPr="00A77093">
        <w:rPr>
          <w:color w:val="auto"/>
          <w:kern w:val="0"/>
          <w:lang w:val="en-US" w:eastAsia="en-US"/>
        </w:rPr>
        <w:t>Atarashi</w:t>
      </w:r>
      <w:proofErr w:type="spellEnd"/>
      <w:r w:rsidRPr="00A77093">
        <w:rPr>
          <w:color w:val="auto"/>
          <w:kern w:val="0"/>
          <w:lang w:val="en-US" w:eastAsia="en-US"/>
        </w:rPr>
        <w:t xml:space="preserve"> et al., 2017).</w:t>
      </w:r>
    </w:p>
    <w:p w:rsidR="00A77093" w:rsidRPr="00A77093" w:rsidRDefault="00A77093" w:rsidP="00A77093">
      <w:pPr>
        <w:spacing w:before="100" w:beforeAutospacing="1" w:after="100" w:afterAutospacing="1" w:line="240" w:lineRule="auto"/>
        <w:ind w:left="0" w:right="0" w:firstLine="0"/>
        <w:jc w:val="left"/>
        <w:rPr>
          <w:color w:val="auto"/>
          <w:kern w:val="0"/>
          <w:lang w:val="en-US" w:eastAsia="en-US"/>
        </w:rPr>
      </w:pPr>
      <w:r w:rsidRPr="00A77093">
        <w:rPr>
          <w:color w:val="auto"/>
          <w:kern w:val="0"/>
          <w:lang w:val="en-US" w:eastAsia="en-US"/>
        </w:rPr>
        <w:t xml:space="preserve">A translational monitoring agenda, however, is only as robust as the methods used to capture oral microbial signals. Methodological </w:t>
      </w:r>
      <w:proofErr w:type="spellStart"/>
      <w:r w:rsidRPr="00A77093">
        <w:rPr>
          <w:color w:val="auto"/>
          <w:kern w:val="0"/>
          <w:lang w:val="en-US" w:eastAsia="en-US"/>
        </w:rPr>
        <w:t>standardisation</w:t>
      </w:r>
      <w:proofErr w:type="spellEnd"/>
      <w:r w:rsidRPr="00A77093">
        <w:rPr>
          <w:color w:val="auto"/>
          <w:kern w:val="0"/>
          <w:lang w:val="en-US" w:eastAsia="en-US"/>
        </w:rPr>
        <w:t xml:space="preserve"> is therefore not a technical detail but a determinant of whether findings can be compared across cohorts and time. Comparative work on oral microbiome DNA extraction methods has demonstrated that extraction approaches can differ in total DNA yield and in the degree of human DNA carryover, yet can still yield broadly similar microbial community </w:t>
      </w:r>
      <w:proofErr w:type="spellStart"/>
      <w:r w:rsidRPr="00A77093">
        <w:rPr>
          <w:color w:val="auto"/>
          <w:kern w:val="0"/>
          <w:lang w:val="en-US" w:eastAsia="en-US"/>
        </w:rPr>
        <w:t>characterisation</w:t>
      </w:r>
      <w:proofErr w:type="spellEnd"/>
      <w:r w:rsidRPr="00A77093">
        <w:rPr>
          <w:color w:val="auto"/>
          <w:kern w:val="0"/>
          <w:lang w:val="en-US" w:eastAsia="en-US"/>
        </w:rPr>
        <w:t xml:space="preserve"> suitable for population-based investigations that link oral microbiota to disease risk beyond the oral cavity (Wu et al., 2014). In practical terms, this supports a key translational principle: oral–gut axis studies aiming to relate oral microbial patterns to gastrointestinal outcomes should specify and, where possible, </w:t>
      </w:r>
      <w:proofErr w:type="spellStart"/>
      <w:r w:rsidRPr="00A77093">
        <w:rPr>
          <w:color w:val="auto"/>
          <w:kern w:val="0"/>
          <w:lang w:val="en-US" w:eastAsia="en-US"/>
        </w:rPr>
        <w:t>harmonise</w:t>
      </w:r>
      <w:proofErr w:type="spellEnd"/>
      <w:r w:rsidRPr="00A77093">
        <w:rPr>
          <w:color w:val="auto"/>
          <w:kern w:val="0"/>
          <w:lang w:val="en-US" w:eastAsia="en-US"/>
        </w:rPr>
        <w:t xml:space="preserve"> sampling and extraction protocols so that observed temporal changes are more likely to represent biology rather than artefact.</w:t>
      </w:r>
    </w:p>
    <w:p w:rsidR="00A77093" w:rsidRPr="00A77093" w:rsidRDefault="00A77093" w:rsidP="00A77093">
      <w:pPr>
        <w:spacing w:before="100" w:beforeAutospacing="1" w:after="100" w:afterAutospacing="1" w:line="240" w:lineRule="auto"/>
        <w:ind w:left="0" w:right="0" w:firstLine="0"/>
        <w:jc w:val="left"/>
        <w:rPr>
          <w:color w:val="auto"/>
          <w:kern w:val="0"/>
          <w:lang w:val="en-US" w:eastAsia="en-US"/>
        </w:rPr>
      </w:pPr>
      <w:r w:rsidRPr="00A77093">
        <w:rPr>
          <w:color w:val="auto"/>
          <w:kern w:val="0"/>
          <w:lang w:val="en-US" w:eastAsia="en-US"/>
        </w:rPr>
        <w:t>In addition to method robustness, monitoring value depends on whether oral microbial patterns capture meaningful ecological structure. Evidence from oral microbial ecology suggests that taxa may occupy distinct niches and that the relative presence or absence of specific organisms can signal broader community configurations, which is relevant when saliva is used as a biomarker matrix (McDaniel et al., 2017). Although such ecological findings are not, on their own, evidence of gastrointestinal causation, they strengthen the feasibility argument for saliva-based profiling as a scalable approach for repeated measurement, particularly when paired with clinical oral findings such as mucosal inflammation or ulceration. In oral–gut axis terms, this combination of simple clinical phenotyping and low-burden microbial sampling creates a plausible monitoring toolkit: oral examination and saliva profiles may provide complementary information about mucosal immunity and microbial exposure that can be aligned with gastrointestinal symptoms, inflammatory markers, and flare patterns (</w:t>
      </w:r>
      <w:proofErr w:type="spellStart"/>
      <w:r w:rsidRPr="00A77093">
        <w:rPr>
          <w:color w:val="auto"/>
          <w:kern w:val="0"/>
          <w:lang w:val="en-US" w:eastAsia="en-US"/>
        </w:rPr>
        <w:t>Atarashi</w:t>
      </w:r>
      <w:proofErr w:type="spellEnd"/>
      <w:r w:rsidRPr="00A77093">
        <w:rPr>
          <w:color w:val="auto"/>
          <w:kern w:val="0"/>
          <w:lang w:val="en-US" w:eastAsia="en-US"/>
        </w:rPr>
        <w:t xml:space="preserve"> et al., 2017; Read et al., 2021).</w:t>
      </w:r>
    </w:p>
    <w:p w:rsidR="00A77093" w:rsidRPr="00A77093" w:rsidRDefault="00A77093" w:rsidP="00A77093">
      <w:pPr>
        <w:spacing w:before="100" w:beforeAutospacing="1" w:after="100" w:afterAutospacing="1" w:line="240" w:lineRule="auto"/>
        <w:ind w:left="0" w:right="0" w:firstLine="0"/>
        <w:jc w:val="left"/>
        <w:rPr>
          <w:color w:val="auto"/>
          <w:kern w:val="0"/>
          <w:lang w:val="en-US" w:eastAsia="en-US"/>
        </w:rPr>
      </w:pPr>
      <w:r w:rsidRPr="00A77093">
        <w:rPr>
          <w:color w:val="auto"/>
          <w:kern w:val="0"/>
          <w:lang w:val="en-US" w:eastAsia="en-US"/>
        </w:rPr>
        <w:t xml:space="preserve">The most defensible near-term translational use of oral monitoring is therefore additive rather than substitutive. Oral findings and saliva-based microbial measures should not be positioned as replacements for established gastrointestinal assessments, but as accessible signals that may enrich longitudinal understanding of disease dynamics and help identify subgroups in </w:t>
      </w:r>
      <w:r w:rsidRPr="00A77093">
        <w:rPr>
          <w:color w:val="auto"/>
          <w:kern w:val="0"/>
          <w:lang w:val="en-US" w:eastAsia="en-US"/>
        </w:rPr>
        <w:lastRenderedPageBreak/>
        <w:t xml:space="preserve">whom the oral reservoir and microbial transfer hypotheses are most plausible (Read et al., 2021). As mechanistic and clinical evidence accumulates, </w:t>
      </w:r>
      <w:proofErr w:type="spellStart"/>
      <w:r w:rsidRPr="00A77093">
        <w:rPr>
          <w:color w:val="auto"/>
          <w:kern w:val="0"/>
          <w:lang w:val="en-US" w:eastAsia="en-US"/>
        </w:rPr>
        <w:t>standardised</w:t>
      </w:r>
      <w:proofErr w:type="spellEnd"/>
      <w:r w:rsidRPr="00A77093">
        <w:rPr>
          <w:color w:val="auto"/>
          <w:kern w:val="0"/>
          <w:lang w:val="en-US" w:eastAsia="en-US"/>
        </w:rPr>
        <w:t xml:space="preserve"> oral phenotyping and </w:t>
      </w:r>
      <w:proofErr w:type="spellStart"/>
      <w:r w:rsidRPr="00A77093">
        <w:rPr>
          <w:color w:val="auto"/>
          <w:kern w:val="0"/>
          <w:lang w:val="en-US" w:eastAsia="en-US"/>
        </w:rPr>
        <w:t>harmonised</w:t>
      </w:r>
      <w:proofErr w:type="spellEnd"/>
      <w:r w:rsidRPr="00A77093">
        <w:rPr>
          <w:color w:val="auto"/>
          <w:kern w:val="0"/>
          <w:lang w:val="en-US" w:eastAsia="en-US"/>
        </w:rPr>
        <w:t xml:space="preserve"> saliva sampling may become increasingly valuable components of interdisciplinary monitoring frameworks that connect dentistry, oral medicine, and gastroenterology (</w:t>
      </w:r>
      <w:proofErr w:type="spellStart"/>
      <w:r w:rsidRPr="00A77093">
        <w:rPr>
          <w:color w:val="auto"/>
          <w:kern w:val="0"/>
          <w:lang w:val="en-US" w:eastAsia="en-US"/>
        </w:rPr>
        <w:t>Atarashi</w:t>
      </w:r>
      <w:proofErr w:type="spellEnd"/>
      <w:r w:rsidRPr="00A77093">
        <w:rPr>
          <w:color w:val="auto"/>
          <w:kern w:val="0"/>
          <w:lang w:val="en-US" w:eastAsia="en-US"/>
        </w:rPr>
        <w:t xml:space="preserve"> et al., 2017).</w:t>
      </w:r>
    </w:p>
    <w:p w:rsidR="006D3E12" w:rsidRPr="006D3E12" w:rsidRDefault="006D3E12" w:rsidP="006D3E12">
      <w:pPr>
        <w:spacing w:before="100" w:beforeAutospacing="1" w:after="100" w:afterAutospacing="1" w:line="240" w:lineRule="auto"/>
        <w:ind w:left="0" w:right="0" w:firstLine="0"/>
        <w:jc w:val="left"/>
        <w:outlineLvl w:val="2"/>
        <w:rPr>
          <w:b/>
          <w:bCs/>
          <w:color w:val="auto"/>
          <w:kern w:val="0"/>
          <w:sz w:val="27"/>
          <w:szCs w:val="27"/>
          <w:lang w:val="en-US" w:eastAsia="en-US"/>
        </w:rPr>
      </w:pPr>
      <w:r w:rsidRPr="006D3E12">
        <w:rPr>
          <w:b/>
          <w:bCs/>
          <w:color w:val="auto"/>
          <w:kern w:val="0"/>
          <w:sz w:val="27"/>
          <w:szCs w:val="27"/>
          <w:lang w:val="en-US" w:eastAsia="en-US"/>
        </w:rPr>
        <w:t>11.4 Therapeutic implications: towards integrated oral–gastrointestinal care</w:t>
      </w:r>
    </w:p>
    <w:p w:rsidR="006D3E12" w:rsidRPr="006D3E12" w:rsidRDefault="006D3E12" w:rsidP="006D3E12">
      <w:pPr>
        <w:spacing w:before="100" w:beforeAutospacing="1" w:after="100" w:afterAutospacing="1" w:line="240" w:lineRule="auto"/>
        <w:ind w:left="0" w:right="0" w:firstLine="0"/>
        <w:jc w:val="left"/>
        <w:rPr>
          <w:color w:val="auto"/>
          <w:kern w:val="0"/>
          <w:lang w:val="en-US" w:eastAsia="en-US"/>
        </w:rPr>
      </w:pPr>
      <w:r w:rsidRPr="006D3E12">
        <w:rPr>
          <w:color w:val="auto"/>
          <w:kern w:val="0"/>
          <w:lang w:val="en-US" w:eastAsia="en-US"/>
        </w:rPr>
        <w:t>The most provocative translational implication is therapeutic: if the oral cavity can function as a reservoir that contributes to intestinal inflammation, then improving oral health could hypothetically reduce inflammatory triggers or microbial transfer to the gut. Contemporary synthesis in IBD has explicitly raised the possibility that targeting oral bacteria might become relevant to disease management, even though clinical evidence is not yet sufficient to define best practices or quantify effect sizes (Read et al., 2021). Mechanistic work strengthens this plausibility by demonstrating that oral-derived taxa can be pro-inflammatory in the intestine under permissive conditions (</w:t>
      </w:r>
      <w:proofErr w:type="spellStart"/>
      <w:r w:rsidRPr="006D3E12">
        <w:rPr>
          <w:color w:val="auto"/>
          <w:kern w:val="0"/>
          <w:lang w:val="en-US" w:eastAsia="en-US"/>
        </w:rPr>
        <w:t>Atarashi</w:t>
      </w:r>
      <w:proofErr w:type="spellEnd"/>
      <w:r w:rsidRPr="006D3E12">
        <w:rPr>
          <w:color w:val="auto"/>
          <w:kern w:val="0"/>
          <w:lang w:val="en-US" w:eastAsia="en-US"/>
        </w:rPr>
        <w:t xml:space="preserve"> et al., 2017). The translational next step is therefore not to assume benefit, but to test it rigorously through prospective trials and mechanistic human studies that evaluate whether periodontal therapy, targeted antimicrobial strategies, or modulation of oral biofilms can influence gut inflammation, flare frequency, or treatment response in defined patient subgroups.</w:t>
      </w:r>
    </w:p>
    <w:p w:rsidR="006D3E12" w:rsidRPr="006D3E12" w:rsidRDefault="006D3E12" w:rsidP="006D3E12">
      <w:pPr>
        <w:spacing w:before="100" w:beforeAutospacing="1" w:after="100" w:afterAutospacing="1" w:line="240" w:lineRule="auto"/>
        <w:ind w:left="0" w:right="0" w:firstLine="0"/>
        <w:jc w:val="left"/>
        <w:rPr>
          <w:color w:val="auto"/>
          <w:kern w:val="0"/>
          <w:lang w:val="en-US" w:eastAsia="en-US"/>
        </w:rPr>
      </w:pPr>
      <w:r w:rsidRPr="006D3E12">
        <w:rPr>
          <w:color w:val="auto"/>
          <w:kern w:val="0"/>
          <w:lang w:val="en-US" w:eastAsia="en-US"/>
        </w:rPr>
        <w:t xml:space="preserve">At present, the most defensible clinical posture is integrative but cautious. Oral health promotion is valuable regardless of systemic impact, and in patients with IBD it may yield quality-of-life benefits by reducing oral pain, improving nutrition, and lowering the burden of chronic oral infection. The oral–gut axis literature provides an additional rationale for </w:t>
      </w:r>
      <w:proofErr w:type="spellStart"/>
      <w:r w:rsidRPr="006D3E12">
        <w:rPr>
          <w:color w:val="auto"/>
          <w:kern w:val="0"/>
          <w:lang w:val="en-US" w:eastAsia="en-US"/>
        </w:rPr>
        <w:t>prioritising</w:t>
      </w:r>
      <w:proofErr w:type="spellEnd"/>
      <w:r w:rsidRPr="006D3E12">
        <w:rPr>
          <w:color w:val="auto"/>
          <w:kern w:val="0"/>
          <w:lang w:val="en-US" w:eastAsia="en-US"/>
        </w:rPr>
        <w:t xml:space="preserve"> oral assessment in gastrointestinal clinics and for encouraging bidirectional referral pathways, particularly for patients with prominent oral symptoms or refractory inflammatory patterns. As translational evidence accumulates, the mouth may increasingly be viewed not only as a diagnostic gateway but also as a site of intervention within a broader ecosystem approach to gastrointestinal disease (</w:t>
      </w:r>
      <w:proofErr w:type="spellStart"/>
      <w:r w:rsidRPr="006D3E12">
        <w:rPr>
          <w:color w:val="auto"/>
          <w:kern w:val="0"/>
          <w:lang w:val="en-US" w:eastAsia="en-US"/>
        </w:rPr>
        <w:t>Atarashi</w:t>
      </w:r>
      <w:proofErr w:type="spellEnd"/>
      <w:r w:rsidRPr="006D3E12">
        <w:rPr>
          <w:color w:val="auto"/>
          <w:kern w:val="0"/>
          <w:lang w:val="en-US" w:eastAsia="en-US"/>
        </w:rPr>
        <w:t xml:space="preserve"> et al., 2017; Read et al., 2021).</w:t>
      </w:r>
    </w:p>
    <w:p w:rsidR="006D3E12" w:rsidRDefault="006D3E12" w:rsidP="005072B4">
      <w:pPr>
        <w:pStyle w:val="Heading2"/>
        <w:rPr>
          <w:lang w:val="en-GB"/>
        </w:rPr>
      </w:pPr>
    </w:p>
    <w:p w:rsidR="005072B4" w:rsidRPr="005072B4" w:rsidRDefault="005072B4" w:rsidP="005072B4">
      <w:pPr>
        <w:pStyle w:val="Heading2"/>
        <w:rPr>
          <w:lang w:val="en-GB"/>
        </w:rPr>
      </w:pPr>
      <w:r w:rsidRPr="005072B4">
        <w:rPr>
          <w:lang w:val="en-GB"/>
        </w:rPr>
        <w:t>12. Conclusions</w:t>
      </w:r>
    </w:p>
    <w:p w:rsidR="005072B4" w:rsidRPr="005072B4" w:rsidRDefault="005072B4" w:rsidP="005072B4">
      <w:pPr>
        <w:pStyle w:val="NormalWeb"/>
        <w:rPr>
          <w:lang w:val="en-GB"/>
        </w:rPr>
      </w:pPr>
      <w:r w:rsidRPr="005072B4">
        <w:rPr>
          <w:lang w:val="en-GB"/>
        </w:rPr>
        <w:t xml:space="preserve">Oral signs can serve as clinically meaningful diagnostic gateways to gastrointestinal syndromes when they are interpreted as patterns rather than isolated findings and when they are integrated with patient context. Evidence supports particularly strong gateway roles for granulomatous oral phenotypes in Crohn’s disease, </w:t>
      </w:r>
      <w:proofErr w:type="spellStart"/>
      <w:r w:rsidRPr="005072B4">
        <w:rPr>
          <w:lang w:val="en-GB"/>
        </w:rPr>
        <w:t>pyostomatitis</w:t>
      </w:r>
      <w:proofErr w:type="spellEnd"/>
      <w:r w:rsidRPr="005072B4">
        <w:rPr>
          <w:lang w:val="en-GB"/>
        </w:rPr>
        <w:t xml:space="preserve"> </w:t>
      </w:r>
      <w:proofErr w:type="spellStart"/>
      <w:r w:rsidRPr="005072B4">
        <w:rPr>
          <w:lang w:val="en-GB"/>
        </w:rPr>
        <w:t>vegetans</w:t>
      </w:r>
      <w:proofErr w:type="spellEnd"/>
      <w:r w:rsidRPr="005072B4">
        <w:rPr>
          <w:lang w:val="en-GB"/>
        </w:rPr>
        <w:t xml:space="preserve"> in ulcerative colitis, enamel defects and recurrent aphthous stomatitis in coeliac disease, erosive tooth wear in reflux-related disorders, persistent halitosis in selected H. pylori–associated contexts, oral changes associated with chronic liver disease, and mucocutaneous or </w:t>
      </w:r>
      <w:proofErr w:type="spellStart"/>
      <w:r w:rsidRPr="005072B4">
        <w:rPr>
          <w:lang w:val="en-GB"/>
        </w:rPr>
        <w:t>dento</w:t>
      </w:r>
      <w:proofErr w:type="spellEnd"/>
      <w:r w:rsidRPr="005072B4">
        <w:rPr>
          <w:lang w:val="en-GB"/>
        </w:rPr>
        <w:t>-osseous phenotypes in hereditary polyposis syndromes. The oral–gut axis further strengthens the conceptual foundation for these links by demonstrating plausible pathways through which oral microbiota and inflammation can intersect with intestinal immunity. Embedding structured oral examination and oral-history cues into routine medical and dental care offers a realistic opportunity to reduce diagnostic delay, improve interdisciplinary coordination, and enhance patient-centred management across GI syndromes.</w:t>
      </w:r>
    </w:p>
    <w:p w:rsidR="005072B4" w:rsidRPr="005072B4" w:rsidRDefault="005072B4" w:rsidP="005072B4">
      <w:pPr>
        <w:rPr>
          <w:lang w:val="en-GB"/>
        </w:rPr>
      </w:pPr>
    </w:p>
    <w:p w:rsidR="005072B4" w:rsidRPr="005072B4" w:rsidRDefault="005072B4" w:rsidP="005072B4">
      <w:pPr>
        <w:rPr>
          <w:lang w:val="en-GB"/>
        </w:rPr>
      </w:pPr>
      <w:bookmarkStart w:id="0" w:name="_GoBack"/>
      <w:bookmarkEnd w:id="0"/>
    </w:p>
    <w:p w:rsidR="005072B4" w:rsidRPr="005072B4" w:rsidRDefault="005072B4" w:rsidP="005072B4">
      <w:pPr>
        <w:pStyle w:val="Heading2"/>
        <w:rPr>
          <w:lang w:val="en-GB"/>
        </w:rPr>
      </w:pPr>
      <w:r w:rsidRPr="005072B4">
        <w:rPr>
          <w:lang w:val="en-GB"/>
        </w:rPr>
        <w:t xml:space="preserve">References </w:t>
      </w:r>
    </w:p>
    <w:p w:rsidR="00A77093" w:rsidRPr="005072B4" w:rsidRDefault="00A77093" w:rsidP="00A77093">
      <w:pPr>
        <w:pStyle w:val="NormalWeb"/>
        <w:rPr>
          <w:lang w:val="en-GB"/>
        </w:rPr>
      </w:pPr>
      <w:r>
        <w:rPr>
          <w:lang w:val="en-GB"/>
        </w:rPr>
        <w:t>A</w:t>
      </w:r>
      <w:r w:rsidRPr="005072B4">
        <w:rPr>
          <w:lang w:val="en-GB"/>
        </w:rPr>
        <w:t xml:space="preserve">berg, F., &amp; </w:t>
      </w:r>
      <w:proofErr w:type="spellStart"/>
      <w:r w:rsidRPr="005072B4">
        <w:rPr>
          <w:lang w:val="en-GB"/>
        </w:rPr>
        <w:t>Helenius-Hietala</w:t>
      </w:r>
      <w:proofErr w:type="spellEnd"/>
      <w:r w:rsidRPr="005072B4">
        <w:rPr>
          <w:lang w:val="en-GB"/>
        </w:rPr>
        <w:t xml:space="preserve">, J. (2022). Oral health and liver disease: Bidirectional associations—A narrative review. </w:t>
      </w:r>
      <w:r w:rsidRPr="005072B4">
        <w:rPr>
          <w:rStyle w:val="Emphasis"/>
          <w:lang w:val="en-GB"/>
        </w:rPr>
        <w:t>Dentistry Journal, 10</w:t>
      </w:r>
      <w:r w:rsidRPr="005072B4">
        <w:rPr>
          <w:lang w:val="en-GB"/>
        </w:rPr>
        <w:t xml:space="preserve">(2), 16. </w:t>
      </w:r>
      <w:hyperlink r:id="rId8" w:history="1">
        <w:r w:rsidR="009E6513" w:rsidRPr="00415110">
          <w:rPr>
            <w:rStyle w:val="Hyperlink"/>
            <w:lang w:val="en-GB"/>
          </w:rPr>
          <w:t>https://doi.org/10.3390/dj10020016</w:t>
        </w:r>
      </w:hyperlink>
      <w:r w:rsidR="009E6513">
        <w:rPr>
          <w:lang w:val="en-GB"/>
        </w:rPr>
        <w:t xml:space="preserve"> </w:t>
      </w:r>
    </w:p>
    <w:p w:rsidR="00A77093" w:rsidRPr="005072B4" w:rsidRDefault="00A77093" w:rsidP="00A77093">
      <w:pPr>
        <w:pStyle w:val="NormalWeb"/>
        <w:rPr>
          <w:lang w:val="en-GB"/>
        </w:rPr>
      </w:pPr>
      <w:r w:rsidRPr="005072B4">
        <w:rPr>
          <w:lang w:val="en-GB"/>
        </w:rPr>
        <w:t xml:space="preserve">Almeida, F. T., </w:t>
      </w:r>
      <w:proofErr w:type="spellStart"/>
      <w:r w:rsidRPr="005072B4">
        <w:rPr>
          <w:lang w:val="en-GB"/>
        </w:rPr>
        <w:t>Leite</w:t>
      </w:r>
      <w:proofErr w:type="spellEnd"/>
      <w:r w:rsidRPr="005072B4">
        <w:rPr>
          <w:lang w:val="en-GB"/>
        </w:rPr>
        <w:t xml:space="preserve">, A. F., </w:t>
      </w:r>
      <w:proofErr w:type="spellStart"/>
      <w:r w:rsidRPr="005072B4">
        <w:rPr>
          <w:lang w:val="en-GB"/>
        </w:rPr>
        <w:t>Figueiredo</w:t>
      </w:r>
      <w:proofErr w:type="spellEnd"/>
      <w:r w:rsidRPr="005072B4">
        <w:rPr>
          <w:lang w:val="en-GB"/>
        </w:rPr>
        <w:t xml:space="preserve">, P. T. S., Dos Santos, P. A. C., Rosa, E. C. C. C., </w:t>
      </w:r>
      <w:proofErr w:type="spellStart"/>
      <w:r w:rsidRPr="005072B4">
        <w:rPr>
          <w:lang w:val="en-GB"/>
        </w:rPr>
        <w:t>Mazzeu</w:t>
      </w:r>
      <w:proofErr w:type="spellEnd"/>
      <w:r w:rsidRPr="005072B4">
        <w:rPr>
          <w:lang w:val="en-GB"/>
        </w:rPr>
        <w:t xml:space="preserve">, J. F., Sousa, J. B., Pogue, R., Acevedo, A. C., &amp; Guerra, E. N. S. (2020). </w:t>
      </w:r>
      <w:proofErr w:type="spellStart"/>
      <w:r w:rsidRPr="005072B4">
        <w:rPr>
          <w:lang w:val="en-GB"/>
        </w:rPr>
        <w:t>Dento</w:t>
      </w:r>
      <w:proofErr w:type="spellEnd"/>
      <w:r w:rsidRPr="005072B4">
        <w:rPr>
          <w:lang w:val="en-GB"/>
        </w:rPr>
        <w:t xml:space="preserve">-osseous anomalies in patients with familial adenomatous polyposis: A follow-up study. </w:t>
      </w:r>
      <w:r w:rsidRPr="005072B4">
        <w:rPr>
          <w:rStyle w:val="Emphasis"/>
          <w:lang w:val="en-GB"/>
        </w:rPr>
        <w:t>Clinical Oral Investigations, 24</w:t>
      </w:r>
      <w:r w:rsidRPr="005072B4">
        <w:rPr>
          <w:lang w:val="en-GB"/>
        </w:rPr>
        <w:t xml:space="preserve">, 3501–3511. </w:t>
      </w:r>
      <w:hyperlink r:id="rId9" w:history="1">
        <w:r w:rsidR="009E6513" w:rsidRPr="00415110">
          <w:rPr>
            <w:rStyle w:val="Hyperlink"/>
            <w:lang w:val="en-GB"/>
          </w:rPr>
          <w:t>https://doi.org/10.1007/s00784-020-03220-9</w:t>
        </w:r>
      </w:hyperlink>
      <w:r w:rsidR="009E6513">
        <w:rPr>
          <w:lang w:val="en-GB"/>
        </w:rPr>
        <w:t xml:space="preserve"> </w:t>
      </w:r>
    </w:p>
    <w:p w:rsidR="00A77093" w:rsidRPr="005072B4" w:rsidRDefault="00A77093" w:rsidP="00A77093">
      <w:pPr>
        <w:pStyle w:val="NormalWeb"/>
        <w:rPr>
          <w:lang w:val="en-GB"/>
        </w:rPr>
      </w:pPr>
      <w:r w:rsidRPr="005072B4">
        <w:rPr>
          <w:lang w:val="en-GB"/>
        </w:rPr>
        <w:t xml:space="preserve">Almeida, F. T., </w:t>
      </w:r>
      <w:proofErr w:type="spellStart"/>
      <w:r w:rsidRPr="005072B4">
        <w:rPr>
          <w:lang w:val="en-GB"/>
        </w:rPr>
        <w:t>Pachêco</w:t>
      </w:r>
      <w:proofErr w:type="spellEnd"/>
      <w:r w:rsidRPr="005072B4">
        <w:rPr>
          <w:lang w:val="en-GB"/>
        </w:rPr>
        <w:t xml:space="preserve">-Pereira, C., </w:t>
      </w:r>
      <w:proofErr w:type="spellStart"/>
      <w:r w:rsidRPr="005072B4">
        <w:rPr>
          <w:lang w:val="en-GB"/>
        </w:rPr>
        <w:t>Porporatti</w:t>
      </w:r>
      <w:proofErr w:type="spellEnd"/>
      <w:r w:rsidRPr="005072B4">
        <w:rPr>
          <w:lang w:val="en-GB"/>
        </w:rPr>
        <w:t xml:space="preserve">, A. L., Flores-Mir, C., </w:t>
      </w:r>
      <w:proofErr w:type="spellStart"/>
      <w:r w:rsidRPr="005072B4">
        <w:rPr>
          <w:lang w:val="en-GB"/>
        </w:rPr>
        <w:t>Leite</w:t>
      </w:r>
      <w:proofErr w:type="spellEnd"/>
      <w:r w:rsidRPr="005072B4">
        <w:rPr>
          <w:lang w:val="en-GB"/>
        </w:rPr>
        <w:t xml:space="preserve">, A. F., De Luca Canto, G., &amp; Guerra, E. N. S. (2016). Oral manifestations in patients with familial adenomatous polyposis: A systematic review and meta-analysis. </w:t>
      </w:r>
      <w:r w:rsidRPr="005072B4">
        <w:rPr>
          <w:rStyle w:val="Emphasis"/>
          <w:lang w:val="en-GB"/>
        </w:rPr>
        <w:t>Journal of Gastroenterology and Hepatology, 31</w:t>
      </w:r>
      <w:r w:rsidRPr="005072B4">
        <w:rPr>
          <w:lang w:val="en-GB"/>
        </w:rPr>
        <w:t xml:space="preserve">(3), 527–540. </w:t>
      </w:r>
      <w:hyperlink r:id="rId10" w:history="1">
        <w:r w:rsidR="009E6513" w:rsidRPr="00415110">
          <w:rPr>
            <w:rStyle w:val="Hyperlink"/>
            <w:lang w:val="en-GB"/>
          </w:rPr>
          <w:t>https://doi.org/10.1111/jgh.13149</w:t>
        </w:r>
      </w:hyperlink>
      <w:r w:rsidR="009E6513">
        <w:rPr>
          <w:lang w:val="en-GB"/>
        </w:rPr>
        <w:t xml:space="preserve"> </w:t>
      </w:r>
    </w:p>
    <w:p w:rsidR="00A77093" w:rsidRPr="005072B4" w:rsidRDefault="00A77093" w:rsidP="00A77093">
      <w:pPr>
        <w:pStyle w:val="NormalWeb"/>
        <w:rPr>
          <w:lang w:val="en-GB"/>
        </w:rPr>
      </w:pPr>
      <w:r w:rsidRPr="005072B4">
        <w:rPr>
          <w:lang w:val="en-GB"/>
        </w:rPr>
        <w:t>Anand, P. S., Kamath, K. P., Gandhi, A. P., Shamim, M. A</w:t>
      </w:r>
      <w:r>
        <w:rPr>
          <w:lang w:val="en-GB"/>
        </w:rPr>
        <w:t xml:space="preserve">., </w:t>
      </w:r>
      <w:proofErr w:type="spellStart"/>
      <w:r>
        <w:rPr>
          <w:lang w:val="en-GB"/>
        </w:rPr>
        <w:t>Padhi</w:t>
      </w:r>
      <w:proofErr w:type="spellEnd"/>
      <w:r>
        <w:rPr>
          <w:lang w:val="en-GB"/>
        </w:rPr>
        <w:t>, B. K., &amp; Das, S. (2025</w:t>
      </w:r>
      <w:r w:rsidRPr="005072B4">
        <w:rPr>
          <w:lang w:val="en-GB"/>
        </w:rPr>
        <w:t xml:space="preserve">). Dental plaque as an extra-gastric reservoir of </w:t>
      </w:r>
      <w:r w:rsidRPr="005072B4">
        <w:rPr>
          <w:rStyle w:val="Emphasis"/>
          <w:lang w:val="en-GB"/>
        </w:rPr>
        <w:t>Helicobacter pylori</w:t>
      </w:r>
      <w:r w:rsidRPr="005072B4">
        <w:rPr>
          <w:lang w:val="en-GB"/>
        </w:rPr>
        <w:t xml:space="preserve">: A systematic review and meta-analysis. </w:t>
      </w:r>
      <w:r w:rsidRPr="005072B4">
        <w:rPr>
          <w:rStyle w:val="Emphasis"/>
          <w:lang w:val="en-GB"/>
        </w:rPr>
        <w:t>Archives of Oral Biology, 170</w:t>
      </w:r>
      <w:r w:rsidRPr="005072B4">
        <w:rPr>
          <w:lang w:val="en-GB"/>
        </w:rPr>
        <w:t xml:space="preserve">, 106126. </w:t>
      </w:r>
      <w:hyperlink r:id="rId11" w:history="1">
        <w:r w:rsidR="009E6513" w:rsidRPr="00415110">
          <w:rPr>
            <w:rStyle w:val="Hyperlink"/>
            <w:lang w:val="en-GB"/>
          </w:rPr>
          <w:t>https://doi.org/10.1016/j.archoralbio.2024.106126</w:t>
        </w:r>
      </w:hyperlink>
      <w:r w:rsidR="009E6513">
        <w:rPr>
          <w:lang w:val="en-GB"/>
        </w:rPr>
        <w:t xml:space="preserve"> </w:t>
      </w:r>
    </w:p>
    <w:p w:rsidR="00A77093" w:rsidRDefault="00A77093" w:rsidP="00A77093">
      <w:pPr>
        <w:pStyle w:val="NormalWeb"/>
        <w:rPr>
          <w:lang w:val="en-GB"/>
        </w:rPr>
      </w:pPr>
      <w:proofErr w:type="spellStart"/>
      <w:r w:rsidRPr="005072B4">
        <w:rPr>
          <w:lang w:val="en-GB"/>
        </w:rPr>
        <w:t>Atarashi</w:t>
      </w:r>
      <w:proofErr w:type="spellEnd"/>
      <w:r w:rsidRPr="005072B4">
        <w:rPr>
          <w:lang w:val="en-GB"/>
        </w:rPr>
        <w:t xml:space="preserve">, K., </w:t>
      </w:r>
      <w:proofErr w:type="spellStart"/>
      <w:r w:rsidRPr="005072B4">
        <w:rPr>
          <w:lang w:val="en-GB"/>
        </w:rPr>
        <w:t>Suda</w:t>
      </w:r>
      <w:proofErr w:type="spellEnd"/>
      <w:r w:rsidRPr="005072B4">
        <w:rPr>
          <w:lang w:val="en-GB"/>
        </w:rPr>
        <w:t xml:space="preserve">, W., Luo, C., Kawaguchi, T., </w:t>
      </w:r>
      <w:proofErr w:type="spellStart"/>
      <w:r w:rsidRPr="005072B4">
        <w:rPr>
          <w:lang w:val="en-GB"/>
        </w:rPr>
        <w:t>Motoo</w:t>
      </w:r>
      <w:proofErr w:type="spellEnd"/>
      <w:r w:rsidRPr="005072B4">
        <w:rPr>
          <w:lang w:val="en-GB"/>
        </w:rPr>
        <w:t xml:space="preserve">, I., </w:t>
      </w:r>
      <w:proofErr w:type="spellStart"/>
      <w:r w:rsidRPr="005072B4">
        <w:rPr>
          <w:lang w:val="en-GB"/>
        </w:rPr>
        <w:t>Narushima</w:t>
      </w:r>
      <w:proofErr w:type="spellEnd"/>
      <w:r w:rsidRPr="005072B4">
        <w:rPr>
          <w:lang w:val="en-GB"/>
        </w:rPr>
        <w:t xml:space="preserve">, S., </w:t>
      </w:r>
      <w:proofErr w:type="spellStart"/>
      <w:r w:rsidRPr="005072B4">
        <w:rPr>
          <w:lang w:val="en-GB"/>
        </w:rPr>
        <w:t>Kiguchi</w:t>
      </w:r>
      <w:proofErr w:type="spellEnd"/>
      <w:r w:rsidRPr="005072B4">
        <w:rPr>
          <w:lang w:val="en-GB"/>
        </w:rPr>
        <w:t xml:space="preserve">, Y., </w:t>
      </w:r>
      <w:proofErr w:type="spellStart"/>
      <w:r w:rsidRPr="005072B4">
        <w:rPr>
          <w:lang w:val="en-GB"/>
        </w:rPr>
        <w:t>Yasuma</w:t>
      </w:r>
      <w:proofErr w:type="spellEnd"/>
      <w:r w:rsidRPr="005072B4">
        <w:rPr>
          <w:lang w:val="en-GB"/>
        </w:rPr>
        <w:t xml:space="preserve">, K., Watanabe, E., </w:t>
      </w:r>
      <w:proofErr w:type="spellStart"/>
      <w:r w:rsidRPr="005072B4">
        <w:rPr>
          <w:lang w:val="en-GB"/>
        </w:rPr>
        <w:t>Tanoue</w:t>
      </w:r>
      <w:proofErr w:type="spellEnd"/>
      <w:r w:rsidRPr="005072B4">
        <w:rPr>
          <w:lang w:val="en-GB"/>
        </w:rPr>
        <w:t xml:space="preserve">, T., </w:t>
      </w:r>
      <w:proofErr w:type="spellStart"/>
      <w:r w:rsidRPr="005072B4">
        <w:rPr>
          <w:lang w:val="en-GB"/>
        </w:rPr>
        <w:t>Thaiss</w:t>
      </w:r>
      <w:proofErr w:type="spellEnd"/>
      <w:r w:rsidRPr="005072B4">
        <w:rPr>
          <w:lang w:val="en-GB"/>
        </w:rPr>
        <w:t xml:space="preserve">, C. A., Sato, M., </w:t>
      </w:r>
      <w:proofErr w:type="spellStart"/>
      <w:r w:rsidRPr="005072B4">
        <w:rPr>
          <w:lang w:val="en-GB"/>
        </w:rPr>
        <w:t>Toyooka</w:t>
      </w:r>
      <w:proofErr w:type="spellEnd"/>
      <w:r w:rsidRPr="005072B4">
        <w:rPr>
          <w:lang w:val="en-GB"/>
        </w:rPr>
        <w:t xml:space="preserve">, K., Said, H. S., </w:t>
      </w:r>
      <w:proofErr w:type="spellStart"/>
      <w:r w:rsidRPr="005072B4">
        <w:rPr>
          <w:lang w:val="en-GB"/>
        </w:rPr>
        <w:t>Yamagami</w:t>
      </w:r>
      <w:proofErr w:type="spellEnd"/>
      <w:r w:rsidRPr="005072B4">
        <w:rPr>
          <w:lang w:val="en-GB"/>
        </w:rPr>
        <w:t xml:space="preserve">, H., Rice, S. A., </w:t>
      </w:r>
      <w:proofErr w:type="spellStart"/>
      <w:r w:rsidRPr="005072B4">
        <w:rPr>
          <w:lang w:val="en-GB"/>
        </w:rPr>
        <w:t>Gevers</w:t>
      </w:r>
      <w:proofErr w:type="spellEnd"/>
      <w:r w:rsidRPr="005072B4">
        <w:rPr>
          <w:lang w:val="en-GB"/>
        </w:rPr>
        <w:t xml:space="preserve">, D., Merrell, D. S., Segre, J. A., … Honda, K. (2017). Ectopic colonization of oral bacteria in the intestine drives T_H1 cell induction and inflammation. </w:t>
      </w:r>
      <w:r w:rsidRPr="005072B4">
        <w:rPr>
          <w:rStyle w:val="Emphasis"/>
          <w:lang w:val="en-GB"/>
        </w:rPr>
        <w:t>Science, 358</w:t>
      </w:r>
      <w:r w:rsidRPr="005072B4">
        <w:rPr>
          <w:lang w:val="en-GB"/>
        </w:rPr>
        <w:t xml:space="preserve">(6361), 359–365. </w:t>
      </w:r>
      <w:hyperlink r:id="rId12" w:tgtFrame="_new" w:history="1">
        <w:r w:rsidRPr="005072B4">
          <w:rPr>
            <w:rStyle w:val="Hyperlink"/>
            <w:lang w:val="en-GB"/>
          </w:rPr>
          <w:t>https://doi.org/10.1126/science.aan4526</w:t>
        </w:r>
      </w:hyperlink>
    </w:p>
    <w:p w:rsidR="00A77093" w:rsidRPr="005072B4" w:rsidRDefault="00A77093" w:rsidP="00A77093">
      <w:pPr>
        <w:pStyle w:val="NormalWeb"/>
        <w:rPr>
          <w:lang w:val="en-GB"/>
        </w:rPr>
      </w:pPr>
      <w:proofErr w:type="spellStart"/>
      <w:r w:rsidRPr="005072B4">
        <w:rPr>
          <w:lang w:val="en-GB"/>
        </w:rPr>
        <w:t>Beggs</w:t>
      </w:r>
      <w:proofErr w:type="spellEnd"/>
      <w:r w:rsidRPr="005072B4">
        <w:rPr>
          <w:lang w:val="en-GB"/>
        </w:rPr>
        <w:t xml:space="preserve">, A. D., Latchford, A. R., </w:t>
      </w:r>
      <w:proofErr w:type="spellStart"/>
      <w:r w:rsidRPr="005072B4">
        <w:rPr>
          <w:lang w:val="en-GB"/>
        </w:rPr>
        <w:t>Vasen</w:t>
      </w:r>
      <w:proofErr w:type="spellEnd"/>
      <w:r w:rsidRPr="005072B4">
        <w:rPr>
          <w:lang w:val="en-GB"/>
        </w:rPr>
        <w:t xml:space="preserve">, H. F. A., </w:t>
      </w:r>
      <w:proofErr w:type="spellStart"/>
      <w:r w:rsidRPr="005072B4">
        <w:rPr>
          <w:lang w:val="en-GB"/>
        </w:rPr>
        <w:t>Moslein</w:t>
      </w:r>
      <w:proofErr w:type="spellEnd"/>
      <w:r w:rsidRPr="005072B4">
        <w:rPr>
          <w:lang w:val="en-GB"/>
        </w:rPr>
        <w:t xml:space="preserve">, G., Alonso, A., </w:t>
      </w:r>
      <w:proofErr w:type="spellStart"/>
      <w:r w:rsidRPr="005072B4">
        <w:rPr>
          <w:lang w:val="en-GB"/>
        </w:rPr>
        <w:t>Aretz</w:t>
      </w:r>
      <w:proofErr w:type="spellEnd"/>
      <w:r w:rsidRPr="005072B4">
        <w:rPr>
          <w:lang w:val="en-GB"/>
        </w:rPr>
        <w:t xml:space="preserve">, S., </w:t>
      </w:r>
      <w:proofErr w:type="spellStart"/>
      <w:r w:rsidRPr="005072B4">
        <w:rPr>
          <w:lang w:val="en-GB"/>
        </w:rPr>
        <w:t>Bertario</w:t>
      </w:r>
      <w:proofErr w:type="spellEnd"/>
      <w:r w:rsidRPr="005072B4">
        <w:rPr>
          <w:lang w:val="en-GB"/>
        </w:rPr>
        <w:t xml:space="preserve">, L., Blanco, I., Bülow, S., Burn, J., Capella, G., Colas, C., </w:t>
      </w:r>
      <w:proofErr w:type="spellStart"/>
      <w:r w:rsidRPr="005072B4">
        <w:rPr>
          <w:lang w:val="en-GB"/>
        </w:rPr>
        <w:t>Friedl</w:t>
      </w:r>
      <w:proofErr w:type="spellEnd"/>
      <w:r w:rsidRPr="005072B4">
        <w:rPr>
          <w:lang w:val="en-GB"/>
        </w:rPr>
        <w:t xml:space="preserve">, W., </w:t>
      </w:r>
      <w:proofErr w:type="spellStart"/>
      <w:r w:rsidRPr="005072B4">
        <w:rPr>
          <w:lang w:val="en-GB"/>
        </w:rPr>
        <w:t>Møller</w:t>
      </w:r>
      <w:proofErr w:type="spellEnd"/>
      <w:r w:rsidRPr="005072B4">
        <w:rPr>
          <w:lang w:val="en-GB"/>
        </w:rPr>
        <w:t xml:space="preserve">, P., </w:t>
      </w:r>
      <w:proofErr w:type="spellStart"/>
      <w:r w:rsidRPr="005072B4">
        <w:rPr>
          <w:lang w:val="en-GB"/>
        </w:rPr>
        <w:t>Hes</w:t>
      </w:r>
      <w:proofErr w:type="spellEnd"/>
      <w:r w:rsidRPr="005072B4">
        <w:rPr>
          <w:lang w:val="en-GB"/>
        </w:rPr>
        <w:t xml:space="preserve">, F. J., </w:t>
      </w:r>
      <w:proofErr w:type="spellStart"/>
      <w:r w:rsidRPr="005072B4">
        <w:rPr>
          <w:lang w:val="en-GB"/>
        </w:rPr>
        <w:t>Järvinen</w:t>
      </w:r>
      <w:proofErr w:type="spellEnd"/>
      <w:r w:rsidRPr="005072B4">
        <w:rPr>
          <w:lang w:val="en-GB"/>
        </w:rPr>
        <w:t xml:space="preserve">, H., </w:t>
      </w:r>
      <w:proofErr w:type="spellStart"/>
      <w:r w:rsidRPr="005072B4">
        <w:rPr>
          <w:lang w:val="en-GB"/>
        </w:rPr>
        <w:t>Mecklin</w:t>
      </w:r>
      <w:proofErr w:type="spellEnd"/>
      <w:r w:rsidRPr="005072B4">
        <w:rPr>
          <w:lang w:val="en-GB"/>
        </w:rPr>
        <w:t xml:space="preserve">, J.-P., </w:t>
      </w:r>
      <w:proofErr w:type="spellStart"/>
      <w:r w:rsidRPr="005072B4">
        <w:rPr>
          <w:lang w:val="en-GB"/>
        </w:rPr>
        <w:t>Nagengast</w:t>
      </w:r>
      <w:proofErr w:type="spellEnd"/>
      <w:r w:rsidRPr="005072B4">
        <w:rPr>
          <w:lang w:val="en-GB"/>
        </w:rPr>
        <w:t xml:space="preserve">, F. M., Parc, Y., … Hodgson, S. V. (2010). </w:t>
      </w:r>
      <w:proofErr w:type="spellStart"/>
      <w:r w:rsidRPr="005072B4">
        <w:rPr>
          <w:lang w:val="en-GB"/>
        </w:rPr>
        <w:t>Peutz</w:t>
      </w:r>
      <w:proofErr w:type="spellEnd"/>
      <w:r w:rsidRPr="005072B4">
        <w:rPr>
          <w:lang w:val="en-GB"/>
        </w:rPr>
        <w:t>–</w:t>
      </w:r>
      <w:proofErr w:type="spellStart"/>
      <w:r w:rsidRPr="005072B4">
        <w:rPr>
          <w:lang w:val="en-GB"/>
        </w:rPr>
        <w:t>Jeghers</w:t>
      </w:r>
      <w:proofErr w:type="spellEnd"/>
      <w:r w:rsidRPr="005072B4">
        <w:rPr>
          <w:lang w:val="en-GB"/>
        </w:rPr>
        <w:t xml:space="preserve"> syndrome: A systematic review and recommendations for management. </w:t>
      </w:r>
      <w:r w:rsidRPr="005072B4">
        <w:rPr>
          <w:rStyle w:val="Emphasis"/>
          <w:lang w:val="en-GB"/>
        </w:rPr>
        <w:t>Gut, 59</w:t>
      </w:r>
      <w:r w:rsidRPr="005072B4">
        <w:rPr>
          <w:lang w:val="en-GB"/>
        </w:rPr>
        <w:t xml:space="preserve">(7), 975–986. </w:t>
      </w:r>
      <w:hyperlink r:id="rId13" w:history="1">
        <w:r w:rsidR="009E6513" w:rsidRPr="00415110">
          <w:rPr>
            <w:rStyle w:val="Hyperlink"/>
            <w:lang w:val="en-GB"/>
          </w:rPr>
          <w:t>https://doi.org/10.1136/gut.2009.198499</w:t>
        </w:r>
      </w:hyperlink>
      <w:r w:rsidR="009E6513">
        <w:rPr>
          <w:lang w:val="en-GB"/>
        </w:rPr>
        <w:t xml:space="preserve"> </w:t>
      </w:r>
    </w:p>
    <w:p w:rsidR="00A77093" w:rsidRDefault="00A77093" w:rsidP="00A77093">
      <w:pPr>
        <w:pStyle w:val="NormalWeb"/>
      </w:pPr>
      <w:proofErr w:type="spellStart"/>
      <w:r>
        <w:t>Bie</w:t>
      </w:r>
      <w:proofErr w:type="spellEnd"/>
      <w:r>
        <w:t xml:space="preserve">, M., Wu, P., Zhou, J., Li, Y., &amp; Zhao, L. (2023). Periodontal health status in cirrhotic patients: A systematic review and meta-analysis. </w:t>
      </w:r>
      <w:r>
        <w:rPr>
          <w:rStyle w:val="Emphasis"/>
        </w:rPr>
        <w:t>BMC Oral Health, 23</w:t>
      </w:r>
      <w:r>
        <w:t xml:space="preserve">, 362. </w:t>
      </w:r>
      <w:hyperlink r:id="rId14" w:history="1">
        <w:r w:rsidR="009E6513" w:rsidRPr="00415110">
          <w:rPr>
            <w:rStyle w:val="Hyperlink"/>
          </w:rPr>
          <w:t>https://doi.org/10.1186/s12903-023-03052-5</w:t>
        </w:r>
      </w:hyperlink>
      <w:r w:rsidR="009E6513">
        <w:t xml:space="preserve"> </w:t>
      </w:r>
    </w:p>
    <w:p w:rsidR="00A77093" w:rsidRPr="005072B4" w:rsidRDefault="00A77093" w:rsidP="00A77093">
      <w:pPr>
        <w:pStyle w:val="NormalWeb"/>
        <w:rPr>
          <w:lang w:val="en-GB"/>
        </w:rPr>
      </w:pPr>
      <w:proofErr w:type="spellStart"/>
      <w:r w:rsidRPr="005072B4">
        <w:rPr>
          <w:lang w:val="en-GB"/>
        </w:rPr>
        <w:t>Chatzidimitriou</w:t>
      </w:r>
      <w:proofErr w:type="spellEnd"/>
      <w:r w:rsidRPr="005072B4">
        <w:rPr>
          <w:lang w:val="en-GB"/>
        </w:rPr>
        <w:t xml:space="preserve">, K., </w:t>
      </w:r>
      <w:proofErr w:type="spellStart"/>
      <w:r w:rsidRPr="005072B4">
        <w:rPr>
          <w:lang w:val="en-GB"/>
        </w:rPr>
        <w:t>Papaioannou</w:t>
      </w:r>
      <w:proofErr w:type="spellEnd"/>
      <w:r w:rsidRPr="005072B4">
        <w:rPr>
          <w:lang w:val="en-GB"/>
        </w:rPr>
        <w:t xml:space="preserve">, W., </w:t>
      </w:r>
      <w:proofErr w:type="spellStart"/>
      <w:r w:rsidRPr="005072B4">
        <w:rPr>
          <w:lang w:val="en-GB"/>
        </w:rPr>
        <w:t>Seremidi</w:t>
      </w:r>
      <w:proofErr w:type="spellEnd"/>
      <w:r w:rsidRPr="005072B4">
        <w:rPr>
          <w:lang w:val="en-GB"/>
        </w:rPr>
        <w:t xml:space="preserve">, K., </w:t>
      </w:r>
      <w:proofErr w:type="spellStart"/>
      <w:r w:rsidRPr="005072B4">
        <w:rPr>
          <w:lang w:val="en-GB"/>
        </w:rPr>
        <w:t>Bougioukas</w:t>
      </w:r>
      <w:proofErr w:type="spellEnd"/>
      <w:r w:rsidRPr="005072B4">
        <w:rPr>
          <w:lang w:val="en-GB"/>
        </w:rPr>
        <w:t xml:space="preserve">, K., &amp; </w:t>
      </w:r>
      <w:proofErr w:type="spellStart"/>
      <w:r w:rsidRPr="005072B4">
        <w:rPr>
          <w:lang w:val="en-GB"/>
        </w:rPr>
        <w:t>Haidich</w:t>
      </w:r>
      <w:proofErr w:type="spellEnd"/>
      <w:r w:rsidRPr="005072B4">
        <w:rPr>
          <w:lang w:val="en-GB"/>
        </w:rPr>
        <w:t xml:space="preserve">, A.-B. (2023). Prevalence and association of gastroesophageal reflux disease and dental erosion: An overview of reviews. </w:t>
      </w:r>
      <w:r w:rsidRPr="005072B4">
        <w:rPr>
          <w:rStyle w:val="Emphasis"/>
          <w:lang w:val="en-GB"/>
        </w:rPr>
        <w:t>Journal of Dentistry, 133</w:t>
      </w:r>
      <w:r w:rsidRPr="005072B4">
        <w:rPr>
          <w:lang w:val="en-GB"/>
        </w:rPr>
        <w:t xml:space="preserve">, 104520. </w:t>
      </w:r>
      <w:hyperlink r:id="rId15" w:history="1">
        <w:r w:rsidR="009E6513" w:rsidRPr="00415110">
          <w:rPr>
            <w:rStyle w:val="Hyperlink"/>
            <w:lang w:val="en-GB"/>
          </w:rPr>
          <w:t>https://doi.org/10.1016/j.jdent.2023.104520</w:t>
        </w:r>
      </w:hyperlink>
      <w:r w:rsidR="009E6513">
        <w:rPr>
          <w:lang w:val="en-GB"/>
        </w:rPr>
        <w:t xml:space="preserve"> </w:t>
      </w:r>
    </w:p>
    <w:p w:rsidR="00A77093" w:rsidRPr="005072B4" w:rsidRDefault="00A77093" w:rsidP="00A77093">
      <w:pPr>
        <w:pStyle w:val="NormalWeb"/>
        <w:rPr>
          <w:lang w:val="en-GB"/>
        </w:rPr>
      </w:pPr>
      <w:r w:rsidRPr="005072B4">
        <w:rPr>
          <w:lang w:val="en-GB"/>
        </w:rPr>
        <w:t xml:space="preserve">Dou, W., Li, J., Xu, L., Zhu, J., Hu, K., Sui, Z., Wang, J., Xu, L., Wang, S., &amp; Yin, G. (2016). Halitosis and </w:t>
      </w:r>
      <w:r w:rsidRPr="005072B4">
        <w:rPr>
          <w:rStyle w:val="Emphasis"/>
          <w:lang w:val="en-GB"/>
        </w:rPr>
        <w:t>Helicobacter pylori</w:t>
      </w:r>
      <w:r w:rsidRPr="005072B4">
        <w:rPr>
          <w:lang w:val="en-GB"/>
        </w:rPr>
        <w:t xml:space="preserve"> infection: A meta-analysis. </w:t>
      </w:r>
      <w:r w:rsidRPr="005072B4">
        <w:rPr>
          <w:rStyle w:val="Emphasis"/>
          <w:lang w:val="en-GB"/>
        </w:rPr>
        <w:t>Medicine, 95</w:t>
      </w:r>
      <w:r w:rsidRPr="005072B4">
        <w:rPr>
          <w:lang w:val="en-GB"/>
        </w:rPr>
        <w:t xml:space="preserve">(39), e4223. </w:t>
      </w:r>
      <w:hyperlink r:id="rId16" w:history="1">
        <w:r w:rsidR="009E6513" w:rsidRPr="00415110">
          <w:rPr>
            <w:rStyle w:val="Hyperlink"/>
            <w:lang w:val="en-GB"/>
          </w:rPr>
          <w:t>https://doi.org/10.1097/MD.0000000000004223</w:t>
        </w:r>
      </w:hyperlink>
      <w:r w:rsidR="009E6513">
        <w:rPr>
          <w:lang w:val="en-GB"/>
        </w:rPr>
        <w:t xml:space="preserve"> </w:t>
      </w:r>
    </w:p>
    <w:p w:rsidR="00A77093" w:rsidRDefault="00A77093" w:rsidP="00A77093">
      <w:pPr>
        <w:pStyle w:val="NormalWeb"/>
      </w:pPr>
      <w:proofErr w:type="spellStart"/>
      <w:r>
        <w:lastRenderedPageBreak/>
        <w:t>Grønkjær</w:t>
      </w:r>
      <w:proofErr w:type="spellEnd"/>
      <w:r>
        <w:t xml:space="preserve">, L. L., </w:t>
      </w:r>
      <w:proofErr w:type="spellStart"/>
      <w:r>
        <w:t>Holmstrup</w:t>
      </w:r>
      <w:proofErr w:type="spellEnd"/>
      <w:r>
        <w:t xml:space="preserve">, P., Jepsen, P., &amp; </w:t>
      </w:r>
      <w:proofErr w:type="spellStart"/>
      <w:r>
        <w:t>Vilstrup</w:t>
      </w:r>
      <w:proofErr w:type="spellEnd"/>
      <w:r>
        <w:t xml:space="preserve">, H. (2021). The impact of oral diseases in cirrhosis on complications and mortality. </w:t>
      </w:r>
      <w:r>
        <w:rPr>
          <w:rStyle w:val="Emphasis"/>
        </w:rPr>
        <w:t>JGH Open, 5</w:t>
      </w:r>
      <w:r>
        <w:t xml:space="preserve">(2), 294–300. </w:t>
      </w:r>
      <w:hyperlink r:id="rId17" w:history="1">
        <w:r w:rsidR="009E6513" w:rsidRPr="00415110">
          <w:rPr>
            <w:rStyle w:val="Hyperlink"/>
          </w:rPr>
          <w:t>https://doi.org/10.1002/jgh3.12489</w:t>
        </w:r>
      </w:hyperlink>
      <w:r w:rsidR="009E6513">
        <w:t xml:space="preserve"> </w:t>
      </w:r>
    </w:p>
    <w:p w:rsidR="00A77093" w:rsidRPr="005072B4" w:rsidRDefault="00A77093" w:rsidP="00A77093">
      <w:pPr>
        <w:pStyle w:val="NormalWeb"/>
        <w:rPr>
          <w:lang w:val="en-GB"/>
        </w:rPr>
      </w:pPr>
      <w:r w:rsidRPr="005072B4">
        <w:rPr>
          <w:lang w:val="en-GB"/>
        </w:rPr>
        <w:t xml:space="preserve">Harty, S., Fleming, P., Rowland, M., </w:t>
      </w:r>
      <w:proofErr w:type="spellStart"/>
      <w:r w:rsidRPr="005072B4">
        <w:rPr>
          <w:lang w:val="en-GB"/>
        </w:rPr>
        <w:t>Crushell</w:t>
      </w:r>
      <w:proofErr w:type="spellEnd"/>
      <w:r w:rsidRPr="005072B4">
        <w:rPr>
          <w:lang w:val="en-GB"/>
        </w:rPr>
        <w:t xml:space="preserve">, E., McDermott, M., </w:t>
      </w:r>
      <w:proofErr w:type="spellStart"/>
      <w:r w:rsidRPr="005072B4">
        <w:rPr>
          <w:lang w:val="en-GB"/>
        </w:rPr>
        <w:t>Drumm</w:t>
      </w:r>
      <w:proofErr w:type="spellEnd"/>
      <w:r w:rsidRPr="005072B4">
        <w:rPr>
          <w:lang w:val="en-GB"/>
        </w:rPr>
        <w:t xml:space="preserve">, B., &amp; Bourke, B. (2005). A prospective study of the oral manifestations of Crohn’s disease. </w:t>
      </w:r>
      <w:r w:rsidRPr="005072B4">
        <w:rPr>
          <w:rStyle w:val="Emphasis"/>
          <w:lang w:val="en-GB"/>
        </w:rPr>
        <w:t>Clinical Gastroenterology and Hepatology, 3</w:t>
      </w:r>
      <w:r w:rsidRPr="005072B4">
        <w:rPr>
          <w:lang w:val="en-GB"/>
        </w:rPr>
        <w:t xml:space="preserve">(9), 886–891. </w:t>
      </w:r>
      <w:hyperlink r:id="rId18" w:history="1">
        <w:r w:rsidR="009E6513" w:rsidRPr="00415110">
          <w:rPr>
            <w:rStyle w:val="Hyperlink"/>
            <w:lang w:val="en-GB"/>
          </w:rPr>
          <w:t>https://doi.org/10.1016/S1542-3565(05)00424-6</w:t>
        </w:r>
      </w:hyperlink>
      <w:r w:rsidR="009E6513">
        <w:rPr>
          <w:lang w:val="en-GB"/>
        </w:rPr>
        <w:t xml:space="preserve"> </w:t>
      </w:r>
    </w:p>
    <w:p w:rsidR="00A77093" w:rsidRPr="005072B4" w:rsidRDefault="00A77093" w:rsidP="00A77093">
      <w:pPr>
        <w:pStyle w:val="NormalWeb"/>
        <w:rPr>
          <w:lang w:val="en-GB"/>
        </w:rPr>
      </w:pPr>
      <w:proofErr w:type="spellStart"/>
      <w:r w:rsidRPr="005072B4">
        <w:rPr>
          <w:lang w:val="en-GB"/>
        </w:rPr>
        <w:t>Lankarani</w:t>
      </w:r>
      <w:proofErr w:type="spellEnd"/>
      <w:r w:rsidRPr="005072B4">
        <w:rPr>
          <w:lang w:val="en-GB"/>
        </w:rPr>
        <w:t xml:space="preserve">, K. B., </w:t>
      </w:r>
      <w:proofErr w:type="spellStart"/>
      <w:r w:rsidRPr="005072B4">
        <w:rPr>
          <w:lang w:val="en-GB"/>
        </w:rPr>
        <w:t>Sivandzadeh</w:t>
      </w:r>
      <w:proofErr w:type="spellEnd"/>
      <w:r w:rsidRPr="005072B4">
        <w:rPr>
          <w:lang w:val="en-GB"/>
        </w:rPr>
        <w:t xml:space="preserve">, G. R., &amp; </w:t>
      </w:r>
      <w:proofErr w:type="spellStart"/>
      <w:r w:rsidRPr="005072B4">
        <w:rPr>
          <w:lang w:val="en-GB"/>
        </w:rPr>
        <w:t>Hassanpour</w:t>
      </w:r>
      <w:proofErr w:type="spellEnd"/>
      <w:r w:rsidRPr="005072B4">
        <w:rPr>
          <w:lang w:val="en-GB"/>
        </w:rPr>
        <w:t xml:space="preserve">, S. (2013). Oral manifestation in inflammatory bowel disease: A review. </w:t>
      </w:r>
      <w:r w:rsidRPr="005072B4">
        <w:rPr>
          <w:rStyle w:val="Emphasis"/>
          <w:lang w:val="en-GB"/>
        </w:rPr>
        <w:t>World Journal of Gastroenterology, 19</w:t>
      </w:r>
      <w:r w:rsidRPr="005072B4">
        <w:rPr>
          <w:lang w:val="en-GB"/>
        </w:rPr>
        <w:t xml:space="preserve">(46), 8571–8579. </w:t>
      </w:r>
      <w:hyperlink r:id="rId19" w:history="1">
        <w:r w:rsidR="009E6513" w:rsidRPr="00415110">
          <w:rPr>
            <w:rStyle w:val="Hyperlink"/>
            <w:lang w:val="en-GB"/>
          </w:rPr>
          <w:t>https://doi.org/10.3748/wjg.v19.i46.8571</w:t>
        </w:r>
      </w:hyperlink>
      <w:r w:rsidR="009E6513">
        <w:rPr>
          <w:lang w:val="en-GB"/>
        </w:rPr>
        <w:t xml:space="preserve"> </w:t>
      </w:r>
    </w:p>
    <w:p w:rsidR="00A77093" w:rsidRDefault="00A77093" w:rsidP="00A77093">
      <w:pPr>
        <w:pStyle w:val="NormalWeb"/>
      </w:pPr>
      <w:proofErr w:type="spellStart"/>
      <w:r>
        <w:t>Lauridsen</w:t>
      </w:r>
      <w:proofErr w:type="spellEnd"/>
      <w:r>
        <w:t xml:space="preserve">, M. M., </w:t>
      </w:r>
      <w:proofErr w:type="spellStart"/>
      <w:r>
        <w:t>Grønkjær</w:t>
      </w:r>
      <w:proofErr w:type="spellEnd"/>
      <w:r>
        <w:t xml:space="preserve">, L. L., </w:t>
      </w:r>
      <w:proofErr w:type="spellStart"/>
      <w:r>
        <w:t>Khraibut</w:t>
      </w:r>
      <w:proofErr w:type="spellEnd"/>
      <w:r>
        <w:t xml:space="preserve">, S., Patel, N., </w:t>
      </w:r>
      <w:proofErr w:type="spellStart"/>
      <w:r>
        <w:t>Golob</w:t>
      </w:r>
      <w:proofErr w:type="spellEnd"/>
      <w:r>
        <w:t xml:space="preserve"> </w:t>
      </w:r>
      <w:proofErr w:type="spellStart"/>
      <w:r>
        <w:t>Deeb</w:t>
      </w:r>
      <w:proofErr w:type="spellEnd"/>
      <w:r>
        <w:t xml:space="preserve">, J., &amp; Bajaj, J. S. (2024). The multi-dimensional challenge of poor oral health in cirrhosis—Disparities and solutions. </w:t>
      </w:r>
      <w:r>
        <w:rPr>
          <w:rStyle w:val="Emphasis"/>
        </w:rPr>
        <w:t>Gastroenterology, 166</w:t>
      </w:r>
      <w:r>
        <w:t xml:space="preserve">(5), 717–722. </w:t>
      </w:r>
      <w:hyperlink r:id="rId20" w:history="1">
        <w:r w:rsidR="009E6513" w:rsidRPr="00415110">
          <w:rPr>
            <w:rStyle w:val="Hyperlink"/>
          </w:rPr>
          <w:t>https://doi.org/10.1053/j.gastro.2024.01.010</w:t>
        </w:r>
      </w:hyperlink>
      <w:r w:rsidR="009E6513">
        <w:t xml:space="preserve"> </w:t>
      </w:r>
    </w:p>
    <w:p w:rsidR="00A77093" w:rsidRPr="005072B4" w:rsidRDefault="00A77093" w:rsidP="00A77093">
      <w:pPr>
        <w:pStyle w:val="NormalWeb"/>
        <w:rPr>
          <w:lang w:val="en-GB"/>
        </w:rPr>
      </w:pPr>
      <w:r w:rsidRPr="005072B4">
        <w:rPr>
          <w:lang w:val="en-GB"/>
        </w:rPr>
        <w:t xml:space="preserve">Li, C., Wu, Y., </w:t>
      </w:r>
      <w:proofErr w:type="spellStart"/>
      <w:r w:rsidRPr="005072B4">
        <w:rPr>
          <w:lang w:val="en-GB"/>
        </w:rPr>
        <w:t>Xie</w:t>
      </w:r>
      <w:proofErr w:type="spellEnd"/>
      <w:r w:rsidRPr="005072B4">
        <w:rPr>
          <w:lang w:val="en-GB"/>
        </w:rPr>
        <w:t xml:space="preserve">, Y., Zhang, Y., Jiang, S., Wang, J., Luo, X., &amp; Chen, Q. (2022). Oral manifestations serve as potential signs of ulcerative colitis: A review. </w:t>
      </w:r>
      <w:r w:rsidRPr="005072B4">
        <w:rPr>
          <w:rStyle w:val="Emphasis"/>
          <w:lang w:val="en-GB"/>
        </w:rPr>
        <w:t>Frontiers in Immunology, 13</w:t>
      </w:r>
      <w:r w:rsidRPr="005072B4">
        <w:rPr>
          <w:lang w:val="en-GB"/>
        </w:rPr>
        <w:t xml:space="preserve">, 1013900. </w:t>
      </w:r>
      <w:hyperlink r:id="rId21" w:tgtFrame="_new" w:history="1">
        <w:r w:rsidRPr="005072B4">
          <w:rPr>
            <w:rStyle w:val="Hyperlink"/>
            <w:lang w:val="en-GB"/>
          </w:rPr>
          <w:t>https://doi.org/10.3389/fimmu.2022.1013900</w:t>
        </w:r>
      </w:hyperlink>
    </w:p>
    <w:p w:rsidR="00A77093" w:rsidRDefault="00A77093" w:rsidP="00A77093">
      <w:pPr>
        <w:pStyle w:val="NormalWeb"/>
      </w:pPr>
      <w:r>
        <w:t xml:space="preserve">McDaniel, S., McDaniel, J., Tam, A., Kingsley, K., &amp; Howard, K. M. (2017). Oral microbial ecology of </w:t>
      </w:r>
      <w:proofErr w:type="spellStart"/>
      <w:r>
        <w:rPr>
          <w:rStyle w:val="Emphasis"/>
        </w:rPr>
        <w:t>Selenomonas</w:t>
      </w:r>
      <w:proofErr w:type="spellEnd"/>
      <w:r>
        <w:rPr>
          <w:rStyle w:val="Emphasis"/>
        </w:rPr>
        <w:t xml:space="preserve"> </w:t>
      </w:r>
      <w:proofErr w:type="spellStart"/>
      <w:r>
        <w:rPr>
          <w:rStyle w:val="Emphasis"/>
        </w:rPr>
        <w:t>noxia</w:t>
      </w:r>
      <w:proofErr w:type="spellEnd"/>
      <w:r>
        <w:t xml:space="preserve"> and </w:t>
      </w:r>
      <w:proofErr w:type="spellStart"/>
      <w:r>
        <w:rPr>
          <w:rStyle w:val="Emphasis"/>
        </w:rPr>
        <w:t>Scardovia</w:t>
      </w:r>
      <w:proofErr w:type="spellEnd"/>
      <w:r>
        <w:rPr>
          <w:rStyle w:val="Emphasis"/>
        </w:rPr>
        <w:t xml:space="preserve"> </w:t>
      </w:r>
      <w:proofErr w:type="spellStart"/>
      <w:r>
        <w:rPr>
          <w:rStyle w:val="Emphasis"/>
        </w:rPr>
        <w:t>wiggsiae</w:t>
      </w:r>
      <w:proofErr w:type="spellEnd"/>
      <w:r>
        <w:t xml:space="preserve">. </w:t>
      </w:r>
      <w:r>
        <w:rPr>
          <w:rStyle w:val="Emphasis"/>
        </w:rPr>
        <w:t>Microbiology Research Journal International, 21</w:t>
      </w:r>
      <w:r>
        <w:t xml:space="preserve">(3), 1–8. </w:t>
      </w:r>
      <w:hyperlink r:id="rId22" w:tgtFrame="_new" w:history="1">
        <w:r>
          <w:rPr>
            <w:rStyle w:val="Hyperlink"/>
          </w:rPr>
          <w:t>https://doi.org/10.9734/MRJI/2017/36110</w:t>
        </w:r>
      </w:hyperlink>
    </w:p>
    <w:p w:rsidR="00A77093" w:rsidRPr="005072B4" w:rsidRDefault="00A77093" w:rsidP="00A77093">
      <w:pPr>
        <w:pStyle w:val="NormalWeb"/>
        <w:rPr>
          <w:lang w:val="en-GB"/>
        </w:rPr>
      </w:pPr>
      <w:proofErr w:type="spellStart"/>
      <w:r w:rsidRPr="005072B4">
        <w:rPr>
          <w:lang w:val="en-GB"/>
        </w:rPr>
        <w:t>Nieri</w:t>
      </w:r>
      <w:proofErr w:type="spellEnd"/>
      <w:r w:rsidRPr="005072B4">
        <w:rPr>
          <w:lang w:val="en-GB"/>
        </w:rPr>
        <w:t xml:space="preserve">, M., </w:t>
      </w:r>
      <w:proofErr w:type="spellStart"/>
      <w:r w:rsidRPr="005072B4">
        <w:rPr>
          <w:lang w:val="en-GB"/>
        </w:rPr>
        <w:t>Tofani</w:t>
      </w:r>
      <w:proofErr w:type="spellEnd"/>
      <w:r w:rsidRPr="005072B4">
        <w:rPr>
          <w:lang w:val="en-GB"/>
        </w:rPr>
        <w:t xml:space="preserve">, E., </w:t>
      </w:r>
      <w:proofErr w:type="spellStart"/>
      <w:r w:rsidRPr="005072B4">
        <w:rPr>
          <w:lang w:val="en-GB"/>
        </w:rPr>
        <w:t>Defraia</w:t>
      </w:r>
      <w:proofErr w:type="spellEnd"/>
      <w:r w:rsidRPr="005072B4">
        <w:rPr>
          <w:lang w:val="en-GB"/>
        </w:rPr>
        <w:t xml:space="preserve">, E., </w:t>
      </w:r>
      <w:proofErr w:type="spellStart"/>
      <w:r w:rsidRPr="005072B4">
        <w:rPr>
          <w:lang w:val="en-GB"/>
        </w:rPr>
        <w:t>Giuntini</w:t>
      </w:r>
      <w:proofErr w:type="spellEnd"/>
      <w:r w:rsidRPr="005072B4">
        <w:rPr>
          <w:lang w:val="en-GB"/>
        </w:rPr>
        <w:t xml:space="preserve">, V., &amp; Franchi, L. (2017). Enamel defects and aphthous stomatitis in celiac and healthy subjects: Systematic review and meta-analysis of controlled studies. </w:t>
      </w:r>
      <w:r w:rsidRPr="005072B4">
        <w:rPr>
          <w:rStyle w:val="Emphasis"/>
          <w:lang w:val="en-GB"/>
        </w:rPr>
        <w:t>Journal of Dentistry, 65</w:t>
      </w:r>
      <w:r w:rsidRPr="005072B4">
        <w:rPr>
          <w:lang w:val="en-GB"/>
        </w:rPr>
        <w:t xml:space="preserve">, 1–10. </w:t>
      </w:r>
      <w:hyperlink r:id="rId23" w:history="1">
        <w:r w:rsidR="009E6513" w:rsidRPr="00415110">
          <w:rPr>
            <w:rStyle w:val="Hyperlink"/>
            <w:lang w:val="en-GB"/>
          </w:rPr>
          <w:t>https://doi.org/10.1016/j.jdent.2017.07.001</w:t>
        </w:r>
      </w:hyperlink>
      <w:r w:rsidR="009E6513">
        <w:rPr>
          <w:lang w:val="en-GB"/>
        </w:rPr>
        <w:t xml:space="preserve"> </w:t>
      </w:r>
    </w:p>
    <w:p w:rsidR="00A77093" w:rsidRDefault="00A77093" w:rsidP="00A77093">
      <w:pPr>
        <w:pStyle w:val="NormalWeb"/>
      </w:pPr>
      <w:r>
        <w:t xml:space="preserve">Olander, A. E., </w:t>
      </w:r>
      <w:proofErr w:type="spellStart"/>
      <w:r>
        <w:t>Helenius-Hietala</w:t>
      </w:r>
      <w:proofErr w:type="spellEnd"/>
      <w:r>
        <w:t xml:space="preserve">, J., </w:t>
      </w:r>
      <w:proofErr w:type="spellStart"/>
      <w:r>
        <w:t>Nordin</w:t>
      </w:r>
      <w:proofErr w:type="spellEnd"/>
      <w:r>
        <w:t xml:space="preserve">, A., </w:t>
      </w:r>
      <w:proofErr w:type="spellStart"/>
      <w:r>
        <w:t>Savikko</w:t>
      </w:r>
      <w:proofErr w:type="spellEnd"/>
      <w:r>
        <w:t xml:space="preserve">, J., </w:t>
      </w:r>
      <w:proofErr w:type="spellStart"/>
      <w:r>
        <w:t>Ruokonen</w:t>
      </w:r>
      <w:proofErr w:type="spellEnd"/>
      <w:r>
        <w:t xml:space="preserve">, H., &amp; </w:t>
      </w:r>
      <w:proofErr w:type="spellStart"/>
      <w:r>
        <w:t>Åberg</w:t>
      </w:r>
      <w:proofErr w:type="spellEnd"/>
      <w:r>
        <w:t xml:space="preserve">, F. (2023). Association between pre-transplant oral health and post-liver transplant complications. </w:t>
      </w:r>
      <w:r>
        <w:rPr>
          <w:rStyle w:val="Emphasis"/>
        </w:rPr>
        <w:t>Transplant International, 36</w:t>
      </w:r>
      <w:r>
        <w:t xml:space="preserve">, 11534. </w:t>
      </w:r>
      <w:hyperlink r:id="rId24" w:history="1">
        <w:r w:rsidR="009E6513" w:rsidRPr="00415110">
          <w:rPr>
            <w:rStyle w:val="Hyperlink"/>
          </w:rPr>
          <w:t>https://doi.org/10.3389/ti.2023.11534</w:t>
        </w:r>
      </w:hyperlink>
      <w:r w:rsidR="009E6513">
        <w:t xml:space="preserve"> </w:t>
      </w:r>
    </w:p>
    <w:p w:rsidR="00A77093" w:rsidRPr="005072B4" w:rsidRDefault="00A77093" w:rsidP="00A77093">
      <w:pPr>
        <w:pStyle w:val="NormalWeb"/>
        <w:rPr>
          <w:lang w:val="en-GB"/>
        </w:rPr>
      </w:pPr>
      <w:r w:rsidRPr="005072B4">
        <w:rPr>
          <w:lang w:val="en-GB"/>
        </w:rPr>
        <w:t xml:space="preserve">Pace, F., Pallotta, S., </w:t>
      </w:r>
      <w:proofErr w:type="spellStart"/>
      <w:r w:rsidRPr="005072B4">
        <w:rPr>
          <w:lang w:val="en-GB"/>
        </w:rPr>
        <w:t>Tonini</w:t>
      </w:r>
      <w:proofErr w:type="spellEnd"/>
      <w:r w:rsidRPr="005072B4">
        <w:rPr>
          <w:lang w:val="en-GB"/>
        </w:rPr>
        <w:t xml:space="preserve">, M., Vakil, N., &amp; Bianchi </w:t>
      </w:r>
      <w:proofErr w:type="spellStart"/>
      <w:r w:rsidRPr="005072B4">
        <w:rPr>
          <w:lang w:val="en-GB"/>
        </w:rPr>
        <w:t>Porro</w:t>
      </w:r>
      <w:proofErr w:type="spellEnd"/>
      <w:r w:rsidRPr="005072B4">
        <w:rPr>
          <w:lang w:val="en-GB"/>
        </w:rPr>
        <w:t xml:space="preserve">, G. (2008). Systematic review: Gastro-oesophageal reflux disease and dental lesions. </w:t>
      </w:r>
      <w:r w:rsidRPr="005072B4">
        <w:rPr>
          <w:rStyle w:val="Emphasis"/>
          <w:lang w:val="en-GB"/>
        </w:rPr>
        <w:t>Alimentary Pharmacology &amp; Therapeutics, 27</w:t>
      </w:r>
      <w:r w:rsidRPr="005072B4">
        <w:rPr>
          <w:lang w:val="en-GB"/>
        </w:rPr>
        <w:t xml:space="preserve">(12), 1179–1186. </w:t>
      </w:r>
      <w:hyperlink r:id="rId25" w:history="1">
        <w:r w:rsidR="009E6513" w:rsidRPr="00415110">
          <w:rPr>
            <w:rStyle w:val="Hyperlink"/>
            <w:lang w:val="en-GB"/>
          </w:rPr>
          <w:t>https://doi.org/10.1111/j.1365-2036.2008.03694.x</w:t>
        </w:r>
      </w:hyperlink>
      <w:r w:rsidR="009E6513">
        <w:rPr>
          <w:lang w:val="en-GB"/>
        </w:rPr>
        <w:t xml:space="preserve"> </w:t>
      </w:r>
    </w:p>
    <w:p w:rsidR="00A77093" w:rsidRDefault="00A77093" w:rsidP="00A77093">
      <w:pPr>
        <w:pStyle w:val="NormalWeb"/>
        <w:rPr>
          <w:lang w:val="en-GB"/>
        </w:rPr>
      </w:pPr>
      <w:r w:rsidRPr="005072B4">
        <w:rPr>
          <w:lang w:val="en-GB"/>
        </w:rPr>
        <w:t xml:space="preserve">Read, E., Curtis, M. A., &amp; Neves, J. F. (2021). The role of oral bacteria in inflammatory bowel disease. </w:t>
      </w:r>
      <w:r w:rsidRPr="005072B4">
        <w:rPr>
          <w:rStyle w:val="Emphasis"/>
          <w:lang w:val="en-GB"/>
        </w:rPr>
        <w:t>Nature Reviews Gastroenterology &amp; Hepatology, 18</w:t>
      </w:r>
      <w:r w:rsidRPr="005072B4">
        <w:rPr>
          <w:lang w:val="en-GB"/>
        </w:rPr>
        <w:t xml:space="preserve">(10), 731–742. </w:t>
      </w:r>
      <w:hyperlink r:id="rId26" w:history="1">
        <w:r w:rsidRPr="00415110">
          <w:rPr>
            <w:rStyle w:val="Hyperlink"/>
            <w:lang w:val="en-GB"/>
          </w:rPr>
          <w:t>https://doi.org/10.1038/s41575-021-00488-4</w:t>
        </w:r>
      </w:hyperlink>
    </w:p>
    <w:p w:rsidR="00A77093" w:rsidRPr="005072B4" w:rsidRDefault="00A77093" w:rsidP="00A77093">
      <w:pPr>
        <w:pStyle w:val="NormalWeb"/>
        <w:rPr>
          <w:lang w:val="en-GB"/>
        </w:rPr>
      </w:pPr>
      <w:proofErr w:type="spellStart"/>
      <w:r w:rsidRPr="005072B4">
        <w:rPr>
          <w:lang w:val="en-GB"/>
        </w:rPr>
        <w:t>Villemur</w:t>
      </w:r>
      <w:proofErr w:type="spellEnd"/>
      <w:r w:rsidRPr="005072B4">
        <w:rPr>
          <w:lang w:val="en-GB"/>
        </w:rPr>
        <w:t xml:space="preserve"> Moreau, L., Dicky, O., Mas, E., </w:t>
      </w:r>
      <w:proofErr w:type="spellStart"/>
      <w:r w:rsidRPr="005072B4">
        <w:rPr>
          <w:lang w:val="en-GB"/>
        </w:rPr>
        <w:t>Noirrit</w:t>
      </w:r>
      <w:proofErr w:type="spellEnd"/>
      <w:r w:rsidRPr="005072B4">
        <w:rPr>
          <w:lang w:val="en-GB"/>
        </w:rPr>
        <w:t xml:space="preserve">, E., Marty, M., </w:t>
      </w:r>
      <w:proofErr w:type="spellStart"/>
      <w:r w:rsidRPr="005072B4">
        <w:rPr>
          <w:lang w:val="en-GB"/>
        </w:rPr>
        <w:t>Vaysse</w:t>
      </w:r>
      <w:proofErr w:type="spellEnd"/>
      <w:r w:rsidRPr="005072B4">
        <w:rPr>
          <w:lang w:val="en-GB"/>
        </w:rPr>
        <w:t xml:space="preserve">, F., &amp; Olives, J. P. (2021). Oral manifestations of celiac disease in French children. Archives de </w:t>
      </w:r>
      <w:proofErr w:type="spellStart"/>
      <w:proofErr w:type="gramStart"/>
      <w:r w:rsidRPr="005072B4">
        <w:rPr>
          <w:lang w:val="en-GB"/>
        </w:rPr>
        <w:t>pediatrie</w:t>
      </w:r>
      <w:proofErr w:type="spellEnd"/>
      <w:r w:rsidRPr="005072B4">
        <w:rPr>
          <w:lang w:val="en-GB"/>
        </w:rPr>
        <w:t xml:space="preserve"> :</w:t>
      </w:r>
      <w:proofErr w:type="gramEnd"/>
      <w:r w:rsidRPr="005072B4">
        <w:rPr>
          <w:lang w:val="en-GB"/>
        </w:rPr>
        <w:t xml:space="preserve"> </w:t>
      </w:r>
      <w:proofErr w:type="spellStart"/>
      <w:r w:rsidRPr="005072B4">
        <w:rPr>
          <w:lang w:val="en-GB"/>
        </w:rPr>
        <w:t>organe</w:t>
      </w:r>
      <w:proofErr w:type="spellEnd"/>
      <w:r w:rsidRPr="005072B4">
        <w:rPr>
          <w:lang w:val="en-GB"/>
        </w:rPr>
        <w:t xml:space="preserve"> </w:t>
      </w:r>
      <w:proofErr w:type="spellStart"/>
      <w:r w:rsidRPr="005072B4">
        <w:rPr>
          <w:lang w:val="en-GB"/>
        </w:rPr>
        <w:t>officiel</w:t>
      </w:r>
      <w:proofErr w:type="spellEnd"/>
      <w:r w:rsidRPr="005072B4">
        <w:rPr>
          <w:lang w:val="en-GB"/>
        </w:rPr>
        <w:t xml:space="preserve"> de la </w:t>
      </w:r>
      <w:proofErr w:type="spellStart"/>
      <w:r w:rsidRPr="005072B4">
        <w:rPr>
          <w:lang w:val="en-GB"/>
        </w:rPr>
        <w:t>Societe</w:t>
      </w:r>
      <w:proofErr w:type="spellEnd"/>
      <w:r w:rsidRPr="005072B4">
        <w:rPr>
          <w:lang w:val="en-GB"/>
        </w:rPr>
        <w:t xml:space="preserve"> </w:t>
      </w:r>
      <w:proofErr w:type="spellStart"/>
      <w:r w:rsidRPr="005072B4">
        <w:rPr>
          <w:lang w:val="en-GB"/>
        </w:rPr>
        <w:t>francaise</w:t>
      </w:r>
      <w:proofErr w:type="spellEnd"/>
      <w:r w:rsidRPr="005072B4">
        <w:rPr>
          <w:lang w:val="en-GB"/>
        </w:rPr>
        <w:t xml:space="preserve"> de </w:t>
      </w:r>
      <w:proofErr w:type="spellStart"/>
      <w:r w:rsidRPr="005072B4">
        <w:rPr>
          <w:lang w:val="en-GB"/>
        </w:rPr>
        <w:t>pediatrie</w:t>
      </w:r>
      <w:proofErr w:type="spellEnd"/>
      <w:r w:rsidRPr="005072B4">
        <w:rPr>
          <w:lang w:val="en-GB"/>
        </w:rPr>
        <w:t xml:space="preserve">, 28(2), 105–110. </w:t>
      </w:r>
      <w:hyperlink r:id="rId27" w:history="1">
        <w:r w:rsidRPr="00415110">
          <w:rPr>
            <w:rStyle w:val="Hyperlink"/>
            <w:lang w:val="en-GB"/>
          </w:rPr>
          <w:t>https://doi.org/10.1016/j.arcped.2020.11.002</w:t>
        </w:r>
      </w:hyperlink>
      <w:r>
        <w:rPr>
          <w:lang w:val="en-GB"/>
        </w:rPr>
        <w:t xml:space="preserve"> </w:t>
      </w:r>
    </w:p>
    <w:p w:rsidR="00A77093" w:rsidRPr="005072B4" w:rsidRDefault="00A77093" w:rsidP="00A77093">
      <w:pPr>
        <w:pStyle w:val="NormalWeb"/>
        <w:rPr>
          <w:lang w:val="en-GB"/>
        </w:rPr>
      </w:pPr>
      <w:r>
        <w:t xml:space="preserve">Wu, J., Lin, I.-H., Hayes, R. B., &amp; </w:t>
      </w:r>
      <w:proofErr w:type="spellStart"/>
      <w:r>
        <w:t>Ahn</w:t>
      </w:r>
      <w:proofErr w:type="spellEnd"/>
      <w:r>
        <w:t xml:space="preserve">, J. (2014). Comparison of DNA extraction methods for human oral microbiome research. </w:t>
      </w:r>
      <w:r>
        <w:rPr>
          <w:rStyle w:val="Emphasis"/>
        </w:rPr>
        <w:t>Journal of Advances in Medicine and Medical Research, 4</w:t>
      </w:r>
      <w:r>
        <w:t xml:space="preserve">(10), 1980–1991. </w:t>
      </w:r>
      <w:hyperlink r:id="rId28" w:tgtFrame="_new" w:history="1">
        <w:r>
          <w:rPr>
            <w:rStyle w:val="Hyperlink"/>
          </w:rPr>
          <w:t>https://doi.org/10.9734/BJMMR/2014/5333</w:t>
        </w:r>
      </w:hyperlink>
    </w:p>
    <w:p w:rsidR="00A77093" w:rsidRPr="005072B4" w:rsidRDefault="00A77093" w:rsidP="00A77093">
      <w:pPr>
        <w:pStyle w:val="NormalWeb"/>
        <w:rPr>
          <w:lang w:val="en-GB"/>
        </w:rPr>
      </w:pPr>
      <w:proofErr w:type="spellStart"/>
      <w:r w:rsidRPr="005072B4">
        <w:rPr>
          <w:lang w:val="en-GB"/>
        </w:rPr>
        <w:lastRenderedPageBreak/>
        <w:t>Yanushevich</w:t>
      </w:r>
      <w:proofErr w:type="spellEnd"/>
      <w:r w:rsidRPr="005072B4">
        <w:rPr>
          <w:lang w:val="en-GB"/>
        </w:rPr>
        <w:t xml:space="preserve">, O. O., </w:t>
      </w:r>
      <w:proofErr w:type="spellStart"/>
      <w:r w:rsidRPr="005072B4">
        <w:rPr>
          <w:lang w:val="en-GB"/>
        </w:rPr>
        <w:t>Maev</w:t>
      </w:r>
      <w:proofErr w:type="spellEnd"/>
      <w:r w:rsidRPr="005072B4">
        <w:rPr>
          <w:lang w:val="en-GB"/>
        </w:rPr>
        <w:t xml:space="preserve">, I. V., </w:t>
      </w:r>
      <w:proofErr w:type="spellStart"/>
      <w:r w:rsidRPr="005072B4">
        <w:rPr>
          <w:lang w:val="en-GB"/>
        </w:rPr>
        <w:t>Krikheli</w:t>
      </w:r>
      <w:proofErr w:type="spellEnd"/>
      <w:r w:rsidRPr="005072B4">
        <w:rPr>
          <w:lang w:val="en-GB"/>
        </w:rPr>
        <w:t xml:space="preserve">, N. I., Andreev, D. N., </w:t>
      </w:r>
      <w:proofErr w:type="spellStart"/>
      <w:r w:rsidRPr="005072B4">
        <w:rPr>
          <w:lang w:val="en-GB"/>
        </w:rPr>
        <w:t>Lyamina</w:t>
      </w:r>
      <w:proofErr w:type="spellEnd"/>
      <w:r w:rsidRPr="005072B4">
        <w:rPr>
          <w:lang w:val="en-GB"/>
        </w:rPr>
        <w:t xml:space="preserve">, S. V., Sokolov, F. S., </w:t>
      </w:r>
      <w:proofErr w:type="spellStart"/>
      <w:r w:rsidRPr="005072B4">
        <w:rPr>
          <w:lang w:val="en-GB"/>
        </w:rPr>
        <w:t>Bychkova</w:t>
      </w:r>
      <w:proofErr w:type="spellEnd"/>
      <w:r w:rsidRPr="005072B4">
        <w:rPr>
          <w:lang w:val="en-GB"/>
        </w:rPr>
        <w:t xml:space="preserve">, M. N., </w:t>
      </w:r>
      <w:proofErr w:type="spellStart"/>
      <w:r w:rsidRPr="005072B4">
        <w:rPr>
          <w:lang w:val="en-GB"/>
        </w:rPr>
        <w:t>Beliy</w:t>
      </w:r>
      <w:proofErr w:type="spellEnd"/>
      <w:r w:rsidRPr="005072B4">
        <w:rPr>
          <w:lang w:val="en-GB"/>
        </w:rPr>
        <w:t xml:space="preserve">, P. A., &amp; </w:t>
      </w:r>
      <w:proofErr w:type="spellStart"/>
      <w:r w:rsidRPr="005072B4">
        <w:rPr>
          <w:lang w:val="en-GB"/>
        </w:rPr>
        <w:t>Zaslavskaya</w:t>
      </w:r>
      <w:proofErr w:type="spellEnd"/>
      <w:r w:rsidRPr="005072B4">
        <w:rPr>
          <w:lang w:val="en-GB"/>
        </w:rPr>
        <w:t xml:space="preserve">, K. Y. (2022). Prevalence and risk of dental erosion in patients with gastroesophageal reflux disease: A meta-analysis. </w:t>
      </w:r>
      <w:r w:rsidRPr="005072B4">
        <w:rPr>
          <w:rStyle w:val="Emphasis"/>
          <w:lang w:val="en-GB"/>
        </w:rPr>
        <w:t>Dentistry Journal, 10</w:t>
      </w:r>
      <w:r w:rsidRPr="005072B4">
        <w:rPr>
          <w:lang w:val="en-GB"/>
        </w:rPr>
        <w:t xml:space="preserve">(7), 126. </w:t>
      </w:r>
      <w:hyperlink r:id="rId29" w:history="1">
        <w:r w:rsidR="009E6513" w:rsidRPr="00415110">
          <w:rPr>
            <w:rStyle w:val="Hyperlink"/>
            <w:lang w:val="en-GB"/>
          </w:rPr>
          <w:t>https://doi.org/10.3390/dj10070126</w:t>
        </w:r>
      </w:hyperlink>
      <w:r w:rsidR="009E6513">
        <w:rPr>
          <w:lang w:val="en-GB"/>
        </w:rPr>
        <w:t xml:space="preserve"> </w:t>
      </w:r>
    </w:p>
    <w:p w:rsidR="00A77093" w:rsidRPr="005072B4" w:rsidRDefault="00A77093" w:rsidP="00A77093">
      <w:pPr>
        <w:pStyle w:val="NormalWeb"/>
        <w:rPr>
          <w:lang w:val="en-GB"/>
        </w:rPr>
      </w:pPr>
      <w:proofErr w:type="spellStart"/>
      <w:r w:rsidRPr="005072B4">
        <w:rPr>
          <w:lang w:val="en-GB"/>
        </w:rPr>
        <w:t>Zbar</w:t>
      </w:r>
      <w:proofErr w:type="spellEnd"/>
      <w:r w:rsidRPr="005072B4">
        <w:rPr>
          <w:lang w:val="en-GB"/>
        </w:rPr>
        <w:t>, A. P., Ben-</w:t>
      </w:r>
      <w:proofErr w:type="spellStart"/>
      <w:r w:rsidRPr="005072B4">
        <w:rPr>
          <w:lang w:val="en-GB"/>
        </w:rPr>
        <w:t>Horin</w:t>
      </w:r>
      <w:proofErr w:type="spellEnd"/>
      <w:r w:rsidRPr="005072B4">
        <w:rPr>
          <w:lang w:val="en-GB"/>
        </w:rPr>
        <w:t xml:space="preserve">, S., Beer-Gabel, M., &amp; Eliakim, R. (2012). Oral Crohn’s disease: Is it a separable disease from orofacial granulomatosis? A review. </w:t>
      </w:r>
      <w:r w:rsidRPr="005072B4">
        <w:rPr>
          <w:rStyle w:val="Emphasis"/>
          <w:lang w:val="en-GB"/>
        </w:rPr>
        <w:t>Journal of Crohn’s and Colitis, 6</w:t>
      </w:r>
      <w:r w:rsidRPr="005072B4">
        <w:rPr>
          <w:lang w:val="en-GB"/>
        </w:rPr>
        <w:t xml:space="preserve">(2), 135–142. </w:t>
      </w:r>
      <w:hyperlink r:id="rId30" w:history="1">
        <w:r w:rsidR="009E6513" w:rsidRPr="00415110">
          <w:rPr>
            <w:rStyle w:val="Hyperlink"/>
            <w:lang w:val="en-GB"/>
          </w:rPr>
          <w:t>https://doi.org/10.1016/j.crohns.2011.07.001</w:t>
        </w:r>
      </w:hyperlink>
      <w:r w:rsidR="009E6513">
        <w:rPr>
          <w:lang w:val="en-GB"/>
        </w:rPr>
        <w:t xml:space="preserve"> </w:t>
      </w:r>
    </w:p>
    <w:p w:rsidR="00A77093" w:rsidRDefault="00A77093" w:rsidP="00A77093">
      <w:pPr>
        <w:pStyle w:val="NormalWeb"/>
        <w:rPr>
          <w:lang w:val="en-GB"/>
        </w:rPr>
      </w:pPr>
      <w:r w:rsidRPr="005072B4">
        <w:rPr>
          <w:lang w:val="en-GB"/>
        </w:rPr>
        <w:t xml:space="preserve">Zhang, Y., </w:t>
      </w:r>
      <w:proofErr w:type="spellStart"/>
      <w:r w:rsidRPr="005072B4">
        <w:rPr>
          <w:lang w:val="en-GB"/>
        </w:rPr>
        <w:t>Qiao</w:t>
      </w:r>
      <w:proofErr w:type="spellEnd"/>
      <w:r w:rsidRPr="005072B4">
        <w:rPr>
          <w:lang w:val="en-GB"/>
        </w:rPr>
        <w:t xml:space="preserve">, D., Chen, R., Zhu, F., Gong, J., &amp; Yan, F. (2021). The association between periodontitis and inflammatory bowel disease: A systematic review and meta-analysis. </w:t>
      </w:r>
      <w:r w:rsidRPr="005072B4">
        <w:rPr>
          <w:rStyle w:val="Emphasis"/>
          <w:lang w:val="en-GB"/>
        </w:rPr>
        <w:t>BioMed Research International, 2021</w:t>
      </w:r>
      <w:r w:rsidRPr="005072B4">
        <w:rPr>
          <w:lang w:val="en-GB"/>
        </w:rPr>
        <w:t xml:space="preserve">, 6692420. </w:t>
      </w:r>
      <w:hyperlink r:id="rId31" w:history="1">
        <w:r w:rsidRPr="00415110">
          <w:rPr>
            <w:rStyle w:val="Hyperlink"/>
            <w:lang w:val="en-GB"/>
          </w:rPr>
          <w:t>https://doi.org/10.1155/2021/6692420</w:t>
        </w:r>
      </w:hyperlink>
    </w:p>
    <w:p w:rsidR="003A5332" w:rsidRPr="005072B4" w:rsidRDefault="003A5332" w:rsidP="005072B4">
      <w:pPr>
        <w:pStyle w:val="NormalWeb"/>
        <w:rPr>
          <w:lang w:val="en-GB"/>
        </w:rPr>
      </w:pPr>
    </w:p>
    <w:p w:rsidR="00417DFC" w:rsidRPr="005072B4" w:rsidRDefault="00417DFC" w:rsidP="000B7204">
      <w:pPr>
        <w:rPr>
          <w:lang w:val="en-GB"/>
        </w:rPr>
      </w:pPr>
    </w:p>
    <w:sectPr w:rsidR="00417DFC" w:rsidRPr="005072B4" w:rsidSect="00CB6EB6">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3872" w:rsidRDefault="00643872" w:rsidP="00542715">
      <w:pPr>
        <w:spacing w:after="0" w:line="240" w:lineRule="auto"/>
      </w:pPr>
      <w:r>
        <w:separator/>
      </w:r>
    </w:p>
  </w:endnote>
  <w:endnote w:type="continuationSeparator" w:id="0">
    <w:p w:rsidR="00643872" w:rsidRDefault="00643872" w:rsidP="00542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2715" w:rsidRDefault="005427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2715" w:rsidRDefault="005427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2715" w:rsidRDefault="005427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3872" w:rsidRDefault="00643872" w:rsidP="00542715">
      <w:pPr>
        <w:spacing w:after="0" w:line="240" w:lineRule="auto"/>
      </w:pPr>
      <w:r>
        <w:separator/>
      </w:r>
    </w:p>
  </w:footnote>
  <w:footnote w:type="continuationSeparator" w:id="0">
    <w:p w:rsidR="00643872" w:rsidRDefault="00643872" w:rsidP="005427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2715" w:rsidRDefault="0054271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925782" o:spid="_x0000_s2050"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2715" w:rsidRDefault="0054271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925783" o:spid="_x0000_s2051"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2715" w:rsidRDefault="0054271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0925781" o:spid="_x0000_s2049" type="#_x0000_t136" style="position:absolute;left:0;text-align:left;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11774"/>
    <w:multiLevelType w:val="hybridMultilevel"/>
    <w:tmpl w:val="E9FE50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F2074"/>
    <w:multiLevelType w:val="hybridMultilevel"/>
    <w:tmpl w:val="8D42B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02BBC"/>
    <w:multiLevelType w:val="hybridMultilevel"/>
    <w:tmpl w:val="015EC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251957"/>
    <w:multiLevelType w:val="hybridMultilevel"/>
    <w:tmpl w:val="8F4AA0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BA6F44"/>
    <w:multiLevelType w:val="hybridMultilevel"/>
    <w:tmpl w:val="A5309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676E73"/>
    <w:multiLevelType w:val="hybridMultilevel"/>
    <w:tmpl w:val="2438D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BC7097"/>
    <w:multiLevelType w:val="hybridMultilevel"/>
    <w:tmpl w:val="66286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05FC3"/>
    <w:multiLevelType w:val="hybridMultilevel"/>
    <w:tmpl w:val="191EEC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58245D"/>
    <w:multiLevelType w:val="hybridMultilevel"/>
    <w:tmpl w:val="9A3A3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D9711E"/>
    <w:multiLevelType w:val="hybridMultilevel"/>
    <w:tmpl w:val="9E9E9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986505"/>
    <w:multiLevelType w:val="hybridMultilevel"/>
    <w:tmpl w:val="70E69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C240BA"/>
    <w:multiLevelType w:val="hybridMultilevel"/>
    <w:tmpl w:val="F98C290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DB7CCF"/>
    <w:multiLevelType w:val="hybridMultilevel"/>
    <w:tmpl w:val="E2404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7E4E85"/>
    <w:multiLevelType w:val="hybridMultilevel"/>
    <w:tmpl w:val="24BEE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F9151C"/>
    <w:multiLevelType w:val="hybridMultilevel"/>
    <w:tmpl w:val="ED0A30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A61507"/>
    <w:multiLevelType w:val="hybridMultilevel"/>
    <w:tmpl w:val="BB6CC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3E122B"/>
    <w:multiLevelType w:val="hybridMultilevel"/>
    <w:tmpl w:val="71C02F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A502F9"/>
    <w:multiLevelType w:val="hybridMultilevel"/>
    <w:tmpl w:val="5204F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91791"/>
    <w:multiLevelType w:val="hybridMultilevel"/>
    <w:tmpl w:val="A6CA3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853785"/>
    <w:multiLevelType w:val="hybridMultilevel"/>
    <w:tmpl w:val="6CAC91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D21455"/>
    <w:multiLevelType w:val="hybridMultilevel"/>
    <w:tmpl w:val="8BCC8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F66727"/>
    <w:multiLevelType w:val="hybridMultilevel"/>
    <w:tmpl w:val="1410F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5B5F87"/>
    <w:multiLevelType w:val="hybridMultilevel"/>
    <w:tmpl w:val="2C507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724C1D"/>
    <w:multiLevelType w:val="hybridMultilevel"/>
    <w:tmpl w:val="4FC49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A961EE"/>
    <w:multiLevelType w:val="hybridMultilevel"/>
    <w:tmpl w:val="8AB27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970A2B"/>
    <w:multiLevelType w:val="hybridMultilevel"/>
    <w:tmpl w:val="69624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8B29DE"/>
    <w:multiLevelType w:val="hybridMultilevel"/>
    <w:tmpl w:val="D3562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827A60"/>
    <w:multiLevelType w:val="hybridMultilevel"/>
    <w:tmpl w:val="1B62B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16A2FC5"/>
    <w:multiLevelType w:val="hybridMultilevel"/>
    <w:tmpl w:val="C4023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4"/>
  </w:num>
  <w:num w:numId="3">
    <w:abstractNumId w:val="12"/>
  </w:num>
  <w:num w:numId="4">
    <w:abstractNumId w:val="4"/>
  </w:num>
  <w:num w:numId="5">
    <w:abstractNumId w:val="0"/>
  </w:num>
  <w:num w:numId="6">
    <w:abstractNumId w:val="18"/>
  </w:num>
  <w:num w:numId="7">
    <w:abstractNumId w:val="6"/>
  </w:num>
  <w:num w:numId="8">
    <w:abstractNumId w:val="5"/>
  </w:num>
  <w:num w:numId="9">
    <w:abstractNumId w:val="26"/>
  </w:num>
  <w:num w:numId="10">
    <w:abstractNumId w:val="8"/>
  </w:num>
  <w:num w:numId="11">
    <w:abstractNumId w:val="9"/>
  </w:num>
  <w:num w:numId="12">
    <w:abstractNumId w:val="22"/>
  </w:num>
  <w:num w:numId="13">
    <w:abstractNumId w:val="13"/>
  </w:num>
  <w:num w:numId="14">
    <w:abstractNumId w:val="3"/>
  </w:num>
  <w:num w:numId="15">
    <w:abstractNumId w:val="28"/>
  </w:num>
  <w:num w:numId="16">
    <w:abstractNumId w:val="16"/>
  </w:num>
  <w:num w:numId="17">
    <w:abstractNumId w:val="7"/>
  </w:num>
  <w:num w:numId="18">
    <w:abstractNumId w:val="19"/>
  </w:num>
  <w:num w:numId="19">
    <w:abstractNumId w:val="10"/>
  </w:num>
  <w:num w:numId="20">
    <w:abstractNumId w:val="11"/>
  </w:num>
  <w:num w:numId="21">
    <w:abstractNumId w:val="27"/>
  </w:num>
  <w:num w:numId="22">
    <w:abstractNumId w:val="17"/>
  </w:num>
  <w:num w:numId="23">
    <w:abstractNumId w:val="1"/>
  </w:num>
  <w:num w:numId="24">
    <w:abstractNumId w:val="23"/>
  </w:num>
  <w:num w:numId="25">
    <w:abstractNumId w:val="21"/>
  </w:num>
  <w:num w:numId="26">
    <w:abstractNumId w:val="14"/>
  </w:num>
  <w:num w:numId="27">
    <w:abstractNumId w:val="20"/>
  </w:num>
  <w:num w:numId="28">
    <w:abstractNumId w:val="2"/>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1CB6"/>
    <w:rsid w:val="00004A77"/>
    <w:rsid w:val="000078F4"/>
    <w:rsid w:val="00007AAB"/>
    <w:rsid w:val="000336E1"/>
    <w:rsid w:val="000425DD"/>
    <w:rsid w:val="00053D7A"/>
    <w:rsid w:val="0005616C"/>
    <w:rsid w:val="0006037D"/>
    <w:rsid w:val="000607E4"/>
    <w:rsid w:val="000628E8"/>
    <w:rsid w:val="0006413B"/>
    <w:rsid w:val="000643E7"/>
    <w:rsid w:val="0006527C"/>
    <w:rsid w:val="000652AA"/>
    <w:rsid w:val="000656B9"/>
    <w:rsid w:val="000814C4"/>
    <w:rsid w:val="00083646"/>
    <w:rsid w:val="00086EDD"/>
    <w:rsid w:val="000A0EB4"/>
    <w:rsid w:val="000A2A54"/>
    <w:rsid w:val="000A633F"/>
    <w:rsid w:val="000A79B2"/>
    <w:rsid w:val="000B7204"/>
    <w:rsid w:val="000B75EF"/>
    <w:rsid w:val="000C0D71"/>
    <w:rsid w:val="000C411D"/>
    <w:rsid w:val="000C4F0E"/>
    <w:rsid w:val="000D461E"/>
    <w:rsid w:val="000D6AAA"/>
    <w:rsid w:val="000D7028"/>
    <w:rsid w:val="000D7DCE"/>
    <w:rsid w:val="000E33DE"/>
    <w:rsid w:val="000E67D1"/>
    <w:rsid w:val="000E709D"/>
    <w:rsid w:val="000F14D5"/>
    <w:rsid w:val="000F27AA"/>
    <w:rsid w:val="000F28EC"/>
    <w:rsid w:val="00106150"/>
    <w:rsid w:val="00111181"/>
    <w:rsid w:val="00114147"/>
    <w:rsid w:val="001261CC"/>
    <w:rsid w:val="00126ADF"/>
    <w:rsid w:val="001276CD"/>
    <w:rsid w:val="00131E50"/>
    <w:rsid w:val="00135191"/>
    <w:rsid w:val="00142919"/>
    <w:rsid w:val="0014312B"/>
    <w:rsid w:val="001514E1"/>
    <w:rsid w:val="001560E3"/>
    <w:rsid w:val="001622A1"/>
    <w:rsid w:val="00166050"/>
    <w:rsid w:val="00170C08"/>
    <w:rsid w:val="001860B4"/>
    <w:rsid w:val="00186E2A"/>
    <w:rsid w:val="00187CBB"/>
    <w:rsid w:val="0019059D"/>
    <w:rsid w:val="0019667B"/>
    <w:rsid w:val="001A165A"/>
    <w:rsid w:val="001A3703"/>
    <w:rsid w:val="001A6A2C"/>
    <w:rsid w:val="001A7A4E"/>
    <w:rsid w:val="001B2FA4"/>
    <w:rsid w:val="001B5753"/>
    <w:rsid w:val="001B7806"/>
    <w:rsid w:val="001C23B5"/>
    <w:rsid w:val="001D7EA7"/>
    <w:rsid w:val="001E6EC5"/>
    <w:rsid w:val="001F4E51"/>
    <w:rsid w:val="00202F35"/>
    <w:rsid w:val="00203EFF"/>
    <w:rsid w:val="0022042D"/>
    <w:rsid w:val="00220ADF"/>
    <w:rsid w:val="002216D7"/>
    <w:rsid w:val="002312EA"/>
    <w:rsid w:val="002401A0"/>
    <w:rsid w:val="00241AA3"/>
    <w:rsid w:val="0024324D"/>
    <w:rsid w:val="00246BC3"/>
    <w:rsid w:val="002525A8"/>
    <w:rsid w:val="00257AC1"/>
    <w:rsid w:val="00260455"/>
    <w:rsid w:val="00260B1D"/>
    <w:rsid w:val="002673C8"/>
    <w:rsid w:val="00267B17"/>
    <w:rsid w:val="00271A26"/>
    <w:rsid w:val="002778DD"/>
    <w:rsid w:val="00284F1F"/>
    <w:rsid w:val="0029252A"/>
    <w:rsid w:val="00294D81"/>
    <w:rsid w:val="002A01F2"/>
    <w:rsid w:val="002A27A8"/>
    <w:rsid w:val="002A4C47"/>
    <w:rsid w:val="002B1310"/>
    <w:rsid w:val="002B76E6"/>
    <w:rsid w:val="002C0DF9"/>
    <w:rsid w:val="002C48BB"/>
    <w:rsid w:val="002C70E6"/>
    <w:rsid w:val="002D0FD7"/>
    <w:rsid w:val="002D6FFA"/>
    <w:rsid w:val="002E0776"/>
    <w:rsid w:val="002E404D"/>
    <w:rsid w:val="002F0434"/>
    <w:rsid w:val="002F3625"/>
    <w:rsid w:val="002F3AC7"/>
    <w:rsid w:val="002F4C0C"/>
    <w:rsid w:val="00307595"/>
    <w:rsid w:val="0031286E"/>
    <w:rsid w:val="00316D75"/>
    <w:rsid w:val="00317E7E"/>
    <w:rsid w:val="00324164"/>
    <w:rsid w:val="0032634C"/>
    <w:rsid w:val="00332243"/>
    <w:rsid w:val="0033735F"/>
    <w:rsid w:val="00343C0B"/>
    <w:rsid w:val="0035701C"/>
    <w:rsid w:val="003664CE"/>
    <w:rsid w:val="003740DE"/>
    <w:rsid w:val="00384ACA"/>
    <w:rsid w:val="003909C0"/>
    <w:rsid w:val="00391BB6"/>
    <w:rsid w:val="003975AE"/>
    <w:rsid w:val="003A104D"/>
    <w:rsid w:val="003A4787"/>
    <w:rsid w:val="003A5332"/>
    <w:rsid w:val="003A6513"/>
    <w:rsid w:val="003A683D"/>
    <w:rsid w:val="003A71E9"/>
    <w:rsid w:val="003B035B"/>
    <w:rsid w:val="003B09B4"/>
    <w:rsid w:val="003B31CA"/>
    <w:rsid w:val="003B3553"/>
    <w:rsid w:val="003B400E"/>
    <w:rsid w:val="003B64F9"/>
    <w:rsid w:val="003B6CCD"/>
    <w:rsid w:val="003B73A7"/>
    <w:rsid w:val="003C1803"/>
    <w:rsid w:val="003C31E9"/>
    <w:rsid w:val="003C3BB0"/>
    <w:rsid w:val="003C4000"/>
    <w:rsid w:val="003E35A3"/>
    <w:rsid w:val="003E61B2"/>
    <w:rsid w:val="003F02C5"/>
    <w:rsid w:val="003F6E91"/>
    <w:rsid w:val="00400005"/>
    <w:rsid w:val="00405181"/>
    <w:rsid w:val="004132B1"/>
    <w:rsid w:val="004148C1"/>
    <w:rsid w:val="004148F5"/>
    <w:rsid w:val="004155A7"/>
    <w:rsid w:val="00416C8C"/>
    <w:rsid w:val="00417DFC"/>
    <w:rsid w:val="00423789"/>
    <w:rsid w:val="004271AB"/>
    <w:rsid w:val="00434B0A"/>
    <w:rsid w:val="00434D02"/>
    <w:rsid w:val="00443B5D"/>
    <w:rsid w:val="00445A92"/>
    <w:rsid w:val="00450568"/>
    <w:rsid w:val="0045531D"/>
    <w:rsid w:val="00456E20"/>
    <w:rsid w:val="004615AF"/>
    <w:rsid w:val="00462739"/>
    <w:rsid w:val="00463D85"/>
    <w:rsid w:val="00471027"/>
    <w:rsid w:val="004711B7"/>
    <w:rsid w:val="004754A5"/>
    <w:rsid w:val="004951DA"/>
    <w:rsid w:val="004A16BD"/>
    <w:rsid w:val="004A508F"/>
    <w:rsid w:val="004A5427"/>
    <w:rsid w:val="004A586B"/>
    <w:rsid w:val="004A7955"/>
    <w:rsid w:val="004B02DF"/>
    <w:rsid w:val="004B517D"/>
    <w:rsid w:val="004C1A63"/>
    <w:rsid w:val="004C421D"/>
    <w:rsid w:val="004C6306"/>
    <w:rsid w:val="004C7547"/>
    <w:rsid w:val="004D7170"/>
    <w:rsid w:val="004E1999"/>
    <w:rsid w:val="004E7311"/>
    <w:rsid w:val="004E765A"/>
    <w:rsid w:val="004F07D5"/>
    <w:rsid w:val="004F2BB5"/>
    <w:rsid w:val="004F5E1D"/>
    <w:rsid w:val="004F7DFC"/>
    <w:rsid w:val="00505FA4"/>
    <w:rsid w:val="005072B4"/>
    <w:rsid w:val="00516AA1"/>
    <w:rsid w:val="00521EFD"/>
    <w:rsid w:val="00523936"/>
    <w:rsid w:val="0052448D"/>
    <w:rsid w:val="0052741B"/>
    <w:rsid w:val="00542715"/>
    <w:rsid w:val="0054487D"/>
    <w:rsid w:val="00554C7D"/>
    <w:rsid w:val="005577C6"/>
    <w:rsid w:val="0056389E"/>
    <w:rsid w:val="00564FB4"/>
    <w:rsid w:val="00565C3C"/>
    <w:rsid w:val="00571246"/>
    <w:rsid w:val="00586265"/>
    <w:rsid w:val="005A2AA6"/>
    <w:rsid w:val="005A5DEC"/>
    <w:rsid w:val="005B22C5"/>
    <w:rsid w:val="005B4ADB"/>
    <w:rsid w:val="005D2267"/>
    <w:rsid w:val="005D5E75"/>
    <w:rsid w:val="005D68FB"/>
    <w:rsid w:val="005F1FE6"/>
    <w:rsid w:val="006009AA"/>
    <w:rsid w:val="00605701"/>
    <w:rsid w:val="0061271E"/>
    <w:rsid w:val="0061521F"/>
    <w:rsid w:val="006156FC"/>
    <w:rsid w:val="00622C65"/>
    <w:rsid w:val="00626F6E"/>
    <w:rsid w:val="00632906"/>
    <w:rsid w:val="0063716F"/>
    <w:rsid w:val="00643872"/>
    <w:rsid w:val="0064677F"/>
    <w:rsid w:val="006500A6"/>
    <w:rsid w:val="00650475"/>
    <w:rsid w:val="00655F10"/>
    <w:rsid w:val="00657005"/>
    <w:rsid w:val="00661483"/>
    <w:rsid w:val="006618F5"/>
    <w:rsid w:val="0067007E"/>
    <w:rsid w:val="00671CE7"/>
    <w:rsid w:val="00676549"/>
    <w:rsid w:val="0067685B"/>
    <w:rsid w:val="00682053"/>
    <w:rsid w:val="00683EC3"/>
    <w:rsid w:val="006864CA"/>
    <w:rsid w:val="006907D2"/>
    <w:rsid w:val="00692471"/>
    <w:rsid w:val="00693DFE"/>
    <w:rsid w:val="00695D59"/>
    <w:rsid w:val="00697683"/>
    <w:rsid w:val="006A2C8B"/>
    <w:rsid w:val="006A39B3"/>
    <w:rsid w:val="006A7ABC"/>
    <w:rsid w:val="006B0247"/>
    <w:rsid w:val="006B57D5"/>
    <w:rsid w:val="006B66BC"/>
    <w:rsid w:val="006C7C9D"/>
    <w:rsid w:val="006D2558"/>
    <w:rsid w:val="006D3E12"/>
    <w:rsid w:val="006D455D"/>
    <w:rsid w:val="006E13D4"/>
    <w:rsid w:val="006E4B0A"/>
    <w:rsid w:val="006F1ABF"/>
    <w:rsid w:val="006F1FC2"/>
    <w:rsid w:val="006F708E"/>
    <w:rsid w:val="00705A87"/>
    <w:rsid w:val="00711B14"/>
    <w:rsid w:val="00713825"/>
    <w:rsid w:val="00720F41"/>
    <w:rsid w:val="00721966"/>
    <w:rsid w:val="00737A32"/>
    <w:rsid w:val="007434EA"/>
    <w:rsid w:val="00755BDC"/>
    <w:rsid w:val="00761CB6"/>
    <w:rsid w:val="00772744"/>
    <w:rsid w:val="00773599"/>
    <w:rsid w:val="00774395"/>
    <w:rsid w:val="0077761A"/>
    <w:rsid w:val="0078275D"/>
    <w:rsid w:val="00783862"/>
    <w:rsid w:val="00783E9E"/>
    <w:rsid w:val="00786C67"/>
    <w:rsid w:val="00796571"/>
    <w:rsid w:val="007A25E7"/>
    <w:rsid w:val="007A5BAB"/>
    <w:rsid w:val="007B0E74"/>
    <w:rsid w:val="007B437D"/>
    <w:rsid w:val="007B68AF"/>
    <w:rsid w:val="007C4389"/>
    <w:rsid w:val="007C5F8A"/>
    <w:rsid w:val="007C7951"/>
    <w:rsid w:val="007D03BC"/>
    <w:rsid w:val="007D38FC"/>
    <w:rsid w:val="007D6740"/>
    <w:rsid w:val="007E12AB"/>
    <w:rsid w:val="007E249F"/>
    <w:rsid w:val="007F1928"/>
    <w:rsid w:val="008017C0"/>
    <w:rsid w:val="00802367"/>
    <w:rsid w:val="00804929"/>
    <w:rsid w:val="008107F6"/>
    <w:rsid w:val="00812006"/>
    <w:rsid w:val="008132DB"/>
    <w:rsid w:val="00814804"/>
    <w:rsid w:val="00820C75"/>
    <w:rsid w:val="008309C3"/>
    <w:rsid w:val="00831623"/>
    <w:rsid w:val="0083179B"/>
    <w:rsid w:val="008374C4"/>
    <w:rsid w:val="008426E2"/>
    <w:rsid w:val="00844C26"/>
    <w:rsid w:val="008461BC"/>
    <w:rsid w:val="00852537"/>
    <w:rsid w:val="00852C95"/>
    <w:rsid w:val="00855A4C"/>
    <w:rsid w:val="00856AFD"/>
    <w:rsid w:val="008666DC"/>
    <w:rsid w:val="0087023A"/>
    <w:rsid w:val="00870945"/>
    <w:rsid w:val="00872F5F"/>
    <w:rsid w:val="00876190"/>
    <w:rsid w:val="008811F8"/>
    <w:rsid w:val="00881487"/>
    <w:rsid w:val="00883166"/>
    <w:rsid w:val="00884294"/>
    <w:rsid w:val="00891C2F"/>
    <w:rsid w:val="008932C4"/>
    <w:rsid w:val="00893BAA"/>
    <w:rsid w:val="00897FA1"/>
    <w:rsid w:val="008A2470"/>
    <w:rsid w:val="008A4BFC"/>
    <w:rsid w:val="008A6FAA"/>
    <w:rsid w:val="008A7416"/>
    <w:rsid w:val="008C591C"/>
    <w:rsid w:val="008D0444"/>
    <w:rsid w:val="008E71C6"/>
    <w:rsid w:val="008F3850"/>
    <w:rsid w:val="00904403"/>
    <w:rsid w:val="009109E2"/>
    <w:rsid w:val="00916DED"/>
    <w:rsid w:val="00921220"/>
    <w:rsid w:val="00921557"/>
    <w:rsid w:val="00921F7D"/>
    <w:rsid w:val="00925CAF"/>
    <w:rsid w:val="00926AE1"/>
    <w:rsid w:val="009302A6"/>
    <w:rsid w:val="009333FF"/>
    <w:rsid w:val="00935182"/>
    <w:rsid w:val="0094256C"/>
    <w:rsid w:val="00944906"/>
    <w:rsid w:val="00951A3D"/>
    <w:rsid w:val="009536DC"/>
    <w:rsid w:val="009551E6"/>
    <w:rsid w:val="00960579"/>
    <w:rsid w:val="0096776A"/>
    <w:rsid w:val="00975E52"/>
    <w:rsid w:val="009851F5"/>
    <w:rsid w:val="009903E9"/>
    <w:rsid w:val="009918F3"/>
    <w:rsid w:val="009929A7"/>
    <w:rsid w:val="00992B92"/>
    <w:rsid w:val="00994A4A"/>
    <w:rsid w:val="00994D23"/>
    <w:rsid w:val="009B3A8A"/>
    <w:rsid w:val="009B55DE"/>
    <w:rsid w:val="009C2C46"/>
    <w:rsid w:val="009C39A1"/>
    <w:rsid w:val="009D05A9"/>
    <w:rsid w:val="009D0B9D"/>
    <w:rsid w:val="009D13F6"/>
    <w:rsid w:val="009D5BA5"/>
    <w:rsid w:val="009E5244"/>
    <w:rsid w:val="009E6513"/>
    <w:rsid w:val="009F0120"/>
    <w:rsid w:val="009F39AF"/>
    <w:rsid w:val="00A00B22"/>
    <w:rsid w:val="00A029C3"/>
    <w:rsid w:val="00A15AFC"/>
    <w:rsid w:val="00A1605B"/>
    <w:rsid w:val="00A2030A"/>
    <w:rsid w:val="00A2270F"/>
    <w:rsid w:val="00A22B39"/>
    <w:rsid w:val="00A23EB8"/>
    <w:rsid w:val="00A24B38"/>
    <w:rsid w:val="00A27BF4"/>
    <w:rsid w:val="00A32ED4"/>
    <w:rsid w:val="00A34E95"/>
    <w:rsid w:val="00A35A95"/>
    <w:rsid w:val="00A3760B"/>
    <w:rsid w:val="00A4069A"/>
    <w:rsid w:val="00A43928"/>
    <w:rsid w:val="00A478B2"/>
    <w:rsid w:val="00A50845"/>
    <w:rsid w:val="00A5299F"/>
    <w:rsid w:val="00A54719"/>
    <w:rsid w:val="00A57A87"/>
    <w:rsid w:val="00A61C31"/>
    <w:rsid w:val="00A62C46"/>
    <w:rsid w:val="00A6369F"/>
    <w:rsid w:val="00A64590"/>
    <w:rsid w:val="00A66C70"/>
    <w:rsid w:val="00A7055A"/>
    <w:rsid w:val="00A77093"/>
    <w:rsid w:val="00A83053"/>
    <w:rsid w:val="00A83C78"/>
    <w:rsid w:val="00A8506E"/>
    <w:rsid w:val="00A86609"/>
    <w:rsid w:val="00A94050"/>
    <w:rsid w:val="00A95D31"/>
    <w:rsid w:val="00A97AEF"/>
    <w:rsid w:val="00AA06F7"/>
    <w:rsid w:val="00AA2B64"/>
    <w:rsid w:val="00AA4644"/>
    <w:rsid w:val="00AA4B35"/>
    <w:rsid w:val="00AB0834"/>
    <w:rsid w:val="00AB0C7A"/>
    <w:rsid w:val="00AB1103"/>
    <w:rsid w:val="00AB632D"/>
    <w:rsid w:val="00AC1D8B"/>
    <w:rsid w:val="00AC6D42"/>
    <w:rsid w:val="00AD2BD3"/>
    <w:rsid w:val="00AD7B8B"/>
    <w:rsid w:val="00AE13A7"/>
    <w:rsid w:val="00AE651D"/>
    <w:rsid w:val="00AE79C2"/>
    <w:rsid w:val="00AE7CA1"/>
    <w:rsid w:val="00AF279A"/>
    <w:rsid w:val="00AF6FEA"/>
    <w:rsid w:val="00AF7425"/>
    <w:rsid w:val="00B06888"/>
    <w:rsid w:val="00B07519"/>
    <w:rsid w:val="00B1065D"/>
    <w:rsid w:val="00B451DB"/>
    <w:rsid w:val="00B567DD"/>
    <w:rsid w:val="00B56E93"/>
    <w:rsid w:val="00B6043D"/>
    <w:rsid w:val="00B62252"/>
    <w:rsid w:val="00B74506"/>
    <w:rsid w:val="00B8003F"/>
    <w:rsid w:val="00B81562"/>
    <w:rsid w:val="00B84C19"/>
    <w:rsid w:val="00B928B4"/>
    <w:rsid w:val="00BA248E"/>
    <w:rsid w:val="00BA3C57"/>
    <w:rsid w:val="00BB0BE1"/>
    <w:rsid w:val="00BB4C3B"/>
    <w:rsid w:val="00BB6828"/>
    <w:rsid w:val="00BB7829"/>
    <w:rsid w:val="00BC43AE"/>
    <w:rsid w:val="00BD22E5"/>
    <w:rsid w:val="00BD346C"/>
    <w:rsid w:val="00BE2004"/>
    <w:rsid w:val="00BF0896"/>
    <w:rsid w:val="00BF26BF"/>
    <w:rsid w:val="00BF31D8"/>
    <w:rsid w:val="00C00621"/>
    <w:rsid w:val="00C033E1"/>
    <w:rsid w:val="00C04B81"/>
    <w:rsid w:val="00C077F0"/>
    <w:rsid w:val="00C100D0"/>
    <w:rsid w:val="00C120A3"/>
    <w:rsid w:val="00C1225B"/>
    <w:rsid w:val="00C12B29"/>
    <w:rsid w:val="00C13468"/>
    <w:rsid w:val="00C163B3"/>
    <w:rsid w:val="00C26094"/>
    <w:rsid w:val="00C27740"/>
    <w:rsid w:val="00C32820"/>
    <w:rsid w:val="00C3420C"/>
    <w:rsid w:val="00C40318"/>
    <w:rsid w:val="00C404E0"/>
    <w:rsid w:val="00C41073"/>
    <w:rsid w:val="00C41BA6"/>
    <w:rsid w:val="00C47A2A"/>
    <w:rsid w:val="00C51293"/>
    <w:rsid w:val="00C524EC"/>
    <w:rsid w:val="00C54922"/>
    <w:rsid w:val="00C5683C"/>
    <w:rsid w:val="00C57B8F"/>
    <w:rsid w:val="00C650CE"/>
    <w:rsid w:val="00C6694F"/>
    <w:rsid w:val="00C7136B"/>
    <w:rsid w:val="00C93A8A"/>
    <w:rsid w:val="00C955E0"/>
    <w:rsid w:val="00CA346F"/>
    <w:rsid w:val="00CB0EDD"/>
    <w:rsid w:val="00CB6EB6"/>
    <w:rsid w:val="00CB75A8"/>
    <w:rsid w:val="00CC2B1A"/>
    <w:rsid w:val="00CC40DF"/>
    <w:rsid w:val="00CD57AF"/>
    <w:rsid w:val="00CE051F"/>
    <w:rsid w:val="00CE0C42"/>
    <w:rsid w:val="00CE5BFA"/>
    <w:rsid w:val="00CE6483"/>
    <w:rsid w:val="00CF3244"/>
    <w:rsid w:val="00D033FD"/>
    <w:rsid w:val="00D0374A"/>
    <w:rsid w:val="00D055EE"/>
    <w:rsid w:val="00D07932"/>
    <w:rsid w:val="00D1176E"/>
    <w:rsid w:val="00D2322A"/>
    <w:rsid w:val="00D261CC"/>
    <w:rsid w:val="00D335FC"/>
    <w:rsid w:val="00D370EF"/>
    <w:rsid w:val="00D40796"/>
    <w:rsid w:val="00D61F91"/>
    <w:rsid w:val="00D63323"/>
    <w:rsid w:val="00D66880"/>
    <w:rsid w:val="00D71250"/>
    <w:rsid w:val="00D75C9D"/>
    <w:rsid w:val="00D80CF2"/>
    <w:rsid w:val="00D82C22"/>
    <w:rsid w:val="00D83111"/>
    <w:rsid w:val="00D879A1"/>
    <w:rsid w:val="00D90471"/>
    <w:rsid w:val="00D9293B"/>
    <w:rsid w:val="00D95D20"/>
    <w:rsid w:val="00DA02EE"/>
    <w:rsid w:val="00DA3203"/>
    <w:rsid w:val="00DB7756"/>
    <w:rsid w:val="00DC3E34"/>
    <w:rsid w:val="00DC5190"/>
    <w:rsid w:val="00DC5FB9"/>
    <w:rsid w:val="00DC6BC2"/>
    <w:rsid w:val="00DC6E1F"/>
    <w:rsid w:val="00DC74C9"/>
    <w:rsid w:val="00DD02B6"/>
    <w:rsid w:val="00DD451C"/>
    <w:rsid w:val="00DD62DF"/>
    <w:rsid w:val="00DE0A9F"/>
    <w:rsid w:val="00DE2D6D"/>
    <w:rsid w:val="00DE3F15"/>
    <w:rsid w:val="00DE544F"/>
    <w:rsid w:val="00DF20BB"/>
    <w:rsid w:val="00DF5AB4"/>
    <w:rsid w:val="00DF6AF0"/>
    <w:rsid w:val="00E125DA"/>
    <w:rsid w:val="00E14476"/>
    <w:rsid w:val="00E16C81"/>
    <w:rsid w:val="00E20962"/>
    <w:rsid w:val="00E22310"/>
    <w:rsid w:val="00E22408"/>
    <w:rsid w:val="00E22BB9"/>
    <w:rsid w:val="00E3113F"/>
    <w:rsid w:val="00E36926"/>
    <w:rsid w:val="00E40B47"/>
    <w:rsid w:val="00E52157"/>
    <w:rsid w:val="00E52483"/>
    <w:rsid w:val="00E55A08"/>
    <w:rsid w:val="00E61E16"/>
    <w:rsid w:val="00E6358B"/>
    <w:rsid w:val="00E643E8"/>
    <w:rsid w:val="00E6564A"/>
    <w:rsid w:val="00E7044C"/>
    <w:rsid w:val="00E7210E"/>
    <w:rsid w:val="00E76785"/>
    <w:rsid w:val="00E84B62"/>
    <w:rsid w:val="00E87D5B"/>
    <w:rsid w:val="00E93BAE"/>
    <w:rsid w:val="00E97626"/>
    <w:rsid w:val="00E97CB8"/>
    <w:rsid w:val="00E97F4E"/>
    <w:rsid w:val="00EA45FD"/>
    <w:rsid w:val="00EA7C0C"/>
    <w:rsid w:val="00EC266D"/>
    <w:rsid w:val="00EC4D6C"/>
    <w:rsid w:val="00ED2248"/>
    <w:rsid w:val="00ED448F"/>
    <w:rsid w:val="00EE2E7D"/>
    <w:rsid w:val="00EE50CC"/>
    <w:rsid w:val="00EF08F3"/>
    <w:rsid w:val="00EF4D40"/>
    <w:rsid w:val="00EF4D87"/>
    <w:rsid w:val="00EF5941"/>
    <w:rsid w:val="00F03E39"/>
    <w:rsid w:val="00F13040"/>
    <w:rsid w:val="00F133C3"/>
    <w:rsid w:val="00F144B9"/>
    <w:rsid w:val="00F278AB"/>
    <w:rsid w:val="00F36C5B"/>
    <w:rsid w:val="00F43253"/>
    <w:rsid w:val="00F43CC2"/>
    <w:rsid w:val="00F45317"/>
    <w:rsid w:val="00F4728A"/>
    <w:rsid w:val="00F533A4"/>
    <w:rsid w:val="00F6047F"/>
    <w:rsid w:val="00F62CC5"/>
    <w:rsid w:val="00F62D4E"/>
    <w:rsid w:val="00F73CB7"/>
    <w:rsid w:val="00F754E8"/>
    <w:rsid w:val="00F970BC"/>
    <w:rsid w:val="00F97B7F"/>
    <w:rsid w:val="00FA03AB"/>
    <w:rsid w:val="00FA1C67"/>
    <w:rsid w:val="00FA5698"/>
    <w:rsid w:val="00FA5C8B"/>
    <w:rsid w:val="00FA7321"/>
    <w:rsid w:val="00FB1450"/>
    <w:rsid w:val="00FB5CFC"/>
    <w:rsid w:val="00FB6475"/>
    <w:rsid w:val="00FC1A30"/>
    <w:rsid w:val="00FC3FB3"/>
    <w:rsid w:val="00FD042D"/>
    <w:rsid w:val="00FD1C43"/>
    <w:rsid w:val="00FD24C5"/>
    <w:rsid w:val="00FD402F"/>
    <w:rsid w:val="00FF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Straight Arrow Connector 14"/>
        <o:r id="V:Rule2" type="connector" idref="#Straight Arrow Connector 17"/>
        <o:r id="V:Rule3" type="connector" idref="#Straight Arrow Connector 19"/>
        <o:r id="V:Rule4" type="connector" idref="#Straight Arrow Connector 35"/>
        <o:r id="V:Rule5" type="connector" idref="#Straight Arrow Connector 16"/>
        <o:r id="V:Rule6" type="connector" idref="#Straight Arrow Connector 27"/>
        <o:r id="V:Rule7" type="connector" idref="#Straight Arrow Connector 15"/>
        <o:r id="V:Rule8" type="connector" idref="#Straight Arrow Connector 36"/>
      </o:rules>
    </o:shapelayout>
  </w:shapeDefaults>
  <w:decimalSymbol w:val="."/>
  <w:listSeparator w:val=","/>
  <w14:docId w14:val="50450882"/>
  <w15:docId w15:val="{AC7830B5-5606-46AF-91C6-C8C094C20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link w:val="Heading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paragraph" w:styleId="NoSpacing">
    <w:name w:val="No Spacing"/>
    <w:uiPriority w:val="1"/>
    <w:qFormat/>
    <w:rsid w:val="00316D75"/>
    <w:pPr>
      <w:spacing w:after="0" w:line="240"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z-TopofForm">
    <w:name w:val="HTML Top of Form"/>
    <w:basedOn w:val="Normal"/>
    <w:next w:val="Normal"/>
    <w:link w:val="z-TopofFormChar"/>
    <w:hidden/>
    <w:uiPriority w:val="99"/>
    <w:semiHidden/>
    <w:unhideWhenUsed/>
    <w:rsid w:val="002673C8"/>
    <w:pPr>
      <w:pBdr>
        <w:bottom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TopofFormChar">
    <w:name w:val="z-Top of Form Char"/>
    <w:basedOn w:val="DefaultParagraphFont"/>
    <w:link w:val="z-TopofForm"/>
    <w:uiPriority w:val="99"/>
    <w:semiHidden/>
    <w:rsid w:val="002673C8"/>
    <w:rPr>
      <w:rFonts w:ascii="Arial" w:eastAsia="Times New Roman" w:hAnsi="Arial" w:cs="Arial"/>
      <w:vanish/>
      <w:sz w:val="16"/>
      <w:szCs w:val="16"/>
      <w:lang w:val="en-US"/>
    </w:rPr>
  </w:style>
  <w:style w:type="paragraph" w:customStyle="1" w:styleId="placeholder">
    <w:name w:val="placeholder"/>
    <w:basedOn w:val="Normal"/>
    <w:rsid w:val="002673C8"/>
    <w:pPr>
      <w:spacing w:before="100" w:beforeAutospacing="1" w:after="100" w:afterAutospacing="1" w:line="240" w:lineRule="auto"/>
      <w:ind w:left="0" w:right="0" w:firstLine="0"/>
      <w:jc w:val="left"/>
    </w:pPr>
    <w:rPr>
      <w:color w:val="auto"/>
      <w:kern w:val="0"/>
      <w:lang w:val="en-US" w:eastAsia="en-US"/>
    </w:rPr>
  </w:style>
  <w:style w:type="paragraph" w:styleId="z-BottomofForm">
    <w:name w:val="HTML Bottom of Form"/>
    <w:basedOn w:val="Normal"/>
    <w:next w:val="Normal"/>
    <w:link w:val="z-BottomofFormChar"/>
    <w:hidden/>
    <w:uiPriority w:val="99"/>
    <w:semiHidden/>
    <w:unhideWhenUsed/>
    <w:rsid w:val="002673C8"/>
    <w:pPr>
      <w:pBdr>
        <w:top w:val="single" w:sz="6" w:space="1" w:color="auto"/>
      </w:pBdr>
      <w:spacing w:after="0" w:line="240" w:lineRule="auto"/>
      <w:ind w:left="0" w:right="0" w:firstLine="0"/>
      <w:jc w:val="center"/>
    </w:pPr>
    <w:rPr>
      <w:rFonts w:ascii="Arial" w:hAnsi="Arial" w:cs="Arial"/>
      <w:vanish/>
      <w:color w:val="auto"/>
      <w:kern w:val="0"/>
      <w:sz w:val="16"/>
      <w:szCs w:val="16"/>
      <w:lang w:val="en-US" w:eastAsia="en-US"/>
    </w:rPr>
  </w:style>
  <w:style w:type="character" w:customStyle="1" w:styleId="z-BottomofFormChar">
    <w:name w:val="z-Bottom of Form Char"/>
    <w:basedOn w:val="DefaultParagraphFont"/>
    <w:link w:val="z-BottomofForm"/>
    <w:uiPriority w:val="99"/>
    <w:semiHidden/>
    <w:rsid w:val="002673C8"/>
    <w:rPr>
      <w:rFonts w:ascii="Arial" w:eastAsia="Times New Roman" w:hAnsi="Arial" w:cs="Arial"/>
      <w:vanish/>
      <w:sz w:val="16"/>
      <w:szCs w:val="16"/>
      <w:lang w:val="en-US"/>
    </w:rPr>
  </w:style>
  <w:style w:type="table" w:styleId="TableGrid">
    <w:name w:val="Table Grid"/>
    <w:basedOn w:val="TableNormal"/>
    <w:uiPriority w:val="39"/>
    <w:rsid w:val="00FD0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bibliographic-informationvalue">
    <w:name w:val="c-bibliographic-information__value"/>
    <w:basedOn w:val="DefaultParagraphFont"/>
    <w:rsid w:val="00317E7E"/>
  </w:style>
  <w:style w:type="character" w:customStyle="1" w:styleId="highwire-cite-metadata-doi">
    <w:name w:val="highwire-cite-metadata-doi"/>
    <w:basedOn w:val="DefaultParagraphFont"/>
    <w:rsid w:val="00317E7E"/>
  </w:style>
  <w:style w:type="paragraph" w:styleId="CommentText">
    <w:name w:val="annotation text"/>
    <w:basedOn w:val="Normal"/>
    <w:link w:val="CommentTextChar"/>
    <w:uiPriority w:val="99"/>
    <w:unhideWhenUsed/>
    <w:rsid w:val="00417DFC"/>
    <w:pPr>
      <w:spacing w:after="160" w:line="240" w:lineRule="auto"/>
      <w:ind w:left="0" w:right="0" w:firstLine="0"/>
      <w:jc w:val="left"/>
    </w:pPr>
    <w:rPr>
      <w:rFonts w:asciiTheme="minorHAnsi" w:eastAsiaTheme="minorEastAsia" w:hAnsiTheme="minorHAnsi" w:cstheme="minorBidi"/>
      <w:color w:val="auto"/>
      <w:kern w:val="0"/>
      <w:sz w:val="20"/>
      <w:szCs w:val="20"/>
      <w:lang w:val="en-AU" w:eastAsia="zh-CN"/>
    </w:rPr>
  </w:style>
  <w:style w:type="character" w:customStyle="1" w:styleId="CommentTextChar">
    <w:name w:val="Comment Text Char"/>
    <w:basedOn w:val="DefaultParagraphFont"/>
    <w:link w:val="CommentText"/>
    <w:uiPriority w:val="99"/>
    <w:rsid w:val="00417DFC"/>
    <w:rPr>
      <w:rFonts w:eastAsiaTheme="minorEastAsia"/>
      <w:sz w:val="20"/>
      <w:szCs w:val="20"/>
      <w:lang w:val="en-AU" w:eastAsia="zh-CN"/>
    </w:rPr>
  </w:style>
  <w:style w:type="paragraph" w:styleId="Header">
    <w:name w:val="header"/>
    <w:basedOn w:val="Normal"/>
    <w:link w:val="HeaderChar"/>
    <w:uiPriority w:val="99"/>
    <w:unhideWhenUsed/>
    <w:rsid w:val="005427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715"/>
    <w:rPr>
      <w:rFonts w:ascii="Times New Roman" w:eastAsia="Times New Roman" w:hAnsi="Times New Roman" w:cs="Times New Roman"/>
      <w:color w:val="000000"/>
      <w:kern w:val="2"/>
      <w:sz w:val="24"/>
      <w:szCs w:val="24"/>
      <w:lang w:val="en-IN" w:eastAsia="en-IN"/>
    </w:rPr>
  </w:style>
  <w:style w:type="paragraph" w:styleId="Footer">
    <w:name w:val="footer"/>
    <w:basedOn w:val="Normal"/>
    <w:link w:val="FooterChar"/>
    <w:uiPriority w:val="99"/>
    <w:unhideWhenUsed/>
    <w:rsid w:val="005427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715"/>
    <w:rPr>
      <w:rFonts w:ascii="Times New Roman" w:eastAsia="Times New Roman" w:hAnsi="Times New Roman" w:cs="Times New Roman"/>
      <w:color w:val="000000"/>
      <w:kern w:val="2"/>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6761579">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38820126">
      <w:bodyDiv w:val="1"/>
      <w:marLeft w:val="0"/>
      <w:marRight w:val="0"/>
      <w:marTop w:val="0"/>
      <w:marBottom w:val="0"/>
      <w:divBdr>
        <w:top w:val="none" w:sz="0" w:space="0" w:color="auto"/>
        <w:left w:val="none" w:sz="0" w:space="0" w:color="auto"/>
        <w:bottom w:val="none" w:sz="0" w:space="0" w:color="auto"/>
        <w:right w:val="none" w:sz="0" w:space="0" w:color="auto"/>
      </w:divBdr>
      <w:divsChild>
        <w:div w:id="130826465">
          <w:marLeft w:val="0"/>
          <w:marRight w:val="0"/>
          <w:marTop w:val="0"/>
          <w:marBottom w:val="0"/>
          <w:divBdr>
            <w:top w:val="none" w:sz="0" w:space="0" w:color="auto"/>
            <w:left w:val="none" w:sz="0" w:space="0" w:color="auto"/>
            <w:bottom w:val="none" w:sz="0" w:space="0" w:color="auto"/>
            <w:right w:val="none" w:sz="0" w:space="0" w:color="auto"/>
          </w:divBdr>
          <w:divsChild>
            <w:div w:id="16997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42449">
      <w:bodyDiv w:val="1"/>
      <w:marLeft w:val="0"/>
      <w:marRight w:val="0"/>
      <w:marTop w:val="0"/>
      <w:marBottom w:val="0"/>
      <w:divBdr>
        <w:top w:val="none" w:sz="0" w:space="0" w:color="auto"/>
        <w:left w:val="none" w:sz="0" w:space="0" w:color="auto"/>
        <w:bottom w:val="none" w:sz="0" w:space="0" w:color="auto"/>
        <w:right w:val="none" w:sz="0" w:space="0" w:color="auto"/>
      </w:divBdr>
      <w:divsChild>
        <w:div w:id="721946594">
          <w:marLeft w:val="0"/>
          <w:marRight w:val="0"/>
          <w:marTop w:val="0"/>
          <w:marBottom w:val="0"/>
          <w:divBdr>
            <w:top w:val="none" w:sz="0" w:space="0" w:color="auto"/>
            <w:left w:val="none" w:sz="0" w:space="0" w:color="auto"/>
            <w:bottom w:val="none" w:sz="0" w:space="0" w:color="auto"/>
            <w:right w:val="none" w:sz="0" w:space="0" w:color="auto"/>
          </w:divBdr>
          <w:divsChild>
            <w:div w:id="716860715">
              <w:marLeft w:val="0"/>
              <w:marRight w:val="0"/>
              <w:marTop w:val="0"/>
              <w:marBottom w:val="0"/>
              <w:divBdr>
                <w:top w:val="none" w:sz="0" w:space="0" w:color="auto"/>
                <w:left w:val="none" w:sz="0" w:space="0" w:color="auto"/>
                <w:bottom w:val="none" w:sz="0" w:space="0" w:color="auto"/>
                <w:right w:val="none" w:sz="0" w:space="0" w:color="auto"/>
              </w:divBdr>
              <w:divsChild>
                <w:div w:id="945188306">
                  <w:marLeft w:val="0"/>
                  <w:marRight w:val="0"/>
                  <w:marTop w:val="0"/>
                  <w:marBottom w:val="0"/>
                  <w:divBdr>
                    <w:top w:val="none" w:sz="0" w:space="0" w:color="auto"/>
                    <w:left w:val="none" w:sz="0" w:space="0" w:color="auto"/>
                    <w:bottom w:val="none" w:sz="0" w:space="0" w:color="auto"/>
                    <w:right w:val="none" w:sz="0" w:space="0" w:color="auto"/>
                  </w:divBdr>
                  <w:divsChild>
                    <w:div w:id="763841092">
                      <w:marLeft w:val="0"/>
                      <w:marRight w:val="0"/>
                      <w:marTop w:val="0"/>
                      <w:marBottom w:val="0"/>
                      <w:divBdr>
                        <w:top w:val="none" w:sz="0" w:space="0" w:color="auto"/>
                        <w:left w:val="none" w:sz="0" w:space="0" w:color="auto"/>
                        <w:bottom w:val="none" w:sz="0" w:space="0" w:color="auto"/>
                        <w:right w:val="none" w:sz="0" w:space="0" w:color="auto"/>
                      </w:divBdr>
                      <w:divsChild>
                        <w:div w:id="930622031">
                          <w:marLeft w:val="0"/>
                          <w:marRight w:val="0"/>
                          <w:marTop w:val="0"/>
                          <w:marBottom w:val="0"/>
                          <w:divBdr>
                            <w:top w:val="none" w:sz="0" w:space="0" w:color="auto"/>
                            <w:left w:val="none" w:sz="0" w:space="0" w:color="auto"/>
                            <w:bottom w:val="none" w:sz="0" w:space="0" w:color="auto"/>
                            <w:right w:val="none" w:sz="0" w:space="0" w:color="auto"/>
                          </w:divBdr>
                          <w:divsChild>
                            <w:div w:id="1721706477">
                              <w:marLeft w:val="0"/>
                              <w:marRight w:val="0"/>
                              <w:marTop w:val="0"/>
                              <w:marBottom w:val="0"/>
                              <w:divBdr>
                                <w:top w:val="none" w:sz="0" w:space="0" w:color="auto"/>
                                <w:left w:val="none" w:sz="0" w:space="0" w:color="auto"/>
                                <w:bottom w:val="none" w:sz="0" w:space="0" w:color="auto"/>
                                <w:right w:val="none" w:sz="0" w:space="0" w:color="auto"/>
                              </w:divBdr>
                              <w:divsChild>
                                <w:div w:id="152975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3004">
      <w:bodyDiv w:val="1"/>
      <w:marLeft w:val="0"/>
      <w:marRight w:val="0"/>
      <w:marTop w:val="0"/>
      <w:marBottom w:val="0"/>
      <w:divBdr>
        <w:top w:val="none" w:sz="0" w:space="0" w:color="auto"/>
        <w:left w:val="none" w:sz="0" w:space="0" w:color="auto"/>
        <w:bottom w:val="none" w:sz="0" w:space="0" w:color="auto"/>
        <w:right w:val="none" w:sz="0" w:space="0" w:color="auto"/>
      </w:divBdr>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2629798">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81897">
      <w:bodyDiv w:val="1"/>
      <w:marLeft w:val="0"/>
      <w:marRight w:val="0"/>
      <w:marTop w:val="0"/>
      <w:marBottom w:val="0"/>
      <w:divBdr>
        <w:top w:val="none" w:sz="0" w:space="0" w:color="auto"/>
        <w:left w:val="none" w:sz="0" w:space="0" w:color="auto"/>
        <w:bottom w:val="none" w:sz="0" w:space="0" w:color="auto"/>
        <w:right w:val="none" w:sz="0" w:space="0" w:color="auto"/>
      </w:divBdr>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01460218">
      <w:bodyDiv w:val="1"/>
      <w:marLeft w:val="0"/>
      <w:marRight w:val="0"/>
      <w:marTop w:val="0"/>
      <w:marBottom w:val="0"/>
      <w:divBdr>
        <w:top w:val="none" w:sz="0" w:space="0" w:color="auto"/>
        <w:left w:val="none" w:sz="0" w:space="0" w:color="auto"/>
        <w:bottom w:val="none" w:sz="0" w:space="0" w:color="auto"/>
        <w:right w:val="none" w:sz="0" w:space="0" w:color="auto"/>
      </w:divBdr>
    </w:div>
    <w:div w:id="102652908">
      <w:bodyDiv w:val="1"/>
      <w:marLeft w:val="0"/>
      <w:marRight w:val="0"/>
      <w:marTop w:val="0"/>
      <w:marBottom w:val="0"/>
      <w:divBdr>
        <w:top w:val="none" w:sz="0" w:space="0" w:color="auto"/>
        <w:left w:val="none" w:sz="0" w:space="0" w:color="auto"/>
        <w:bottom w:val="none" w:sz="0" w:space="0" w:color="auto"/>
        <w:right w:val="none" w:sz="0" w:space="0" w:color="auto"/>
      </w:divBdr>
    </w:div>
    <w:div w:id="114758732">
      <w:bodyDiv w:val="1"/>
      <w:marLeft w:val="0"/>
      <w:marRight w:val="0"/>
      <w:marTop w:val="0"/>
      <w:marBottom w:val="0"/>
      <w:divBdr>
        <w:top w:val="none" w:sz="0" w:space="0" w:color="auto"/>
        <w:left w:val="none" w:sz="0" w:space="0" w:color="auto"/>
        <w:bottom w:val="none" w:sz="0" w:space="0" w:color="auto"/>
        <w:right w:val="none" w:sz="0" w:space="0" w:color="auto"/>
      </w:divBdr>
    </w:div>
    <w:div w:id="126355994">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2645113">
      <w:bodyDiv w:val="1"/>
      <w:marLeft w:val="0"/>
      <w:marRight w:val="0"/>
      <w:marTop w:val="0"/>
      <w:marBottom w:val="0"/>
      <w:divBdr>
        <w:top w:val="none" w:sz="0" w:space="0" w:color="auto"/>
        <w:left w:val="none" w:sz="0" w:space="0" w:color="auto"/>
        <w:bottom w:val="none" w:sz="0" w:space="0" w:color="auto"/>
        <w:right w:val="none" w:sz="0" w:space="0" w:color="auto"/>
      </w:divBdr>
    </w:div>
    <w:div w:id="134879474">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61089740">
      <w:bodyDiv w:val="1"/>
      <w:marLeft w:val="0"/>
      <w:marRight w:val="0"/>
      <w:marTop w:val="0"/>
      <w:marBottom w:val="0"/>
      <w:divBdr>
        <w:top w:val="none" w:sz="0" w:space="0" w:color="auto"/>
        <w:left w:val="none" w:sz="0" w:space="0" w:color="auto"/>
        <w:bottom w:val="none" w:sz="0" w:space="0" w:color="auto"/>
        <w:right w:val="none" w:sz="0" w:space="0" w:color="auto"/>
      </w:divBdr>
    </w:div>
    <w:div w:id="168758855">
      <w:bodyDiv w:val="1"/>
      <w:marLeft w:val="0"/>
      <w:marRight w:val="0"/>
      <w:marTop w:val="0"/>
      <w:marBottom w:val="0"/>
      <w:divBdr>
        <w:top w:val="none" w:sz="0" w:space="0" w:color="auto"/>
        <w:left w:val="none" w:sz="0" w:space="0" w:color="auto"/>
        <w:bottom w:val="none" w:sz="0" w:space="0" w:color="auto"/>
        <w:right w:val="none" w:sz="0" w:space="0" w:color="auto"/>
      </w:divBdr>
    </w:div>
    <w:div w:id="178280681">
      <w:bodyDiv w:val="1"/>
      <w:marLeft w:val="0"/>
      <w:marRight w:val="0"/>
      <w:marTop w:val="0"/>
      <w:marBottom w:val="0"/>
      <w:divBdr>
        <w:top w:val="none" w:sz="0" w:space="0" w:color="auto"/>
        <w:left w:val="none" w:sz="0" w:space="0" w:color="auto"/>
        <w:bottom w:val="none" w:sz="0" w:space="0" w:color="auto"/>
        <w:right w:val="none" w:sz="0" w:space="0" w:color="auto"/>
      </w:divBdr>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19824150">
      <w:bodyDiv w:val="1"/>
      <w:marLeft w:val="0"/>
      <w:marRight w:val="0"/>
      <w:marTop w:val="0"/>
      <w:marBottom w:val="0"/>
      <w:divBdr>
        <w:top w:val="none" w:sz="0" w:space="0" w:color="auto"/>
        <w:left w:val="none" w:sz="0" w:space="0" w:color="auto"/>
        <w:bottom w:val="none" w:sz="0" w:space="0" w:color="auto"/>
        <w:right w:val="none" w:sz="0" w:space="0" w:color="auto"/>
      </w:divBdr>
      <w:divsChild>
        <w:div w:id="530922073">
          <w:marLeft w:val="0"/>
          <w:marRight w:val="0"/>
          <w:marTop w:val="0"/>
          <w:marBottom w:val="0"/>
          <w:divBdr>
            <w:top w:val="none" w:sz="0" w:space="0" w:color="auto"/>
            <w:left w:val="none" w:sz="0" w:space="0" w:color="auto"/>
            <w:bottom w:val="none" w:sz="0" w:space="0" w:color="auto"/>
            <w:right w:val="none" w:sz="0" w:space="0" w:color="auto"/>
          </w:divBdr>
          <w:divsChild>
            <w:div w:id="2085494944">
              <w:marLeft w:val="0"/>
              <w:marRight w:val="0"/>
              <w:marTop w:val="0"/>
              <w:marBottom w:val="0"/>
              <w:divBdr>
                <w:top w:val="none" w:sz="0" w:space="0" w:color="auto"/>
                <w:left w:val="none" w:sz="0" w:space="0" w:color="auto"/>
                <w:bottom w:val="none" w:sz="0" w:space="0" w:color="auto"/>
                <w:right w:val="none" w:sz="0" w:space="0" w:color="auto"/>
              </w:divBdr>
              <w:divsChild>
                <w:div w:id="1438674148">
                  <w:marLeft w:val="0"/>
                  <w:marRight w:val="0"/>
                  <w:marTop w:val="0"/>
                  <w:marBottom w:val="0"/>
                  <w:divBdr>
                    <w:top w:val="none" w:sz="0" w:space="0" w:color="auto"/>
                    <w:left w:val="none" w:sz="0" w:space="0" w:color="auto"/>
                    <w:bottom w:val="none" w:sz="0" w:space="0" w:color="auto"/>
                    <w:right w:val="none" w:sz="0" w:space="0" w:color="auto"/>
                  </w:divBdr>
                  <w:divsChild>
                    <w:div w:id="1597598536">
                      <w:marLeft w:val="0"/>
                      <w:marRight w:val="0"/>
                      <w:marTop w:val="0"/>
                      <w:marBottom w:val="0"/>
                      <w:divBdr>
                        <w:top w:val="none" w:sz="0" w:space="0" w:color="auto"/>
                        <w:left w:val="none" w:sz="0" w:space="0" w:color="auto"/>
                        <w:bottom w:val="none" w:sz="0" w:space="0" w:color="auto"/>
                        <w:right w:val="none" w:sz="0" w:space="0" w:color="auto"/>
                      </w:divBdr>
                      <w:divsChild>
                        <w:div w:id="1538542616">
                          <w:marLeft w:val="0"/>
                          <w:marRight w:val="0"/>
                          <w:marTop w:val="0"/>
                          <w:marBottom w:val="0"/>
                          <w:divBdr>
                            <w:top w:val="none" w:sz="0" w:space="0" w:color="auto"/>
                            <w:left w:val="none" w:sz="0" w:space="0" w:color="auto"/>
                            <w:bottom w:val="none" w:sz="0" w:space="0" w:color="auto"/>
                            <w:right w:val="none" w:sz="0" w:space="0" w:color="auto"/>
                          </w:divBdr>
                          <w:divsChild>
                            <w:div w:id="17230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34173">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53979128">
      <w:bodyDiv w:val="1"/>
      <w:marLeft w:val="0"/>
      <w:marRight w:val="0"/>
      <w:marTop w:val="0"/>
      <w:marBottom w:val="0"/>
      <w:divBdr>
        <w:top w:val="none" w:sz="0" w:space="0" w:color="auto"/>
        <w:left w:val="none" w:sz="0" w:space="0" w:color="auto"/>
        <w:bottom w:val="none" w:sz="0" w:space="0" w:color="auto"/>
        <w:right w:val="none" w:sz="0" w:space="0" w:color="auto"/>
      </w:divBdr>
    </w:div>
    <w:div w:id="259917642">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4334636">
      <w:bodyDiv w:val="1"/>
      <w:marLeft w:val="0"/>
      <w:marRight w:val="0"/>
      <w:marTop w:val="0"/>
      <w:marBottom w:val="0"/>
      <w:divBdr>
        <w:top w:val="none" w:sz="0" w:space="0" w:color="auto"/>
        <w:left w:val="none" w:sz="0" w:space="0" w:color="auto"/>
        <w:bottom w:val="none" w:sz="0" w:space="0" w:color="auto"/>
        <w:right w:val="none" w:sz="0" w:space="0" w:color="auto"/>
      </w:divBdr>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283344220">
      <w:bodyDiv w:val="1"/>
      <w:marLeft w:val="0"/>
      <w:marRight w:val="0"/>
      <w:marTop w:val="0"/>
      <w:marBottom w:val="0"/>
      <w:divBdr>
        <w:top w:val="none" w:sz="0" w:space="0" w:color="auto"/>
        <w:left w:val="none" w:sz="0" w:space="0" w:color="auto"/>
        <w:bottom w:val="none" w:sz="0" w:space="0" w:color="auto"/>
        <w:right w:val="none" w:sz="0" w:space="0" w:color="auto"/>
      </w:divBdr>
      <w:divsChild>
        <w:div w:id="497960011">
          <w:marLeft w:val="0"/>
          <w:marRight w:val="0"/>
          <w:marTop w:val="0"/>
          <w:marBottom w:val="0"/>
          <w:divBdr>
            <w:top w:val="none" w:sz="0" w:space="0" w:color="auto"/>
            <w:left w:val="none" w:sz="0" w:space="0" w:color="auto"/>
            <w:bottom w:val="none" w:sz="0" w:space="0" w:color="auto"/>
            <w:right w:val="none" w:sz="0" w:space="0" w:color="auto"/>
          </w:divBdr>
          <w:divsChild>
            <w:div w:id="1338728772">
              <w:marLeft w:val="0"/>
              <w:marRight w:val="0"/>
              <w:marTop w:val="0"/>
              <w:marBottom w:val="0"/>
              <w:divBdr>
                <w:top w:val="none" w:sz="0" w:space="0" w:color="auto"/>
                <w:left w:val="none" w:sz="0" w:space="0" w:color="auto"/>
                <w:bottom w:val="none" w:sz="0" w:space="0" w:color="auto"/>
                <w:right w:val="none" w:sz="0" w:space="0" w:color="auto"/>
              </w:divBdr>
              <w:divsChild>
                <w:div w:id="2112626679">
                  <w:marLeft w:val="0"/>
                  <w:marRight w:val="0"/>
                  <w:marTop w:val="0"/>
                  <w:marBottom w:val="0"/>
                  <w:divBdr>
                    <w:top w:val="none" w:sz="0" w:space="0" w:color="auto"/>
                    <w:left w:val="none" w:sz="0" w:space="0" w:color="auto"/>
                    <w:bottom w:val="none" w:sz="0" w:space="0" w:color="auto"/>
                    <w:right w:val="none" w:sz="0" w:space="0" w:color="auto"/>
                  </w:divBdr>
                  <w:divsChild>
                    <w:div w:id="234560354">
                      <w:marLeft w:val="0"/>
                      <w:marRight w:val="0"/>
                      <w:marTop w:val="0"/>
                      <w:marBottom w:val="0"/>
                      <w:divBdr>
                        <w:top w:val="none" w:sz="0" w:space="0" w:color="auto"/>
                        <w:left w:val="none" w:sz="0" w:space="0" w:color="auto"/>
                        <w:bottom w:val="none" w:sz="0" w:space="0" w:color="auto"/>
                        <w:right w:val="none" w:sz="0" w:space="0" w:color="auto"/>
                      </w:divBdr>
                      <w:divsChild>
                        <w:div w:id="1447853245">
                          <w:marLeft w:val="0"/>
                          <w:marRight w:val="0"/>
                          <w:marTop w:val="0"/>
                          <w:marBottom w:val="0"/>
                          <w:divBdr>
                            <w:top w:val="none" w:sz="0" w:space="0" w:color="auto"/>
                            <w:left w:val="none" w:sz="0" w:space="0" w:color="auto"/>
                            <w:bottom w:val="none" w:sz="0" w:space="0" w:color="auto"/>
                            <w:right w:val="none" w:sz="0" w:space="0" w:color="auto"/>
                          </w:divBdr>
                          <w:divsChild>
                            <w:div w:id="2070105402">
                              <w:marLeft w:val="0"/>
                              <w:marRight w:val="0"/>
                              <w:marTop w:val="0"/>
                              <w:marBottom w:val="0"/>
                              <w:divBdr>
                                <w:top w:val="none" w:sz="0" w:space="0" w:color="auto"/>
                                <w:left w:val="none" w:sz="0" w:space="0" w:color="auto"/>
                                <w:bottom w:val="none" w:sz="0" w:space="0" w:color="auto"/>
                                <w:right w:val="none" w:sz="0" w:space="0" w:color="auto"/>
                              </w:divBdr>
                              <w:divsChild>
                                <w:div w:id="47815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557400">
      <w:bodyDiv w:val="1"/>
      <w:marLeft w:val="0"/>
      <w:marRight w:val="0"/>
      <w:marTop w:val="0"/>
      <w:marBottom w:val="0"/>
      <w:divBdr>
        <w:top w:val="none" w:sz="0" w:space="0" w:color="auto"/>
        <w:left w:val="none" w:sz="0" w:space="0" w:color="auto"/>
        <w:bottom w:val="none" w:sz="0" w:space="0" w:color="auto"/>
        <w:right w:val="none" w:sz="0" w:space="0" w:color="auto"/>
      </w:divBdr>
      <w:divsChild>
        <w:div w:id="1387219884">
          <w:marLeft w:val="0"/>
          <w:marRight w:val="0"/>
          <w:marTop w:val="0"/>
          <w:marBottom w:val="0"/>
          <w:divBdr>
            <w:top w:val="none" w:sz="0" w:space="0" w:color="auto"/>
            <w:left w:val="none" w:sz="0" w:space="0" w:color="auto"/>
            <w:bottom w:val="none" w:sz="0" w:space="0" w:color="auto"/>
            <w:right w:val="none" w:sz="0" w:space="0" w:color="auto"/>
          </w:divBdr>
        </w:div>
      </w:divsChild>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1061265">
      <w:bodyDiv w:val="1"/>
      <w:marLeft w:val="0"/>
      <w:marRight w:val="0"/>
      <w:marTop w:val="0"/>
      <w:marBottom w:val="0"/>
      <w:divBdr>
        <w:top w:val="none" w:sz="0" w:space="0" w:color="auto"/>
        <w:left w:val="none" w:sz="0" w:space="0" w:color="auto"/>
        <w:bottom w:val="none" w:sz="0" w:space="0" w:color="auto"/>
        <w:right w:val="none" w:sz="0" w:space="0" w:color="auto"/>
      </w:divBdr>
      <w:divsChild>
        <w:div w:id="1085810141">
          <w:marLeft w:val="0"/>
          <w:marRight w:val="0"/>
          <w:marTop w:val="0"/>
          <w:marBottom w:val="0"/>
          <w:divBdr>
            <w:top w:val="none" w:sz="0" w:space="0" w:color="auto"/>
            <w:left w:val="none" w:sz="0" w:space="0" w:color="auto"/>
            <w:bottom w:val="none" w:sz="0" w:space="0" w:color="auto"/>
            <w:right w:val="none" w:sz="0" w:space="0" w:color="auto"/>
          </w:divBdr>
        </w:div>
      </w:divsChild>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21399493">
      <w:bodyDiv w:val="1"/>
      <w:marLeft w:val="0"/>
      <w:marRight w:val="0"/>
      <w:marTop w:val="0"/>
      <w:marBottom w:val="0"/>
      <w:divBdr>
        <w:top w:val="none" w:sz="0" w:space="0" w:color="auto"/>
        <w:left w:val="none" w:sz="0" w:space="0" w:color="auto"/>
        <w:bottom w:val="none" w:sz="0" w:space="0" w:color="auto"/>
        <w:right w:val="none" w:sz="0" w:space="0" w:color="auto"/>
      </w:divBdr>
    </w:div>
    <w:div w:id="323319420">
      <w:bodyDiv w:val="1"/>
      <w:marLeft w:val="0"/>
      <w:marRight w:val="0"/>
      <w:marTop w:val="0"/>
      <w:marBottom w:val="0"/>
      <w:divBdr>
        <w:top w:val="none" w:sz="0" w:space="0" w:color="auto"/>
        <w:left w:val="none" w:sz="0" w:space="0" w:color="auto"/>
        <w:bottom w:val="none" w:sz="0" w:space="0" w:color="auto"/>
        <w:right w:val="none" w:sz="0" w:space="0" w:color="auto"/>
      </w:divBdr>
      <w:divsChild>
        <w:div w:id="254943598">
          <w:marLeft w:val="0"/>
          <w:marRight w:val="0"/>
          <w:marTop w:val="0"/>
          <w:marBottom w:val="0"/>
          <w:divBdr>
            <w:top w:val="none" w:sz="0" w:space="0" w:color="auto"/>
            <w:left w:val="none" w:sz="0" w:space="0" w:color="auto"/>
            <w:bottom w:val="none" w:sz="0" w:space="0" w:color="auto"/>
            <w:right w:val="none" w:sz="0" w:space="0" w:color="auto"/>
          </w:divBdr>
          <w:divsChild>
            <w:div w:id="532772142">
              <w:marLeft w:val="0"/>
              <w:marRight w:val="0"/>
              <w:marTop w:val="0"/>
              <w:marBottom w:val="0"/>
              <w:divBdr>
                <w:top w:val="none" w:sz="0" w:space="0" w:color="auto"/>
                <w:left w:val="none" w:sz="0" w:space="0" w:color="auto"/>
                <w:bottom w:val="none" w:sz="0" w:space="0" w:color="auto"/>
                <w:right w:val="none" w:sz="0" w:space="0" w:color="auto"/>
              </w:divBdr>
              <w:divsChild>
                <w:div w:id="1058627625">
                  <w:marLeft w:val="0"/>
                  <w:marRight w:val="0"/>
                  <w:marTop w:val="0"/>
                  <w:marBottom w:val="0"/>
                  <w:divBdr>
                    <w:top w:val="none" w:sz="0" w:space="0" w:color="auto"/>
                    <w:left w:val="none" w:sz="0" w:space="0" w:color="auto"/>
                    <w:bottom w:val="none" w:sz="0" w:space="0" w:color="auto"/>
                    <w:right w:val="none" w:sz="0" w:space="0" w:color="auto"/>
                  </w:divBdr>
                  <w:divsChild>
                    <w:div w:id="188185563">
                      <w:marLeft w:val="0"/>
                      <w:marRight w:val="0"/>
                      <w:marTop w:val="0"/>
                      <w:marBottom w:val="0"/>
                      <w:divBdr>
                        <w:top w:val="none" w:sz="0" w:space="0" w:color="auto"/>
                        <w:left w:val="none" w:sz="0" w:space="0" w:color="auto"/>
                        <w:bottom w:val="none" w:sz="0" w:space="0" w:color="auto"/>
                        <w:right w:val="none" w:sz="0" w:space="0" w:color="auto"/>
                      </w:divBdr>
                      <w:divsChild>
                        <w:div w:id="1000963948">
                          <w:marLeft w:val="0"/>
                          <w:marRight w:val="0"/>
                          <w:marTop w:val="0"/>
                          <w:marBottom w:val="0"/>
                          <w:divBdr>
                            <w:top w:val="none" w:sz="0" w:space="0" w:color="auto"/>
                            <w:left w:val="none" w:sz="0" w:space="0" w:color="auto"/>
                            <w:bottom w:val="none" w:sz="0" w:space="0" w:color="auto"/>
                            <w:right w:val="none" w:sz="0" w:space="0" w:color="auto"/>
                          </w:divBdr>
                          <w:divsChild>
                            <w:div w:id="1077482902">
                              <w:marLeft w:val="0"/>
                              <w:marRight w:val="0"/>
                              <w:marTop w:val="0"/>
                              <w:marBottom w:val="0"/>
                              <w:divBdr>
                                <w:top w:val="none" w:sz="0" w:space="0" w:color="auto"/>
                                <w:left w:val="none" w:sz="0" w:space="0" w:color="auto"/>
                                <w:bottom w:val="none" w:sz="0" w:space="0" w:color="auto"/>
                                <w:right w:val="none" w:sz="0" w:space="0" w:color="auto"/>
                              </w:divBdr>
                              <w:divsChild>
                                <w:div w:id="39505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36226013">
      <w:bodyDiv w:val="1"/>
      <w:marLeft w:val="0"/>
      <w:marRight w:val="0"/>
      <w:marTop w:val="0"/>
      <w:marBottom w:val="0"/>
      <w:divBdr>
        <w:top w:val="none" w:sz="0" w:space="0" w:color="auto"/>
        <w:left w:val="none" w:sz="0" w:space="0" w:color="auto"/>
        <w:bottom w:val="none" w:sz="0" w:space="0" w:color="auto"/>
        <w:right w:val="none" w:sz="0" w:space="0" w:color="auto"/>
      </w:divBdr>
      <w:divsChild>
        <w:div w:id="1213662312">
          <w:marLeft w:val="0"/>
          <w:marRight w:val="0"/>
          <w:marTop w:val="0"/>
          <w:marBottom w:val="0"/>
          <w:divBdr>
            <w:top w:val="none" w:sz="0" w:space="0" w:color="auto"/>
            <w:left w:val="none" w:sz="0" w:space="0" w:color="auto"/>
            <w:bottom w:val="none" w:sz="0" w:space="0" w:color="auto"/>
            <w:right w:val="none" w:sz="0" w:space="0" w:color="auto"/>
          </w:divBdr>
          <w:divsChild>
            <w:div w:id="490682574">
              <w:marLeft w:val="0"/>
              <w:marRight w:val="0"/>
              <w:marTop w:val="0"/>
              <w:marBottom w:val="0"/>
              <w:divBdr>
                <w:top w:val="none" w:sz="0" w:space="0" w:color="auto"/>
                <w:left w:val="none" w:sz="0" w:space="0" w:color="auto"/>
                <w:bottom w:val="none" w:sz="0" w:space="0" w:color="auto"/>
                <w:right w:val="none" w:sz="0" w:space="0" w:color="auto"/>
              </w:divBdr>
              <w:divsChild>
                <w:div w:id="423113839">
                  <w:marLeft w:val="0"/>
                  <w:marRight w:val="0"/>
                  <w:marTop w:val="0"/>
                  <w:marBottom w:val="0"/>
                  <w:divBdr>
                    <w:top w:val="none" w:sz="0" w:space="0" w:color="auto"/>
                    <w:left w:val="none" w:sz="0" w:space="0" w:color="auto"/>
                    <w:bottom w:val="none" w:sz="0" w:space="0" w:color="auto"/>
                    <w:right w:val="none" w:sz="0" w:space="0" w:color="auto"/>
                  </w:divBdr>
                  <w:divsChild>
                    <w:div w:id="1475949629">
                      <w:marLeft w:val="0"/>
                      <w:marRight w:val="0"/>
                      <w:marTop w:val="0"/>
                      <w:marBottom w:val="0"/>
                      <w:divBdr>
                        <w:top w:val="none" w:sz="0" w:space="0" w:color="auto"/>
                        <w:left w:val="none" w:sz="0" w:space="0" w:color="auto"/>
                        <w:bottom w:val="none" w:sz="0" w:space="0" w:color="auto"/>
                        <w:right w:val="none" w:sz="0" w:space="0" w:color="auto"/>
                      </w:divBdr>
                      <w:divsChild>
                        <w:div w:id="115375829">
                          <w:marLeft w:val="0"/>
                          <w:marRight w:val="0"/>
                          <w:marTop w:val="0"/>
                          <w:marBottom w:val="0"/>
                          <w:divBdr>
                            <w:top w:val="none" w:sz="0" w:space="0" w:color="auto"/>
                            <w:left w:val="none" w:sz="0" w:space="0" w:color="auto"/>
                            <w:bottom w:val="none" w:sz="0" w:space="0" w:color="auto"/>
                            <w:right w:val="none" w:sz="0" w:space="0" w:color="auto"/>
                          </w:divBdr>
                          <w:divsChild>
                            <w:div w:id="1556358347">
                              <w:marLeft w:val="0"/>
                              <w:marRight w:val="0"/>
                              <w:marTop w:val="0"/>
                              <w:marBottom w:val="0"/>
                              <w:divBdr>
                                <w:top w:val="none" w:sz="0" w:space="0" w:color="auto"/>
                                <w:left w:val="none" w:sz="0" w:space="0" w:color="auto"/>
                                <w:bottom w:val="none" w:sz="0" w:space="0" w:color="auto"/>
                                <w:right w:val="none" w:sz="0" w:space="0" w:color="auto"/>
                              </w:divBdr>
                              <w:divsChild>
                                <w:div w:id="207180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347949">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57704782">
      <w:bodyDiv w:val="1"/>
      <w:marLeft w:val="0"/>
      <w:marRight w:val="0"/>
      <w:marTop w:val="0"/>
      <w:marBottom w:val="0"/>
      <w:divBdr>
        <w:top w:val="none" w:sz="0" w:space="0" w:color="auto"/>
        <w:left w:val="none" w:sz="0" w:space="0" w:color="auto"/>
        <w:bottom w:val="none" w:sz="0" w:space="0" w:color="auto"/>
        <w:right w:val="none" w:sz="0" w:space="0" w:color="auto"/>
      </w:divBdr>
      <w:divsChild>
        <w:div w:id="1521626172">
          <w:marLeft w:val="0"/>
          <w:marRight w:val="0"/>
          <w:marTop w:val="0"/>
          <w:marBottom w:val="0"/>
          <w:divBdr>
            <w:top w:val="none" w:sz="0" w:space="0" w:color="auto"/>
            <w:left w:val="none" w:sz="0" w:space="0" w:color="auto"/>
            <w:bottom w:val="none" w:sz="0" w:space="0" w:color="auto"/>
            <w:right w:val="none" w:sz="0" w:space="0" w:color="auto"/>
          </w:divBdr>
        </w:div>
      </w:divsChild>
    </w:div>
    <w:div w:id="359940118">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75549419">
      <w:bodyDiv w:val="1"/>
      <w:marLeft w:val="0"/>
      <w:marRight w:val="0"/>
      <w:marTop w:val="0"/>
      <w:marBottom w:val="0"/>
      <w:divBdr>
        <w:top w:val="none" w:sz="0" w:space="0" w:color="auto"/>
        <w:left w:val="none" w:sz="0" w:space="0" w:color="auto"/>
        <w:bottom w:val="none" w:sz="0" w:space="0" w:color="auto"/>
        <w:right w:val="none" w:sz="0" w:space="0" w:color="auto"/>
      </w:divBdr>
      <w:divsChild>
        <w:div w:id="1113088931">
          <w:marLeft w:val="0"/>
          <w:marRight w:val="0"/>
          <w:marTop w:val="0"/>
          <w:marBottom w:val="0"/>
          <w:divBdr>
            <w:top w:val="none" w:sz="0" w:space="0" w:color="auto"/>
            <w:left w:val="none" w:sz="0" w:space="0" w:color="auto"/>
            <w:bottom w:val="none" w:sz="0" w:space="0" w:color="auto"/>
            <w:right w:val="none" w:sz="0" w:space="0" w:color="auto"/>
          </w:divBdr>
          <w:divsChild>
            <w:div w:id="1331910710">
              <w:marLeft w:val="0"/>
              <w:marRight w:val="0"/>
              <w:marTop w:val="0"/>
              <w:marBottom w:val="0"/>
              <w:divBdr>
                <w:top w:val="none" w:sz="0" w:space="0" w:color="auto"/>
                <w:left w:val="none" w:sz="0" w:space="0" w:color="auto"/>
                <w:bottom w:val="none" w:sz="0" w:space="0" w:color="auto"/>
                <w:right w:val="none" w:sz="0" w:space="0" w:color="auto"/>
              </w:divBdr>
              <w:divsChild>
                <w:div w:id="1186597584">
                  <w:marLeft w:val="0"/>
                  <w:marRight w:val="0"/>
                  <w:marTop w:val="0"/>
                  <w:marBottom w:val="0"/>
                  <w:divBdr>
                    <w:top w:val="none" w:sz="0" w:space="0" w:color="auto"/>
                    <w:left w:val="none" w:sz="0" w:space="0" w:color="auto"/>
                    <w:bottom w:val="none" w:sz="0" w:space="0" w:color="auto"/>
                    <w:right w:val="none" w:sz="0" w:space="0" w:color="auto"/>
                  </w:divBdr>
                  <w:divsChild>
                    <w:div w:id="253394744">
                      <w:marLeft w:val="0"/>
                      <w:marRight w:val="0"/>
                      <w:marTop w:val="0"/>
                      <w:marBottom w:val="0"/>
                      <w:divBdr>
                        <w:top w:val="none" w:sz="0" w:space="0" w:color="auto"/>
                        <w:left w:val="none" w:sz="0" w:space="0" w:color="auto"/>
                        <w:bottom w:val="none" w:sz="0" w:space="0" w:color="auto"/>
                        <w:right w:val="none" w:sz="0" w:space="0" w:color="auto"/>
                      </w:divBdr>
                      <w:divsChild>
                        <w:div w:id="292293216">
                          <w:marLeft w:val="0"/>
                          <w:marRight w:val="0"/>
                          <w:marTop w:val="0"/>
                          <w:marBottom w:val="0"/>
                          <w:divBdr>
                            <w:top w:val="none" w:sz="0" w:space="0" w:color="auto"/>
                            <w:left w:val="none" w:sz="0" w:space="0" w:color="auto"/>
                            <w:bottom w:val="none" w:sz="0" w:space="0" w:color="auto"/>
                            <w:right w:val="none" w:sz="0" w:space="0" w:color="auto"/>
                          </w:divBdr>
                          <w:divsChild>
                            <w:div w:id="887834809">
                              <w:marLeft w:val="0"/>
                              <w:marRight w:val="0"/>
                              <w:marTop w:val="0"/>
                              <w:marBottom w:val="0"/>
                              <w:divBdr>
                                <w:top w:val="none" w:sz="0" w:space="0" w:color="auto"/>
                                <w:left w:val="none" w:sz="0" w:space="0" w:color="auto"/>
                                <w:bottom w:val="none" w:sz="0" w:space="0" w:color="auto"/>
                                <w:right w:val="none" w:sz="0" w:space="0" w:color="auto"/>
                              </w:divBdr>
                              <w:divsChild>
                                <w:div w:id="213949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0542696">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749095">
      <w:bodyDiv w:val="1"/>
      <w:marLeft w:val="0"/>
      <w:marRight w:val="0"/>
      <w:marTop w:val="0"/>
      <w:marBottom w:val="0"/>
      <w:divBdr>
        <w:top w:val="none" w:sz="0" w:space="0" w:color="auto"/>
        <w:left w:val="none" w:sz="0" w:space="0" w:color="auto"/>
        <w:bottom w:val="none" w:sz="0" w:space="0" w:color="auto"/>
        <w:right w:val="none" w:sz="0" w:space="0" w:color="auto"/>
      </w:divBdr>
    </w:div>
    <w:div w:id="399060434">
      <w:bodyDiv w:val="1"/>
      <w:marLeft w:val="0"/>
      <w:marRight w:val="0"/>
      <w:marTop w:val="0"/>
      <w:marBottom w:val="0"/>
      <w:divBdr>
        <w:top w:val="none" w:sz="0" w:space="0" w:color="auto"/>
        <w:left w:val="none" w:sz="0" w:space="0" w:color="auto"/>
        <w:bottom w:val="none" w:sz="0" w:space="0" w:color="auto"/>
        <w:right w:val="none" w:sz="0" w:space="0" w:color="auto"/>
      </w:divBdr>
    </w:div>
    <w:div w:id="404229702">
      <w:bodyDiv w:val="1"/>
      <w:marLeft w:val="0"/>
      <w:marRight w:val="0"/>
      <w:marTop w:val="0"/>
      <w:marBottom w:val="0"/>
      <w:divBdr>
        <w:top w:val="none" w:sz="0" w:space="0" w:color="auto"/>
        <w:left w:val="none" w:sz="0" w:space="0" w:color="auto"/>
        <w:bottom w:val="none" w:sz="0" w:space="0" w:color="auto"/>
        <w:right w:val="none" w:sz="0" w:space="0" w:color="auto"/>
      </w:divBdr>
    </w:div>
    <w:div w:id="408962654">
      <w:bodyDiv w:val="1"/>
      <w:marLeft w:val="0"/>
      <w:marRight w:val="0"/>
      <w:marTop w:val="0"/>
      <w:marBottom w:val="0"/>
      <w:divBdr>
        <w:top w:val="none" w:sz="0" w:space="0" w:color="auto"/>
        <w:left w:val="none" w:sz="0" w:space="0" w:color="auto"/>
        <w:bottom w:val="none" w:sz="0" w:space="0" w:color="auto"/>
        <w:right w:val="none" w:sz="0" w:space="0" w:color="auto"/>
      </w:divBdr>
    </w:div>
    <w:div w:id="414279670">
      <w:bodyDiv w:val="1"/>
      <w:marLeft w:val="0"/>
      <w:marRight w:val="0"/>
      <w:marTop w:val="0"/>
      <w:marBottom w:val="0"/>
      <w:divBdr>
        <w:top w:val="none" w:sz="0" w:space="0" w:color="auto"/>
        <w:left w:val="none" w:sz="0" w:space="0" w:color="auto"/>
        <w:bottom w:val="none" w:sz="0" w:space="0" w:color="auto"/>
        <w:right w:val="none" w:sz="0" w:space="0" w:color="auto"/>
      </w:divBdr>
    </w:div>
    <w:div w:id="425350658">
      <w:bodyDiv w:val="1"/>
      <w:marLeft w:val="0"/>
      <w:marRight w:val="0"/>
      <w:marTop w:val="0"/>
      <w:marBottom w:val="0"/>
      <w:divBdr>
        <w:top w:val="none" w:sz="0" w:space="0" w:color="auto"/>
        <w:left w:val="none" w:sz="0" w:space="0" w:color="auto"/>
        <w:bottom w:val="none" w:sz="0" w:space="0" w:color="auto"/>
        <w:right w:val="none" w:sz="0" w:space="0" w:color="auto"/>
      </w:divBdr>
    </w:div>
    <w:div w:id="428240227">
      <w:bodyDiv w:val="1"/>
      <w:marLeft w:val="0"/>
      <w:marRight w:val="0"/>
      <w:marTop w:val="0"/>
      <w:marBottom w:val="0"/>
      <w:divBdr>
        <w:top w:val="none" w:sz="0" w:space="0" w:color="auto"/>
        <w:left w:val="none" w:sz="0" w:space="0" w:color="auto"/>
        <w:bottom w:val="none" w:sz="0" w:space="0" w:color="auto"/>
        <w:right w:val="none" w:sz="0" w:space="0" w:color="auto"/>
      </w:divBdr>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43962094">
      <w:bodyDiv w:val="1"/>
      <w:marLeft w:val="0"/>
      <w:marRight w:val="0"/>
      <w:marTop w:val="0"/>
      <w:marBottom w:val="0"/>
      <w:divBdr>
        <w:top w:val="none" w:sz="0" w:space="0" w:color="auto"/>
        <w:left w:val="none" w:sz="0" w:space="0" w:color="auto"/>
        <w:bottom w:val="none" w:sz="0" w:space="0" w:color="auto"/>
        <w:right w:val="none" w:sz="0" w:space="0" w:color="auto"/>
      </w:divBdr>
      <w:divsChild>
        <w:div w:id="1682390391">
          <w:marLeft w:val="0"/>
          <w:marRight w:val="0"/>
          <w:marTop w:val="0"/>
          <w:marBottom w:val="0"/>
          <w:divBdr>
            <w:top w:val="none" w:sz="0" w:space="0" w:color="auto"/>
            <w:left w:val="none" w:sz="0" w:space="0" w:color="auto"/>
            <w:bottom w:val="none" w:sz="0" w:space="0" w:color="auto"/>
            <w:right w:val="none" w:sz="0" w:space="0" w:color="auto"/>
          </w:divBdr>
        </w:div>
      </w:divsChild>
    </w:div>
    <w:div w:id="445196482">
      <w:bodyDiv w:val="1"/>
      <w:marLeft w:val="0"/>
      <w:marRight w:val="0"/>
      <w:marTop w:val="0"/>
      <w:marBottom w:val="0"/>
      <w:divBdr>
        <w:top w:val="none" w:sz="0" w:space="0" w:color="auto"/>
        <w:left w:val="none" w:sz="0" w:space="0" w:color="auto"/>
        <w:bottom w:val="none" w:sz="0" w:space="0" w:color="auto"/>
        <w:right w:val="none" w:sz="0" w:space="0" w:color="auto"/>
      </w:divBdr>
    </w:div>
    <w:div w:id="448939355">
      <w:bodyDiv w:val="1"/>
      <w:marLeft w:val="0"/>
      <w:marRight w:val="0"/>
      <w:marTop w:val="0"/>
      <w:marBottom w:val="0"/>
      <w:divBdr>
        <w:top w:val="none" w:sz="0" w:space="0" w:color="auto"/>
        <w:left w:val="none" w:sz="0" w:space="0" w:color="auto"/>
        <w:bottom w:val="none" w:sz="0" w:space="0" w:color="auto"/>
        <w:right w:val="none" w:sz="0" w:space="0" w:color="auto"/>
      </w:divBdr>
      <w:divsChild>
        <w:div w:id="1482120192">
          <w:marLeft w:val="0"/>
          <w:marRight w:val="0"/>
          <w:marTop w:val="0"/>
          <w:marBottom w:val="0"/>
          <w:divBdr>
            <w:top w:val="none" w:sz="0" w:space="0" w:color="auto"/>
            <w:left w:val="none" w:sz="0" w:space="0" w:color="auto"/>
            <w:bottom w:val="none" w:sz="0" w:space="0" w:color="auto"/>
            <w:right w:val="none" w:sz="0" w:space="0" w:color="auto"/>
          </w:divBdr>
        </w:div>
      </w:divsChild>
    </w:div>
    <w:div w:id="452749519">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63037522">
      <w:bodyDiv w:val="1"/>
      <w:marLeft w:val="0"/>
      <w:marRight w:val="0"/>
      <w:marTop w:val="0"/>
      <w:marBottom w:val="0"/>
      <w:divBdr>
        <w:top w:val="none" w:sz="0" w:space="0" w:color="auto"/>
        <w:left w:val="none" w:sz="0" w:space="0" w:color="auto"/>
        <w:bottom w:val="none" w:sz="0" w:space="0" w:color="auto"/>
        <w:right w:val="none" w:sz="0" w:space="0" w:color="auto"/>
      </w:divBdr>
    </w:div>
    <w:div w:id="463429804">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89055143">
      <w:bodyDiv w:val="1"/>
      <w:marLeft w:val="0"/>
      <w:marRight w:val="0"/>
      <w:marTop w:val="0"/>
      <w:marBottom w:val="0"/>
      <w:divBdr>
        <w:top w:val="none" w:sz="0" w:space="0" w:color="auto"/>
        <w:left w:val="none" w:sz="0" w:space="0" w:color="auto"/>
        <w:bottom w:val="none" w:sz="0" w:space="0" w:color="auto"/>
        <w:right w:val="none" w:sz="0" w:space="0" w:color="auto"/>
      </w:divBdr>
      <w:divsChild>
        <w:div w:id="1789739480">
          <w:marLeft w:val="0"/>
          <w:marRight w:val="0"/>
          <w:marTop w:val="0"/>
          <w:marBottom w:val="0"/>
          <w:divBdr>
            <w:top w:val="none" w:sz="0" w:space="0" w:color="auto"/>
            <w:left w:val="none" w:sz="0" w:space="0" w:color="auto"/>
            <w:bottom w:val="none" w:sz="0" w:space="0" w:color="auto"/>
            <w:right w:val="none" w:sz="0" w:space="0" w:color="auto"/>
          </w:divBdr>
        </w:div>
      </w:divsChild>
    </w:div>
    <w:div w:id="490340757">
      <w:bodyDiv w:val="1"/>
      <w:marLeft w:val="0"/>
      <w:marRight w:val="0"/>
      <w:marTop w:val="0"/>
      <w:marBottom w:val="0"/>
      <w:divBdr>
        <w:top w:val="none" w:sz="0" w:space="0" w:color="auto"/>
        <w:left w:val="none" w:sz="0" w:space="0" w:color="auto"/>
        <w:bottom w:val="none" w:sz="0" w:space="0" w:color="auto"/>
        <w:right w:val="none" w:sz="0" w:space="0" w:color="auto"/>
      </w:divBdr>
      <w:divsChild>
        <w:div w:id="907152727">
          <w:marLeft w:val="0"/>
          <w:marRight w:val="0"/>
          <w:marTop w:val="0"/>
          <w:marBottom w:val="0"/>
          <w:divBdr>
            <w:top w:val="none" w:sz="0" w:space="0" w:color="auto"/>
            <w:left w:val="none" w:sz="0" w:space="0" w:color="auto"/>
            <w:bottom w:val="none" w:sz="0" w:space="0" w:color="auto"/>
            <w:right w:val="none" w:sz="0" w:space="0" w:color="auto"/>
          </w:divBdr>
          <w:divsChild>
            <w:div w:id="1941329153">
              <w:marLeft w:val="0"/>
              <w:marRight w:val="0"/>
              <w:marTop w:val="0"/>
              <w:marBottom w:val="0"/>
              <w:divBdr>
                <w:top w:val="none" w:sz="0" w:space="0" w:color="auto"/>
                <w:left w:val="none" w:sz="0" w:space="0" w:color="auto"/>
                <w:bottom w:val="none" w:sz="0" w:space="0" w:color="auto"/>
                <w:right w:val="none" w:sz="0" w:space="0" w:color="auto"/>
              </w:divBdr>
              <w:divsChild>
                <w:div w:id="1614896538">
                  <w:marLeft w:val="0"/>
                  <w:marRight w:val="0"/>
                  <w:marTop w:val="0"/>
                  <w:marBottom w:val="0"/>
                  <w:divBdr>
                    <w:top w:val="none" w:sz="0" w:space="0" w:color="auto"/>
                    <w:left w:val="none" w:sz="0" w:space="0" w:color="auto"/>
                    <w:bottom w:val="none" w:sz="0" w:space="0" w:color="auto"/>
                    <w:right w:val="none" w:sz="0" w:space="0" w:color="auto"/>
                  </w:divBdr>
                  <w:divsChild>
                    <w:div w:id="977146560">
                      <w:marLeft w:val="0"/>
                      <w:marRight w:val="0"/>
                      <w:marTop w:val="0"/>
                      <w:marBottom w:val="0"/>
                      <w:divBdr>
                        <w:top w:val="none" w:sz="0" w:space="0" w:color="auto"/>
                        <w:left w:val="none" w:sz="0" w:space="0" w:color="auto"/>
                        <w:bottom w:val="none" w:sz="0" w:space="0" w:color="auto"/>
                        <w:right w:val="none" w:sz="0" w:space="0" w:color="auto"/>
                      </w:divBdr>
                      <w:divsChild>
                        <w:div w:id="719595758">
                          <w:marLeft w:val="0"/>
                          <w:marRight w:val="0"/>
                          <w:marTop w:val="0"/>
                          <w:marBottom w:val="0"/>
                          <w:divBdr>
                            <w:top w:val="none" w:sz="0" w:space="0" w:color="auto"/>
                            <w:left w:val="none" w:sz="0" w:space="0" w:color="auto"/>
                            <w:bottom w:val="none" w:sz="0" w:space="0" w:color="auto"/>
                            <w:right w:val="none" w:sz="0" w:space="0" w:color="auto"/>
                          </w:divBdr>
                          <w:divsChild>
                            <w:div w:id="1395591503">
                              <w:marLeft w:val="0"/>
                              <w:marRight w:val="0"/>
                              <w:marTop w:val="0"/>
                              <w:marBottom w:val="0"/>
                              <w:divBdr>
                                <w:top w:val="none" w:sz="0" w:space="0" w:color="auto"/>
                                <w:left w:val="none" w:sz="0" w:space="0" w:color="auto"/>
                                <w:bottom w:val="none" w:sz="0" w:space="0" w:color="auto"/>
                                <w:right w:val="none" w:sz="0" w:space="0" w:color="auto"/>
                              </w:divBdr>
                              <w:divsChild>
                                <w:div w:id="79448421">
                                  <w:marLeft w:val="0"/>
                                  <w:marRight w:val="0"/>
                                  <w:marTop w:val="0"/>
                                  <w:marBottom w:val="0"/>
                                  <w:divBdr>
                                    <w:top w:val="none" w:sz="0" w:space="0" w:color="auto"/>
                                    <w:left w:val="none" w:sz="0" w:space="0" w:color="auto"/>
                                    <w:bottom w:val="none" w:sz="0" w:space="0" w:color="auto"/>
                                    <w:right w:val="none" w:sz="0" w:space="0" w:color="auto"/>
                                  </w:divBdr>
                                  <w:divsChild>
                                    <w:div w:id="1792088012">
                                      <w:marLeft w:val="0"/>
                                      <w:marRight w:val="0"/>
                                      <w:marTop w:val="0"/>
                                      <w:marBottom w:val="0"/>
                                      <w:divBdr>
                                        <w:top w:val="none" w:sz="0" w:space="0" w:color="auto"/>
                                        <w:left w:val="none" w:sz="0" w:space="0" w:color="auto"/>
                                        <w:bottom w:val="none" w:sz="0" w:space="0" w:color="auto"/>
                                        <w:right w:val="none" w:sz="0" w:space="0" w:color="auto"/>
                                      </w:divBdr>
                                      <w:divsChild>
                                        <w:div w:id="140969493">
                                          <w:marLeft w:val="0"/>
                                          <w:marRight w:val="0"/>
                                          <w:marTop w:val="0"/>
                                          <w:marBottom w:val="0"/>
                                          <w:divBdr>
                                            <w:top w:val="none" w:sz="0" w:space="0" w:color="auto"/>
                                            <w:left w:val="none" w:sz="0" w:space="0" w:color="auto"/>
                                            <w:bottom w:val="none" w:sz="0" w:space="0" w:color="auto"/>
                                            <w:right w:val="none" w:sz="0" w:space="0" w:color="auto"/>
                                          </w:divBdr>
                                          <w:divsChild>
                                            <w:div w:id="14102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583106">
          <w:marLeft w:val="0"/>
          <w:marRight w:val="0"/>
          <w:marTop w:val="0"/>
          <w:marBottom w:val="0"/>
          <w:divBdr>
            <w:top w:val="none" w:sz="0" w:space="0" w:color="auto"/>
            <w:left w:val="none" w:sz="0" w:space="0" w:color="auto"/>
            <w:bottom w:val="none" w:sz="0" w:space="0" w:color="auto"/>
            <w:right w:val="none" w:sz="0" w:space="0" w:color="auto"/>
          </w:divBdr>
          <w:divsChild>
            <w:div w:id="2113740119">
              <w:marLeft w:val="0"/>
              <w:marRight w:val="0"/>
              <w:marTop w:val="0"/>
              <w:marBottom w:val="0"/>
              <w:divBdr>
                <w:top w:val="none" w:sz="0" w:space="0" w:color="auto"/>
                <w:left w:val="none" w:sz="0" w:space="0" w:color="auto"/>
                <w:bottom w:val="none" w:sz="0" w:space="0" w:color="auto"/>
                <w:right w:val="none" w:sz="0" w:space="0" w:color="auto"/>
              </w:divBdr>
              <w:divsChild>
                <w:div w:id="977690344">
                  <w:marLeft w:val="0"/>
                  <w:marRight w:val="0"/>
                  <w:marTop w:val="0"/>
                  <w:marBottom w:val="0"/>
                  <w:divBdr>
                    <w:top w:val="none" w:sz="0" w:space="0" w:color="auto"/>
                    <w:left w:val="none" w:sz="0" w:space="0" w:color="auto"/>
                    <w:bottom w:val="none" w:sz="0" w:space="0" w:color="auto"/>
                    <w:right w:val="none" w:sz="0" w:space="0" w:color="auto"/>
                  </w:divBdr>
                  <w:divsChild>
                    <w:div w:id="728698052">
                      <w:marLeft w:val="0"/>
                      <w:marRight w:val="0"/>
                      <w:marTop w:val="0"/>
                      <w:marBottom w:val="0"/>
                      <w:divBdr>
                        <w:top w:val="none" w:sz="0" w:space="0" w:color="auto"/>
                        <w:left w:val="none" w:sz="0" w:space="0" w:color="auto"/>
                        <w:bottom w:val="none" w:sz="0" w:space="0" w:color="auto"/>
                        <w:right w:val="none" w:sz="0" w:space="0" w:color="auto"/>
                      </w:divBdr>
                      <w:divsChild>
                        <w:div w:id="902368411">
                          <w:marLeft w:val="0"/>
                          <w:marRight w:val="0"/>
                          <w:marTop w:val="0"/>
                          <w:marBottom w:val="0"/>
                          <w:divBdr>
                            <w:top w:val="none" w:sz="0" w:space="0" w:color="auto"/>
                            <w:left w:val="none" w:sz="0" w:space="0" w:color="auto"/>
                            <w:bottom w:val="none" w:sz="0" w:space="0" w:color="auto"/>
                            <w:right w:val="none" w:sz="0" w:space="0" w:color="auto"/>
                          </w:divBdr>
                          <w:divsChild>
                            <w:div w:id="2034263318">
                              <w:marLeft w:val="0"/>
                              <w:marRight w:val="0"/>
                              <w:marTop w:val="0"/>
                              <w:marBottom w:val="0"/>
                              <w:divBdr>
                                <w:top w:val="none" w:sz="0" w:space="0" w:color="auto"/>
                                <w:left w:val="none" w:sz="0" w:space="0" w:color="auto"/>
                                <w:bottom w:val="none" w:sz="0" w:space="0" w:color="auto"/>
                                <w:right w:val="none" w:sz="0" w:space="0" w:color="auto"/>
                              </w:divBdr>
                              <w:divsChild>
                                <w:div w:id="489831004">
                                  <w:marLeft w:val="0"/>
                                  <w:marRight w:val="0"/>
                                  <w:marTop w:val="0"/>
                                  <w:marBottom w:val="0"/>
                                  <w:divBdr>
                                    <w:top w:val="none" w:sz="0" w:space="0" w:color="auto"/>
                                    <w:left w:val="none" w:sz="0" w:space="0" w:color="auto"/>
                                    <w:bottom w:val="none" w:sz="0" w:space="0" w:color="auto"/>
                                    <w:right w:val="none" w:sz="0" w:space="0" w:color="auto"/>
                                  </w:divBdr>
                                  <w:divsChild>
                                    <w:div w:id="1450661755">
                                      <w:marLeft w:val="0"/>
                                      <w:marRight w:val="0"/>
                                      <w:marTop w:val="0"/>
                                      <w:marBottom w:val="0"/>
                                      <w:divBdr>
                                        <w:top w:val="none" w:sz="0" w:space="0" w:color="auto"/>
                                        <w:left w:val="none" w:sz="0" w:space="0" w:color="auto"/>
                                        <w:bottom w:val="none" w:sz="0" w:space="0" w:color="auto"/>
                                        <w:right w:val="none" w:sz="0" w:space="0" w:color="auto"/>
                                      </w:divBdr>
                                      <w:divsChild>
                                        <w:div w:id="418872981">
                                          <w:marLeft w:val="0"/>
                                          <w:marRight w:val="0"/>
                                          <w:marTop w:val="0"/>
                                          <w:marBottom w:val="0"/>
                                          <w:divBdr>
                                            <w:top w:val="none" w:sz="0" w:space="0" w:color="auto"/>
                                            <w:left w:val="none" w:sz="0" w:space="0" w:color="auto"/>
                                            <w:bottom w:val="none" w:sz="0" w:space="0" w:color="auto"/>
                                            <w:right w:val="none" w:sz="0" w:space="0" w:color="auto"/>
                                          </w:divBdr>
                                          <w:divsChild>
                                            <w:div w:id="14979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834196">
              <w:marLeft w:val="0"/>
              <w:marRight w:val="0"/>
              <w:marTop w:val="0"/>
              <w:marBottom w:val="0"/>
              <w:divBdr>
                <w:top w:val="none" w:sz="0" w:space="0" w:color="auto"/>
                <w:left w:val="none" w:sz="0" w:space="0" w:color="auto"/>
                <w:bottom w:val="none" w:sz="0" w:space="0" w:color="auto"/>
                <w:right w:val="none" w:sz="0" w:space="0" w:color="auto"/>
              </w:divBdr>
              <w:divsChild>
                <w:div w:id="642809547">
                  <w:marLeft w:val="0"/>
                  <w:marRight w:val="0"/>
                  <w:marTop w:val="0"/>
                  <w:marBottom w:val="0"/>
                  <w:divBdr>
                    <w:top w:val="none" w:sz="0" w:space="0" w:color="auto"/>
                    <w:left w:val="none" w:sz="0" w:space="0" w:color="auto"/>
                    <w:bottom w:val="none" w:sz="0" w:space="0" w:color="auto"/>
                    <w:right w:val="none" w:sz="0" w:space="0" w:color="auto"/>
                  </w:divBdr>
                  <w:divsChild>
                    <w:div w:id="34926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499546872">
      <w:bodyDiv w:val="1"/>
      <w:marLeft w:val="0"/>
      <w:marRight w:val="0"/>
      <w:marTop w:val="0"/>
      <w:marBottom w:val="0"/>
      <w:divBdr>
        <w:top w:val="none" w:sz="0" w:space="0" w:color="auto"/>
        <w:left w:val="none" w:sz="0" w:space="0" w:color="auto"/>
        <w:bottom w:val="none" w:sz="0" w:space="0" w:color="auto"/>
        <w:right w:val="none" w:sz="0" w:space="0" w:color="auto"/>
      </w:divBdr>
      <w:divsChild>
        <w:div w:id="1204513116">
          <w:marLeft w:val="0"/>
          <w:marRight w:val="0"/>
          <w:marTop w:val="0"/>
          <w:marBottom w:val="0"/>
          <w:divBdr>
            <w:top w:val="none" w:sz="0" w:space="0" w:color="auto"/>
            <w:left w:val="none" w:sz="0" w:space="0" w:color="auto"/>
            <w:bottom w:val="none" w:sz="0" w:space="0" w:color="auto"/>
            <w:right w:val="none" w:sz="0" w:space="0" w:color="auto"/>
          </w:divBdr>
        </w:div>
      </w:divsChild>
    </w:div>
    <w:div w:id="502747365">
      <w:bodyDiv w:val="1"/>
      <w:marLeft w:val="0"/>
      <w:marRight w:val="0"/>
      <w:marTop w:val="0"/>
      <w:marBottom w:val="0"/>
      <w:divBdr>
        <w:top w:val="none" w:sz="0" w:space="0" w:color="auto"/>
        <w:left w:val="none" w:sz="0" w:space="0" w:color="auto"/>
        <w:bottom w:val="none" w:sz="0" w:space="0" w:color="auto"/>
        <w:right w:val="none" w:sz="0" w:space="0" w:color="auto"/>
      </w:divBdr>
    </w:div>
    <w:div w:id="504251175">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760302">
      <w:bodyDiv w:val="1"/>
      <w:marLeft w:val="0"/>
      <w:marRight w:val="0"/>
      <w:marTop w:val="0"/>
      <w:marBottom w:val="0"/>
      <w:divBdr>
        <w:top w:val="none" w:sz="0" w:space="0" w:color="auto"/>
        <w:left w:val="none" w:sz="0" w:space="0" w:color="auto"/>
        <w:bottom w:val="none" w:sz="0" w:space="0" w:color="auto"/>
        <w:right w:val="none" w:sz="0" w:space="0" w:color="auto"/>
      </w:divBdr>
    </w:div>
    <w:div w:id="513421635">
      <w:bodyDiv w:val="1"/>
      <w:marLeft w:val="0"/>
      <w:marRight w:val="0"/>
      <w:marTop w:val="0"/>
      <w:marBottom w:val="0"/>
      <w:divBdr>
        <w:top w:val="none" w:sz="0" w:space="0" w:color="auto"/>
        <w:left w:val="none" w:sz="0" w:space="0" w:color="auto"/>
        <w:bottom w:val="none" w:sz="0" w:space="0" w:color="auto"/>
        <w:right w:val="none" w:sz="0" w:space="0" w:color="auto"/>
      </w:divBdr>
    </w:div>
    <w:div w:id="515970222">
      <w:bodyDiv w:val="1"/>
      <w:marLeft w:val="0"/>
      <w:marRight w:val="0"/>
      <w:marTop w:val="0"/>
      <w:marBottom w:val="0"/>
      <w:divBdr>
        <w:top w:val="none" w:sz="0" w:space="0" w:color="auto"/>
        <w:left w:val="none" w:sz="0" w:space="0" w:color="auto"/>
        <w:bottom w:val="none" w:sz="0" w:space="0" w:color="auto"/>
        <w:right w:val="none" w:sz="0" w:space="0" w:color="auto"/>
      </w:divBdr>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34463556">
      <w:bodyDiv w:val="1"/>
      <w:marLeft w:val="0"/>
      <w:marRight w:val="0"/>
      <w:marTop w:val="0"/>
      <w:marBottom w:val="0"/>
      <w:divBdr>
        <w:top w:val="none" w:sz="0" w:space="0" w:color="auto"/>
        <w:left w:val="none" w:sz="0" w:space="0" w:color="auto"/>
        <w:bottom w:val="none" w:sz="0" w:space="0" w:color="auto"/>
        <w:right w:val="none" w:sz="0" w:space="0" w:color="auto"/>
      </w:divBdr>
    </w:div>
    <w:div w:id="536163032">
      <w:bodyDiv w:val="1"/>
      <w:marLeft w:val="0"/>
      <w:marRight w:val="0"/>
      <w:marTop w:val="0"/>
      <w:marBottom w:val="0"/>
      <w:divBdr>
        <w:top w:val="none" w:sz="0" w:space="0" w:color="auto"/>
        <w:left w:val="none" w:sz="0" w:space="0" w:color="auto"/>
        <w:bottom w:val="none" w:sz="0" w:space="0" w:color="auto"/>
        <w:right w:val="none" w:sz="0" w:space="0" w:color="auto"/>
      </w:divBdr>
    </w:div>
    <w:div w:id="539635598">
      <w:bodyDiv w:val="1"/>
      <w:marLeft w:val="0"/>
      <w:marRight w:val="0"/>
      <w:marTop w:val="0"/>
      <w:marBottom w:val="0"/>
      <w:divBdr>
        <w:top w:val="none" w:sz="0" w:space="0" w:color="auto"/>
        <w:left w:val="none" w:sz="0" w:space="0" w:color="auto"/>
        <w:bottom w:val="none" w:sz="0" w:space="0" w:color="auto"/>
        <w:right w:val="none" w:sz="0" w:space="0" w:color="auto"/>
      </w:divBdr>
      <w:divsChild>
        <w:div w:id="1202939672">
          <w:marLeft w:val="0"/>
          <w:marRight w:val="0"/>
          <w:marTop w:val="0"/>
          <w:marBottom w:val="0"/>
          <w:divBdr>
            <w:top w:val="none" w:sz="0" w:space="0" w:color="auto"/>
            <w:left w:val="none" w:sz="0" w:space="0" w:color="auto"/>
            <w:bottom w:val="none" w:sz="0" w:space="0" w:color="auto"/>
            <w:right w:val="none" w:sz="0" w:space="0" w:color="auto"/>
          </w:divBdr>
        </w:div>
      </w:divsChild>
    </w:div>
    <w:div w:id="540627242">
      <w:bodyDiv w:val="1"/>
      <w:marLeft w:val="0"/>
      <w:marRight w:val="0"/>
      <w:marTop w:val="0"/>
      <w:marBottom w:val="0"/>
      <w:divBdr>
        <w:top w:val="none" w:sz="0" w:space="0" w:color="auto"/>
        <w:left w:val="none" w:sz="0" w:space="0" w:color="auto"/>
        <w:bottom w:val="none" w:sz="0" w:space="0" w:color="auto"/>
        <w:right w:val="none" w:sz="0" w:space="0" w:color="auto"/>
      </w:divBdr>
    </w:div>
    <w:div w:id="542446297">
      <w:bodyDiv w:val="1"/>
      <w:marLeft w:val="0"/>
      <w:marRight w:val="0"/>
      <w:marTop w:val="0"/>
      <w:marBottom w:val="0"/>
      <w:divBdr>
        <w:top w:val="none" w:sz="0" w:space="0" w:color="auto"/>
        <w:left w:val="none" w:sz="0" w:space="0" w:color="auto"/>
        <w:bottom w:val="none" w:sz="0" w:space="0" w:color="auto"/>
        <w:right w:val="none" w:sz="0" w:space="0" w:color="auto"/>
      </w:divBdr>
    </w:div>
    <w:div w:id="542450082">
      <w:bodyDiv w:val="1"/>
      <w:marLeft w:val="0"/>
      <w:marRight w:val="0"/>
      <w:marTop w:val="0"/>
      <w:marBottom w:val="0"/>
      <w:divBdr>
        <w:top w:val="none" w:sz="0" w:space="0" w:color="auto"/>
        <w:left w:val="none" w:sz="0" w:space="0" w:color="auto"/>
        <w:bottom w:val="none" w:sz="0" w:space="0" w:color="auto"/>
        <w:right w:val="none" w:sz="0" w:space="0" w:color="auto"/>
      </w:divBdr>
      <w:divsChild>
        <w:div w:id="1175463185">
          <w:marLeft w:val="0"/>
          <w:marRight w:val="0"/>
          <w:marTop w:val="0"/>
          <w:marBottom w:val="0"/>
          <w:divBdr>
            <w:top w:val="none" w:sz="0" w:space="0" w:color="auto"/>
            <w:left w:val="none" w:sz="0" w:space="0" w:color="auto"/>
            <w:bottom w:val="none" w:sz="0" w:space="0" w:color="auto"/>
            <w:right w:val="none" w:sz="0" w:space="0" w:color="auto"/>
          </w:divBdr>
          <w:divsChild>
            <w:div w:id="1465655804">
              <w:marLeft w:val="0"/>
              <w:marRight w:val="0"/>
              <w:marTop w:val="0"/>
              <w:marBottom w:val="0"/>
              <w:divBdr>
                <w:top w:val="none" w:sz="0" w:space="0" w:color="auto"/>
                <w:left w:val="none" w:sz="0" w:space="0" w:color="auto"/>
                <w:bottom w:val="none" w:sz="0" w:space="0" w:color="auto"/>
                <w:right w:val="none" w:sz="0" w:space="0" w:color="auto"/>
              </w:divBdr>
              <w:divsChild>
                <w:div w:id="1614751445">
                  <w:marLeft w:val="0"/>
                  <w:marRight w:val="0"/>
                  <w:marTop w:val="0"/>
                  <w:marBottom w:val="0"/>
                  <w:divBdr>
                    <w:top w:val="none" w:sz="0" w:space="0" w:color="auto"/>
                    <w:left w:val="none" w:sz="0" w:space="0" w:color="auto"/>
                    <w:bottom w:val="none" w:sz="0" w:space="0" w:color="auto"/>
                    <w:right w:val="none" w:sz="0" w:space="0" w:color="auto"/>
                  </w:divBdr>
                  <w:divsChild>
                    <w:div w:id="242838952">
                      <w:marLeft w:val="0"/>
                      <w:marRight w:val="0"/>
                      <w:marTop w:val="0"/>
                      <w:marBottom w:val="0"/>
                      <w:divBdr>
                        <w:top w:val="none" w:sz="0" w:space="0" w:color="auto"/>
                        <w:left w:val="none" w:sz="0" w:space="0" w:color="auto"/>
                        <w:bottom w:val="none" w:sz="0" w:space="0" w:color="auto"/>
                        <w:right w:val="none" w:sz="0" w:space="0" w:color="auto"/>
                      </w:divBdr>
                      <w:divsChild>
                        <w:div w:id="1224870860">
                          <w:marLeft w:val="0"/>
                          <w:marRight w:val="0"/>
                          <w:marTop w:val="0"/>
                          <w:marBottom w:val="0"/>
                          <w:divBdr>
                            <w:top w:val="none" w:sz="0" w:space="0" w:color="auto"/>
                            <w:left w:val="none" w:sz="0" w:space="0" w:color="auto"/>
                            <w:bottom w:val="none" w:sz="0" w:space="0" w:color="auto"/>
                            <w:right w:val="none" w:sz="0" w:space="0" w:color="auto"/>
                          </w:divBdr>
                          <w:divsChild>
                            <w:div w:id="1118331836">
                              <w:marLeft w:val="0"/>
                              <w:marRight w:val="0"/>
                              <w:marTop w:val="0"/>
                              <w:marBottom w:val="0"/>
                              <w:divBdr>
                                <w:top w:val="none" w:sz="0" w:space="0" w:color="auto"/>
                                <w:left w:val="none" w:sz="0" w:space="0" w:color="auto"/>
                                <w:bottom w:val="none" w:sz="0" w:space="0" w:color="auto"/>
                                <w:right w:val="none" w:sz="0" w:space="0" w:color="auto"/>
                              </w:divBdr>
                              <w:divsChild>
                                <w:div w:id="205562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7978658">
      <w:bodyDiv w:val="1"/>
      <w:marLeft w:val="0"/>
      <w:marRight w:val="0"/>
      <w:marTop w:val="0"/>
      <w:marBottom w:val="0"/>
      <w:divBdr>
        <w:top w:val="none" w:sz="0" w:space="0" w:color="auto"/>
        <w:left w:val="none" w:sz="0" w:space="0" w:color="auto"/>
        <w:bottom w:val="none" w:sz="0" w:space="0" w:color="auto"/>
        <w:right w:val="none" w:sz="0" w:space="0" w:color="auto"/>
      </w:divBdr>
      <w:divsChild>
        <w:div w:id="943342287">
          <w:marLeft w:val="0"/>
          <w:marRight w:val="0"/>
          <w:marTop w:val="0"/>
          <w:marBottom w:val="0"/>
          <w:divBdr>
            <w:top w:val="none" w:sz="0" w:space="0" w:color="auto"/>
            <w:left w:val="none" w:sz="0" w:space="0" w:color="auto"/>
            <w:bottom w:val="none" w:sz="0" w:space="0" w:color="auto"/>
            <w:right w:val="none" w:sz="0" w:space="0" w:color="auto"/>
          </w:divBdr>
        </w:div>
      </w:divsChild>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65141382">
      <w:bodyDiv w:val="1"/>
      <w:marLeft w:val="0"/>
      <w:marRight w:val="0"/>
      <w:marTop w:val="0"/>
      <w:marBottom w:val="0"/>
      <w:divBdr>
        <w:top w:val="none" w:sz="0" w:space="0" w:color="auto"/>
        <w:left w:val="none" w:sz="0" w:space="0" w:color="auto"/>
        <w:bottom w:val="none" w:sz="0" w:space="0" w:color="auto"/>
        <w:right w:val="none" w:sz="0" w:space="0" w:color="auto"/>
      </w:divBdr>
    </w:div>
    <w:div w:id="584076485">
      <w:bodyDiv w:val="1"/>
      <w:marLeft w:val="0"/>
      <w:marRight w:val="0"/>
      <w:marTop w:val="0"/>
      <w:marBottom w:val="0"/>
      <w:divBdr>
        <w:top w:val="none" w:sz="0" w:space="0" w:color="auto"/>
        <w:left w:val="none" w:sz="0" w:space="0" w:color="auto"/>
        <w:bottom w:val="none" w:sz="0" w:space="0" w:color="auto"/>
        <w:right w:val="none" w:sz="0" w:space="0" w:color="auto"/>
      </w:divBdr>
    </w:div>
    <w:div w:id="597909611">
      <w:bodyDiv w:val="1"/>
      <w:marLeft w:val="0"/>
      <w:marRight w:val="0"/>
      <w:marTop w:val="0"/>
      <w:marBottom w:val="0"/>
      <w:divBdr>
        <w:top w:val="none" w:sz="0" w:space="0" w:color="auto"/>
        <w:left w:val="none" w:sz="0" w:space="0" w:color="auto"/>
        <w:bottom w:val="none" w:sz="0" w:space="0" w:color="auto"/>
        <w:right w:val="none" w:sz="0" w:space="0" w:color="auto"/>
      </w:divBdr>
    </w:div>
    <w:div w:id="598102224">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3446313">
      <w:bodyDiv w:val="1"/>
      <w:marLeft w:val="0"/>
      <w:marRight w:val="0"/>
      <w:marTop w:val="0"/>
      <w:marBottom w:val="0"/>
      <w:divBdr>
        <w:top w:val="none" w:sz="0" w:space="0" w:color="auto"/>
        <w:left w:val="none" w:sz="0" w:space="0" w:color="auto"/>
        <w:bottom w:val="none" w:sz="0" w:space="0" w:color="auto"/>
        <w:right w:val="none" w:sz="0" w:space="0" w:color="auto"/>
      </w:divBdr>
    </w:div>
    <w:div w:id="614992785">
      <w:bodyDiv w:val="1"/>
      <w:marLeft w:val="0"/>
      <w:marRight w:val="0"/>
      <w:marTop w:val="0"/>
      <w:marBottom w:val="0"/>
      <w:divBdr>
        <w:top w:val="none" w:sz="0" w:space="0" w:color="auto"/>
        <w:left w:val="none" w:sz="0" w:space="0" w:color="auto"/>
        <w:bottom w:val="none" w:sz="0" w:space="0" w:color="auto"/>
        <w:right w:val="none" w:sz="0" w:space="0" w:color="auto"/>
      </w:divBdr>
      <w:divsChild>
        <w:div w:id="1084568287">
          <w:marLeft w:val="0"/>
          <w:marRight w:val="0"/>
          <w:marTop w:val="0"/>
          <w:marBottom w:val="0"/>
          <w:divBdr>
            <w:top w:val="none" w:sz="0" w:space="0" w:color="auto"/>
            <w:left w:val="none" w:sz="0" w:space="0" w:color="auto"/>
            <w:bottom w:val="none" w:sz="0" w:space="0" w:color="auto"/>
            <w:right w:val="none" w:sz="0" w:space="0" w:color="auto"/>
          </w:divBdr>
        </w:div>
      </w:divsChild>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919460">
      <w:bodyDiv w:val="1"/>
      <w:marLeft w:val="0"/>
      <w:marRight w:val="0"/>
      <w:marTop w:val="0"/>
      <w:marBottom w:val="0"/>
      <w:divBdr>
        <w:top w:val="none" w:sz="0" w:space="0" w:color="auto"/>
        <w:left w:val="none" w:sz="0" w:space="0" w:color="auto"/>
        <w:bottom w:val="none" w:sz="0" w:space="0" w:color="auto"/>
        <w:right w:val="none" w:sz="0" w:space="0" w:color="auto"/>
      </w:divBdr>
      <w:divsChild>
        <w:div w:id="1693070257">
          <w:marLeft w:val="0"/>
          <w:marRight w:val="0"/>
          <w:marTop w:val="0"/>
          <w:marBottom w:val="0"/>
          <w:divBdr>
            <w:top w:val="none" w:sz="0" w:space="0" w:color="auto"/>
            <w:left w:val="none" w:sz="0" w:space="0" w:color="auto"/>
            <w:bottom w:val="none" w:sz="0" w:space="0" w:color="auto"/>
            <w:right w:val="none" w:sz="0" w:space="0" w:color="auto"/>
          </w:divBdr>
          <w:divsChild>
            <w:div w:id="835994328">
              <w:marLeft w:val="0"/>
              <w:marRight w:val="0"/>
              <w:marTop w:val="0"/>
              <w:marBottom w:val="0"/>
              <w:divBdr>
                <w:top w:val="none" w:sz="0" w:space="0" w:color="auto"/>
                <w:left w:val="none" w:sz="0" w:space="0" w:color="auto"/>
                <w:bottom w:val="none" w:sz="0" w:space="0" w:color="auto"/>
                <w:right w:val="none" w:sz="0" w:space="0" w:color="auto"/>
              </w:divBdr>
              <w:divsChild>
                <w:div w:id="842011150">
                  <w:marLeft w:val="0"/>
                  <w:marRight w:val="0"/>
                  <w:marTop w:val="0"/>
                  <w:marBottom w:val="0"/>
                  <w:divBdr>
                    <w:top w:val="none" w:sz="0" w:space="0" w:color="auto"/>
                    <w:left w:val="none" w:sz="0" w:space="0" w:color="auto"/>
                    <w:bottom w:val="none" w:sz="0" w:space="0" w:color="auto"/>
                    <w:right w:val="none" w:sz="0" w:space="0" w:color="auto"/>
                  </w:divBdr>
                  <w:divsChild>
                    <w:div w:id="520701915">
                      <w:marLeft w:val="0"/>
                      <w:marRight w:val="0"/>
                      <w:marTop w:val="0"/>
                      <w:marBottom w:val="0"/>
                      <w:divBdr>
                        <w:top w:val="none" w:sz="0" w:space="0" w:color="auto"/>
                        <w:left w:val="none" w:sz="0" w:space="0" w:color="auto"/>
                        <w:bottom w:val="none" w:sz="0" w:space="0" w:color="auto"/>
                        <w:right w:val="none" w:sz="0" w:space="0" w:color="auto"/>
                      </w:divBdr>
                      <w:divsChild>
                        <w:div w:id="1625192754">
                          <w:marLeft w:val="0"/>
                          <w:marRight w:val="0"/>
                          <w:marTop w:val="0"/>
                          <w:marBottom w:val="0"/>
                          <w:divBdr>
                            <w:top w:val="none" w:sz="0" w:space="0" w:color="auto"/>
                            <w:left w:val="none" w:sz="0" w:space="0" w:color="auto"/>
                            <w:bottom w:val="none" w:sz="0" w:space="0" w:color="auto"/>
                            <w:right w:val="none" w:sz="0" w:space="0" w:color="auto"/>
                          </w:divBdr>
                          <w:divsChild>
                            <w:div w:id="84767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45121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0259718">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66370251">
      <w:bodyDiv w:val="1"/>
      <w:marLeft w:val="0"/>
      <w:marRight w:val="0"/>
      <w:marTop w:val="0"/>
      <w:marBottom w:val="0"/>
      <w:divBdr>
        <w:top w:val="none" w:sz="0" w:space="0" w:color="auto"/>
        <w:left w:val="none" w:sz="0" w:space="0" w:color="auto"/>
        <w:bottom w:val="none" w:sz="0" w:space="0" w:color="auto"/>
        <w:right w:val="none" w:sz="0" w:space="0" w:color="auto"/>
      </w:divBdr>
    </w:div>
    <w:div w:id="671299537">
      <w:bodyDiv w:val="1"/>
      <w:marLeft w:val="0"/>
      <w:marRight w:val="0"/>
      <w:marTop w:val="0"/>
      <w:marBottom w:val="0"/>
      <w:divBdr>
        <w:top w:val="none" w:sz="0" w:space="0" w:color="auto"/>
        <w:left w:val="none" w:sz="0" w:space="0" w:color="auto"/>
        <w:bottom w:val="none" w:sz="0" w:space="0" w:color="auto"/>
        <w:right w:val="none" w:sz="0" w:space="0" w:color="auto"/>
      </w:divBdr>
    </w:div>
    <w:div w:id="673993840">
      <w:bodyDiv w:val="1"/>
      <w:marLeft w:val="0"/>
      <w:marRight w:val="0"/>
      <w:marTop w:val="0"/>
      <w:marBottom w:val="0"/>
      <w:divBdr>
        <w:top w:val="none" w:sz="0" w:space="0" w:color="auto"/>
        <w:left w:val="none" w:sz="0" w:space="0" w:color="auto"/>
        <w:bottom w:val="none" w:sz="0" w:space="0" w:color="auto"/>
        <w:right w:val="none" w:sz="0" w:space="0" w:color="auto"/>
      </w:divBdr>
      <w:divsChild>
        <w:div w:id="1484195775">
          <w:marLeft w:val="0"/>
          <w:marRight w:val="0"/>
          <w:marTop w:val="0"/>
          <w:marBottom w:val="0"/>
          <w:divBdr>
            <w:top w:val="none" w:sz="0" w:space="0" w:color="auto"/>
            <w:left w:val="none" w:sz="0" w:space="0" w:color="auto"/>
            <w:bottom w:val="none" w:sz="0" w:space="0" w:color="auto"/>
            <w:right w:val="none" w:sz="0" w:space="0" w:color="auto"/>
          </w:divBdr>
        </w:div>
      </w:divsChild>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7006582">
      <w:bodyDiv w:val="1"/>
      <w:marLeft w:val="0"/>
      <w:marRight w:val="0"/>
      <w:marTop w:val="0"/>
      <w:marBottom w:val="0"/>
      <w:divBdr>
        <w:top w:val="none" w:sz="0" w:space="0" w:color="auto"/>
        <w:left w:val="none" w:sz="0" w:space="0" w:color="auto"/>
        <w:bottom w:val="none" w:sz="0" w:space="0" w:color="auto"/>
        <w:right w:val="none" w:sz="0" w:space="0" w:color="auto"/>
      </w:divBdr>
    </w:div>
    <w:div w:id="682510084">
      <w:bodyDiv w:val="1"/>
      <w:marLeft w:val="0"/>
      <w:marRight w:val="0"/>
      <w:marTop w:val="0"/>
      <w:marBottom w:val="0"/>
      <w:divBdr>
        <w:top w:val="none" w:sz="0" w:space="0" w:color="auto"/>
        <w:left w:val="none" w:sz="0" w:space="0" w:color="auto"/>
        <w:bottom w:val="none" w:sz="0" w:space="0" w:color="auto"/>
        <w:right w:val="none" w:sz="0" w:space="0" w:color="auto"/>
      </w:divBdr>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4067817">
      <w:bodyDiv w:val="1"/>
      <w:marLeft w:val="0"/>
      <w:marRight w:val="0"/>
      <w:marTop w:val="0"/>
      <w:marBottom w:val="0"/>
      <w:divBdr>
        <w:top w:val="none" w:sz="0" w:space="0" w:color="auto"/>
        <w:left w:val="none" w:sz="0" w:space="0" w:color="auto"/>
        <w:bottom w:val="none" w:sz="0" w:space="0" w:color="auto"/>
        <w:right w:val="none" w:sz="0" w:space="0" w:color="auto"/>
      </w:divBdr>
    </w:div>
    <w:div w:id="726296086">
      <w:bodyDiv w:val="1"/>
      <w:marLeft w:val="0"/>
      <w:marRight w:val="0"/>
      <w:marTop w:val="0"/>
      <w:marBottom w:val="0"/>
      <w:divBdr>
        <w:top w:val="none" w:sz="0" w:space="0" w:color="auto"/>
        <w:left w:val="none" w:sz="0" w:space="0" w:color="auto"/>
        <w:bottom w:val="none" w:sz="0" w:space="0" w:color="auto"/>
        <w:right w:val="none" w:sz="0" w:space="0" w:color="auto"/>
      </w:divBdr>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1077779">
      <w:bodyDiv w:val="1"/>
      <w:marLeft w:val="0"/>
      <w:marRight w:val="0"/>
      <w:marTop w:val="0"/>
      <w:marBottom w:val="0"/>
      <w:divBdr>
        <w:top w:val="none" w:sz="0" w:space="0" w:color="auto"/>
        <w:left w:val="none" w:sz="0" w:space="0" w:color="auto"/>
        <w:bottom w:val="none" w:sz="0" w:space="0" w:color="auto"/>
        <w:right w:val="none" w:sz="0" w:space="0" w:color="auto"/>
      </w:divBdr>
    </w:div>
    <w:div w:id="731776098">
      <w:bodyDiv w:val="1"/>
      <w:marLeft w:val="0"/>
      <w:marRight w:val="0"/>
      <w:marTop w:val="0"/>
      <w:marBottom w:val="0"/>
      <w:divBdr>
        <w:top w:val="none" w:sz="0" w:space="0" w:color="auto"/>
        <w:left w:val="none" w:sz="0" w:space="0" w:color="auto"/>
        <w:bottom w:val="none" w:sz="0" w:space="0" w:color="auto"/>
        <w:right w:val="none" w:sz="0" w:space="0" w:color="auto"/>
      </w:divBdr>
    </w:div>
    <w:div w:id="733629230">
      <w:bodyDiv w:val="1"/>
      <w:marLeft w:val="0"/>
      <w:marRight w:val="0"/>
      <w:marTop w:val="0"/>
      <w:marBottom w:val="0"/>
      <w:divBdr>
        <w:top w:val="none" w:sz="0" w:space="0" w:color="auto"/>
        <w:left w:val="none" w:sz="0" w:space="0" w:color="auto"/>
        <w:bottom w:val="none" w:sz="0" w:space="0" w:color="auto"/>
        <w:right w:val="none" w:sz="0" w:space="0" w:color="auto"/>
      </w:divBdr>
    </w:div>
    <w:div w:id="734671331">
      <w:bodyDiv w:val="1"/>
      <w:marLeft w:val="0"/>
      <w:marRight w:val="0"/>
      <w:marTop w:val="0"/>
      <w:marBottom w:val="0"/>
      <w:divBdr>
        <w:top w:val="none" w:sz="0" w:space="0" w:color="auto"/>
        <w:left w:val="none" w:sz="0" w:space="0" w:color="auto"/>
        <w:bottom w:val="none" w:sz="0" w:space="0" w:color="auto"/>
        <w:right w:val="none" w:sz="0" w:space="0" w:color="auto"/>
      </w:divBdr>
    </w:div>
    <w:div w:id="746342270">
      <w:bodyDiv w:val="1"/>
      <w:marLeft w:val="0"/>
      <w:marRight w:val="0"/>
      <w:marTop w:val="0"/>
      <w:marBottom w:val="0"/>
      <w:divBdr>
        <w:top w:val="none" w:sz="0" w:space="0" w:color="auto"/>
        <w:left w:val="none" w:sz="0" w:space="0" w:color="auto"/>
        <w:bottom w:val="none" w:sz="0" w:space="0" w:color="auto"/>
        <w:right w:val="none" w:sz="0" w:space="0" w:color="auto"/>
      </w:divBdr>
    </w:div>
    <w:div w:id="754089228">
      <w:bodyDiv w:val="1"/>
      <w:marLeft w:val="0"/>
      <w:marRight w:val="0"/>
      <w:marTop w:val="0"/>
      <w:marBottom w:val="0"/>
      <w:divBdr>
        <w:top w:val="none" w:sz="0" w:space="0" w:color="auto"/>
        <w:left w:val="none" w:sz="0" w:space="0" w:color="auto"/>
        <w:bottom w:val="none" w:sz="0" w:space="0" w:color="auto"/>
        <w:right w:val="none" w:sz="0" w:space="0" w:color="auto"/>
      </w:divBdr>
    </w:div>
    <w:div w:id="757946386">
      <w:bodyDiv w:val="1"/>
      <w:marLeft w:val="0"/>
      <w:marRight w:val="0"/>
      <w:marTop w:val="0"/>
      <w:marBottom w:val="0"/>
      <w:divBdr>
        <w:top w:val="none" w:sz="0" w:space="0" w:color="auto"/>
        <w:left w:val="none" w:sz="0" w:space="0" w:color="auto"/>
        <w:bottom w:val="none" w:sz="0" w:space="0" w:color="auto"/>
        <w:right w:val="none" w:sz="0" w:space="0" w:color="auto"/>
      </w:divBdr>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66848617">
      <w:bodyDiv w:val="1"/>
      <w:marLeft w:val="0"/>
      <w:marRight w:val="0"/>
      <w:marTop w:val="0"/>
      <w:marBottom w:val="0"/>
      <w:divBdr>
        <w:top w:val="none" w:sz="0" w:space="0" w:color="auto"/>
        <w:left w:val="none" w:sz="0" w:space="0" w:color="auto"/>
        <w:bottom w:val="none" w:sz="0" w:space="0" w:color="auto"/>
        <w:right w:val="none" w:sz="0" w:space="0" w:color="auto"/>
      </w:divBdr>
    </w:div>
    <w:div w:id="773793880">
      <w:bodyDiv w:val="1"/>
      <w:marLeft w:val="0"/>
      <w:marRight w:val="0"/>
      <w:marTop w:val="0"/>
      <w:marBottom w:val="0"/>
      <w:divBdr>
        <w:top w:val="none" w:sz="0" w:space="0" w:color="auto"/>
        <w:left w:val="none" w:sz="0" w:space="0" w:color="auto"/>
        <w:bottom w:val="none" w:sz="0" w:space="0" w:color="auto"/>
        <w:right w:val="none" w:sz="0" w:space="0" w:color="auto"/>
      </w:divBdr>
    </w:div>
    <w:div w:id="774129005">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789012512">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22237050">
      <w:bodyDiv w:val="1"/>
      <w:marLeft w:val="0"/>
      <w:marRight w:val="0"/>
      <w:marTop w:val="0"/>
      <w:marBottom w:val="0"/>
      <w:divBdr>
        <w:top w:val="none" w:sz="0" w:space="0" w:color="auto"/>
        <w:left w:val="none" w:sz="0" w:space="0" w:color="auto"/>
        <w:bottom w:val="none" w:sz="0" w:space="0" w:color="auto"/>
        <w:right w:val="none" w:sz="0" w:space="0" w:color="auto"/>
      </w:divBdr>
    </w:div>
    <w:div w:id="822703302">
      <w:bodyDiv w:val="1"/>
      <w:marLeft w:val="0"/>
      <w:marRight w:val="0"/>
      <w:marTop w:val="0"/>
      <w:marBottom w:val="0"/>
      <w:divBdr>
        <w:top w:val="none" w:sz="0" w:space="0" w:color="auto"/>
        <w:left w:val="none" w:sz="0" w:space="0" w:color="auto"/>
        <w:bottom w:val="none" w:sz="0" w:space="0" w:color="auto"/>
        <w:right w:val="none" w:sz="0" w:space="0" w:color="auto"/>
      </w:divBdr>
      <w:divsChild>
        <w:div w:id="1058165974">
          <w:marLeft w:val="0"/>
          <w:marRight w:val="0"/>
          <w:marTop w:val="0"/>
          <w:marBottom w:val="0"/>
          <w:divBdr>
            <w:top w:val="none" w:sz="0" w:space="0" w:color="auto"/>
            <w:left w:val="none" w:sz="0" w:space="0" w:color="auto"/>
            <w:bottom w:val="none" w:sz="0" w:space="0" w:color="auto"/>
            <w:right w:val="none" w:sz="0" w:space="0" w:color="auto"/>
          </w:divBdr>
        </w:div>
      </w:divsChild>
    </w:div>
    <w:div w:id="824397056">
      <w:bodyDiv w:val="1"/>
      <w:marLeft w:val="0"/>
      <w:marRight w:val="0"/>
      <w:marTop w:val="0"/>
      <w:marBottom w:val="0"/>
      <w:divBdr>
        <w:top w:val="none" w:sz="0" w:space="0" w:color="auto"/>
        <w:left w:val="none" w:sz="0" w:space="0" w:color="auto"/>
        <w:bottom w:val="none" w:sz="0" w:space="0" w:color="auto"/>
        <w:right w:val="none" w:sz="0" w:space="0" w:color="auto"/>
      </w:divBdr>
      <w:divsChild>
        <w:div w:id="183639697">
          <w:marLeft w:val="0"/>
          <w:marRight w:val="0"/>
          <w:marTop w:val="0"/>
          <w:marBottom w:val="0"/>
          <w:divBdr>
            <w:top w:val="none" w:sz="0" w:space="0" w:color="auto"/>
            <w:left w:val="none" w:sz="0" w:space="0" w:color="auto"/>
            <w:bottom w:val="none" w:sz="0" w:space="0" w:color="auto"/>
            <w:right w:val="none" w:sz="0" w:space="0" w:color="auto"/>
          </w:divBdr>
          <w:divsChild>
            <w:div w:id="316307621">
              <w:marLeft w:val="0"/>
              <w:marRight w:val="0"/>
              <w:marTop w:val="0"/>
              <w:marBottom w:val="0"/>
              <w:divBdr>
                <w:top w:val="none" w:sz="0" w:space="0" w:color="auto"/>
                <w:left w:val="none" w:sz="0" w:space="0" w:color="auto"/>
                <w:bottom w:val="none" w:sz="0" w:space="0" w:color="auto"/>
                <w:right w:val="none" w:sz="0" w:space="0" w:color="auto"/>
              </w:divBdr>
              <w:divsChild>
                <w:div w:id="1197960837">
                  <w:marLeft w:val="0"/>
                  <w:marRight w:val="0"/>
                  <w:marTop w:val="0"/>
                  <w:marBottom w:val="0"/>
                  <w:divBdr>
                    <w:top w:val="none" w:sz="0" w:space="0" w:color="auto"/>
                    <w:left w:val="none" w:sz="0" w:space="0" w:color="auto"/>
                    <w:bottom w:val="none" w:sz="0" w:space="0" w:color="auto"/>
                    <w:right w:val="none" w:sz="0" w:space="0" w:color="auto"/>
                  </w:divBdr>
                  <w:divsChild>
                    <w:div w:id="6942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743961">
      <w:bodyDiv w:val="1"/>
      <w:marLeft w:val="0"/>
      <w:marRight w:val="0"/>
      <w:marTop w:val="0"/>
      <w:marBottom w:val="0"/>
      <w:divBdr>
        <w:top w:val="none" w:sz="0" w:space="0" w:color="auto"/>
        <w:left w:val="none" w:sz="0" w:space="0" w:color="auto"/>
        <w:bottom w:val="none" w:sz="0" w:space="0" w:color="auto"/>
        <w:right w:val="none" w:sz="0" w:space="0" w:color="auto"/>
      </w:divBdr>
    </w:div>
    <w:div w:id="826822595">
      <w:bodyDiv w:val="1"/>
      <w:marLeft w:val="0"/>
      <w:marRight w:val="0"/>
      <w:marTop w:val="0"/>
      <w:marBottom w:val="0"/>
      <w:divBdr>
        <w:top w:val="none" w:sz="0" w:space="0" w:color="auto"/>
        <w:left w:val="none" w:sz="0" w:space="0" w:color="auto"/>
        <w:bottom w:val="none" w:sz="0" w:space="0" w:color="auto"/>
        <w:right w:val="none" w:sz="0" w:space="0" w:color="auto"/>
      </w:divBdr>
    </w:div>
    <w:div w:id="828209873">
      <w:bodyDiv w:val="1"/>
      <w:marLeft w:val="0"/>
      <w:marRight w:val="0"/>
      <w:marTop w:val="0"/>
      <w:marBottom w:val="0"/>
      <w:divBdr>
        <w:top w:val="none" w:sz="0" w:space="0" w:color="auto"/>
        <w:left w:val="none" w:sz="0" w:space="0" w:color="auto"/>
        <w:bottom w:val="none" w:sz="0" w:space="0" w:color="auto"/>
        <w:right w:val="none" w:sz="0" w:space="0" w:color="auto"/>
      </w:divBdr>
      <w:divsChild>
        <w:div w:id="1940333008">
          <w:marLeft w:val="0"/>
          <w:marRight w:val="0"/>
          <w:marTop w:val="0"/>
          <w:marBottom w:val="0"/>
          <w:divBdr>
            <w:top w:val="none" w:sz="0" w:space="0" w:color="auto"/>
            <w:left w:val="none" w:sz="0" w:space="0" w:color="auto"/>
            <w:bottom w:val="none" w:sz="0" w:space="0" w:color="auto"/>
            <w:right w:val="none" w:sz="0" w:space="0" w:color="auto"/>
          </w:divBdr>
          <w:divsChild>
            <w:div w:id="1894651989">
              <w:marLeft w:val="0"/>
              <w:marRight w:val="0"/>
              <w:marTop w:val="0"/>
              <w:marBottom w:val="0"/>
              <w:divBdr>
                <w:top w:val="none" w:sz="0" w:space="0" w:color="auto"/>
                <w:left w:val="none" w:sz="0" w:space="0" w:color="auto"/>
                <w:bottom w:val="none" w:sz="0" w:space="0" w:color="auto"/>
                <w:right w:val="none" w:sz="0" w:space="0" w:color="auto"/>
              </w:divBdr>
              <w:divsChild>
                <w:div w:id="254828667">
                  <w:marLeft w:val="0"/>
                  <w:marRight w:val="0"/>
                  <w:marTop w:val="0"/>
                  <w:marBottom w:val="0"/>
                  <w:divBdr>
                    <w:top w:val="none" w:sz="0" w:space="0" w:color="auto"/>
                    <w:left w:val="none" w:sz="0" w:space="0" w:color="auto"/>
                    <w:bottom w:val="none" w:sz="0" w:space="0" w:color="auto"/>
                    <w:right w:val="none" w:sz="0" w:space="0" w:color="auto"/>
                  </w:divBdr>
                  <w:divsChild>
                    <w:div w:id="1713267696">
                      <w:marLeft w:val="0"/>
                      <w:marRight w:val="0"/>
                      <w:marTop w:val="0"/>
                      <w:marBottom w:val="0"/>
                      <w:divBdr>
                        <w:top w:val="none" w:sz="0" w:space="0" w:color="auto"/>
                        <w:left w:val="none" w:sz="0" w:space="0" w:color="auto"/>
                        <w:bottom w:val="none" w:sz="0" w:space="0" w:color="auto"/>
                        <w:right w:val="none" w:sz="0" w:space="0" w:color="auto"/>
                      </w:divBdr>
                      <w:divsChild>
                        <w:div w:id="344790897">
                          <w:marLeft w:val="0"/>
                          <w:marRight w:val="0"/>
                          <w:marTop w:val="0"/>
                          <w:marBottom w:val="0"/>
                          <w:divBdr>
                            <w:top w:val="none" w:sz="0" w:space="0" w:color="auto"/>
                            <w:left w:val="none" w:sz="0" w:space="0" w:color="auto"/>
                            <w:bottom w:val="none" w:sz="0" w:space="0" w:color="auto"/>
                            <w:right w:val="none" w:sz="0" w:space="0" w:color="auto"/>
                          </w:divBdr>
                          <w:divsChild>
                            <w:div w:id="209250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528906">
      <w:bodyDiv w:val="1"/>
      <w:marLeft w:val="0"/>
      <w:marRight w:val="0"/>
      <w:marTop w:val="0"/>
      <w:marBottom w:val="0"/>
      <w:divBdr>
        <w:top w:val="none" w:sz="0" w:space="0" w:color="auto"/>
        <w:left w:val="none" w:sz="0" w:space="0" w:color="auto"/>
        <w:bottom w:val="none" w:sz="0" w:space="0" w:color="auto"/>
        <w:right w:val="none" w:sz="0" w:space="0" w:color="auto"/>
      </w:divBdr>
    </w:div>
    <w:div w:id="832184317">
      <w:bodyDiv w:val="1"/>
      <w:marLeft w:val="0"/>
      <w:marRight w:val="0"/>
      <w:marTop w:val="0"/>
      <w:marBottom w:val="0"/>
      <w:divBdr>
        <w:top w:val="none" w:sz="0" w:space="0" w:color="auto"/>
        <w:left w:val="none" w:sz="0" w:space="0" w:color="auto"/>
        <w:bottom w:val="none" w:sz="0" w:space="0" w:color="auto"/>
        <w:right w:val="none" w:sz="0" w:space="0" w:color="auto"/>
      </w:divBdr>
      <w:divsChild>
        <w:div w:id="1160927860">
          <w:marLeft w:val="0"/>
          <w:marRight w:val="0"/>
          <w:marTop w:val="0"/>
          <w:marBottom w:val="0"/>
          <w:divBdr>
            <w:top w:val="none" w:sz="0" w:space="0" w:color="auto"/>
            <w:left w:val="none" w:sz="0" w:space="0" w:color="auto"/>
            <w:bottom w:val="none" w:sz="0" w:space="0" w:color="auto"/>
            <w:right w:val="none" w:sz="0" w:space="0" w:color="auto"/>
          </w:divBdr>
          <w:divsChild>
            <w:div w:id="579213659">
              <w:marLeft w:val="0"/>
              <w:marRight w:val="0"/>
              <w:marTop w:val="0"/>
              <w:marBottom w:val="0"/>
              <w:divBdr>
                <w:top w:val="none" w:sz="0" w:space="0" w:color="auto"/>
                <w:left w:val="none" w:sz="0" w:space="0" w:color="auto"/>
                <w:bottom w:val="none" w:sz="0" w:space="0" w:color="auto"/>
                <w:right w:val="none" w:sz="0" w:space="0" w:color="auto"/>
              </w:divBdr>
              <w:divsChild>
                <w:div w:id="406028051">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sChild>
                        <w:div w:id="101455696">
                          <w:marLeft w:val="0"/>
                          <w:marRight w:val="0"/>
                          <w:marTop w:val="0"/>
                          <w:marBottom w:val="0"/>
                          <w:divBdr>
                            <w:top w:val="none" w:sz="0" w:space="0" w:color="auto"/>
                            <w:left w:val="none" w:sz="0" w:space="0" w:color="auto"/>
                            <w:bottom w:val="none" w:sz="0" w:space="0" w:color="auto"/>
                            <w:right w:val="none" w:sz="0" w:space="0" w:color="auto"/>
                          </w:divBdr>
                          <w:divsChild>
                            <w:div w:id="1512255755">
                              <w:marLeft w:val="0"/>
                              <w:marRight w:val="0"/>
                              <w:marTop w:val="0"/>
                              <w:marBottom w:val="0"/>
                              <w:divBdr>
                                <w:top w:val="none" w:sz="0" w:space="0" w:color="auto"/>
                                <w:left w:val="none" w:sz="0" w:space="0" w:color="auto"/>
                                <w:bottom w:val="none" w:sz="0" w:space="0" w:color="auto"/>
                                <w:right w:val="none" w:sz="0" w:space="0" w:color="auto"/>
                              </w:divBdr>
                              <w:divsChild>
                                <w:div w:id="128820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070070">
      <w:bodyDiv w:val="1"/>
      <w:marLeft w:val="0"/>
      <w:marRight w:val="0"/>
      <w:marTop w:val="0"/>
      <w:marBottom w:val="0"/>
      <w:divBdr>
        <w:top w:val="none" w:sz="0" w:space="0" w:color="auto"/>
        <w:left w:val="none" w:sz="0" w:space="0" w:color="auto"/>
        <w:bottom w:val="none" w:sz="0" w:space="0" w:color="auto"/>
        <w:right w:val="none" w:sz="0" w:space="0" w:color="auto"/>
      </w:divBdr>
    </w:div>
    <w:div w:id="837770859">
      <w:bodyDiv w:val="1"/>
      <w:marLeft w:val="0"/>
      <w:marRight w:val="0"/>
      <w:marTop w:val="0"/>
      <w:marBottom w:val="0"/>
      <w:divBdr>
        <w:top w:val="none" w:sz="0" w:space="0" w:color="auto"/>
        <w:left w:val="none" w:sz="0" w:space="0" w:color="auto"/>
        <w:bottom w:val="none" w:sz="0" w:space="0" w:color="auto"/>
        <w:right w:val="none" w:sz="0" w:space="0" w:color="auto"/>
      </w:divBdr>
    </w:div>
    <w:div w:id="843789823">
      <w:bodyDiv w:val="1"/>
      <w:marLeft w:val="0"/>
      <w:marRight w:val="0"/>
      <w:marTop w:val="0"/>
      <w:marBottom w:val="0"/>
      <w:divBdr>
        <w:top w:val="none" w:sz="0" w:space="0" w:color="auto"/>
        <w:left w:val="none" w:sz="0" w:space="0" w:color="auto"/>
        <w:bottom w:val="none" w:sz="0" w:space="0" w:color="auto"/>
        <w:right w:val="none" w:sz="0" w:space="0" w:color="auto"/>
      </w:divBdr>
      <w:divsChild>
        <w:div w:id="107162892">
          <w:marLeft w:val="0"/>
          <w:marRight w:val="0"/>
          <w:marTop w:val="0"/>
          <w:marBottom w:val="0"/>
          <w:divBdr>
            <w:top w:val="none" w:sz="0" w:space="0" w:color="auto"/>
            <w:left w:val="none" w:sz="0" w:space="0" w:color="auto"/>
            <w:bottom w:val="none" w:sz="0" w:space="0" w:color="auto"/>
            <w:right w:val="none" w:sz="0" w:space="0" w:color="auto"/>
          </w:divBdr>
          <w:divsChild>
            <w:div w:id="838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783222">
      <w:bodyDiv w:val="1"/>
      <w:marLeft w:val="0"/>
      <w:marRight w:val="0"/>
      <w:marTop w:val="0"/>
      <w:marBottom w:val="0"/>
      <w:divBdr>
        <w:top w:val="none" w:sz="0" w:space="0" w:color="auto"/>
        <w:left w:val="none" w:sz="0" w:space="0" w:color="auto"/>
        <w:bottom w:val="none" w:sz="0" w:space="0" w:color="auto"/>
        <w:right w:val="none" w:sz="0" w:space="0" w:color="auto"/>
      </w:divBdr>
    </w:div>
    <w:div w:id="884482574">
      <w:bodyDiv w:val="1"/>
      <w:marLeft w:val="0"/>
      <w:marRight w:val="0"/>
      <w:marTop w:val="0"/>
      <w:marBottom w:val="0"/>
      <w:divBdr>
        <w:top w:val="none" w:sz="0" w:space="0" w:color="auto"/>
        <w:left w:val="none" w:sz="0" w:space="0" w:color="auto"/>
        <w:bottom w:val="none" w:sz="0" w:space="0" w:color="auto"/>
        <w:right w:val="none" w:sz="0" w:space="0" w:color="auto"/>
      </w:divBdr>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371542">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0698268">
      <w:bodyDiv w:val="1"/>
      <w:marLeft w:val="0"/>
      <w:marRight w:val="0"/>
      <w:marTop w:val="0"/>
      <w:marBottom w:val="0"/>
      <w:divBdr>
        <w:top w:val="none" w:sz="0" w:space="0" w:color="auto"/>
        <w:left w:val="none" w:sz="0" w:space="0" w:color="auto"/>
        <w:bottom w:val="none" w:sz="0" w:space="0" w:color="auto"/>
        <w:right w:val="none" w:sz="0" w:space="0" w:color="auto"/>
      </w:divBdr>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835716">
      <w:bodyDiv w:val="1"/>
      <w:marLeft w:val="0"/>
      <w:marRight w:val="0"/>
      <w:marTop w:val="0"/>
      <w:marBottom w:val="0"/>
      <w:divBdr>
        <w:top w:val="none" w:sz="0" w:space="0" w:color="auto"/>
        <w:left w:val="none" w:sz="0" w:space="0" w:color="auto"/>
        <w:bottom w:val="none" w:sz="0" w:space="0" w:color="auto"/>
        <w:right w:val="none" w:sz="0" w:space="0" w:color="auto"/>
      </w:divBdr>
    </w:div>
    <w:div w:id="940986381">
      <w:bodyDiv w:val="1"/>
      <w:marLeft w:val="0"/>
      <w:marRight w:val="0"/>
      <w:marTop w:val="0"/>
      <w:marBottom w:val="0"/>
      <w:divBdr>
        <w:top w:val="none" w:sz="0" w:space="0" w:color="auto"/>
        <w:left w:val="none" w:sz="0" w:space="0" w:color="auto"/>
        <w:bottom w:val="none" w:sz="0" w:space="0" w:color="auto"/>
        <w:right w:val="none" w:sz="0" w:space="0" w:color="auto"/>
      </w:divBdr>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44120970">
      <w:bodyDiv w:val="1"/>
      <w:marLeft w:val="0"/>
      <w:marRight w:val="0"/>
      <w:marTop w:val="0"/>
      <w:marBottom w:val="0"/>
      <w:divBdr>
        <w:top w:val="none" w:sz="0" w:space="0" w:color="auto"/>
        <w:left w:val="none" w:sz="0" w:space="0" w:color="auto"/>
        <w:bottom w:val="none" w:sz="0" w:space="0" w:color="auto"/>
        <w:right w:val="none" w:sz="0" w:space="0" w:color="auto"/>
      </w:divBdr>
    </w:div>
    <w:div w:id="948393254">
      <w:bodyDiv w:val="1"/>
      <w:marLeft w:val="0"/>
      <w:marRight w:val="0"/>
      <w:marTop w:val="0"/>
      <w:marBottom w:val="0"/>
      <w:divBdr>
        <w:top w:val="none" w:sz="0" w:space="0" w:color="auto"/>
        <w:left w:val="none" w:sz="0" w:space="0" w:color="auto"/>
        <w:bottom w:val="none" w:sz="0" w:space="0" w:color="auto"/>
        <w:right w:val="none" w:sz="0" w:space="0" w:color="auto"/>
      </w:divBdr>
    </w:div>
    <w:div w:id="955211631">
      <w:bodyDiv w:val="1"/>
      <w:marLeft w:val="0"/>
      <w:marRight w:val="0"/>
      <w:marTop w:val="0"/>
      <w:marBottom w:val="0"/>
      <w:divBdr>
        <w:top w:val="none" w:sz="0" w:space="0" w:color="auto"/>
        <w:left w:val="none" w:sz="0" w:space="0" w:color="auto"/>
        <w:bottom w:val="none" w:sz="0" w:space="0" w:color="auto"/>
        <w:right w:val="none" w:sz="0" w:space="0" w:color="auto"/>
      </w:divBdr>
      <w:divsChild>
        <w:div w:id="42020952">
          <w:marLeft w:val="0"/>
          <w:marRight w:val="0"/>
          <w:marTop w:val="0"/>
          <w:marBottom w:val="0"/>
          <w:divBdr>
            <w:top w:val="none" w:sz="0" w:space="0" w:color="auto"/>
            <w:left w:val="none" w:sz="0" w:space="0" w:color="auto"/>
            <w:bottom w:val="none" w:sz="0" w:space="0" w:color="auto"/>
            <w:right w:val="none" w:sz="0" w:space="0" w:color="auto"/>
          </w:divBdr>
        </w:div>
      </w:divsChild>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74987707">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14110910">
      <w:bodyDiv w:val="1"/>
      <w:marLeft w:val="0"/>
      <w:marRight w:val="0"/>
      <w:marTop w:val="0"/>
      <w:marBottom w:val="0"/>
      <w:divBdr>
        <w:top w:val="none" w:sz="0" w:space="0" w:color="auto"/>
        <w:left w:val="none" w:sz="0" w:space="0" w:color="auto"/>
        <w:bottom w:val="none" w:sz="0" w:space="0" w:color="auto"/>
        <w:right w:val="none" w:sz="0" w:space="0" w:color="auto"/>
      </w:divBdr>
    </w:div>
    <w:div w:id="1014578644">
      <w:bodyDiv w:val="1"/>
      <w:marLeft w:val="0"/>
      <w:marRight w:val="0"/>
      <w:marTop w:val="0"/>
      <w:marBottom w:val="0"/>
      <w:divBdr>
        <w:top w:val="none" w:sz="0" w:space="0" w:color="auto"/>
        <w:left w:val="none" w:sz="0" w:space="0" w:color="auto"/>
        <w:bottom w:val="none" w:sz="0" w:space="0" w:color="auto"/>
        <w:right w:val="none" w:sz="0" w:space="0" w:color="auto"/>
      </w:divBdr>
    </w:div>
    <w:div w:id="1016662066">
      <w:bodyDiv w:val="1"/>
      <w:marLeft w:val="0"/>
      <w:marRight w:val="0"/>
      <w:marTop w:val="0"/>
      <w:marBottom w:val="0"/>
      <w:divBdr>
        <w:top w:val="none" w:sz="0" w:space="0" w:color="auto"/>
        <w:left w:val="none" w:sz="0" w:space="0" w:color="auto"/>
        <w:bottom w:val="none" w:sz="0" w:space="0" w:color="auto"/>
        <w:right w:val="none" w:sz="0" w:space="0" w:color="auto"/>
      </w:divBdr>
    </w:div>
    <w:div w:id="1020204614">
      <w:bodyDiv w:val="1"/>
      <w:marLeft w:val="0"/>
      <w:marRight w:val="0"/>
      <w:marTop w:val="0"/>
      <w:marBottom w:val="0"/>
      <w:divBdr>
        <w:top w:val="none" w:sz="0" w:space="0" w:color="auto"/>
        <w:left w:val="none" w:sz="0" w:space="0" w:color="auto"/>
        <w:bottom w:val="none" w:sz="0" w:space="0" w:color="auto"/>
        <w:right w:val="none" w:sz="0" w:space="0" w:color="auto"/>
      </w:divBdr>
    </w:div>
    <w:div w:id="1021201197">
      <w:bodyDiv w:val="1"/>
      <w:marLeft w:val="0"/>
      <w:marRight w:val="0"/>
      <w:marTop w:val="0"/>
      <w:marBottom w:val="0"/>
      <w:divBdr>
        <w:top w:val="none" w:sz="0" w:space="0" w:color="auto"/>
        <w:left w:val="none" w:sz="0" w:space="0" w:color="auto"/>
        <w:bottom w:val="none" w:sz="0" w:space="0" w:color="auto"/>
        <w:right w:val="none" w:sz="0" w:space="0" w:color="auto"/>
      </w:divBdr>
    </w:div>
    <w:div w:id="1025519833">
      <w:bodyDiv w:val="1"/>
      <w:marLeft w:val="0"/>
      <w:marRight w:val="0"/>
      <w:marTop w:val="0"/>
      <w:marBottom w:val="0"/>
      <w:divBdr>
        <w:top w:val="none" w:sz="0" w:space="0" w:color="auto"/>
        <w:left w:val="none" w:sz="0" w:space="0" w:color="auto"/>
        <w:bottom w:val="none" w:sz="0" w:space="0" w:color="auto"/>
        <w:right w:val="none" w:sz="0" w:space="0" w:color="auto"/>
      </w:divBdr>
    </w:div>
    <w:div w:id="1035538787">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7140221">
      <w:bodyDiv w:val="1"/>
      <w:marLeft w:val="0"/>
      <w:marRight w:val="0"/>
      <w:marTop w:val="0"/>
      <w:marBottom w:val="0"/>
      <w:divBdr>
        <w:top w:val="none" w:sz="0" w:space="0" w:color="auto"/>
        <w:left w:val="none" w:sz="0" w:space="0" w:color="auto"/>
        <w:bottom w:val="none" w:sz="0" w:space="0" w:color="auto"/>
        <w:right w:val="none" w:sz="0" w:space="0" w:color="auto"/>
      </w:divBdr>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8862278">
      <w:bodyDiv w:val="1"/>
      <w:marLeft w:val="0"/>
      <w:marRight w:val="0"/>
      <w:marTop w:val="0"/>
      <w:marBottom w:val="0"/>
      <w:divBdr>
        <w:top w:val="none" w:sz="0" w:space="0" w:color="auto"/>
        <w:left w:val="none" w:sz="0" w:space="0" w:color="auto"/>
        <w:bottom w:val="none" w:sz="0" w:space="0" w:color="auto"/>
        <w:right w:val="none" w:sz="0" w:space="0" w:color="auto"/>
      </w:divBdr>
    </w:div>
    <w:div w:id="1081373252">
      <w:bodyDiv w:val="1"/>
      <w:marLeft w:val="0"/>
      <w:marRight w:val="0"/>
      <w:marTop w:val="0"/>
      <w:marBottom w:val="0"/>
      <w:divBdr>
        <w:top w:val="none" w:sz="0" w:space="0" w:color="auto"/>
        <w:left w:val="none" w:sz="0" w:space="0" w:color="auto"/>
        <w:bottom w:val="none" w:sz="0" w:space="0" w:color="auto"/>
        <w:right w:val="none" w:sz="0" w:space="0" w:color="auto"/>
      </w:divBdr>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099445475">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27448">
      <w:bodyDiv w:val="1"/>
      <w:marLeft w:val="0"/>
      <w:marRight w:val="0"/>
      <w:marTop w:val="0"/>
      <w:marBottom w:val="0"/>
      <w:divBdr>
        <w:top w:val="none" w:sz="0" w:space="0" w:color="auto"/>
        <w:left w:val="none" w:sz="0" w:space="0" w:color="auto"/>
        <w:bottom w:val="none" w:sz="0" w:space="0" w:color="auto"/>
        <w:right w:val="none" w:sz="0" w:space="0" w:color="auto"/>
      </w:divBdr>
      <w:divsChild>
        <w:div w:id="1137137865">
          <w:marLeft w:val="0"/>
          <w:marRight w:val="0"/>
          <w:marTop w:val="0"/>
          <w:marBottom w:val="0"/>
          <w:divBdr>
            <w:top w:val="none" w:sz="0" w:space="0" w:color="auto"/>
            <w:left w:val="none" w:sz="0" w:space="0" w:color="auto"/>
            <w:bottom w:val="none" w:sz="0" w:space="0" w:color="auto"/>
            <w:right w:val="none" w:sz="0" w:space="0" w:color="auto"/>
          </w:divBdr>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27814536">
      <w:bodyDiv w:val="1"/>
      <w:marLeft w:val="0"/>
      <w:marRight w:val="0"/>
      <w:marTop w:val="0"/>
      <w:marBottom w:val="0"/>
      <w:divBdr>
        <w:top w:val="none" w:sz="0" w:space="0" w:color="auto"/>
        <w:left w:val="none" w:sz="0" w:space="0" w:color="auto"/>
        <w:bottom w:val="none" w:sz="0" w:space="0" w:color="auto"/>
        <w:right w:val="none" w:sz="0" w:space="0" w:color="auto"/>
      </w:divBdr>
    </w:div>
    <w:div w:id="1129319290">
      <w:bodyDiv w:val="1"/>
      <w:marLeft w:val="0"/>
      <w:marRight w:val="0"/>
      <w:marTop w:val="0"/>
      <w:marBottom w:val="0"/>
      <w:divBdr>
        <w:top w:val="none" w:sz="0" w:space="0" w:color="auto"/>
        <w:left w:val="none" w:sz="0" w:space="0" w:color="auto"/>
        <w:bottom w:val="none" w:sz="0" w:space="0" w:color="auto"/>
        <w:right w:val="none" w:sz="0" w:space="0" w:color="auto"/>
      </w:divBdr>
    </w:div>
    <w:div w:id="1131092852">
      <w:bodyDiv w:val="1"/>
      <w:marLeft w:val="0"/>
      <w:marRight w:val="0"/>
      <w:marTop w:val="0"/>
      <w:marBottom w:val="0"/>
      <w:divBdr>
        <w:top w:val="none" w:sz="0" w:space="0" w:color="auto"/>
        <w:left w:val="none" w:sz="0" w:space="0" w:color="auto"/>
        <w:bottom w:val="none" w:sz="0" w:space="0" w:color="auto"/>
        <w:right w:val="none" w:sz="0" w:space="0" w:color="auto"/>
      </w:divBdr>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41463936">
      <w:bodyDiv w:val="1"/>
      <w:marLeft w:val="0"/>
      <w:marRight w:val="0"/>
      <w:marTop w:val="0"/>
      <w:marBottom w:val="0"/>
      <w:divBdr>
        <w:top w:val="none" w:sz="0" w:space="0" w:color="auto"/>
        <w:left w:val="none" w:sz="0" w:space="0" w:color="auto"/>
        <w:bottom w:val="none" w:sz="0" w:space="0" w:color="auto"/>
        <w:right w:val="none" w:sz="0" w:space="0" w:color="auto"/>
      </w:divBdr>
    </w:div>
    <w:div w:id="1146358158">
      <w:bodyDiv w:val="1"/>
      <w:marLeft w:val="0"/>
      <w:marRight w:val="0"/>
      <w:marTop w:val="0"/>
      <w:marBottom w:val="0"/>
      <w:divBdr>
        <w:top w:val="none" w:sz="0" w:space="0" w:color="auto"/>
        <w:left w:val="none" w:sz="0" w:space="0" w:color="auto"/>
        <w:bottom w:val="none" w:sz="0" w:space="0" w:color="auto"/>
        <w:right w:val="none" w:sz="0" w:space="0" w:color="auto"/>
      </w:divBdr>
    </w:div>
    <w:div w:id="1147238577">
      <w:bodyDiv w:val="1"/>
      <w:marLeft w:val="0"/>
      <w:marRight w:val="0"/>
      <w:marTop w:val="0"/>
      <w:marBottom w:val="0"/>
      <w:divBdr>
        <w:top w:val="none" w:sz="0" w:space="0" w:color="auto"/>
        <w:left w:val="none" w:sz="0" w:space="0" w:color="auto"/>
        <w:bottom w:val="none" w:sz="0" w:space="0" w:color="auto"/>
        <w:right w:val="none" w:sz="0" w:space="0" w:color="auto"/>
      </w:divBdr>
    </w:div>
    <w:div w:id="1148017440">
      <w:bodyDiv w:val="1"/>
      <w:marLeft w:val="0"/>
      <w:marRight w:val="0"/>
      <w:marTop w:val="0"/>
      <w:marBottom w:val="0"/>
      <w:divBdr>
        <w:top w:val="none" w:sz="0" w:space="0" w:color="auto"/>
        <w:left w:val="none" w:sz="0" w:space="0" w:color="auto"/>
        <w:bottom w:val="none" w:sz="0" w:space="0" w:color="auto"/>
        <w:right w:val="none" w:sz="0" w:space="0" w:color="auto"/>
      </w:divBdr>
    </w:div>
    <w:div w:id="1152257988">
      <w:bodyDiv w:val="1"/>
      <w:marLeft w:val="0"/>
      <w:marRight w:val="0"/>
      <w:marTop w:val="0"/>
      <w:marBottom w:val="0"/>
      <w:divBdr>
        <w:top w:val="none" w:sz="0" w:space="0" w:color="auto"/>
        <w:left w:val="none" w:sz="0" w:space="0" w:color="auto"/>
        <w:bottom w:val="none" w:sz="0" w:space="0" w:color="auto"/>
        <w:right w:val="none" w:sz="0" w:space="0" w:color="auto"/>
      </w:divBdr>
    </w:div>
    <w:div w:id="1154221492">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6921455">
      <w:bodyDiv w:val="1"/>
      <w:marLeft w:val="0"/>
      <w:marRight w:val="0"/>
      <w:marTop w:val="0"/>
      <w:marBottom w:val="0"/>
      <w:divBdr>
        <w:top w:val="none" w:sz="0" w:space="0" w:color="auto"/>
        <w:left w:val="none" w:sz="0" w:space="0" w:color="auto"/>
        <w:bottom w:val="none" w:sz="0" w:space="0" w:color="auto"/>
        <w:right w:val="none" w:sz="0" w:space="0" w:color="auto"/>
      </w:divBdr>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651545">
      <w:bodyDiv w:val="1"/>
      <w:marLeft w:val="0"/>
      <w:marRight w:val="0"/>
      <w:marTop w:val="0"/>
      <w:marBottom w:val="0"/>
      <w:divBdr>
        <w:top w:val="none" w:sz="0" w:space="0" w:color="auto"/>
        <w:left w:val="none" w:sz="0" w:space="0" w:color="auto"/>
        <w:bottom w:val="none" w:sz="0" w:space="0" w:color="auto"/>
        <w:right w:val="none" w:sz="0" w:space="0" w:color="auto"/>
      </w:divBdr>
    </w:div>
    <w:div w:id="1199050833">
      <w:bodyDiv w:val="1"/>
      <w:marLeft w:val="0"/>
      <w:marRight w:val="0"/>
      <w:marTop w:val="0"/>
      <w:marBottom w:val="0"/>
      <w:divBdr>
        <w:top w:val="none" w:sz="0" w:space="0" w:color="auto"/>
        <w:left w:val="none" w:sz="0" w:space="0" w:color="auto"/>
        <w:bottom w:val="none" w:sz="0" w:space="0" w:color="auto"/>
        <w:right w:val="none" w:sz="0" w:space="0" w:color="auto"/>
      </w:divBdr>
    </w:div>
    <w:div w:id="1200050410">
      <w:bodyDiv w:val="1"/>
      <w:marLeft w:val="0"/>
      <w:marRight w:val="0"/>
      <w:marTop w:val="0"/>
      <w:marBottom w:val="0"/>
      <w:divBdr>
        <w:top w:val="none" w:sz="0" w:space="0" w:color="auto"/>
        <w:left w:val="none" w:sz="0" w:space="0" w:color="auto"/>
        <w:bottom w:val="none" w:sz="0" w:space="0" w:color="auto"/>
        <w:right w:val="none" w:sz="0" w:space="0" w:color="auto"/>
      </w:divBdr>
    </w:div>
    <w:div w:id="1221093093">
      <w:bodyDiv w:val="1"/>
      <w:marLeft w:val="0"/>
      <w:marRight w:val="0"/>
      <w:marTop w:val="0"/>
      <w:marBottom w:val="0"/>
      <w:divBdr>
        <w:top w:val="none" w:sz="0" w:space="0" w:color="auto"/>
        <w:left w:val="none" w:sz="0" w:space="0" w:color="auto"/>
        <w:bottom w:val="none" w:sz="0" w:space="0" w:color="auto"/>
        <w:right w:val="none" w:sz="0" w:space="0" w:color="auto"/>
      </w:divBdr>
    </w:div>
    <w:div w:id="1222399782">
      <w:bodyDiv w:val="1"/>
      <w:marLeft w:val="0"/>
      <w:marRight w:val="0"/>
      <w:marTop w:val="0"/>
      <w:marBottom w:val="0"/>
      <w:divBdr>
        <w:top w:val="none" w:sz="0" w:space="0" w:color="auto"/>
        <w:left w:val="none" w:sz="0" w:space="0" w:color="auto"/>
        <w:bottom w:val="none" w:sz="0" w:space="0" w:color="auto"/>
        <w:right w:val="none" w:sz="0" w:space="0" w:color="auto"/>
      </w:divBdr>
    </w:div>
    <w:div w:id="1231960381">
      <w:bodyDiv w:val="1"/>
      <w:marLeft w:val="0"/>
      <w:marRight w:val="0"/>
      <w:marTop w:val="0"/>
      <w:marBottom w:val="0"/>
      <w:divBdr>
        <w:top w:val="none" w:sz="0" w:space="0" w:color="auto"/>
        <w:left w:val="none" w:sz="0" w:space="0" w:color="auto"/>
        <w:bottom w:val="none" w:sz="0" w:space="0" w:color="auto"/>
        <w:right w:val="none" w:sz="0" w:space="0" w:color="auto"/>
      </w:divBdr>
    </w:div>
    <w:div w:id="1233661609">
      <w:bodyDiv w:val="1"/>
      <w:marLeft w:val="0"/>
      <w:marRight w:val="0"/>
      <w:marTop w:val="0"/>
      <w:marBottom w:val="0"/>
      <w:divBdr>
        <w:top w:val="none" w:sz="0" w:space="0" w:color="auto"/>
        <w:left w:val="none" w:sz="0" w:space="0" w:color="auto"/>
        <w:bottom w:val="none" w:sz="0" w:space="0" w:color="auto"/>
        <w:right w:val="none" w:sz="0" w:space="0" w:color="auto"/>
      </w:divBdr>
    </w:div>
    <w:div w:id="1239169781">
      <w:bodyDiv w:val="1"/>
      <w:marLeft w:val="0"/>
      <w:marRight w:val="0"/>
      <w:marTop w:val="0"/>
      <w:marBottom w:val="0"/>
      <w:divBdr>
        <w:top w:val="none" w:sz="0" w:space="0" w:color="auto"/>
        <w:left w:val="none" w:sz="0" w:space="0" w:color="auto"/>
        <w:bottom w:val="none" w:sz="0" w:space="0" w:color="auto"/>
        <w:right w:val="none" w:sz="0" w:space="0" w:color="auto"/>
      </w:divBdr>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51082650">
      <w:bodyDiv w:val="1"/>
      <w:marLeft w:val="0"/>
      <w:marRight w:val="0"/>
      <w:marTop w:val="0"/>
      <w:marBottom w:val="0"/>
      <w:divBdr>
        <w:top w:val="none" w:sz="0" w:space="0" w:color="auto"/>
        <w:left w:val="none" w:sz="0" w:space="0" w:color="auto"/>
        <w:bottom w:val="none" w:sz="0" w:space="0" w:color="auto"/>
        <w:right w:val="none" w:sz="0" w:space="0" w:color="auto"/>
      </w:divBdr>
      <w:divsChild>
        <w:div w:id="1505702053">
          <w:marLeft w:val="0"/>
          <w:marRight w:val="0"/>
          <w:marTop w:val="0"/>
          <w:marBottom w:val="0"/>
          <w:divBdr>
            <w:top w:val="none" w:sz="0" w:space="0" w:color="auto"/>
            <w:left w:val="none" w:sz="0" w:space="0" w:color="auto"/>
            <w:bottom w:val="none" w:sz="0" w:space="0" w:color="auto"/>
            <w:right w:val="none" w:sz="0" w:space="0" w:color="auto"/>
          </w:divBdr>
        </w:div>
      </w:divsChild>
    </w:div>
    <w:div w:id="1254778382">
      <w:bodyDiv w:val="1"/>
      <w:marLeft w:val="0"/>
      <w:marRight w:val="0"/>
      <w:marTop w:val="0"/>
      <w:marBottom w:val="0"/>
      <w:divBdr>
        <w:top w:val="none" w:sz="0" w:space="0" w:color="auto"/>
        <w:left w:val="none" w:sz="0" w:space="0" w:color="auto"/>
        <w:bottom w:val="none" w:sz="0" w:space="0" w:color="auto"/>
        <w:right w:val="none" w:sz="0" w:space="0" w:color="auto"/>
      </w:divBdr>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66812590">
      <w:bodyDiv w:val="1"/>
      <w:marLeft w:val="0"/>
      <w:marRight w:val="0"/>
      <w:marTop w:val="0"/>
      <w:marBottom w:val="0"/>
      <w:divBdr>
        <w:top w:val="none" w:sz="0" w:space="0" w:color="auto"/>
        <w:left w:val="none" w:sz="0" w:space="0" w:color="auto"/>
        <w:bottom w:val="none" w:sz="0" w:space="0" w:color="auto"/>
        <w:right w:val="none" w:sz="0" w:space="0" w:color="auto"/>
      </w:divBdr>
    </w:div>
    <w:div w:id="1266888565">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275505">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02466139">
      <w:bodyDiv w:val="1"/>
      <w:marLeft w:val="0"/>
      <w:marRight w:val="0"/>
      <w:marTop w:val="0"/>
      <w:marBottom w:val="0"/>
      <w:divBdr>
        <w:top w:val="none" w:sz="0" w:space="0" w:color="auto"/>
        <w:left w:val="none" w:sz="0" w:space="0" w:color="auto"/>
        <w:bottom w:val="none" w:sz="0" w:space="0" w:color="auto"/>
        <w:right w:val="none" w:sz="0" w:space="0" w:color="auto"/>
      </w:divBdr>
    </w:div>
    <w:div w:id="1305089528">
      <w:bodyDiv w:val="1"/>
      <w:marLeft w:val="0"/>
      <w:marRight w:val="0"/>
      <w:marTop w:val="0"/>
      <w:marBottom w:val="0"/>
      <w:divBdr>
        <w:top w:val="none" w:sz="0" w:space="0" w:color="auto"/>
        <w:left w:val="none" w:sz="0" w:space="0" w:color="auto"/>
        <w:bottom w:val="none" w:sz="0" w:space="0" w:color="auto"/>
        <w:right w:val="none" w:sz="0" w:space="0" w:color="auto"/>
      </w:divBdr>
    </w:div>
    <w:div w:id="13097457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791">
          <w:marLeft w:val="0"/>
          <w:marRight w:val="0"/>
          <w:marTop w:val="0"/>
          <w:marBottom w:val="0"/>
          <w:divBdr>
            <w:top w:val="none" w:sz="0" w:space="0" w:color="auto"/>
            <w:left w:val="none" w:sz="0" w:space="0" w:color="auto"/>
            <w:bottom w:val="none" w:sz="0" w:space="0" w:color="auto"/>
            <w:right w:val="none" w:sz="0" w:space="0" w:color="auto"/>
          </w:divBdr>
        </w:div>
      </w:divsChild>
    </w:div>
    <w:div w:id="1313024464">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44935009">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3725934">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5928766">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2883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394964324">
      <w:bodyDiv w:val="1"/>
      <w:marLeft w:val="0"/>
      <w:marRight w:val="0"/>
      <w:marTop w:val="0"/>
      <w:marBottom w:val="0"/>
      <w:divBdr>
        <w:top w:val="none" w:sz="0" w:space="0" w:color="auto"/>
        <w:left w:val="none" w:sz="0" w:space="0" w:color="auto"/>
        <w:bottom w:val="none" w:sz="0" w:space="0" w:color="auto"/>
        <w:right w:val="none" w:sz="0" w:space="0" w:color="auto"/>
      </w:divBdr>
    </w:div>
    <w:div w:id="1396662957">
      <w:bodyDiv w:val="1"/>
      <w:marLeft w:val="0"/>
      <w:marRight w:val="0"/>
      <w:marTop w:val="0"/>
      <w:marBottom w:val="0"/>
      <w:divBdr>
        <w:top w:val="none" w:sz="0" w:space="0" w:color="auto"/>
        <w:left w:val="none" w:sz="0" w:space="0" w:color="auto"/>
        <w:bottom w:val="none" w:sz="0" w:space="0" w:color="auto"/>
        <w:right w:val="none" w:sz="0" w:space="0" w:color="auto"/>
      </w:divBdr>
    </w:div>
    <w:div w:id="1399477405">
      <w:bodyDiv w:val="1"/>
      <w:marLeft w:val="0"/>
      <w:marRight w:val="0"/>
      <w:marTop w:val="0"/>
      <w:marBottom w:val="0"/>
      <w:divBdr>
        <w:top w:val="none" w:sz="0" w:space="0" w:color="auto"/>
        <w:left w:val="none" w:sz="0" w:space="0" w:color="auto"/>
        <w:bottom w:val="none" w:sz="0" w:space="0" w:color="auto"/>
        <w:right w:val="none" w:sz="0" w:space="0" w:color="auto"/>
      </w:divBdr>
    </w:div>
    <w:div w:id="1404137214">
      <w:bodyDiv w:val="1"/>
      <w:marLeft w:val="0"/>
      <w:marRight w:val="0"/>
      <w:marTop w:val="0"/>
      <w:marBottom w:val="0"/>
      <w:divBdr>
        <w:top w:val="none" w:sz="0" w:space="0" w:color="auto"/>
        <w:left w:val="none" w:sz="0" w:space="0" w:color="auto"/>
        <w:bottom w:val="none" w:sz="0" w:space="0" w:color="auto"/>
        <w:right w:val="none" w:sz="0" w:space="0" w:color="auto"/>
      </w:divBdr>
    </w:div>
    <w:div w:id="1406030446">
      <w:bodyDiv w:val="1"/>
      <w:marLeft w:val="0"/>
      <w:marRight w:val="0"/>
      <w:marTop w:val="0"/>
      <w:marBottom w:val="0"/>
      <w:divBdr>
        <w:top w:val="none" w:sz="0" w:space="0" w:color="auto"/>
        <w:left w:val="none" w:sz="0" w:space="0" w:color="auto"/>
        <w:bottom w:val="none" w:sz="0" w:space="0" w:color="auto"/>
        <w:right w:val="none" w:sz="0" w:space="0" w:color="auto"/>
      </w:divBdr>
    </w:div>
    <w:div w:id="1408072175">
      <w:bodyDiv w:val="1"/>
      <w:marLeft w:val="0"/>
      <w:marRight w:val="0"/>
      <w:marTop w:val="0"/>
      <w:marBottom w:val="0"/>
      <w:divBdr>
        <w:top w:val="none" w:sz="0" w:space="0" w:color="auto"/>
        <w:left w:val="none" w:sz="0" w:space="0" w:color="auto"/>
        <w:bottom w:val="none" w:sz="0" w:space="0" w:color="auto"/>
        <w:right w:val="none" w:sz="0" w:space="0" w:color="auto"/>
      </w:divBdr>
    </w:div>
    <w:div w:id="1409231481">
      <w:bodyDiv w:val="1"/>
      <w:marLeft w:val="0"/>
      <w:marRight w:val="0"/>
      <w:marTop w:val="0"/>
      <w:marBottom w:val="0"/>
      <w:divBdr>
        <w:top w:val="none" w:sz="0" w:space="0" w:color="auto"/>
        <w:left w:val="none" w:sz="0" w:space="0" w:color="auto"/>
        <w:bottom w:val="none" w:sz="0" w:space="0" w:color="auto"/>
        <w:right w:val="none" w:sz="0" w:space="0" w:color="auto"/>
      </w:divBdr>
      <w:divsChild>
        <w:div w:id="2130932873">
          <w:marLeft w:val="0"/>
          <w:marRight w:val="0"/>
          <w:marTop w:val="0"/>
          <w:marBottom w:val="0"/>
          <w:divBdr>
            <w:top w:val="none" w:sz="0" w:space="0" w:color="auto"/>
            <w:left w:val="none" w:sz="0" w:space="0" w:color="auto"/>
            <w:bottom w:val="none" w:sz="0" w:space="0" w:color="auto"/>
            <w:right w:val="none" w:sz="0" w:space="0" w:color="auto"/>
          </w:divBdr>
          <w:divsChild>
            <w:div w:id="1860505107">
              <w:marLeft w:val="0"/>
              <w:marRight w:val="0"/>
              <w:marTop w:val="0"/>
              <w:marBottom w:val="0"/>
              <w:divBdr>
                <w:top w:val="none" w:sz="0" w:space="0" w:color="auto"/>
                <w:left w:val="none" w:sz="0" w:space="0" w:color="auto"/>
                <w:bottom w:val="none" w:sz="0" w:space="0" w:color="auto"/>
                <w:right w:val="none" w:sz="0" w:space="0" w:color="auto"/>
              </w:divBdr>
              <w:divsChild>
                <w:div w:id="1306198349">
                  <w:marLeft w:val="0"/>
                  <w:marRight w:val="0"/>
                  <w:marTop w:val="0"/>
                  <w:marBottom w:val="0"/>
                  <w:divBdr>
                    <w:top w:val="none" w:sz="0" w:space="0" w:color="auto"/>
                    <w:left w:val="none" w:sz="0" w:space="0" w:color="auto"/>
                    <w:bottom w:val="none" w:sz="0" w:space="0" w:color="auto"/>
                    <w:right w:val="none" w:sz="0" w:space="0" w:color="auto"/>
                  </w:divBdr>
                  <w:divsChild>
                    <w:div w:id="1596330507">
                      <w:marLeft w:val="0"/>
                      <w:marRight w:val="0"/>
                      <w:marTop w:val="0"/>
                      <w:marBottom w:val="0"/>
                      <w:divBdr>
                        <w:top w:val="none" w:sz="0" w:space="0" w:color="auto"/>
                        <w:left w:val="none" w:sz="0" w:space="0" w:color="auto"/>
                        <w:bottom w:val="none" w:sz="0" w:space="0" w:color="auto"/>
                        <w:right w:val="none" w:sz="0" w:space="0" w:color="auto"/>
                      </w:divBdr>
                      <w:divsChild>
                        <w:div w:id="427509083">
                          <w:marLeft w:val="0"/>
                          <w:marRight w:val="0"/>
                          <w:marTop w:val="0"/>
                          <w:marBottom w:val="0"/>
                          <w:divBdr>
                            <w:top w:val="none" w:sz="0" w:space="0" w:color="auto"/>
                            <w:left w:val="none" w:sz="0" w:space="0" w:color="auto"/>
                            <w:bottom w:val="none" w:sz="0" w:space="0" w:color="auto"/>
                            <w:right w:val="none" w:sz="0" w:space="0" w:color="auto"/>
                          </w:divBdr>
                          <w:divsChild>
                            <w:div w:id="431508816">
                              <w:marLeft w:val="0"/>
                              <w:marRight w:val="0"/>
                              <w:marTop w:val="0"/>
                              <w:marBottom w:val="0"/>
                              <w:divBdr>
                                <w:top w:val="none" w:sz="0" w:space="0" w:color="auto"/>
                                <w:left w:val="none" w:sz="0" w:space="0" w:color="auto"/>
                                <w:bottom w:val="none" w:sz="0" w:space="0" w:color="auto"/>
                                <w:right w:val="none" w:sz="0" w:space="0" w:color="auto"/>
                              </w:divBdr>
                              <w:divsChild>
                                <w:div w:id="94669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27995812">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55520908">
      <w:bodyDiv w:val="1"/>
      <w:marLeft w:val="0"/>
      <w:marRight w:val="0"/>
      <w:marTop w:val="0"/>
      <w:marBottom w:val="0"/>
      <w:divBdr>
        <w:top w:val="none" w:sz="0" w:space="0" w:color="auto"/>
        <w:left w:val="none" w:sz="0" w:space="0" w:color="auto"/>
        <w:bottom w:val="none" w:sz="0" w:space="0" w:color="auto"/>
        <w:right w:val="none" w:sz="0" w:space="0" w:color="auto"/>
      </w:divBdr>
    </w:div>
    <w:div w:id="1457413395">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70634705">
      <w:bodyDiv w:val="1"/>
      <w:marLeft w:val="0"/>
      <w:marRight w:val="0"/>
      <w:marTop w:val="0"/>
      <w:marBottom w:val="0"/>
      <w:divBdr>
        <w:top w:val="none" w:sz="0" w:space="0" w:color="auto"/>
        <w:left w:val="none" w:sz="0" w:space="0" w:color="auto"/>
        <w:bottom w:val="none" w:sz="0" w:space="0" w:color="auto"/>
        <w:right w:val="none" w:sz="0" w:space="0" w:color="auto"/>
      </w:divBdr>
    </w:div>
    <w:div w:id="1474787139">
      <w:bodyDiv w:val="1"/>
      <w:marLeft w:val="0"/>
      <w:marRight w:val="0"/>
      <w:marTop w:val="0"/>
      <w:marBottom w:val="0"/>
      <w:divBdr>
        <w:top w:val="none" w:sz="0" w:space="0" w:color="auto"/>
        <w:left w:val="none" w:sz="0" w:space="0" w:color="auto"/>
        <w:bottom w:val="none" w:sz="0" w:space="0" w:color="auto"/>
        <w:right w:val="none" w:sz="0" w:space="0" w:color="auto"/>
      </w:divBdr>
    </w:div>
    <w:div w:id="1477450926">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0974104">
      <w:bodyDiv w:val="1"/>
      <w:marLeft w:val="0"/>
      <w:marRight w:val="0"/>
      <w:marTop w:val="0"/>
      <w:marBottom w:val="0"/>
      <w:divBdr>
        <w:top w:val="none" w:sz="0" w:space="0" w:color="auto"/>
        <w:left w:val="none" w:sz="0" w:space="0" w:color="auto"/>
        <w:bottom w:val="none" w:sz="0" w:space="0" w:color="auto"/>
        <w:right w:val="none" w:sz="0" w:space="0" w:color="auto"/>
      </w:divBdr>
      <w:divsChild>
        <w:div w:id="153881459">
          <w:marLeft w:val="0"/>
          <w:marRight w:val="0"/>
          <w:marTop w:val="0"/>
          <w:marBottom w:val="0"/>
          <w:divBdr>
            <w:top w:val="none" w:sz="0" w:space="0" w:color="auto"/>
            <w:left w:val="none" w:sz="0" w:space="0" w:color="auto"/>
            <w:bottom w:val="none" w:sz="0" w:space="0" w:color="auto"/>
            <w:right w:val="none" w:sz="0" w:space="0" w:color="auto"/>
          </w:divBdr>
          <w:divsChild>
            <w:div w:id="19516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502313963">
      <w:bodyDiv w:val="1"/>
      <w:marLeft w:val="0"/>
      <w:marRight w:val="0"/>
      <w:marTop w:val="0"/>
      <w:marBottom w:val="0"/>
      <w:divBdr>
        <w:top w:val="none" w:sz="0" w:space="0" w:color="auto"/>
        <w:left w:val="none" w:sz="0" w:space="0" w:color="auto"/>
        <w:bottom w:val="none" w:sz="0" w:space="0" w:color="auto"/>
        <w:right w:val="none" w:sz="0" w:space="0" w:color="auto"/>
      </w:divBdr>
      <w:divsChild>
        <w:div w:id="773944150">
          <w:marLeft w:val="0"/>
          <w:marRight w:val="0"/>
          <w:marTop w:val="0"/>
          <w:marBottom w:val="0"/>
          <w:divBdr>
            <w:top w:val="none" w:sz="0" w:space="0" w:color="auto"/>
            <w:left w:val="none" w:sz="0" w:space="0" w:color="auto"/>
            <w:bottom w:val="none" w:sz="0" w:space="0" w:color="auto"/>
            <w:right w:val="none" w:sz="0" w:space="0" w:color="auto"/>
          </w:divBdr>
        </w:div>
      </w:divsChild>
    </w:div>
    <w:div w:id="1506745105">
      <w:bodyDiv w:val="1"/>
      <w:marLeft w:val="0"/>
      <w:marRight w:val="0"/>
      <w:marTop w:val="0"/>
      <w:marBottom w:val="0"/>
      <w:divBdr>
        <w:top w:val="none" w:sz="0" w:space="0" w:color="auto"/>
        <w:left w:val="none" w:sz="0" w:space="0" w:color="auto"/>
        <w:bottom w:val="none" w:sz="0" w:space="0" w:color="auto"/>
        <w:right w:val="none" w:sz="0" w:space="0" w:color="auto"/>
      </w:divBdr>
    </w:div>
    <w:div w:id="1510212601">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4250029">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270055">
      <w:bodyDiv w:val="1"/>
      <w:marLeft w:val="0"/>
      <w:marRight w:val="0"/>
      <w:marTop w:val="0"/>
      <w:marBottom w:val="0"/>
      <w:divBdr>
        <w:top w:val="none" w:sz="0" w:space="0" w:color="auto"/>
        <w:left w:val="none" w:sz="0" w:space="0" w:color="auto"/>
        <w:bottom w:val="none" w:sz="0" w:space="0" w:color="auto"/>
        <w:right w:val="none" w:sz="0" w:space="0" w:color="auto"/>
      </w:divBdr>
    </w:div>
    <w:div w:id="1535465628">
      <w:bodyDiv w:val="1"/>
      <w:marLeft w:val="0"/>
      <w:marRight w:val="0"/>
      <w:marTop w:val="0"/>
      <w:marBottom w:val="0"/>
      <w:divBdr>
        <w:top w:val="none" w:sz="0" w:space="0" w:color="auto"/>
        <w:left w:val="none" w:sz="0" w:space="0" w:color="auto"/>
        <w:bottom w:val="none" w:sz="0" w:space="0" w:color="auto"/>
        <w:right w:val="none" w:sz="0" w:space="0" w:color="auto"/>
      </w:divBdr>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46940550">
      <w:bodyDiv w:val="1"/>
      <w:marLeft w:val="0"/>
      <w:marRight w:val="0"/>
      <w:marTop w:val="0"/>
      <w:marBottom w:val="0"/>
      <w:divBdr>
        <w:top w:val="none" w:sz="0" w:space="0" w:color="auto"/>
        <w:left w:val="none" w:sz="0" w:space="0" w:color="auto"/>
        <w:bottom w:val="none" w:sz="0" w:space="0" w:color="auto"/>
        <w:right w:val="none" w:sz="0" w:space="0" w:color="auto"/>
      </w:divBdr>
    </w:div>
    <w:div w:id="1555196827">
      <w:bodyDiv w:val="1"/>
      <w:marLeft w:val="0"/>
      <w:marRight w:val="0"/>
      <w:marTop w:val="0"/>
      <w:marBottom w:val="0"/>
      <w:divBdr>
        <w:top w:val="none" w:sz="0" w:space="0" w:color="auto"/>
        <w:left w:val="none" w:sz="0" w:space="0" w:color="auto"/>
        <w:bottom w:val="none" w:sz="0" w:space="0" w:color="auto"/>
        <w:right w:val="none" w:sz="0" w:space="0" w:color="auto"/>
      </w:divBdr>
      <w:divsChild>
        <w:div w:id="1069159351">
          <w:marLeft w:val="0"/>
          <w:marRight w:val="0"/>
          <w:marTop w:val="0"/>
          <w:marBottom w:val="0"/>
          <w:divBdr>
            <w:top w:val="none" w:sz="0" w:space="0" w:color="auto"/>
            <w:left w:val="none" w:sz="0" w:space="0" w:color="auto"/>
            <w:bottom w:val="none" w:sz="0" w:space="0" w:color="auto"/>
            <w:right w:val="none" w:sz="0" w:space="0" w:color="auto"/>
          </w:divBdr>
          <w:divsChild>
            <w:div w:id="343284526">
              <w:marLeft w:val="0"/>
              <w:marRight w:val="0"/>
              <w:marTop w:val="0"/>
              <w:marBottom w:val="0"/>
              <w:divBdr>
                <w:top w:val="none" w:sz="0" w:space="0" w:color="auto"/>
                <w:left w:val="none" w:sz="0" w:space="0" w:color="auto"/>
                <w:bottom w:val="none" w:sz="0" w:space="0" w:color="auto"/>
                <w:right w:val="none" w:sz="0" w:space="0" w:color="auto"/>
              </w:divBdr>
              <w:divsChild>
                <w:div w:id="2135515563">
                  <w:marLeft w:val="0"/>
                  <w:marRight w:val="0"/>
                  <w:marTop w:val="0"/>
                  <w:marBottom w:val="0"/>
                  <w:divBdr>
                    <w:top w:val="none" w:sz="0" w:space="0" w:color="auto"/>
                    <w:left w:val="none" w:sz="0" w:space="0" w:color="auto"/>
                    <w:bottom w:val="none" w:sz="0" w:space="0" w:color="auto"/>
                    <w:right w:val="none" w:sz="0" w:space="0" w:color="auto"/>
                  </w:divBdr>
                  <w:divsChild>
                    <w:div w:id="516626257">
                      <w:marLeft w:val="0"/>
                      <w:marRight w:val="0"/>
                      <w:marTop w:val="0"/>
                      <w:marBottom w:val="0"/>
                      <w:divBdr>
                        <w:top w:val="none" w:sz="0" w:space="0" w:color="auto"/>
                        <w:left w:val="none" w:sz="0" w:space="0" w:color="auto"/>
                        <w:bottom w:val="none" w:sz="0" w:space="0" w:color="auto"/>
                        <w:right w:val="none" w:sz="0" w:space="0" w:color="auto"/>
                      </w:divBdr>
                      <w:divsChild>
                        <w:div w:id="981692555">
                          <w:marLeft w:val="0"/>
                          <w:marRight w:val="0"/>
                          <w:marTop w:val="0"/>
                          <w:marBottom w:val="0"/>
                          <w:divBdr>
                            <w:top w:val="none" w:sz="0" w:space="0" w:color="auto"/>
                            <w:left w:val="none" w:sz="0" w:space="0" w:color="auto"/>
                            <w:bottom w:val="none" w:sz="0" w:space="0" w:color="auto"/>
                            <w:right w:val="none" w:sz="0" w:space="0" w:color="auto"/>
                          </w:divBdr>
                          <w:divsChild>
                            <w:div w:id="365568838">
                              <w:marLeft w:val="0"/>
                              <w:marRight w:val="0"/>
                              <w:marTop w:val="0"/>
                              <w:marBottom w:val="0"/>
                              <w:divBdr>
                                <w:top w:val="none" w:sz="0" w:space="0" w:color="auto"/>
                                <w:left w:val="none" w:sz="0" w:space="0" w:color="auto"/>
                                <w:bottom w:val="none" w:sz="0" w:space="0" w:color="auto"/>
                                <w:right w:val="none" w:sz="0" w:space="0" w:color="auto"/>
                              </w:divBdr>
                              <w:divsChild>
                                <w:div w:id="9396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3632022">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3340917">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5179418">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82506274">
      <w:bodyDiv w:val="1"/>
      <w:marLeft w:val="0"/>
      <w:marRight w:val="0"/>
      <w:marTop w:val="0"/>
      <w:marBottom w:val="0"/>
      <w:divBdr>
        <w:top w:val="none" w:sz="0" w:space="0" w:color="auto"/>
        <w:left w:val="none" w:sz="0" w:space="0" w:color="auto"/>
        <w:bottom w:val="none" w:sz="0" w:space="0" w:color="auto"/>
        <w:right w:val="none" w:sz="0" w:space="0" w:color="auto"/>
      </w:divBdr>
    </w:div>
    <w:div w:id="1683358917">
      <w:bodyDiv w:val="1"/>
      <w:marLeft w:val="0"/>
      <w:marRight w:val="0"/>
      <w:marTop w:val="0"/>
      <w:marBottom w:val="0"/>
      <w:divBdr>
        <w:top w:val="none" w:sz="0" w:space="0" w:color="auto"/>
        <w:left w:val="none" w:sz="0" w:space="0" w:color="auto"/>
        <w:bottom w:val="none" w:sz="0" w:space="0" w:color="auto"/>
        <w:right w:val="none" w:sz="0" w:space="0" w:color="auto"/>
      </w:divBdr>
    </w:div>
    <w:div w:id="1691031213">
      <w:bodyDiv w:val="1"/>
      <w:marLeft w:val="0"/>
      <w:marRight w:val="0"/>
      <w:marTop w:val="0"/>
      <w:marBottom w:val="0"/>
      <w:divBdr>
        <w:top w:val="none" w:sz="0" w:space="0" w:color="auto"/>
        <w:left w:val="none" w:sz="0" w:space="0" w:color="auto"/>
        <w:bottom w:val="none" w:sz="0" w:space="0" w:color="auto"/>
        <w:right w:val="none" w:sz="0" w:space="0" w:color="auto"/>
      </w:divBdr>
      <w:divsChild>
        <w:div w:id="2045708985">
          <w:marLeft w:val="0"/>
          <w:marRight w:val="0"/>
          <w:marTop w:val="0"/>
          <w:marBottom w:val="0"/>
          <w:divBdr>
            <w:top w:val="none" w:sz="0" w:space="0" w:color="auto"/>
            <w:left w:val="none" w:sz="0" w:space="0" w:color="auto"/>
            <w:bottom w:val="none" w:sz="0" w:space="0" w:color="auto"/>
            <w:right w:val="none" w:sz="0" w:space="0" w:color="auto"/>
          </w:divBdr>
          <w:divsChild>
            <w:div w:id="788622910">
              <w:marLeft w:val="0"/>
              <w:marRight w:val="0"/>
              <w:marTop w:val="0"/>
              <w:marBottom w:val="0"/>
              <w:divBdr>
                <w:top w:val="none" w:sz="0" w:space="0" w:color="auto"/>
                <w:left w:val="none" w:sz="0" w:space="0" w:color="auto"/>
                <w:bottom w:val="none" w:sz="0" w:space="0" w:color="auto"/>
                <w:right w:val="none" w:sz="0" w:space="0" w:color="auto"/>
              </w:divBdr>
              <w:divsChild>
                <w:div w:id="2073310586">
                  <w:marLeft w:val="0"/>
                  <w:marRight w:val="0"/>
                  <w:marTop w:val="0"/>
                  <w:marBottom w:val="0"/>
                  <w:divBdr>
                    <w:top w:val="none" w:sz="0" w:space="0" w:color="auto"/>
                    <w:left w:val="none" w:sz="0" w:space="0" w:color="auto"/>
                    <w:bottom w:val="none" w:sz="0" w:space="0" w:color="auto"/>
                    <w:right w:val="none" w:sz="0" w:space="0" w:color="auto"/>
                  </w:divBdr>
                  <w:divsChild>
                    <w:div w:id="615522029">
                      <w:marLeft w:val="0"/>
                      <w:marRight w:val="0"/>
                      <w:marTop w:val="0"/>
                      <w:marBottom w:val="0"/>
                      <w:divBdr>
                        <w:top w:val="none" w:sz="0" w:space="0" w:color="auto"/>
                        <w:left w:val="none" w:sz="0" w:space="0" w:color="auto"/>
                        <w:bottom w:val="none" w:sz="0" w:space="0" w:color="auto"/>
                        <w:right w:val="none" w:sz="0" w:space="0" w:color="auto"/>
                      </w:divBdr>
                      <w:divsChild>
                        <w:div w:id="1966423562">
                          <w:marLeft w:val="0"/>
                          <w:marRight w:val="0"/>
                          <w:marTop w:val="0"/>
                          <w:marBottom w:val="0"/>
                          <w:divBdr>
                            <w:top w:val="none" w:sz="0" w:space="0" w:color="auto"/>
                            <w:left w:val="none" w:sz="0" w:space="0" w:color="auto"/>
                            <w:bottom w:val="none" w:sz="0" w:space="0" w:color="auto"/>
                            <w:right w:val="none" w:sz="0" w:space="0" w:color="auto"/>
                          </w:divBdr>
                          <w:divsChild>
                            <w:div w:id="538980548">
                              <w:marLeft w:val="0"/>
                              <w:marRight w:val="0"/>
                              <w:marTop w:val="0"/>
                              <w:marBottom w:val="0"/>
                              <w:divBdr>
                                <w:top w:val="none" w:sz="0" w:space="0" w:color="auto"/>
                                <w:left w:val="none" w:sz="0" w:space="0" w:color="auto"/>
                                <w:bottom w:val="none" w:sz="0" w:space="0" w:color="auto"/>
                                <w:right w:val="none" w:sz="0" w:space="0" w:color="auto"/>
                              </w:divBdr>
                              <w:divsChild>
                                <w:div w:id="120628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224421">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4936606">
      <w:bodyDiv w:val="1"/>
      <w:marLeft w:val="0"/>
      <w:marRight w:val="0"/>
      <w:marTop w:val="0"/>
      <w:marBottom w:val="0"/>
      <w:divBdr>
        <w:top w:val="none" w:sz="0" w:space="0" w:color="auto"/>
        <w:left w:val="none" w:sz="0" w:space="0" w:color="auto"/>
        <w:bottom w:val="none" w:sz="0" w:space="0" w:color="auto"/>
        <w:right w:val="none" w:sz="0" w:space="0" w:color="auto"/>
      </w:divBdr>
      <w:divsChild>
        <w:div w:id="140849481">
          <w:marLeft w:val="0"/>
          <w:marRight w:val="0"/>
          <w:marTop w:val="0"/>
          <w:marBottom w:val="0"/>
          <w:divBdr>
            <w:top w:val="none" w:sz="0" w:space="0" w:color="auto"/>
            <w:left w:val="none" w:sz="0" w:space="0" w:color="auto"/>
            <w:bottom w:val="none" w:sz="0" w:space="0" w:color="auto"/>
            <w:right w:val="none" w:sz="0" w:space="0" w:color="auto"/>
          </w:divBdr>
        </w:div>
      </w:divsChild>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15276626">
      <w:bodyDiv w:val="1"/>
      <w:marLeft w:val="0"/>
      <w:marRight w:val="0"/>
      <w:marTop w:val="0"/>
      <w:marBottom w:val="0"/>
      <w:divBdr>
        <w:top w:val="none" w:sz="0" w:space="0" w:color="auto"/>
        <w:left w:val="none" w:sz="0" w:space="0" w:color="auto"/>
        <w:bottom w:val="none" w:sz="0" w:space="0" w:color="auto"/>
        <w:right w:val="none" w:sz="0" w:space="0" w:color="auto"/>
      </w:divBdr>
    </w:div>
    <w:div w:id="1731729244">
      <w:bodyDiv w:val="1"/>
      <w:marLeft w:val="0"/>
      <w:marRight w:val="0"/>
      <w:marTop w:val="0"/>
      <w:marBottom w:val="0"/>
      <w:divBdr>
        <w:top w:val="none" w:sz="0" w:space="0" w:color="auto"/>
        <w:left w:val="none" w:sz="0" w:space="0" w:color="auto"/>
        <w:bottom w:val="none" w:sz="0" w:space="0" w:color="auto"/>
        <w:right w:val="none" w:sz="0" w:space="0" w:color="auto"/>
      </w:divBdr>
      <w:divsChild>
        <w:div w:id="671951561">
          <w:marLeft w:val="0"/>
          <w:marRight w:val="0"/>
          <w:marTop w:val="0"/>
          <w:marBottom w:val="0"/>
          <w:divBdr>
            <w:top w:val="none" w:sz="0" w:space="0" w:color="auto"/>
            <w:left w:val="none" w:sz="0" w:space="0" w:color="auto"/>
            <w:bottom w:val="none" w:sz="0" w:space="0" w:color="auto"/>
            <w:right w:val="none" w:sz="0" w:space="0" w:color="auto"/>
          </w:divBdr>
        </w:div>
      </w:divsChild>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1899179">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0543775">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67724073">
      <w:bodyDiv w:val="1"/>
      <w:marLeft w:val="0"/>
      <w:marRight w:val="0"/>
      <w:marTop w:val="0"/>
      <w:marBottom w:val="0"/>
      <w:divBdr>
        <w:top w:val="none" w:sz="0" w:space="0" w:color="auto"/>
        <w:left w:val="none" w:sz="0" w:space="0" w:color="auto"/>
        <w:bottom w:val="none" w:sz="0" w:space="0" w:color="auto"/>
        <w:right w:val="none" w:sz="0" w:space="0" w:color="auto"/>
      </w:divBdr>
      <w:divsChild>
        <w:div w:id="1952976269">
          <w:marLeft w:val="0"/>
          <w:marRight w:val="0"/>
          <w:marTop w:val="0"/>
          <w:marBottom w:val="0"/>
          <w:divBdr>
            <w:top w:val="none" w:sz="0" w:space="0" w:color="auto"/>
            <w:left w:val="none" w:sz="0" w:space="0" w:color="auto"/>
            <w:bottom w:val="none" w:sz="0" w:space="0" w:color="auto"/>
            <w:right w:val="none" w:sz="0" w:space="0" w:color="auto"/>
          </w:divBdr>
          <w:divsChild>
            <w:div w:id="6171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928375">
      <w:bodyDiv w:val="1"/>
      <w:marLeft w:val="0"/>
      <w:marRight w:val="0"/>
      <w:marTop w:val="0"/>
      <w:marBottom w:val="0"/>
      <w:divBdr>
        <w:top w:val="none" w:sz="0" w:space="0" w:color="auto"/>
        <w:left w:val="none" w:sz="0" w:space="0" w:color="auto"/>
        <w:bottom w:val="none" w:sz="0" w:space="0" w:color="auto"/>
        <w:right w:val="none" w:sz="0" w:space="0" w:color="auto"/>
      </w:divBdr>
    </w:div>
    <w:div w:id="1776245423">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202109">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7528757">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0753551">
      <w:bodyDiv w:val="1"/>
      <w:marLeft w:val="0"/>
      <w:marRight w:val="0"/>
      <w:marTop w:val="0"/>
      <w:marBottom w:val="0"/>
      <w:divBdr>
        <w:top w:val="none" w:sz="0" w:space="0" w:color="auto"/>
        <w:left w:val="none" w:sz="0" w:space="0" w:color="auto"/>
        <w:bottom w:val="none" w:sz="0" w:space="0" w:color="auto"/>
        <w:right w:val="none" w:sz="0" w:space="0" w:color="auto"/>
      </w:divBdr>
      <w:divsChild>
        <w:div w:id="986279489">
          <w:marLeft w:val="0"/>
          <w:marRight w:val="0"/>
          <w:marTop w:val="0"/>
          <w:marBottom w:val="0"/>
          <w:divBdr>
            <w:top w:val="none" w:sz="0" w:space="0" w:color="auto"/>
            <w:left w:val="none" w:sz="0" w:space="0" w:color="auto"/>
            <w:bottom w:val="none" w:sz="0" w:space="0" w:color="auto"/>
            <w:right w:val="none" w:sz="0" w:space="0" w:color="auto"/>
          </w:divBdr>
          <w:divsChild>
            <w:div w:id="130562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4540">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56966446">
      <w:bodyDiv w:val="1"/>
      <w:marLeft w:val="0"/>
      <w:marRight w:val="0"/>
      <w:marTop w:val="0"/>
      <w:marBottom w:val="0"/>
      <w:divBdr>
        <w:top w:val="none" w:sz="0" w:space="0" w:color="auto"/>
        <w:left w:val="none" w:sz="0" w:space="0" w:color="auto"/>
        <w:bottom w:val="none" w:sz="0" w:space="0" w:color="auto"/>
        <w:right w:val="none" w:sz="0" w:space="0" w:color="auto"/>
      </w:divBdr>
    </w:div>
    <w:div w:id="1860583832">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029784">
      <w:bodyDiv w:val="1"/>
      <w:marLeft w:val="0"/>
      <w:marRight w:val="0"/>
      <w:marTop w:val="0"/>
      <w:marBottom w:val="0"/>
      <w:divBdr>
        <w:top w:val="none" w:sz="0" w:space="0" w:color="auto"/>
        <w:left w:val="none" w:sz="0" w:space="0" w:color="auto"/>
        <w:bottom w:val="none" w:sz="0" w:space="0" w:color="auto"/>
        <w:right w:val="none" w:sz="0" w:space="0" w:color="auto"/>
      </w:divBdr>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6458">
      <w:bodyDiv w:val="1"/>
      <w:marLeft w:val="0"/>
      <w:marRight w:val="0"/>
      <w:marTop w:val="0"/>
      <w:marBottom w:val="0"/>
      <w:divBdr>
        <w:top w:val="none" w:sz="0" w:space="0" w:color="auto"/>
        <w:left w:val="none" w:sz="0" w:space="0" w:color="auto"/>
        <w:bottom w:val="none" w:sz="0" w:space="0" w:color="auto"/>
        <w:right w:val="none" w:sz="0" w:space="0" w:color="auto"/>
      </w:divBdr>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898394525">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2005530">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1449242">
      <w:bodyDiv w:val="1"/>
      <w:marLeft w:val="0"/>
      <w:marRight w:val="0"/>
      <w:marTop w:val="0"/>
      <w:marBottom w:val="0"/>
      <w:divBdr>
        <w:top w:val="none" w:sz="0" w:space="0" w:color="auto"/>
        <w:left w:val="none" w:sz="0" w:space="0" w:color="auto"/>
        <w:bottom w:val="none" w:sz="0" w:space="0" w:color="auto"/>
        <w:right w:val="none" w:sz="0" w:space="0" w:color="auto"/>
      </w:divBdr>
    </w:div>
    <w:div w:id="1942687518">
      <w:bodyDiv w:val="1"/>
      <w:marLeft w:val="0"/>
      <w:marRight w:val="0"/>
      <w:marTop w:val="0"/>
      <w:marBottom w:val="0"/>
      <w:divBdr>
        <w:top w:val="none" w:sz="0" w:space="0" w:color="auto"/>
        <w:left w:val="none" w:sz="0" w:space="0" w:color="auto"/>
        <w:bottom w:val="none" w:sz="0" w:space="0" w:color="auto"/>
        <w:right w:val="none" w:sz="0" w:space="0" w:color="auto"/>
      </w:divBdr>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7365909">
      <w:bodyDiv w:val="1"/>
      <w:marLeft w:val="0"/>
      <w:marRight w:val="0"/>
      <w:marTop w:val="0"/>
      <w:marBottom w:val="0"/>
      <w:divBdr>
        <w:top w:val="none" w:sz="0" w:space="0" w:color="auto"/>
        <w:left w:val="none" w:sz="0" w:space="0" w:color="auto"/>
        <w:bottom w:val="none" w:sz="0" w:space="0" w:color="auto"/>
        <w:right w:val="none" w:sz="0" w:space="0" w:color="auto"/>
      </w:divBdr>
      <w:divsChild>
        <w:div w:id="750539925">
          <w:marLeft w:val="0"/>
          <w:marRight w:val="0"/>
          <w:marTop w:val="0"/>
          <w:marBottom w:val="0"/>
          <w:divBdr>
            <w:top w:val="none" w:sz="0" w:space="0" w:color="auto"/>
            <w:left w:val="none" w:sz="0" w:space="0" w:color="auto"/>
            <w:bottom w:val="none" w:sz="0" w:space="0" w:color="auto"/>
            <w:right w:val="none" w:sz="0" w:space="0" w:color="auto"/>
          </w:divBdr>
        </w:div>
      </w:divsChild>
    </w:div>
    <w:div w:id="1958176268">
      <w:bodyDiv w:val="1"/>
      <w:marLeft w:val="0"/>
      <w:marRight w:val="0"/>
      <w:marTop w:val="0"/>
      <w:marBottom w:val="0"/>
      <w:divBdr>
        <w:top w:val="none" w:sz="0" w:space="0" w:color="auto"/>
        <w:left w:val="none" w:sz="0" w:space="0" w:color="auto"/>
        <w:bottom w:val="none" w:sz="0" w:space="0" w:color="auto"/>
        <w:right w:val="none" w:sz="0" w:space="0" w:color="auto"/>
      </w:divBdr>
    </w:div>
    <w:div w:id="1968706876">
      <w:bodyDiv w:val="1"/>
      <w:marLeft w:val="0"/>
      <w:marRight w:val="0"/>
      <w:marTop w:val="0"/>
      <w:marBottom w:val="0"/>
      <w:divBdr>
        <w:top w:val="none" w:sz="0" w:space="0" w:color="auto"/>
        <w:left w:val="none" w:sz="0" w:space="0" w:color="auto"/>
        <w:bottom w:val="none" w:sz="0" w:space="0" w:color="auto"/>
        <w:right w:val="none" w:sz="0" w:space="0" w:color="auto"/>
      </w:divBdr>
    </w:div>
    <w:div w:id="1981029681">
      <w:bodyDiv w:val="1"/>
      <w:marLeft w:val="0"/>
      <w:marRight w:val="0"/>
      <w:marTop w:val="0"/>
      <w:marBottom w:val="0"/>
      <w:divBdr>
        <w:top w:val="none" w:sz="0" w:space="0" w:color="auto"/>
        <w:left w:val="none" w:sz="0" w:space="0" w:color="auto"/>
        <w:bottom w:val="none" w:sz="0" w:space="0" w:color="auto"/>
        <w:right w:val="none" w:sz="0" w:space="0" w:color="auto"/>
      </w:divBdr>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18650228">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816323">
      <w:bodyDiv w:val="1"/>
      <w:marLeft w:val="0"/>
      <w:marRight w:val="0"/>
      <w:marTop w:val="0"/>
      <w:marBottom w:val="0"/>
      <w:divBdr>
        <w:top w:val="none" w:sz="0" w:space="0" w:color="auto"/>
        <w:left w:val="none" w:sz="0" w:space="0" w:color="auto"/>
        <w:bottom w:val="none" w:sz="0" w:space="0" w:color="auto"/>
        <w:right w:val="none" w:sz="0" w:space="0" w:color="auto"/>
      </w:divBdr>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45211653">
      <w:bodyDiv w:val="1"/>
      <w:marLeft w:val="0"/>
      <w:marRight w:val="0"/>
      <w:marTop w:val="0"/>
      <w:marBottom w:val="0"/>
      <w:divBdr>
        <w:top w:val="none" w:sz="0" w:space="0" w:color="auto"/>
        <w:left w:val="none" w:sz="0" w:space="0" w:color="auto"/>
        <w:bottom w:val="none" w:sz="0" w:space="0" w:color="auto"/>
        <w:right w:val="none" w:sz="0" w:space="0" w:color="auto"/>
      </w:divBdr>
    </w:div>
    <w:div w:id="2048093314">
      <w:bodyDiv w:val="1"/>
      <w:marLeft w:val="0"/>
      <w:marRight w:val="0"/>
      <w:marTop w:val="0"/>
      <w:marBottom w:val="0"/>
      <w:divBdr>
        <w:top w:val="none" w:sz="0" w:space="0" w:color="auto"/>
        <w:left w:val="none" w:sz="0" w:space="0" w:color="auto"/>
        <w:bottom w:val="none" w:sz="0" w:space="0" w:color="auto"/>
        <w:right w:val="none" w:sz="0" w:space="0" w:color="auto"/>
      </w:divBdr>
    </w:div>
    <w:div w:id="2059236510">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71071357">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086107191">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0813882">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20903309">
      <w:bodyDiv w:val="1"/>
      <w:marLeft w:val="0"/>
      <w:marRight w:val="0"/>
      <w:marTop w:val="0"/>
      <w:marBottom w:val="0"/>
      <w:divBdr>
        <w:top w:val="none" w:sz="0" w:space="0" w:color="auto"/>
        <w:left w:val="none" w:sz="0" w:space="0" w:color="auto"/>
        <w:bottom w:val="none" w:sz="0" w:space="0" w:color="auto"/>
        <w:right w:val="none" w:sz="0" w:space="0" w:color="auto"/>
      </w:divBdr>
      <w:divsChild>
        <w:div w:id="1523398760">
          <w:marLeft w:val="0"/>
          <w:marRight w:val="0"/>
          <w:marTop w:val="0"/>
          <w:marBottom w:val="0"/>
          <w:divBdr>
            <w:top w:val="none" w:sz="0" w:space="0" w:color="auto"/>
            <w:left w:val="none" w:sz="0" w:space="0" w:color="auto"/>
            <w:bottom w:val="none" w:sz="0" w:space="0" w:color="auto"/>
            <w:right w:val="none" w:sz="0" w:space="0" w:color="auto"/>
          </w:divBdr>
          <w:divsChild>
            <w:div w:id="16211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4911">
      <w:bodyDiv w:val="1"/>
      <w:marLeft w:val="0"/>
      <w:marRight w:val="0"/>
      <w:marTop w:val="0"/>
      <w:marBottom w:val="0"/>
      <w:divBdr>
        <w:top w:val="none" w:sz="0" w:space="0" w:color="auto"/>
        <w:left w:val="none" w:sz="0" w:space="0" w:color="auto"/>
        <w:bottom w:val="none" w:sz="0" w:space="0" w:color="auto"/>
        <w:right w:val="none" w:sz="0" w:space="0" w:color="auto"/>
      </w:divBdr>
      <w:divsChild>
        <w:div w:id="15541244">
          <w:marLeft w:val="0"/>
          <w:marRight w:val="0"/>
          <w:marTop w:val="0"/>
          <w:marBottom w:val="0"/>
          <w:divBdr>
            <w:top w:val="none" w:sz="0" w:space="0" w:color="auto"/>
            <w:left w:val="none" w:sz="0" w:space="0" w:color="auto"/>
            <w:bottom w:val="none" w:sz="0" w:space="0" w:color="auto"/>
            <w:right w:val="none" w:sz="0" w:space="0" w:color="auto"/>
          </w:divBdr>
        </w:div>
      </w:divsChild>
    </w:div>
    <w:div w:id="2129854522">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 w:id="213964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36/gut.2009.198499" TargetMode="External"/><Relationship Id="rId18" Type="http://schemas.openxmlformats.org/officeDocument/2006/relationships/hyperlink" Target="https://doi.org/10.1016/S1542-3565(05)00424-6" TargetMode="External"/><Relationship Id="rId26" Type="http://schemas.openxmlformats.org/officeDocument/2006/relationships/hyperlink" Target="https://doi.org/10.1038/s41575-021-00488-4" TargetMode="External"/><Relationship Id="rId39" Type="http://schemas.openxmlformats.org/officeDocument/2006/relationships/theme" Target="theme/theme1.xml"/><Relationship Id="rId21" Type="http://schemas.openxmlformats.org/officeDocument/2006/relationships/hyperlink" Target="https://doi.org/10.3389/fimmu.2022.1013900"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doi.org/10.1126/science.aan4526" TargetMode="External"/><Relationship Id="rId17" Type="http://schemas.openxmlformats.org/officeDocument/2006/relationships/hyperlink" Target="https://doi.org/10.1002/jgh3.12489" TargetMode="External"/><Relationship Id="rId25" Type="http://schemas.openxmlformats.org/officeDocument/2006/relationships/hyperlink" Target="https://doi.org/10.1111/j.1365-2036.2008.03694.x"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97/MD.0000000000004223" TargetMode="External"/><Relationship Id="rId20" Type="http://schemas.openxmlformats.org/officeDocument/2006/relationships/hyperlink" Target="https://doi.org/10.1053/j.gastro.2024.01.010" TargetMode="External"/><Relationship Id="rId29" Type="http://schemas.openxmlformats.org/officeDocument/2006/relationships/hyperlink" Target="https://doi.org/10.3390/dj100701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archoralbio.2024.106126" TargetMode="External"/><Relationship Id="rId24" Type="http://schemas.openxmlformats.org/officeDocument/2006/relationships/hyperlink" Target="https://doi.org/10.3389/ti.2023.11534"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016/j.jdent.2023.104520" TargetMode="External"/><Relationship Id="rId23" Type="http://schemas.openxmlformats.org/officeDocument/2006/relationships/hyperlink" Target="https://doi.org/10.1016/j.jdent.2017.07.001" TargetMode="External"/><Relationship Id="rId28" Type="http://schemas.openxmlformats.org/officeDocument/2006/relationships/hyperlink" Target="https://doi.org/10.9734/BJMMR/2014/5333" TargetMode="External"/><Relationship Id="rId36" Type="http://schemas.openxmlformats.org/officeDocument/2006/relationships/header" Target="header3.xml"/><Relationship Id="rId10" Type="http://schemas.openxmlformats.org/officeDocument/2006/relationships/hyperlink" Target="https://doi.org/10.1111/jgh.13149" TargetMode="External"/><Relationship Id="rId19" Type="http://schemas.openxmlformats.org/officeDocument/2006/relationships/hyperlink" Target="https://doi.org/10.3748/wjg.v19.i46.8571" TargetMode="External"/><Relationship Id="rId31" Type="http://schemas.openxmlformats.org/officeDocument/2006/relationships/hyperlink" Target="https://doi.org/10.1155/2021/6692420" TargetMode="External"/><Relationship Id="rId4" Type="http://schemas.openxmlformats.org/officeDocument/2006/relationships/settings" Target="settings.xml"/><Relationship Id="rId9" Type="http://schemas.openxmlformats.org/officeDocument/2006/relationships/hyperlink" Target="https://doi.org/10.1007/s00784-020-03220-9" TargetMode="External"/><Relationship Id="rId14" Type="http://schemas.openxmlformats.org/officeDocument/2006/relationships/hyperlink" Target="https://doi.org/10.1186/s12903-023-03052-5" TargetMode="External"/><Relationship Id="rId22" Type="http://schemas.openxmlformats.org/officeDocument/2006/relationships/hyperlink" Target="https://doi.org/10.9734/MRJI/2017/36110" TargetMode="External"/><Relationship Id="rId27" Type="http://schemas.openxmlformats.org/officeDocument/2006/relationships/hyperlink" Target="https://doi.org/10.1016/j.arcped.2020.11.002" TargetMode="External"/><Relationship Id="rId30" Type="http://schemas.openxmlformats.org/officeDocument/2006/relationships/hyperlink" Target="https://doi.org/10.1016/j.crohns.2011.07.001" TargetMode="External"/><Relationship Id="rId35" Type="http://schemas.openxmlformats.org/officeDocument/2006/relationships/footer" Target="footer2.xml"/><Relationship Id="rId8" Type="http://schemas.openxmlformats.org/officeDocument/2006/relationships/hyperlink" Target="https://doi.org/10.3390/dj10020016"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8744FE-B645-4537-9E74-F126C89CA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12920</TotalTime>
  <Pages>28</Pages>
  <Words>14149</Words>
  <Characters>80652</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PC 1170</cp:lastModifiedBy>
  <cp:revision>166</cp:revision>
  <cp:lastPrinted>2025-12-13T07:14:00Z</cp:lastPrinted>
  <dcterms:created xsi:type="dcterms:W3CDTF">2025-09-24T12:44:00Z</dcterms:created>
  <dcterms:modified xsi:type="dcterms:W3CDTF">2026-03-02T09:35:00Z</dcterms:modified>
</cp:coreProperties>
</file>