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A524007" w14:textId="77777777" w:rsidR="00427B82" w:rsidRDefault="00427B82" w:rsidP="00B5799D">
      <w:pPr>
        <w:jc w:val="both"/>
        <w:rPr>
          <w:rFonts w:ascii="Times New Roman" w:hAnsi="Times New Roman" w:cs="Times New Roman"/>
          <w:b/>
          <w:bCs/>
        </w:rPr>
      </w:pPr>
      <w:r w:rsidRPr="00427B82">
        <w:rPr>
          <w:rFonts w:ascii="Times New Roman" w:hAnsi="Times New Roman" w:cs="Times New Roman"/>
          <w:b/>
          <w:bCs/>
        </w:rPr>
        <w:t>Integrative Exposome Modeling of Chronic Disease Risk from Agrochemical Exposures in U.S. Farmers</w:t>
      </w:r>
    </w:p>
    <w:p w14:paraId="0CED96AA" w14:textId="1B2BB2D2" w:rsidR="00FB0D9E" w:rsidRPr="00FB0D9E" w:rsidRDefault="00FB0D9E" w:rsidP="00FB0D9E">
      <w:pPr>
        <w:pStyle w:val="ListParagraph"/>
        <w:rPr>
          <w:rFonts w:ascii="Times New Roman" w:hAnsi="Times New Roman" w:cs="Times New Roman"/>
        </w:rPr>
      </w:pPr>
      <w:bookmarkStart w:id="0" w:name="_GoBack"/>
      <w:bookmarkEnd w:id="0"/>
      <w:r w:rsidRPr="00FB0D9E">
        <w:rPr>
          <w:rFonts w:ascii="Times New Roman" w:hAnsi="Times New Roman" w:cs="Times New Roman"/>
        </w:rPr>
        <w:br/>
      </w:r>
    </w:p>
    <w:p w14:paraId="11B9B62D" w14:textId="77777777" w:rsidR="0067575F" w:rsidRPr="0067575F" w:rsidRDefault="0067575F" w:rsidP="00B5799D">
      <w:pPr>
        <w:jc w:val="both"/>
        <w:rPr>
          <w:rFonts w:ascii="Times New Roman" w:hAnsi="Times New Roman" w:cs="Times New Roman"/>
          <w:b/>
          <w:bCs/>
        </w:rPr>
      </w:pPr>
      <w:r w:rsidRPr="0067575F">
        <w:rPr>
          <w:rFonts w:ascii="Times New Roman" w:hAnsi="Times New Roman" w:cs="Times New Roman"/>
          <w:b/>
          <w:bCs/>
        </w:rPr>
        <w:t>Abstract</w:t>
      </w:r>
    </w:p>
    <w:p w14:paraId="1C8E9B97" w14:textId="77777777" w:rsidR="0067575F" w:rsidRPr="0067575F" w:rsidRDefault="0067575F" w:rsidP="00B5799D">
      <w:pPr>
        <w:jc w:val="both"/>
        <w:rPr>
          <w:rFonts w:ascii="Times New Roman" w:hAnsi="Times New Roman" w:cs="Times New Roman"/>
        </w:rPr>
      </w:pPr>
      <w:r w:rsidRPr="0067575F">
        <w:rPr>
          <w:rFonts w:ascii="Times New Roman" w:hAnsi="Times New Roman" w:cs="Times New Roman"/>
        </w:rPr>
        <w:t>Farmers in the United States experience sustained exposure to agrochemicals through occupational, environmental, residential, and dietary pathways. These exposures are typically low dose, cumulative, and heterogeneous, yet traditional risk assessment approaches continue to emphasize single chemicals and short-term exposure windows. Such paradigms are poorly suited to capture the complexity of real-world agricultural exposure environments or to explain observed patterns of chronic disease, including cancer, neurodegenerative disorders, and cardiometabolic conditions, in farming populations.</w:t>
      </w:r>
      <w:r w:rsidRPr="00B5799D">
        <w:rPr>
          <w:rFonts w:ascii="Times New Roman" w:hAnsi="Times New Roman" w:cs="Times New Roman"/>
        </w:rPr>
        <w:t xml:space="preserve"> </w:t>
      </w:r>
      <w:r w:rsidRPr="0067575F">
        <w:rPr>
          <w:rFonts w:ascii="Times New Roman" w:hAnsi="Times New Roman" w:cs="Times New Roman"/>
        </w:rPr>
        <w:t>This review synthesizes current evidence on agrochemical-related chronic disease risk through the lens of the exposome, a framework that encompasses the totality of environmental exposures across the life course and their internal biological correlates. We examine major classes of agrochemicals used in U.S. farming systems, dominant exposure pathways, and disease outcomes characterized by long latency, heterogeneity, and multi-morbidity. Particular attention is given to integrative modeling approaches that combine spatial exposure estimation, biomonitoring, and mixture-aware statistical or computational methods to reconstruct cumulative exposure and internal dose.</w:t>
      </w:r>
      <w:r w:rsidRPr="00B5799D">
        <w:rPr>
          <w:rFonts w:ascii="Times New Roman" w:hAnsi="Times New Roman" w:cs="Times New Roman"/>
        </w:rPr>
        <w:t xml:space="preserve"> </w:t>
      </w:r>
      <w:r w:rsidRPr="0067575F">
        <w:rPr>
          <w:rFonts w:ascii="Times New Roman" w:hAnsi="Times New Roman" w:cs="Times New Roman"/>
        </w:rPr>
        <w:t>We further evaluate key methodological challenges, including exposure misclassification, temporal mismatch between biomarkers and disease onset, confounding by co-exposures, and data integration barriers. Finally, we discuss the implications of exposome-based modeling for regulatory risk assessment, public health surveillance, and preventive strategies, highlighting opportunities to address regulatory blind spots, strengthen early detection, and support more equitable protection of agricultural communities.</w:t>
      </w:r>
      <w:r w:rsidRPr="00B5799D">
        <w:rPr>
          <w:rFonts w:ascii="Times New Roman" w:hAnsi="Times New Roman" w:cs="Times New Roman"/>
        </w:rPr>
        <w:t xml:space="preserve"> </w:t>
      </w:r>
      <w:r w:rsidRPr="0067575F">
        <w:rPr>
          <w:rFonts w:ascii="Times New Roman" w:hAnsi="Times New Roman" w:cs="Times New Roman"/>
        </w:rPr>
        <w:t>By bridging environmental contamination with chronic disease risk through integrative exposome science, this review underscores the need for coordinated environmental and occupational health strategies that move beyond single-agent frameworks toward cumulative, life-course–informed prevention.</w:t>
      </w:r>
    </w:p>
    <w:p w14:paraId="25F3AF06" w14:textId="77777777" w:rsidR="0067575F" w:rsidRPr="0067575F" w:rsidRDefault="0067575F" w:rsidP="00B5799D">
      <w:pPr>
        <w:jc w:val="both"/>
        <w:rPr>
          <w:rFonts w:ascii="Times New Roman" w:hAnsi="Times New Roman" w:cs="Times New Roman"/>
          <w:b/>
          <w:bCs/>
        </w:rPr>
      </w:pPr>
      <w:r w:rsidRPr="0067575F">
        <w:rPr>
          <w:rFonts w:ascii="Times New Roman" w:hAnsi="Times New Roman" w:cs="Times New Roman"/>
          <w:b/>
          <w:bCs/>
        </w:rPr>
        <w:t>Keywords</w:t>
      </w:r>
      <w:r w:rsidRPr="00B5799D">
        <w:rPr>
          <w:rFonts w:ascii="Times New Roman" w:hAnsi="Times New Roman" w:cs="Times New Roman"/>
          <w:b/>
          <w:bCs/>
        </w:rPr>
        <w:t xml:space="preserve">: </w:t>
      </w:r>
      <w:r w:rsidRPr="0067575F">
        <w:rPr>
          <w:rFonts w:ascii="Times New Roman" w:hAnsi="Times New Roman" w:cs="Times New Roman"/>
        </w:rPr>
        <w:t>Exposome; Agrochemicals; Farmers; Chronic disease; Occupational health; Environmental exposure modeling; Pesticides</w:t>
      </w:r>
    </w:p>
    <w:p w14:paraId="108E3161" w14:textId="77777777" w:rsidR="00427B82" w:rsidRPr="00427B82" w:rsidRDefault="00427B82" w:rsidP="00B5799D">
      <w:pPr>
        <w:jc w:val="both"/>
        <w:rPr>
          <w:rFonts w:ascii="Times New Roman" w:hAnsi="Times New Roman" w:cs="Times New Roman"/>
          <w:b/>
          <w:bCs/>
        </w:rPr>
      </w:pPr>
      <w:r w:rsidRPr="00427B82">
        <w:rPr>
          <w:rFonts w:ascii="Times New Roman" w:hAnsi="Times New Roman" w:cs="Times New Roman"/>
          <w:b/>
          <w:bCs/>
        </w:rPr>
        <w:t>1. Introduction: Framing Agrochemical Exposure as an Exposome Problem</w:t>
      </w:r>
    </w:p>
    <w:p w14:paraId="3A09128E" w14:textId="77777777" w:rsidR="00427B82" w:rsidRPr="00427B82" w:rsidRDefault="00427B82" w:rsidP="00B5799D">
      <w:pPr>
        <w:jc w:val="both"/>
        <w:rPr>
          <w:rFonts w:ascii="Times New Roman" w:hAnsi="Times New Roman" w:cs="Times New Roman"/>
        </w:rPr>
      </w:pPr>
      <w:r w:rsidRPr="00427B82">
        <w:rPr>
          <w:rFonts w:ascii="Times New Roman" w:hAnsi="Times New Roman" w:cs="Times New Roman"/>
        </w:rPr>
        <w:t xml:space="preserve">Agricultural production in the United States relies heavily on the sustained use of agrochemicals, including herbicides, insecticides, and fungicides, to maintain crop yields and economic viability. While these inputs are integral to modern farming systems, they also constitute a major source of chronic occupational and environmental exposure for farmers and their families. Unlike acute toxic events, agrochemical exposures in agricultural populations are typically low dose, repetitive, and sustained over decades, occurring through multiple pathways such as dermal contact, inhalation of aerosols and dust, contaminated water sources, and dietary intake. This exposure profile aligns </w:t>
      </w:r>
      <w:r w:rsidRPr="00427B82">
        <w:rPr>
          <w:rFonts w:ascii="Times New Roman" w:hAnsi="Times New Roman" w:cs="Times New Roman"/>
        </w:rPr>
        <w:lastRenderedPageBreak/>
        <w:t>closely with a life course risk model in which cumulative and interacting exposures shape long term health outcomes</w:t>
      </w:r>
      <w:r w:rsidR="00FC4E16">
        <w:rPr>
          <w:rFonts w:ascii="Times New Roman" w:hAnsi="Times New Roman" w:cs="Times New Roman"/>
        </w:rPr>
        <w:fldChar w:fldCharType="begin"/>
      </w:r>
      <w:r w:rsidR="00FC4E16">
        <w:rPr>
          <w:rFonts w:ascii="Times New Roman" w:hAnsi="Times New Roman" w:cs="Times New Roman"/>
        </w:rPr>
        <w:instrText xml:space="preserve"> ADDIN ZOTERO_ITEM CSL_CITATION {"citationID":"34onu77S","properties":{"formattedCitation":"(1\\uc0\\u8211{}3)","plainCitation":"(1–3)","noteIndex":0},"citationItems":[{"id":15010,"uris":["http://zotero.org/users/16652950/items/JPRSIJIX"],"itemData":{"id":15010,"type":"article-journal","abstract":"Pesticides are very important in modern agriculture, protecting crops against pests and diseases to ensure food safety. However, the use of pesticides...","container-title":"Foods","DOI":"10.3390/foods14071128","ISSN":"2304-8158","issue":"7","language":"en","license":"http://creativecommons.org/licenses/by/3.0/","note":"Company: Multidisciplinary Digital Publishing Institute\nDistributor: Multidisciplinary Digital Publishing Institute\nInstitution: Multidisciplinary Digital Publishing Institute\nLabel: Multidisciplinary Digital Publishing Institute\npublisher: publisher","source":"www.mdpi.com","title":"With or Without You?—A Critical Review on Pesticides in Food","title-short":"With or Without You?","URL":"https://www.mdpi.com/2304-8158/14/7/1128","volume":"14","author":[{"family":"Lazarević-Pašti","given":"Tamara"},{"family":"Milanković","given":"Vedran"},{"family":"Tasić","given":"Tamara"},{"family":"Petrović","given":"Sandra"},{"family":"Leskovac","given":"Andreja"}],"accessed":{"date-parts":[["2026",2,19]]},"issued":{"date-parts":[["2025",3,24]]}}},{"id":13186,"uris":["http://zotero.org/users/16652950/items/SQQ5MVSC"],"itemData":{"id":13186,"type":"article-journal","abstract":"Chemicals used for storage majorly possess insecticidal activities – deterring destructive insect pests and microorganisms from stored agricultural produce. Despite the controversy about their safety, local farmers and agro-wholesalers still predominantly use these chemicals in developing countries, especially Africa, to ensure an all-year supply of agriproducts. These chemicals could have short- or long-term effects. Despite the state-of-the-art knowledge, factors such as poor education and awareness, limited agricultural subventions, quests for cheap chemicals, over-dosage, and many more are the possible reasons for these toxic chemicals' setback and persistent use in developing countries. This paper provides an up-to-date review of the environmental and ecological effects, as well as the health impacts arising from the indiscriminate use of toxic chemicals in agriproducts. Existing data link pesticides to endocrine disruption, genetic mutations, neurological dysfunction, and other metabolic disorders, apart from the myriad of acute effects. Finally, this study recommended several naturally sourced preservatives as viable alternatives to chemical counterparts and emphasized the invaluable role of education and awareness programs in mitigating the use in developing nations for a sustainable society.","container-title":"Heliyon","DOI":"10.1016/j.heliyon.2023.e15173","ISSN":"2405-8440","issue":"4","journalAbbreviation":"Heliyon","page":"e15173","source":"ScienceDirect","title":"Widespread use of toxic agrochemicals and pesticides for agricultural products storage in Africa and developing countries: Possible panacea for ecotoxicology and health implications","title-short":"Widespread use of toxic agrochemicals and pesticides for agricultural products storage in Africa and developing countries","volume":"9","author":[{"family":"Anaduaka","given":"Emeka Godwin"},{"family":"Uchendu","given":"Nene Orizu"},{"family":"Asomadu","given":"Rita Onyekachukwu"},{"family":"Ezugwu","given":"Arinze Linus"},{"family":"Okeke","given":"Emmanuel Sunday"},{"family":"Chidike Ezeorba","given":"Timothy Prince"}],"issued":{"date-parts":[["2023",4,1]]}}},{"id":13340,"uris":["http://zotero.org/users/16652950/items/38U4I6QG"],"itemData":{"id":13340,"type":"article-journal","container-title":"The Journal of Peasant Studies","DOI":"10.1080/03066150.2025.2549340","ISSN":"0306-6150","note":"publisher: Routledge","page":"1-31","source":"tandfonline.com (Atypon)","title":"Pesticides and food sovereignty: (dis)connections and challenges for agrarian movements","title-short":"Pesticides and food sovereignty","author":[{"family":"Castro-Vargas","given":"Soledad"},{"family":"Hernández Rodríguez","given":"Carol"},{"family":"Navas","given":"Grettel"},{"family":"Castañón Ballivián","given":"Enrique"},{"family":"Xu","given":"Yunan"},{"family":"Marini","given":"Daniela Ayelén"}],"issued":{"date-parts":[["2025",10,2]]}}}],"schema":"https://github.com/citation-style-language/schema/raw/master/csl-citation.json"} </w:instrText>
      </w:r>
      <w:r w:rsidR="00FC4E16">
        <w:rPr>
          <w:rFonts w:ascii="Times New Roman" w:hAnsi="Times New Roman" w:cs="Times New Roman"/>
        </w:rPr>
        <w:fldChar w:fldCharType="separate"/>
      </w:r>
      <w:r w:rsidR="00FC4E16" w:rsidRPr="00FC4E16">
        <w:rPr>
          <w:rFonts w:ascii="Times New Roman" w:hAnsi="Times New Roman" w:cs="Times New Roman"/>
          <w:kern w:val="0"/>
        </w:rPr>
        <w:t>(1–3)</w:t>
      </w:r>
      <w:r w:rsidR="00FC4E16">
        <w:rPr>
          <w:rFonts w:ascii="Times New Roman" w:hAnsi="Times New Roman" w:cs="Times New Roman"/>
        </w:rPr>
        <w:fldChar w:fldCharType="end"/>
      </w:r>
      <w:r w:rsidRPr="00427B82">
        <w:rPr>
          <w:rFonts w:ascii="Times New Roman" w:hAnsi="Times New Roman" w:cs="Times New Roman"/>
        </w:rPr>
        <w:t>.</w:t>
      </w:r>
    </w:p>
    <w:p w14:paraId="0919B3E5" w14:textId="77777777" w:rsidR="00427B82" w:rsidRPr="00427B82" w:rsidRDefault="00427B82" w:rsidP="00B5799D">
      <w:pPr>
        <w:jc w:val="both"/>
        <w:rPr>
          <w:rFonts w:ascii="Times New Roman" w:hAnsi="Times New Roman" w:cs="Times New Roman"/>
        </w:rPr>
      </w:pPr>
      <w:r w:rsidRPr="00427B82">
        <w:rPr>
          <w:rFonts w:ascii="Times New Roman" w:hAnsi="Times New Roman" w:cs="Times New Roman"/>
        </w:rPr>
        <w:t xml:space="preserve">Epidemiologic evidence consistently indicates that U.S. farming populations experience elevated risks of several chronic diseases, including certain cancers such as </w:t>
      </w:r>
      <w:proofErr w:type="spellStart"/>
      <w:r w:rsidRPr="00427B82">
        <w:rPr>
          <w:rFonts w:ascii="Times New Roman" w:hAnsi="Times New Roman" w:cs="Times New Roman"/>
        </w:rPr>
        <w:t>non Hodgkin</w:t>
      </w:r>
      <w:proofErr w:type="spellEnd"/>
      <w:r w:rsidRPr="00427B82">
        <w:rPr>
          <w:rFonts w:ascii="Times New Roman" w:hAnsi="Times New Roman" w:cs="Times New Roman"/>
        </w:rPr>
        <w:t xml:space="preserve"> lymphoma and prostate cancer, neurodegenerative disorders including Parkinson’s disease, and cardiometabolic conditions such as diabetes and hypertension</w:t>
      </w:r>
      <w:r w:rsidR="00D16A45">
        <w:rPr>
          <w:rFonts w:ascii="Times New Roman" w:hAnsi="Times New Roman" w:cs="Times New Roman"/>
        </w:rPr>
        <w:fldChar w:fldCharType="begin"/>
      </w:r>
      <w:r w:rsidR="00D16A45">
        <w:rPr>
          <w:rFonts w:ascii="Times New Roman" w:hAnsi="Times New Roman" w:cs="Times New Roman"/>
        </w:rPr>
        <w:instrText xml:space="preserve"> ADDIN ZOTERO_ITEM CSL_CITATION {"citationID":"HfUnsFQf","properties":{"formattedCitation":"(4)","plainCitation":"(4)","noteIndex":0},"citationItems":[{"id":15012,"uris":["http://zotero.org/users/16652950/items/FX7EFFKR"],"itemData":{"id":15012,"type":"article-journal","abstract":"Preventing Chronic Disease (PCD) is a peer-reviewed electronic journal established by the National Center for Chronic Disease Prevention and Health Promotion. PCD provides an open exchange of information and knowledge among researchers, practitioners, policy makers, and others who strive to improve the health of the public through chronic disease prevention.","container-title":"Preventing Chronic Disease","DOI":"10.5888/pcd21.230267","ISSN":"1545-1151","journalAbbreviation":"Prev. Chronic Dis.","language":"en-us","source":"www.cdc.gov","title":"Chronic Disease Prevalence in the US: Sociodemographic and Geographic Variations by Zip Code Tabulation Area","title-short":"Chronic Disease Prevalence in the US","URL":"https://www.cdc.gov/pcd/issues/2024/23_0267.htm","volume":"21","author":[{"family":"Benavidez","given":"Gabriel A."}],"accessed":{"date-parts":[["2026",2,19]]},"issued":{"date-parts":[["2024"]]}}}],"schema":"https://github.com/citation-style-language/schema/raw/master/csl-citation.json"} </w:instrText>
      </w:r>
      <w:r w:rsidR="00D16A45">
        <w:rPr>
          <w:rFonts w:ascii="Times New Roman" w:hAnsi="Times New Roman" w:cs="Times New Roman"/>
        </w:rPr>
        <w:fldChar w:fldCharType="separate"/>
      </w:r>
      <w:r w:rsidR="00D16A45" w:rsidRPr="00D16A45">
        <w:rPr>
          <w:rFonts w:ascii="Times New Roman" w:hAnsi="Times New Roman" w:cs="Times New Roman"/>
        </w:rPr>
        <w:t>(4)</w:t>
      </w:r>
      <w:r w:rsidR="00D16A45">
        <w:rPr>
          <w:rFonts w:ascii="Times New Roman" w:hAnsi="Times New Roman" w:cs="Times New Roman"/>
        </w:rPr>
        <w:fldChar w:fldCharType="end"/>
      </w:r>
      <w:r w:rsidRPr="00427B82">
        <w:rPr>
          <w:rFonts w:ascii="Times New Roman" w:hAnsi="Times New Roman" w:cs="Times New Roman"/>
        </w:rPr>
        <w:t>. However, these associations are often heterogeneous and difficult to interpret, reflecting the complexity of agricultural exposure environments. Farmers are rarely exposed to a single chemical in isolation. Instead, they encounter mixtures of agrochemicals alongside other occupational, environmental, and social stressors that may jointly influence disease risk.</w:t>
      </w:r>
    </w:p>
    <w:p w14:paraId="3A1717A8" w14:textId="77777777" w:rsidR="00427B82" w:rsidRPr="00427B82" w:rsidRDefault="00427B82" w:rsidP="00B5799D">
      <w:pPr>
        <w:jc w:val="both"/>
        <w:rPr>
          <w:rFonts w:ascii="Times New Roman" w:hAnsi="Times New Roman" w:cs="Times New Roman"/>
        </w:rPr>
      </w:pPr>
      <w:r w:rsidRPr="00427B82">
        <w:rPr>
          <w:rFonts w:ascii="Times New Roman" w:hAnsi="Times New Roman" w:cs="Times New Roman"/>
        </w:rPr>
        <w:t xml:space="preserve">Traditional exposure assessment approaches in environmental and occupational health have struggled to fully capture this complexity. Many studies focus on individual agents or chemical classes, rely on cross sectional or retrospective designs, and use proxy measures of exposure such as job titles or </w:t>
      </w:r>
      <w:proofErr w:type="spellStart"/>
      <w:r w:rsidRPr="00427B82">
        <w:rPr>
          <w:rFonts w:ascii="Times New Roman" w:hAnsi="Times New Roman" w:cs="Times New Roman"/>
        </w:rPr>
        <w:t>self reported</w:t>
      </w:r>
      <w:proofErr w:type="spellEnd"/>
      <w:r w:rsidRPr="00427B82">
        <w:rPr>
          <w:rFonts w:ascii="Times New Roman" w:hAnsi="Times New Roman" w:cs="Times New Roman"/>
        </w:rPr>
        <w:t xml:space="preserve"> use. These methods are limited in their ability to account for cumulative exposure, temporal variability, biological uptake, and interactions among multiple exposures. As a result, they may underestimate true risk or fail to identify vulnerable subgroups within farming populations</w:t>
      </w:r>
      <w:r w:rsidR="00D16A45">
        <w:rPr>
          <w:rFonts w:ascii="Times New Roman" w:hAnsi="Times New Roman" w:cs="Times New Roman"/>
        </w:rPr>
        <w:fldChar w:fldCharType="begin"/>
      </w:r>
      <w:r w:rsidR="00D16A45">
        <w:rPr>
          <w:rFonts w:ascii="Times New Roman" w:hAnsi="Times New Roman" w:cs="Times New Roman"/>
        </w:rPr>
        <w:instrText xml:space="preserve"> ADDIN ZOTERO_ITEM CSL_CITATION {"citationID":"n0uTsTI6","properties":{"formattedCitation":"(5)","plainCitation":"(5)","noteIndex":0},"citationItems":[{"id":15015,"uris":["http://zotero.org/users/16652950/items/ZLJKKD8K"],"itemData":{"id":15015,"type":"article-journal","abstract":"undefined","container-title":"Toxics","DOI":"10.3390/toxics12110778","ISSN":"2305-6304","issue":"11","language":"en","license":"http://creativecommons.org/licenses/by/3.0/","note":"Company: Multidisciplinary Digital Publishing Institute\nDistributor: Multidisciplinary Digital Publishing Institute\nInstitution: Multidisciplinary Digital Publishing Institute\nLabel: Multidisciplinary Digital Publishing Institute\npublisher: publisher","source":"www.mdpi.com","title":"Environmental and Occupational Exposure to Chemical Agents and Health Challenges I—What Message Can Bring to Regulatory Science?","URL":"https://www.mdpi.com/2305-6304/12/11/778","volume":"12","author":[{"family":"Ladeira","given":"Carina"}],"accessed":{"date-parts":[["2026",2,19]]},"issued":{"date-parts":[["2024",10,24]]}}}],"schema":"https://github.com/citation-style-language/schema/raw/master/csl-citation.json"} </w:instrText>
      </w:r>
      <w:r w:rsidR="00D16A45">
        <w:rPr>
          <w:rFonts w:ascii="Times New Roman" w:hAnsi="Times New Roman" w:cs="Times New Roman"/>
        </w:rPr>
        <w:fldChar w:fldCharType="separate"/>
      </w:r>
      <w:r w:rsidR="00D16A45" w:rsidRPr="00D16A45">
        <w:rPr>
          <w:rFonts w:ascii="Times New Roman" w:hAnsi="Times New Roman" w:cs="Times New Roman"/>
        </w:rPr>
        <w:t>(5)</w:t>
      </w:r>
      <w:r w:rsidR="00D16A45">
        <w:rPr>
          <w:rFonts w:ascii="Times New Roman" w:hAnsi="Times New Roman" w:cs="Times New Roman"/>
        </w:rPr>
        <w:fldChar w:fldCharType="end"/>
      </w:r>
      <w:r w:rsidRPr="00427B82">
        <w:rPr>
          <w:rFonts w:ascii="Times New Roman" w:hAnsi="Times New Roman" w:cs="Times New Roman"/>
        </w:rPr>
        <w:t>.</w:t>
      </w:r>
    </w:p>
    <w:p w14:paraId="22F35C1A" w14:textId="77777777" w:rsidR="00427B82" w:rsidRPr="00427B82" w:rsidRDefault="00427B82" w:rsidP="00B5799D">
      <w:pPr>
        <w:jc w:val="both"/>
        <w:rPr>
          <w:rFonts w:ascii="Times New Roman" w:hAnsi="Times New Roman" w:cs="Times New Roman"/>
        </w:rPr>
      </w:pPr>
      <w:r w:rsidRPr="00427B82">
        <w:rPr>
          <w:rFonts w:ascii="Times New Roman" w:hAnsi="Times New Roman" w:cs="Times New Roman"/>
        </w:rPr>
        <w:t>The exposome framework offers a unifying conceptual and methodological approach to address these limitations. By encompassing the totality of environmental exposures across the life course and linking them to internal biological responses, the exposome moves beyond single chemical epidemiology toward a systems level understanding of disease etiology. Integrative exposome modeling, which combines environmental data, biomonitoring, spatial analysis, and advanced statistical or computational methods, is particularly well suited to agricultural contexts characterized by complex and dynamic exposure profiles.</w:t>
      </w:r>
    </w:p>
    <w:p w14:paraId="6D2123A4" w14:textId="77777777" w:rsidR="00427B82" w:rsidRPr="00427B82" w:rsidRDefault="00427B82" w:rsidP="00B5799D">
      <w:pPr>
        <w:jc w:val="both"/>
        <w:rPr>
          <w:rFonts w:ascii="Times New Roman" w:hAnsi="Times New Roman" w:cs="Times New Roman"/>
        </w:rPr>
      </w:pPr>
      <w:r w:rsidRPr="00427B82">
        <w:rPr>
          <w:rFonts w:ascii="Times New Roman" w:hAnsi="Times New Roman" w:cs="Times New Roman"/>
        </w:rPr>
        <w:t>This review synthesizes current evidence and modeling approaches for integrating agrochemical exposures into exposome based chronic disease risk assessment among U.S. farmers.</w:t>
      </w:r>
    </w:p>
    <w:p w14:paraId="2B612E62" w14:textId="77777777" w:rsidR="00477F9B" w:rsidRPr="00477F9B" w:rsidRDefault="00477F9B" w:rsidP="00B5799D">
      <w:pPr>
        <w:jc w:val="both"/>
        <w:rPr>
          <w:rFonts w:ascii="Times New Roman" w:hAnsi="Times New Roman" w:cs="Times New Roman"/>
          <w:b/>
          <w:bCs/>
        </w:rPr>
      </w:pPr>
      <w:r w:rsidRPr="00477F9B">
        <w:rPr>
          <w:rFonts w:ascii="Times New Roman" w:hAnsi="Times New Roman" w:cs="Times New Roman"/>
          <w:b/>
          <w:bCs/>
        </w:rPr>
        <w:t>2. Agrochemical Exposures in U.S. Farming Systems</w:t>
      </w:r>
    </w:p>
    <w:p w14:paraId="4A3D3D58" w14:textId="77777777" w:rsidR="00477F9B" w:rsidRPr="00477F9B" w:rsidRDefault="00477F9B" w:rsidP="00B5799D">
      <w:pPr>
        <w:jc w:val="both"/>
        <w:rPr>
          <w:rFonts w:ascii="Times New Roman" w:hAnsi="Times New Roman" w:cs="Times New Roman"/>
        </w:rPr>
      </w:pPr>
      <w:r w:rsidRPr="00477F9B">
        <w:rPr>
          <w:rFonts w:ascii="Times New Roman" w:hAnsi="Times New Roman" w:cs="Times New Roman"/>
        </w:rPr>
        <w:t>Agrochemical use is a defining feature of contemporary U.S. agriculture and represents one of the most complex exposure environments in occupational health. Farmers are routinely exposed to diverse chemical agents that vary in toxicity, persistence, and biological activity. These exposures rarely occur in isolation and are shaped by farming practices, crop type, geography, and regulatory history, creating heterogeneous exposure profiles across agricultural regions</w:t>
      </w:r>
      <w:r w:rsidR="00D16A45">
        <w:rPr>
          <w:rFonts w:ascii="Times New Roman" w:hAnsi="Times New Roman" w:cs="Times New Roman"/>
        </w:rPr>
        <w:fldChar w:fldCharType="begin"/>
      </w:r>
      <w:r w:rsidR="00D16A45">
        <w:rPr>
          <w:rFonts w:ascii="Times New Roman" w:hAnsi="Times New Roman" w:cs="Times New Roman"/>
        </w:rPr>
        <w:instrText xml:space="preserve"> ADDIN ZOTERO_ITEM CSL_CITATION {"citationID":"CMJ8dE9D","properties":{"formattedCitation":"(6)","plainCitation":"(6)","noteIndex":0},"citationItems":[{"id":13293,"uris":["http://zotero.org/users/16652950/items/EWAJ2Q55"],"itemData":{"id":13293,"type":"article-journal","abstract":"Pesticides are widely used to control pests, but their widespread use raises concerns regarding potential health risks for humans. There are several routes through which pesticides can be ingested, inhaled, and absorbed, resulting in acute and long-term health consequences. This systematic review synthesizes the available evidence regarding the health risks and long-term effects of pesticide exposure, with a particular focus on epidemiological and toxicological studies. A systematic review was conducted by searching scientific databases i.e. Scopus, and Web of Science for peer-reviewed articles published between 2000 and 2024. Studies were selected based on their focus on pesticide exposure, health risks, and long-term effects. Meta-analysis was conducted where sufficient homogeneity of outcomes allowed. This review identified consistent associations between chronic pesticide exposure and non-communicable diseases, including cancer, neurological disorders, and endocrine disruptions. An increased incidence of respiratory issues and neurodegenerative diseases was often associated with occupational exposure to pesticides. People exposed for a prolonged or high intensity time period, particularly agricultural workers, were more likely to experience long-term health effects. There are a number of factors that influences the ability to draw definitive conclusions, including variations in pesticide types, exposure levels, and health outcomes. Chronic exposure to pesticides presents significant health risks, particularly for individuals in high-exposure environments like agriculture. While evidence indicates strong associations with several long-term health conditions, additional research is necessary to elucidate dose-response relationships and mechanisms of action. This review underscores the necessity for enhanced regulatory measures and improved safety protocols to mitigate pesticide-related health risks.","container-title":"Toxicology Reports","DOI":"10.1016/j.toxrep.2024.101840","ISSN":"2214-7500","journalAbbreviation":"Toxicology Reports","page":"101840","source":"ScienceDirect","title":"A systematic review of pesticide exposure, associated risks, and long-term human health impacts","volume":"13","author":[{"family":"Shekhar","given":"Chander"},{"family":"Khosya","given":"Reetu"},{"family":"Thakur","given":"Kushal"},{"family":"Mahajan","given":"Danish"},{"family":"Kumar","given":"Rakesh"},{"family":"Kumar","given":"Sunil"},{"family":"Sharma","given":"Amit Kumar"}],"issued":{"date-parts":[["2024",12,1]]}}}],"schema":"https://github.com/citation-style-language/schema/raw/master/csl-citation.json"} </w:instrText>
      </w:r>
      <w:r w:rsidR="00D16A45">
        <w:rPr>
          <w:rFonts w:ascii="Times New Roman" w:hAnsi="Times New Roman" w:cs="Times New Roman"/>
        </w:rPr>
        <w:fldChar w:fldCharType="separate"/>
      </w:r>
      <w:r w:rsidR="00D16A45" w:rsidRPr="00D16A45">
        <w:rPr>
          <w:rFonts w:ascii="Times New Roman" w:hAnsi="Times New Roman" w:cs="Times New Roman"/>
        </w:rPr>
        <w:t>(6)</w:t>
      </w:r>
      <w:r w:rsidR="00D16A45">
        <w:rPr>
          <w:rFonts w:ascii="Times New Roman" w:hAnsi="Times New Roman" w:cs="Times New Roman"/>
        </w:rPr>
        <w:fldChar w:fldCharType="end"/>
      </w:r>
      <w:r w:rsidRPr="00477F9B">
        <w:rPr>
          <w:rFonts w:ascii="Times New Roman" w:hAnsi="Times New Roman" w:cs="Times New Roman"/>
        </w:rPr>
        <w:t>.</w:t>
      </w:r>
    </w:p>
    <w:p w14:paraId="2A672758" w14:textId="77777777" w:rsidR="00477F9B" w:rsidRPr="00477F9B" w:rsidRDefault="00477F9B" w:rsidP="00B5799D">
      <w:pPr>
        <w:jc w:val="both"/>
        <w:rPr>
          <w:rFonts w:ascii="Times New Roman" w:hAnsi="Times New Roman" w:cs="Times New Roman"/>
          <w:b/>
          <w:bCs/>
        </w:rPr>
      </w:pPr>
      <w:r w:rsidRPr="00477F9B">
        <w:rPr>
          <w:rFonts w:ascii="Times New Roman" w:hAnsi="Times New Roman" w:cs="Times New Roman"/>
          <w:b/>
          <w:bCs/>
        </w:rPr>
        <w:t>2.1 Major Classes of Agrochemicals</w:t>
      </w:r>
    </w:p>
    <w:p w14:paraId="525D34A8" w14:textId="77777777" w:rsidR="00477F9B" w:rsidRPr="00477F9B" w:rsidRDefault="00477F9B" w:rsidP="00B5799D">
      <w:pPr>
        <w:jc w:val="both"/>
        <w:rPr>
          <w:rFonts w:ascii="Times New Roman" w:hAnsi="Times New Roman" w:cs="Times New Roman"/>
        </w:rPr>
      </w:pPr>
      <w:r w:rsidRPr="00477F9B">
        <w:rPr>
          <w:rFonts w:ascii="Times New Roman" w:hAnsi="Times New Roman" w:cs="Times New Roman"/>
        </w:rPr>
        <w:t xml:space="preserve">Herbicides constitute the largest share of agrochemical use in the United States, with compounds such as glyphosate widely applied across row crops, orchards, and pasture systems. Their extensive use has raised concerns about chronic </w:t>
      </w:r>
      <w:proofErr w:type="gramStart"/>
      <w:r w:rsidRPr="00477F9B">
        <w:rPr>
          <w:rFonts w:ascii="Times New Roman" w:hAnsi="Times New Roman" w:cs="Times New Roman"/>
        </w:rPr>
        <w:t>low level</w:t>
      </w:r>
      <w:proofErr w:type="gramEnd"/>
      <w:r w:rsidRPr="00477F9B">
        <w:rPr>
          <w:rFonts w:ascii="Times New Roman" w:hAnsi="Times New Roman" w:cs="Times New Roman"/>
        </w:rPr>
        <w:t xml:space="preserve"> exposure, particularly given repeated seasonal </w:t>
      </w:r>
      <w:r w:rsidRPr="00477F9B">
        <w:rPr>
          <w:rFonts w:ascii="Times New Roman" w:hAnsi="Times New Roman" w:cs="Times New Roman"/>
        </w:rPr>
        <w:lastRenderedPageBreak/>
        <w:t>applications and environmental persistence in soil and water. Insecticides, including organophosphates and neonicotinoids, are commonly used to control pest populations but are also associated with neurotoxic and endocrine effects</w:t>
      </w:r>
      <w:r w:rsidR="00D16A45">
        <w:rPr>
          <w:rFonts w:ascii="Times New Roman" w:hAnsi="Times New Roman" w:cs="Times New Roman"/>
        </w:rPr>
        <w:fldChar w:fldCharType="begin"/>
      </w:r>
      <w:r w:rsidR="00D16A45">
        <w:rPr>
          <w:rFonts w:ascii="Times New Roman" w:hAnsi="Times New Roman" w:cs="Times New Roman"/>
        </w:rPr>
        <w:instrText xml:space="preserve"> ADDIN ZOTERO_ITEM CSL_CITATION {"citationID":"hA2ydQzD","properties":{"formattedCitation":"(7)","plainCitation":"(7)","noteIndex":0},"citationItems":[{"id":15001,"uris":["http://zotero.org/users/16652950/items/ZYET7WS4"],"itemData":{"id":15001,"type":"article-journal","abstract":"Pesticides are chemical constituents used to prevent or control pests, including insects, rodents, fungi, weeds, and other unwanted organisms. Despite their advantages in crop production and disease management, the use of pesticides poses significant hazards to the environment and public health. Pesticide elements have now perpetually entered our atmosphere and subsequently contaminated water, food, and soil, leading to health threats ranging from acute to chronic toxicities. Pesticides can cause acute toxicity if a high dose is inhaled, ingested, or comes into contact with the skin or eyes, while prolonged or recurrent exposure to pesticides leads to chronic toxicity. Pesticides produce different types of toxicity, for instance, neurotoxicity, mutagenicity, carcinogenicity, teratogenicity, and endocrine disruption. The toxicity of a pesticide formulation may depend on the specific active ingredient and the presence of synergistic or inert compounds that can enhance or modify its toxicity. Safety concerns are the need of the hour to control contemporary pesticide-induced health hazards. The effectiveness and implementation of the current legislature in providing ample protection for human health and the environment are key concerns. This review explored a comprehensive summary of pesticides regarding their updated impacts on human health and advanced safety concerns with legislation. Implementing regulations, proper training, and education can help mitigate the negative impacts of pesticide use and promote safer and more sustainable agricultural practices.","container-title":"Heliyon","DOI":"10.1016/j.heliyon.2024.e29128","ISSN":"2405-8440","issue":"7","journalAbbreviation":"Heliyon","page":"e29128","source":"ScienceDirect","title":"Pesticides impacts on human health and the environment with their mechanisms of action and possible countermeasures","volume":"10","author":[{"family":"Ahmad","given":"Md Faruque"},{"family":"Ahmad","given":"Fakhruddin Ali"},{"family":"Alsayegh","given":"Abdulrahman A."},{"family":"Zeyaullah","given":"Md."},{"family":"AlShahrani","given":"Abdullah M."},{"family":"Muzammil","given":"Khursheed"},{"family":"Saati","given":"Abdullah Ali"},{"family":"Wahab","given":"Shadma"},{"family":"Elbendary","given":"Ehab Y."},{"family":"Kambal","given":"Nahla"},{"family":"Abdelrahman","given":"Mohamed H."},{"family":"Hussain","given":"Sohail"}],"issued":{"date-parts":[["2024",4,15]]}}}],"schema":"https://github.com/citation-style-language/schema/raw/master/csl-citation.json"} </w:instrText>
      </w:r>
      <w:r w:rsidR="00D16A45">
        <w:rPr>
          <w:rFonts w:ascii="Times New Roman" w:hAnsi="Times New Roman" w:cs="Times New Roman"/>
        </w:rPr>
        <w:fldChar w:fldCharType="separate"/>
      </w:r>
      <w:r w:rsidR="00D16A45" w:rsidRPr="00D16A45">
        <w:rPr>
          <w:rFonts w:ascii="Times New Roman" w:hAnsi="Times New Roman" w:cs="Times New Roman"/>
        </w:rPr>
        <w:t>(7)</w:t>
      </w:r>
      <w:r w:rsidR="00D16A45">
        <w:rPr>
          <w:rFonts w:ascii="Times New Roman" w:hAnsi="Times New Roman" w:cs="Times New Roman"/>
        </w:rPr>
        <w:fldChar w:fldCharType="end"/>
      </w:r>
      <w:r w:rsidRPr="00477F9B">
        <w:rPr>
          <w:rFonts w:ascii="Times New Roman" w:hAnsi="Times New Roman" w:cs="Times New Roman"/>
        </w:rPr>
        <w:t>. Although the use of some highly toxic organophosphates has declined, legacy exposure and continued use of related compounds remain relevant in certain farming contexts. Fungicides, often applied preventively and in combination with other chemicals, add another layer of exposure complexity, particularly in fruit, vegetable, and specialty crop production. In addition, legacy compounds such as organochlorines, though banned for decades, persist in agricultural soils and sediments, contributing to long term background exposure through environmental reservoirs</w:t>
      </w:r>
      <w:r w:rsidR="00D16A45">
        <w:rPr>
          <w:rFonts w:ascii="Times New Roman" w:hAnsi="Times New Roman" w:cs="Times New Roman"/>
        </w:rPr>
        <w:fldChar w:fldCharType="begin"/>
      </w:r>
      <w:r w:rsidR="00D16A45">
        <w:rPr>
          <w:rFonts w:ascii="Times New Roman" w:hAnsi="Times New Roman" w:cs="Times New Roman"/>
        </w:rPr>
        <w:instrText xml:space="preserve"> ADDIN ZOTERO_ITEM CSL_CITATION {"citationID":"cwMvJ7lM","properties":{"formattedCitation":"(8)","plainCitation":"(8)","noteIndex":0},"citationItems":[{"id":13355,"uris":["http://zotero.org/users/16652950/items/PYMXKRSJ"],"itemData":{"id":13355,"type":"article-journal","abstract":"One of the guiding principles of the sustainable use of herbicides is their targeted action exclusively against weeds, consisting of blocking photosynthesis and synthesis of amino acids and growth regulators. Herbicides are major elements of plant production, indispensable to the functioning of modern agriculture. Nevertheless, their influence on all elements of the natural environment needs to be continuously controlled. This review article summarizes research addressing the effects of herbicides on the natural environment and the changes they trigger therein. Herbicides, applied to protect crops against weed infestation, are usually mixtures of various active substances; hence, it is generally difficult to analyze their impact on the environment and organisms. Nonetheless, an attempt was made in this review to discuss the effects of selected herbicides on individual elements of the natural environment (water, soil, and air) and organisms (humans, animals, plants, and microorganisms). In addition, the article presents examples of the biodegradation of selected herbicides and mechanisms of their degradation by bacteria and fungi. Based on this information, it can be concluded that the uncontrolled use of herbicides has led to adverse effects on non-target organisms, as documented in the scientific literature. However, further research on the environmental effects of these chemicals is needed address the missing knowledge on this subject.","container-title":"Molecules","DOI":"10.3390/molecules29245965","ISSN":"1420-3049","issue":"24","journalAbbreviation":"Molecules","note":"PMID: 39770054\nPMCID: PMC11677524","page":"5965","source":"PubMed Central","title":"Environmental Implication of Herbicide Use","volume":"29","author":[{"family":"Baćmaga","given":"Małgorzata"},{"family":"Wyszkowska","given":"Jadwiga"},{"family":"Kucharski","given":"Jan"}],"issued":{"date-parts":[["2024",12,18]]}}}],"schema":"https://github.com/citation-style-language/schema/raw/master/csl-citation.json"} </w:instrText>
      </w:r>
      <w:r w:rsidR="00D16A45">
        <w:rPr>
          <w:rFonts w:ascii="Times New Roman" w:hAnsi="Times New Roman" w:cs="Times New Roman"/>
        </w:rPr>
        <w:fldChar w:fldCharType="separate"/>
      </w:r>
      <w:r w:rsidR="00D16A45" w:rsidRPr="00D16A45">
        <w:rPr>
          <w:rFonts w:ascii="Times New Roman" w:hAnsi="Times New Roman" w:cs="Times New Roman"/>
        </w:rPr>
        <w:t>(8)</w:t>
      </w:r>
      <w:r w:rsidR="00D16A45">
        <w:rPr>
          <w:rFonts w:ascii="Times New Roman" w:hAnsi="Times New Roman" w:cs="Times New Roman"/>
        </w:rPr>
        <w:fldChar w:fldCharType="end"/>
      </w:r>
      <w:r w:rsidRPr="00477F9B">
        <w:rPr>
          <w:rFonts w:ascii="Times New Roman" w:hAnsi="Times New Roman" w:cs="Times New Roman"/>
        </w:rPr>
        <w:t>.</w:t>
      </w:r>
    </w:p>
    <w:p w14:paraId="5CB9FB21" w14:textId="77777777" w:rsidR="00477F9B" w:rsidRPr="00477F9B" w:rsidRDefault="00477F9B" w:rsidP="00B5799D">
      <w:pPr>
        <w:jc w:val="both"/>
        <w:rPr>
          <w:rFonts w:ascii="Times New Roman" w:hAnsi="Times New Roman" w:cs="Times New Roman"/>
          <w:b/>
          <w:bCs/>
        </w:rPr>
      </w:pPr>
      <w:r w:rsidRPr="00477F9B">
        <w:rPr>
          <w:rFonts w:ascii="Times New Roman" w:hAnsi="Times New Roman" w:cs="Times New Roman"/>
          <w:b/>
          <w:bCs/>
        </w:rPr>
        <w:t>2.2 Exposure Pathways</w:t>
      </w:r>
    </w:p>
    <w:p w14:paraId="65E4029E" w14:textId="77777777" w:rsidR="00477F9B" w:rsidRPr="00477F9B" w:rsidRDefault="00477F9B" w:rsidP="00B5799D">
      <w:pPr>
        <w:jc w:val="both"/>
        <w:rPr>
          <w:rFonts w:ascii="Times New Roman" w:hAnsi="Times New Roman" w:cs="Times New Roman"/>
        </w:rPr>
      </w:pPr>
      <w:r w:rsidRPr="00477F9B">
        <w:rPr>
          <w:rFonts w:ascii="Times New Roman" w:hAnsi="Times New Roman" w:cs="Times New Roman"/>
        </w:rPr>
        <w:t xml:space="preserve">Occupational exposure remains the primary route for farmers and agricultural workers. Activities such as mixing and loading formulations, equipment calibration, spraying, and field </w:t>
      </w:r>
      <w:proofErr w:type="spellStart"/>
      <w:r w:rsidRPr="00477F9B">
        <w:rPr>
          <w:rFonts w:ascii="Times New Roman" w:hAnsi="Times New Roman" w:cs="Times New Roman"/>
        </w:rPr>
        <w:t>re entry</w:t>
      </w:r>
      <w:proofErr w:type="spellEnd"/>
      <w:r w:rsidRPr="00477F9B">
        <w:rPr>
          <w:rFonts w:ascii="Times New Roman" w:hAnsi="Times New Roman" w:cs="Times New Roman"/>
        </w:rPr>
        <w:t xml:space="preserve"> following application are associated with direct dermal and inhalation exposure. Environmental pathways further extend exposure beyond the worksite</w:t>
      </w:r>
      <w:r w:rsidR="00292C56">
        <w:rPr>
          <w:rFonts w:ascii="Times New Roman" w:hAnsi="Times New Roman" w:cs="Times New Roman"/>
        </w:rPr>
        <w:fldChar w:fldCharType="begin"/>
      </w:r>
      <w:r w:rsidR="00292C56">
        <w:rPr>
          <w:rFonts w:ascii="Times New Roman" w:hAnsi="Times New Roman" w:cs="Times New Roman"/>
        </w:rPr>
        <w:instrText xml:space="preserve"> ADDIN ZOTERO_ITEM CSL_CITATION {"citationID":"BNtysgTm","properties":{"formattedCitation":"(9)","plainCitation":"(9)","noteIndex":0},"citationItems":[{"id":15017,"uris":["http://zotero.org/users/16652950/items/RD8DRDF9"],"itemData":{"id":15017,"type":"article-journal","abstract":"Background\nLong-term exposure to pesticides is often assessed using semi-quantitative models. To improve these models, a better understanding of how occupational factors determine exposure (e.g., as estimated by biomonitoring) would be valuable.\nMethods\nUrine samples were collected from pesticide applicators in Malaysia, Uganda, and the UK during mixing/application days (and also during non-application days in Uganda). Samples were collected pre- and post-activity on the same day and analysed for biomarkers of active ingredients (AIs), including synthetic pyrethroids (via the metabolite 3-phenoxybenzoic acid [3-PBA]) and glyphosate, as well as creatinine. We performed multilevel Tobit regression models for each study to assess the relationship between exposure modifying factors (e.g., mixing/application of AI, duration of activity, personal protective equipment [PPE]) and urinary biomarkers of exposure.\nResults\nFrom the Malaysia, Uganda, and UK studies, 81, 84, and 106 study participants provided 162, 384 and 212 urine samples, respectively. Pyrethroid use on the sampling day was most common in Malaysia (n = 38; 47%), and glyphosate use was most prevalent in the UK (n = 93; 88%). Median pre- and post-activity 3-PBA concentrations were similar, with higher median concentrations post-compared to pre-activity for glyphosate samples in the UK (1.7 to 0.5 μg/L) and Uganda (7.6 to 0.8 μg/L) (glyphosate was not used in the Malaysia study). There was evidence from individual studies that higher urinary biomarker concentrations were associated with mixing/application of the AI on the day of urine sampling, longer duration of mixing/application, lower PPE protection, and less education/literacy, but no factor was consistently associated with exposure across biomarkers in the three studies.\nConclusions\nOur results suggest a need for AI-specific interpretation of exposure modifying factors as the relevance of exposure routes, levels of detection, and farming systems/practices may be very context and AI-specific.","container-title":"Environmental Research","DOI":"10.1016/j.envres.2023.117651","ISSN":"0013-9351","journalAbbreviation":"Environmental Research","page":"117651","source":"ScienceDirect","title":"Factors influencing occupational exposure to pyrethroids and glyphosate: An analysis of urinary biomarkers in Malaysia, Uganda and the United Kingdom","title-short":"Factors influencing occupational exposure to pyrethroids and glyphosate","volume":"242","author":[{"family":"Mueller","given":"William"},{"family":"Jones","given":"Kate"},{"family":"Fuhrimann","given":"Samuel"},{"family":"Ahmad","given":"Zulkhairul Naim Bin Sidek"},{"family":"Sams","given":"Craig"},{"family":"Harding","given":"Anne-Helen"},{"family":"Povey","given":"Andrew"},{"family":"Atuhaire","given":"Aggrey"},{"family":"Basinas","given":"Ioannis"},{"family":"Tongeren","given":"Martie","non-dropping-particle":"van"},{"family":"Kromhout","given":"Hans"},{"family":"Galea","given":"Karen S."}],"issued":{"date-parts":[["2024",2,1]]}}}],"schema":"https://github.com/citation-style-language/schema/raw/master/csl-citation.json"} </w:instrText>
      </w:r>
      <w:r w:rsidR="00292C56">
        <w:rPr>
          <w:rFonts w:ascii="Times New Roman" w:hAnsi="Times New Roman" w:cs="Times New Roman"/>
        </w:rPr>
        <w:fldChar w:fldCharType="separate"/>
      </w:r>
      <w:r w:rsidR="00292C56" w:rsidRPr="00292C56">
        <w:rPr>
          <w:rFonts w:ascii="Times New Roman" w:hAnsi="Times New Roman" w:cs="Times New Roman"/>
        </w:rPr>
        <w:t>(9)</w:t>
      </w:r>
      <w:r w:rsidR="00292C56">
        <w:rPr>
          <w:rFonts w:ascii="Times New Roman" w:hAnsi="Times New Roman" w:cs="Times New Roman"/>
        </w:rPr>
        <w:fldChar w:fldCharType="end"/>
      </w:r>
      <w:r w:rsidRPr="00477F9B">
        <w:rPr>
          <w:rFonts w:ascii="Times New Roman" w:hAnsi="Times New Roman" w:cs="Times New Roman"/>
        </w:rPr>
        <w:t>. Spray drift, volatilization, and runoff can contaminate nearby soils, surface waters, and groundwater, particularly in regions reliant on private wells. Residential and para occupational exposure occurs when chemicals are transported into homes on clothing, skin, or equipment, affecting household members who are not directly involved in farm work. Dietary exposure also contributes to the overall burden, as farmers may consume produce grown on treated land or drink water affected by agricultural runoff</w:t>
      </w:r>
      <w:r w:rsidR="00292C56">
        <w:rPr>
          <w:rFonts w:ascii="Times New Roman" w:hAnsi="Times New Roman" w:cs="Times New Roman"/>
        </w:rPr>
        <w:fldChar w:fldCharType="begin"/>
      </w:r>
      <w:r w:rsidR="00292C56">
        <w:rPr>
          <w:rFonts w:ascii="Times New Roman" w:hAnsi="Times New Roman" w:cs="Times New Roman"/>
        </w:rPr>
        <w:instrText xml:space="preserve"> ADDIN ZOTERO_ITEM CSL_CITATION {"citationID":"fFIpFKke","properties":{"formattedCitation":"(9,10)","plainCitation":"(9,10)","noteIndex":0},"citationItems":[{"id":15017,"uris":["http://zotero.org/users/16652950/items/RD8DRDF9"],"itemData":{"id":15017,"type":"article-journal","abstract":"Background\nLong-term exposure to pesticides is often assessed using semi-quantitative models. To improve these models, a better understanding of how occupational factors determine exposure (e.g., as estimated by biomonitoring) would be valuable.\nMethods\nUrine samples were collected from pesticide applicators in Malaysia, Uganda, and the UK during mixing/application days (and also during non-application days in Uganda). Samples were collected pre- and post-activity on the same day and analysed for biomarkers of active ingredients (AIs), including synthetic pyrethroids (via the metabolite 3-phenoxybenzoic acid [3-PBA]) and glyphosate, as well as creatinine. We performed multilevel Tobit regression models for each study to assess the relationship between exposure modifying factors (e.g., mixing/application of AI, duration of activity, personal protective equipment [PPE]) and urinary biomarkers of exposure.\nResults\nFrom the Malaysia, Uganda, and UK studies, 81, 84, and 106 study participants provided 162, 384 and 212 urine samples, respectively. Pyrethroid use on the sampling day was most common in Malaysia (n = 38; 47%), and glyphosate use was most prevalent in the UK (n = 93; 88%). Median pre- and post-activity 3-PBA concentrations were similar, with higher median concentrations post-compared to pre-activity for glyphosate samples in the UK (1.7 to 0.5 μg/L) and Uganda (7.6 to 0.8 μg/L) (glyphosate was not used in the Malaysia study). There was evidence from individual studies that higher urinary biomarker concentrations were associated with mixing/application of the AI on the day of urine sampling, longer duration of mixing/application, lower PPE protection, and less education/literacy, but no factor was consistently associated with exposure across biomarkers in the three studies.\nConclusions\nOur results suggest a need for AI-specific interpretation of exposure modifying factors as the relevance of exposure routes, levels of detection, and farming systems/practices may be very context and AI-specific.","container-title":"Environmental Research","DOI":"10.1016/j.envres.2023.117651","ISSN":"0013-9351","journalAbbreviation":"Environmental Research","page":"117651","source":"ScienceDirect","title":"Factors influencing occupational exposure to pyrethroids and glyphosate: An analysis of urinary biomarkers in Malaysia, Uganda and the United Kingdom","title-short":"Factors influencing occupational exposure to pyrethroids and glyphosate","volume":"242","author":[{"family":"Mueller","given":"William"},{"family":"Jones","given":"Kate"},{"family":"Fuhrimann","given":"Samuel"},{"family":"Ahmad","given":"Zulkhairul Naim Bin Sidek"},{"family":"Sams","given":"Craig"},{"family":"Harding","given":"Anne-Helen"},{"family":"Povey","given":"Andrew"},{"family":"Atuhaire","given":"Aggrey"},{"family":"Basinas","given":"Ioannis"},{"family":"Tongeren","given":"Martie","non-dropping-particle":"van"},{"family":"Kromhout","given":"Hans"},{"family":"Galea","given":"Karen S."}],"issued":{"date-parts":[["2024",2,1]]}}},{"id":13312,"uris":["http://zotero.org/users/16652950/items/ZSWHZD3Y"],"itemData":{"id":13312,"type":"article-journal","abstract":"Pesticides play an important role in agricultural development. However, pesticide application can result in both acute and chronic human toxicities, and the adverse effects of pesticides on the environment and human health remain a serious problem. There is therefore a need to discuss the application methods for pesticides, the routes of pesticide exposure, and the health risks posed by pesticide application. The health problems related to pesticide application and exposure in developing countries are of particular concern. The purpose of this paper is to provide scientific information for policymakers in order to allow the development of proper pesticide application technics and methods to minimize pesticide exposure and the adverse health effects on both applicators and communities. Studies indicate that there are four main pesticide application methods, including hydraulic spraying, backpack spraying, basal trunk spraying, and aerial spraying. Pesticide application methods are mainly selected by considering the habits of target pests, the characteristics of target sites, and the properties of pesticides. Humans are directly exposed to pesticides in occupational, agricultural, and household activities and are indirectly exposed to pesticides via environmental media, including air, water, soil, and food. Human exposure to pesticides occurs mainly through dermal, oral, and respiratory routes. People who are directly and/or indirectly exposed to pesticides may contract acute toxicity effects and chronic diseases. Although no segment of the general population is completely protected against exposure to pesticides and their potentially serious health effects, a disproportionate burden is shouldered by people in developing countries. Both deterministic and probabilistic human health risk assessments have their advantages and disadvantages and both types of methods should be comprehensively implemented in research on exposure and human health risk assessment. Equipment for appropriate pesticide application is important for application efficiency to minimize the loss of spray solution as well as reduce pesticide residuals in the environment and adverse human health effects due to over-spraying and residues. Policymakers should implement various useful measures, such as integrated pest management (IPM) laws that prohibit the use of pesticides with high risks and the development of a national implementation plan (NIP) to reduce the adverse effects of pesticides on the environment and on human health.","container-title":"Toxics","DOI":"10.3390/toxics10060335","ISSN":"2305-6304","issue":"6","journalAbbreviation":"Toxics","note":"PMID: 35736943\nPMCID: PMC9231402","page":"335","source":"PubMed Central","title":"Exposure Routes and Health Risks Associated with Pesticide Application","volume":"10","author":[{"family":"Tudi","given":"Muyesaier"},{"family":"Li","given":"Hairong"},{"family":"Li","given":"Hongying"},{"family":"Wang","given":"Li"},{"family":"Lyu","given":"Jia"},{"family":"Yang","given":"Linsheng"},{"family":"Tong","given":"Shuangmei"},{"family":"Yu","given":"Qiming Jimmy"},{"family":"Ruan","given":"Huada Daniel"},{"family":"Atabila","given":"Albert"},{"family":"Phung","given":"Dung Tri"},{"family":"Sadler","given":"Ross"},{"family":"Connell","given":"Des"}],"issued":{"date-parts":[["2022",6,19]]}}}],"schema":"https://github.com/citation-style-language/schema/raw/master/csl-citation.json"} </w:instrText>
      </w:r>
      <w:r w:rsidR="00292C56">
        <w:rPr>
          <w:rFonts w:ascii="Times New Roman" w:hAnsi="Times New Roman" w:cs="Times New Roman"/>
        </w:rPr>
        <w:fldChar w:fldCharType="separate"/>
      </w:r>
      <w:r w:rsidR="00292C56" w:rsidRPr="00292C56">
        <w:rPr>
          <w:rFonts w:ascii="Times New Roman" w:hAnsi="Times New Roman" w:cs="Times New Roman"/>
        </w:rPr>
        <w:t>(9,10)</w:t>
      </w:r>
      <w:r w:rsidR="00292C56">
        <w:rPr>
          <w:rFonts w:ascii="Times New Roman" w:hAnsi="Times New Roman" w:cs="Times New Roman"/>
        </w:rPr>
        <w:fldChar w:fldCharType="end"/>
      </w:r>
      <w:r w:rsidRPr="00477F9B">
        <w:rPr>
          <w:rFonts w:ascii="Times New Roman" w:hAnsi="Times New Roman" w:cs="Times New Roman"/>
        </w:rPr>
        <w:t>.</w:t>
      </w:r>
    </w:p>
    <w:p w14:paraId="77455B3C" w14:textId="77777777" w:rsidR="00477F9B" w:rsidRPr="00477F9B" w:rsidRDefault="00477F9B" w:rsidP="00B5799D">
      <w:pPr>
        <w:jc w:val="both"/>
        <w:rPr>
          <w:rFonts w:ascii="Times New Roman" w:hAnsi="Times New Roman" w:cs="Times New Roman"/>
          <w:b/>
          <w:bCs/>
        </w:rPr>
      </w:pPr>
      <w:r w:rsidRPr="00477F9B">
        <w:rPr>
          <w:rFonts w:ascii="Times New Roman" w:hAnsi="Times New Roman" w:cs="Times New Roman"/>
          <w:b/>
          <w:bCs/>
        </w:rPr>
        <w:t>2.3 Temporal and Spatial Variability</w:t>
      </w:r>
    </w:p>
    <w:p w14:paraId="3ACA05F5" w14:textId="77777777" w:rsidR="00477F9B" w:rsidRPr="00477F9B" w:rsidRDefault="00477F9B" w:rsidP="00B5799D">
      <w:pPr>
        <w:jc w:val="both"/>
        <w:rPr>
          <w:rFonts w:ascii="Times New Roman" w:hAnsi="Times New Roman" w:cs="Times New Roman"/>
        </w:rPr>
      </w:pPr>
      <w:r w:rsidRPr="00477F9B">
        <w:rPr>
          <w:rFonts w:ascii="Times New Roman" w:hAnsi="Times New Roman" w:cs="Times New Roman"/>
        </w:rPr>
        <w:t>Agrochemical exposures are highly variable over time and space. Application intensity often follows seasonal patterns linked to planting and pest cycles, resulting in episodic peaks superimposed on chronic background exposure. Spatial variability is driven by regional differences in crop production, climate, and pest pressure, leading to distinct chemical mixtures across agricultural landscapes</w:t>
      </w:r>
      <w:r w:rsidR="00E966A1">
        <w:rPr>
          <w:rFonts w:ascii="Times New Roman" w:hAnsi="Times New Roman" w:cs="Times New Roman"/>
        </w:rPr>
        <w:fldChar w:fldCharType="begin"/>
      </w:r>
      <w:r w:rsidR="00E966A1">
        <w:rPr>
          <w:rFonts w:ascii="Times New Roman" w:hAnsi="Times New Roman" w:cs="Times New Roman"/>
        </w:rPr>
        <w:instrText xml:space="preserve"> ADDIN ZOTERO_ITEM CSL_CITATION {"citationID":"OH9Bb99T","properties":{"formattedCitation":"(11)","plainCitation":"(11)","noteIndex":0},"citationItems":[{"id":15020,"uris":["http://zotero.org/users/16652950/items/WKCZGX9D"],"itemData":{"id":15020,"type":"article-journal","abstract":"This study was conducted in the Kilombero Valley Ramsar Site (KVRS), the largest low-altitude freshwater wetland in East Africa to: (i) determine pesticide contamination of soil, water, and sediment at different seasonal weather conditions (ii) critically analyze the seasonal and spatial ecological impacts of pesticide contaminations under tropical weather conditions (iii) estimate the potential environmental risks from pesticide exposure based on analytical data.Surface sediments, soil and water samples were collected from sugarcane, teak and rice plantations of the KVRS during the dry (January 2012) and the rainy (March-April 2013) seasons. Samples were screened for 97 different types of pesticide residues using and LC-MS and HPLC-MS. Physical-chemical properties of the sediment and soil samples and meteorological data were analyzed. 92% of soil and sediment samples had relatively low OM content ( 60 km/hr, humidity &gt; 80% were recorded. Frequency of detection and concentration of pesticides residues depended on seasons. For the dry season sampling, glyphosate/AMPA (0.01-0.55 µg / g), and diuron (0.026-1.7 µg / g) were mostly detected in the sediment and soils. Monuron (1.28-3. 9 µg/ L) and propoxur (0.05-0.6 µg / L) were mostly detected in the rainy seasons (water and sediments). Glyphosate was above limit of detection in the dry season water samples indicating that its emission into the water system may have been directly through application. Maximum diuron concentrations in water were &gt; 30 times higher than the estimated predicted no-effect concentration (PNEC) value (0.054 µg / L) indicating a risk to aquatic community. Calculated pore water concentrations (0.992-0.081 µg/ L), exceeded the estimated PNEC values during the dry season, indicating a risk to benthic organisms. Detection of pesticide is influenced by application, environmental factors and the timing of sampling. Further research is recommended to increase our knowledge on soil-water-sediment interactions in the tropics with regard to pesticides.","container-title":"Frontiers in Environmental Science","DOI":"10.3389/fenvs.2021.599814","ISSN":"2296-665X","journalAbbreviation":"Front. Environ. Sci.","language":"English","note":"publisher: Frontiers","source":"Frontiers","title":"Seasonal and Spatial Detection of Pesticide Residues Under Various Weather Conditions of Agricultural Areas of the Kilombero Valley Ramsar Site, Tanzania","URL":"https://www.frontiersin.org/journals/environmental-science/articles/10.3389/fenvs.2021.599814/full","volume":"9","author":[{"family":"Materu","given":"Silvia F."},{"family":"Heise","given":"Susanne"},{"family":"Urban","given":"Brigitte"}],"accessed":{"date-parts":[["2026",2,19]]},"issued":{"date-parts":[["2021",3,9]]}}}],"schema":"https://github.com/citation-style-language/schema/raw/master/csl-citation.json"} </w:instrText>
      </w:r>
      <w:r w:rsidR="00E966A1">
        <w:rPr>
          <w:rFonts w:ascii="Times New Roman" w:hAnsi="Times New Roman" w:cs="Times New Roman"/>
        </w:rPr>
        <w:fldChar w:fldCharType="separate"/>
      </w:r>
      <w:r w:rsidR="00E966A1" w:rsidRPr="00E966A1">
        <w:rPr>
          <w:rFonts w:ascii="Times New Roman" w:hAnsi="Times New Roman" w:cs="Times New Roman"/>
        </w:rPr>
        <w:t>(11)</w:t>
      </w:r>
      <w:r w:rsidR="00E966A1">
        <w:rPr>
          <w:rFonts w:ascii="Times New Roman" w:hAnsi="Times New Roman" w:cs="Times New Roman"/>
        </w:rPr>
        <w:fldChar w:fldCharType="end"/>
      </w:r>
      <w:r w:rsidRPr="00477F9B">
        <w:rPr>
          <w:rFonts w:ascii="Times New Roman" w:hAnsi="Times New Roman" w:cs="Times New Roman"/>
        </w:rPr>
        <w:t>. Over the long term, repeated low dose exposures accumulate across the farming life course, interacting with aging, changing practices, and environmental conditions. This combination of temporal fluctuation and spatial heterogeneity underscores the need for exposure models that reflect real world farming systems rather than simplified or static assumptions.</w:t>
      </w:r>
    </w:p>
    <w:p w14:paraId="735356E7" w14:textId="77777777" w:rsidR="00477F9B" w:rsidRPr="00477F9B" w:rsidRDefault="00477F9B" w:rsidP="00B5799D">
      <w:pPr>
        <w:jc w:val="both"/>
        <w:rPr>
          <w:rFonts w:ascii="Times New Roman" w:hAnsi="Times New Roman" w:cs="Times New Roman"/>
          <w:b/>
          <w:bCs/>
        </w:rPr>
      </w:pPr>
      <w:r w:rsidRPr="00477F9B">
        <w:rPr>
          <w:rFonts w:ascii="Times New Roman" w:hAnsi="Times New Roman" w:cs="Times New Roman"/>
          <w:b/>
          <w:bCs/>
        </w:rPr>
        <w:t>3. Chronic Disease Outcomes Linked to Agrochemical Exposure</w:t>
      </w:r>
    </w:p>
    <w:p w14:paraId="5F39C005" w14:textId="77777777" w:rsidR="00477F9B" w:rsidRPr="00477F9B" w:rsidRDefault="00477F9B" w:rsidP="00B5799D">
      <w:pPr>
        <w:jc w:val="both"/>
        <w:rPr>
          <w:rFonts w:ascii="Times New Roman" w:hAnsi="Times New Roman" w:cs="Times New Roman"/>
        </w:rPr>
      </w:pPr>
      <w:r w:rsidRPr="00477F9B">
        <w:rPr>
          <w:rFonts w:ascii="Times New Roman" w:hAnsi="Times New Roman" w:cs="Times New Roman"/>
        </w:rPr>
        <w:t>A substantial body of epidemiologic and toxicologic research has examined the relationship between agrochemical exposure and chronic disease in agricultural populations. While findings vary across studies, consistent patterns have emerged across several disease domains, reflecting the long latency, biological complexity, and cumulative nature of exposure in farming systems. These characteristics challenge traditional causal inference and underscore the value of exposome based approaches that can accommodate heterogeneity and multi morbidity</w:t>
      </w:r>
      <w:r w:rsidR="00E966A1">
        <w:rPr>
          <w:rFonts w:ascii="Times New Roman" w:hAnsi="Times New Roman" w:cs="Times New Roman"/>
        </w:rPr>
        <w:fldChar w:fldCharType="begin"/>
      </w:r>
      <w:r w:rsidR="00E966A1">
        <w:rPr>
          <w:rFonts w:ascii="Times New Roman" w:hAnsi="Times New Roman" w:cs="Times New Roman"/>
        </w:rPr>
        <w:instrText xml:space="preserve"> ADDIN ZOTERO_ITEM CSL_CITATION {"citationID":"cgGCUtwl","properties":{"formattedCitation":"(6)","plainCitation":"(6)","noteIndex":0},"citationItems":[{"id":13293,"uris":["http://zotero.org/users/16652950/items/EWAJ2Q55"],"itemData":{"id":13293,"type":"article-journal","abstract":"Pesticides are widely used to control pests, but their widespread use raises concerns regarding potential health risks for humans. There are several routes through which pesticides can be ingested, inhaled, and absorbed, resulting in acute and long-term health consequences. This systematic review synthesizes the available evidence regarding the health risks and long-term effects of pesticide exposure, with a particular focus on epidemiological and toxicological studies. A systematic review was conducted by searching scientific databases i.e. Scopus, and Web of Science for peer-reviewed articles published between 2000 and 2024. Studies were selected based on their focus on pesticide exposure, health risks, and long-term effects. Meta-analysis was conducted where sufficient homogeneity of outcomes allowed. This review identified consistent associations between chronic pesticide exposure and non-communicable diseases, including cancer, neurological disorders, and endocrine disruptions. An increased incidence of respiratory issues and neurodegenerative diseases was often associated with occupational exposure to pesticides. People exposed for a prolonged or high intensity time period, particularly agricultural workers, were more likely to experience long-term health effects. There are a number of factors that influences the ability to draw definitive conclusions, including variations in pesticide types, exposure levels, and health outcomes. Chronic exposure to pesticides presents significant health risks, particularly for individuals in high-exposure environments like agriculture. While evidence indicates strong associations with several long-term health conditions, additional research is necessary to elucidate dose-response relationships and mechanisms of action. This review underscores the necessity for enhanced regulatory measures and improved safety protocols to mitigate pesticide-related health risks.","container-title":"Toxicology Reports","DOI":"10.1016/j.toxrep.2024.101840","ISSN":"2214-7500","journalAbbreviation":"Toxicology Reports","page":"101840","source":"ScienceDirect","title":"A systematic review of pesticide exposure, associated risks, and long-term human health impacts","volume":"13","author":[{"family":"Shekhar","given":"Chander"},{"family":"Khosya","given":"Reetu"},{"family":"Thakur","given":"Kushal"},{"family":"Mahajan","given":"Danish"},{"family":"Kumar","given":"Rakesh"},{"family":"Kumar","given":"Sunil"},{"family":"Sharma","given":"Amit Kumar"}],"issued":{"date-parts":[["2024",12,1]]}}}],"schema":"https://github.com/citation-style-language/schema/raw/master/csl-citation.json"} </w:instrText>
      </w:r>
      <w:r w:rsidR="00E966A1">
        <w:rPr>
          <w:rFonts w:ascii="Times New Roman" w:hAnsi="Times New Roman" w:cs="Times New Roman"/>
        </w:rPr>
        <w:fldChar w:fldCharType="separate"/>
      </w:r>
      <w:r w:rsidR="00E966A1" w:rsidRPr="00E966A1">
        <w:rPr>
          <w:rFonts w:ascii="Times New Roman" w:hAnsi="Times New Roman" w:cs="Times New Roman"/>
        </w:rPr>
        <w:t>(6)</w:t>
      </w:r>
      <w:r w:rsidR="00E966A1">
        <w:rPr>
          <w:rFonts w:ascii="Times New Roman" w:hAnsi="Times New Roman" w:cs="Times New Roman"/>
        </w:rPr>
        <w:fldChar w:fldCharType="end"/>
      </w:r>
      <w:r w:rsidRPr="00477F9B">
        <w:rPr>
          <w:rFonts w:ascii="Times New Roman" w:hAnsi="Times New Roman" w:cs="Times New Roman"/>
        </w:rPr>
        <w:t>.</w:t>
      </w:r>
    </w:p>
    <w:p w14:paraId="4588736E" w14:textId="77777777" w:rsidR="00477F9B" w:rsidRPr="00477F9B" w:rsidRDefault="00477F9B" w:rsidP="00B5799D">
      <w:pPr>
        <w:jc w:val="both"/>
        <w:rPr>
          <w:rFonts w:ascii="Times New Roman" w:hAnsi="Times New Roman" w:cs="Times New Roman"/>
          <w:b/>
          <w:bCs/>
        </w:rPr>
      </w:pPr>
      <w:r w:rsidRPr="00477F9B">
        <w:rPr>
          <w:rFonts w:ascii="Times New Roman" w:hAnsi="Times New Roman" w:cs="Times New Roman"/>
          <w:b/>
          <w:bCs/>
        </w:rPr>
        <w:t>3.1 Cancer</w:t>
      </w:r>
    </w:p>
    <w:p w14:paraId="1EC12738" w14:textId="77777777" w:rsidR="00477F9B" w:rsidRPr="00477F9B" w:rsidRDefault="00477F9B" w:rsidP="00B5799D">
      <w:pPr>
        <w:jc w:val="both"/>
        <w:rPr>
          <w:rFonts w:ascii="Times New Roman" w:hAnsi="Times New Roman" w:cs="Times New Roman"/>
        </w:rPr>
      </w:pPr>
      <w:r w:rsidRPr="00477F9B">
        <w:rPr>
          <w:rFonts w:ascii="Times New Roman" w:hAnsi="Times New Roman" w:cs="Times New Roman"/>
        </w:rPr>
        <w:lastRenderedPageBreak/>
        <w:t xml:space="preserve">Cancer has been one of the most extensively studied health outcomes in relation to agrochemical exposure. Elevated risks of </w:t>
      </w:r>
      <w:proofErr w:type="spellStart"/>
      <w:proofErr w:type="gramStart"/>
      <w:r w:rsidRPr="00477F9B">
        <w:rPr>
          <w:rFonts w:ascii="Times New Roman" w:hAnsi="Times New Roman" w:cs="Times New Roman"/>
        </w:rPr>
        <w:t>non Hodgkin</w:t>
      </w:r>
      <w:proofErr w:type="spellEnd"/>
      <w:proofErr w:type="gramEnd"/>
      <w:r w:rsidRPr="00477F9B">
        <w:rPr>
          <w:rFonts w:ascii="Times New Roman" w:hAnsi="Times New Roman" w:cs="Times New Roman"/>
        </w:rPr>
        <w:t xml:space="preserve"> lymphoma have been reported among farmers and pesticide applicators, with associations observed for several herbicides and insecticides. Prostate cancer has also been linked to long term pesticide exposure, particularly among individuals with intensive or prolonged use histories. Hematologic malignancies, including leukemia and multiple myeloma, have been associated with both current use and historical exposure to certain chemical classes</w:t>
      </w:r>
      <w:r w:rsidR="00532208">
        <w:rPr>
          <w:rFonts w:ascii="Times New Roman" w:hAnsi="Times New Roman" w:cs="Times New Roman"/>
        </w:rPr>
        <w:fldChar w:fldCharType="begin"/>
      </w:r>
      <w:r w:rsidR="00532208">
        <w:rPr>
          <w:rFonts w:ascii="Times New Roman" w:hAnsi="Times New Roman" w:cs="Times New Roman"/>
        </w:rPr>
        <w:instrText xml:space="preserve"> ADDIN ZOTERO_ITEM CSL_CITATION {"citationID":"4HO8Z0zt","properties":{"formattedCitation":"(6,12)","plainCitation":"(6,12)","noteIndex":0},"citationItems":[{"id":13293,"uris":["http://zotero.org/users/16652950/items/EWAJ2Q55"],"itemData":{"id":13293,"type":"article-journal","abstract":"Pesticides are widely used to control pests, but their widespread use raises concerns regarding potential health risks for humans. There are several routes through which pesticides can be ingested, inhaled, and absorbed, resulting in acute and long-term health consequences. This systematic review synthesizes the available evidence regarding the health risks and long-term effects of pesticide exposure, with a particular focus on epidemiological and toxicological studies. A systematic review was conducted by searching scientific databases i.e. Scopus, and Web of Science for peer-reviewed articles published between 2000 and 2024. Studies were selected based on their focus on pesticide exposure, health risks, and long-term effects. Meta-analysis was conducted where sufficient homogeneity of outcomes allowed. This review identified consistent associations between chronic pesticide exposure and non-communicable diseases, including cancer, neurological disorders, and endocrine disruptions. An increased incidence of respiratory issues and neurodegenerative diseases was often associated with occupational exposure to pesticides. People exposed for a prolonged or high intensity time period, particularly agricultural workers, were more likely to experience long-term health effects. There are a number of factors that influences the ability to draw definitive conclusions, including variations in pesticide types, exposure levels, and health outcomes. Chronic exposure to pesticides presents significant health risks, particularly for individuals in high-exposure environments like agriculture. While evidence indicates strong associations with several long-term health conditions, additional research is necessary to elucidate dose-response relationships and mechanisms of action. This review underscores the necessity for enhanced regulatory measures and improved safety protocols to mitigate pesticide-related health risks.","container-title":"Toxicology Reports","DOI":"10.1016/j.toxrep.2024.101840","ISSN":"2214-7500","journalAbbreviation":"Toxicology Reports","page":"101840","source":"ScienceDirect","title":"A systematic review of pesticide exposure, associated risks, and long-term human health impacts","volume":"13","author":[{"family":"Shekhar","given":"Chander"},{"family":"Khosya","given":"Reetu"},{"family":"Thakur","given":"Kushal"},{"family":"Mahajan","given":"Danish"},{"family":"Kumar","given":"Rakesh"},{"family":"Kumar","given":"Sunil"},{"family":"Sharma","given":"Amit Kumar"}],"issued":{"date-parts":[["2024",12,1]]}}},{"id":15022,"uris":["http://zotero.org/users/16652950/items/74HI9RC2"],"itemData":{"id":15022,"type":"article-journal","abstract":"The aim was to identify the scope of the epidemiology literature reviewed regarding the risk of cancer as related to occupational exposure to pesticides and to compare regulatory toxicity results where feasible.","container-title":"International Archives of Occupational and Environmental Health","DOI":"10.1007/s00420-020-01638-y","ISSN":"1432-1246","issue":"5","journalAbbreviation":"Int Arch Occup Environ Health","language":"en","page":"945-957","source":"Springer Link","title":"Cancer and occupational exposure to pesticides: an umbrella review","title-short":"Cancer and occupational exposure to pesticides","volume":"94","author":[{"family":"Burns","given":"Carol J."},{"family":"Juberg","given":"Daland R."}],"issued":{"date-parts":[["2021",7,1]]}}}],"schema":"https://github.com/citation-style-language/schema/raw/master/csl-citation.json"} </w:instrText>
      </w:r>
      <w:r w:rsidR="00532208">
        <w:rPr>
          <w:rFonts w:ascii="Times New Roman" w:hAnsi="Times New Roman" w:cs="Times New Roman"/>
        </w:rPr>
        <w:fldChar w:fldCharType="separate"/>
      </w:r>
      <w:r w:rsidR="00532208" w:rsidRPr="00532208">
        <w:rPr>
          <w:rFonts w:ascii="Times New Roman" w:hAnsi="Times New Roman" w:cs="Times New Roman"/>
        </w:rPr>
        <w:t>(6,12)</w:t>
      </w:r>
      <w:r w:rsidR="00532208">
        <w:rPr>
          <w:rFonts w:ascii="Times New Roman" w:hAnsi="Times New Roman" w:cs="Times New Roman"/>
        </w:rPr>
        <w:fldChar w:fldCharType="end"/>
      </w:r>
      <w:r w:rsidRPr="00477F9B">
        <w:rPr>
          <w:rFonts w:ascii="Times New Roman" w:hAnsi="Times New Roman" w:cs="Times New Roman"/>
        </w:rPr>
        <w:t>. These cancers are characterized by long induction periods, making it difficult to link disease onset to specific exposure windows using conventional study designs. Variation in chemical mixtures, genetic susceptibility, and co exposures further contributes to inconsistent findings across studies, highlighting the need for integrative frameworks that capture cumulative and interacting risks</w:t>
      </w:r>
      <w:r w:rsidR="00532208">
        <w:rPr>
          <w:rFonts w:ascii="Times New Roman" w:hAnsi="Times New Roman" w:cs="Times New Roman"/>
        </w:rPr>
        <w:fldChar w:fldCharType="begin"/>
      </w:r>
      <w:r w:rsidR="00532208">
        <w:rPr>
          <w:rFonts w:ascii="Times New Roman" w:hAnsi="Times New Roman" w:cs="Times New Roman"/>
        </w:rPr>
        <w:instrText xml:space="preserve"> ADDIN ZOTERO_ITEM CSL_CITATION {"citationID":"0ODONMy3","properties":{"formattedCitation":"(13)","plainCitation":"(13)","noteIndex":0},"citationItems":[{"id":15024,"uris":["http://zotero.org/users/16652950/items/4DSFW69U"],"itemData":{"id":15024,"type":"article-journal","abstract":"Lung cancer remains the leading cause of cancer mortality worldwide, with tobacco smoke and radon exposure being the primary risk factors. The interaction between these two factors has been described as sub-multiplicative, but a better understanding is needed of how they jointly contribute to lung carcinogenesis. In this context, a comprehensive analysis of current knowledge regarding the effects of radon and tobacco smoke on lung cancer was conducted using a computational approach. Information on this co-exposure was extracted and clustered from databases, particularly the literature, using the text mining tool AOP-helpFinder and other artificial intelligence (AI) resources. The collected information was then organized into Aggregate Exposure Pathway (AEP) and Adverse Outcome Pathways (AOP) models. AEPs and AOPs represent analytical concepts useful for assessing the potential risks associated with exposure to various stressors. AOPs provide a structured framework to organize knowledge of essential Key Events (KEs) from a Molecular Initiating Event (MIE) to an Adverse Outcome (AO) at an organism or population level, while AEPs model exposures from the initial source of the stressor to the internal exposure site within the target organism, situated upstream of the AOP. Combining these frameworks offered an integrated method for knowledge consolidation of radon and tobacco smoke, detailing the association from the environment to a mechanistic level, and highlighting specific differences between the two stressors in DNA damage, mutational profiles, and histological types. This approach also identified gaps in understanding joint exposure, particularly the lack of mechanistic studies on the precise role of certain KEs such as inflammation, as well as the need for studies that more closely replicate real-world exposure conditions. In conclusion, this study demonstrates the potential of AI and machine learning tools in developing alternative toxicological models. It highlights the complex interaction between radon and tobacco smoke and encourages collaboration among scientific communities to conduct future studies aiming to fully understand the mechanisms associated with this co-exposure.","container-title":"Frontiers in Public Health","DOI":"10.3389/fpubh.2025.1571290","ISSN":"2296-2565","journalAbbreviation":"Front. Public Health","language":"English","note":"publisher: Frontiers","source":"Frontiers","title":"Comprehensive computational analysis via Adverse Outcome Pathways and Aggregate Exposure Pathways in exploring synergistic effects from radon and tobacco smoke on lung cancer","URL":"https://www.frontiersin.org/journals/public-health/articles/10.3389/fpubh.2025.1571290/full","volume":"13","author":[{"family":"Jaylet","given":"Thomas"},{"family":"Chauhan","given":"Vinita"},{"family":"Mezquita","given":"Laura"},{"family":"Boroumand","given":"Nadia"},{"family":"Laurent","given":"Olivier"},{"family":"Elihn","given":"Karine"},{"family":"Lundholm","given":"Lovisa"},{"family":"Armant","given":"Olivier"},{"family":"Audouze","given":"Karine"}],"accessed":{"date-parts":[["2026",2,19]]},"issued":{"date-parts":[["2025",7,31]]}}}],"schema":"https://github.com/citation-style-language/schema/raw/master/csl-citation.json"} </w:instrText>
      </w:r>
      <w:r w:rsidR="00532208">
        <w:rPr>
          <w:rFonts w:ascii="Times New Roman" w:hAnsi="Times New Roman" w:cs="Times New Roman"/>
        </w:rPr>
        <w:fldChar w:fldCharType="separate"/>
      </w:r>
      <w:r w:rsidR="00532208" w:rsidRPr="00532208">
        <w:rPr>
          <w:rFonts w:ascii="Times New Roman" w:hAnsi="Times New Roman" w:cs="Times New Roman"/>
        </w:rPr>
        <w:t>(13)</w:t>
      </w:r>
      <w:r w:rsidR="00532208">
        <w:rPr>
          <w:rFonts w:ascii="Times New Roman" w:hAnsi="Times New Roman" w:cs="Times New Roman"/>
        </w:rPr>
        <w:fldChar w:fldCharType="end"/>
      </w:r>
      <w:r w:rsidRPr="00477F9B">
        <w:rPr>
          <w:rFonts w:ascii="Times New Roman" w:hAnsi="Times New Roman" w:cs="Times New Roman"/>
        </w:rPr>
        <w:t>.</w:t>
      </w:r>
    </w:p>
    <w:p w14:paraId="730A442A" w14:textId="77777777" w:rsidR="00477F9B" w:rsidRPr="00477F9B" w:rsidRDefault="00477F9B" w:rsidP="00B5799D">
      <w:pPr>
        <w:jc w:val="both"/>
        <w:rPr>
          <w:rFonts w:ascii="Times New Roman" w:hAnsi="Times New Roman" w:cs="Times New Roman"/>
          <w:b/>
          <w:bCs/>
        </w:rPr>
      </w:pPr>
      <w:r w:rsidRPr="00477F9B">
        <w:rPr>
          <w:rFonts w:ascii="Times New Roman" w:hAnsi="Times New Roman" w:cs="Times New Roman"/>
          <w:b/>
          <w:bCs/>
        </w:rPr>
        <w:t>3.2 Neurological and Neurodegenerative Disorders</w:t>
      </w:r>
    </w:p>
    <w:p w14:paraId="6BE601A1" w14:textId="77777777" w:rsidR="00477F9B" w:rsidRPr="00477F9B" w:rsidRDefault="00477F9B" w:rsidP="00B5799D">
      <w:pPr>
        <w:jc w:val="both"/>
        <w:rPr>
          <w:rFonts w:ascii="Times New Roman" w:hAnsi="Times New Roman" w:cs="Times New Roman"/>
        </w:rPr>
      </w:pPr>
      <w:r w:rsidRPr="00477F9B">
        <w:rPr>
          <w:rFonts w:ascii="Times New Roman" w:hAnsi="Times New Roman" w:cs="Times New Roman"/>
        </w:rPr>
        <w:t>Neurological outcomes represent another critical domain of concern. Parkinson’s disease has shown one of the most consistent associations with agricultural pesticide exposure, with both occupational and environmental pathways implicated. Experimental studies support biological plausibility through mechanisms involving mitochondrial dysfunction, oxidative stress, and dopaminergic neuron damage</w:t>
      </w:r>
      <w:r w:rsidR="00E72A4A">
        <w:rPr>
          <w:rFonts w:ascii="Times New Roman" w:hAnsi="Times New Roman" w:cs="Times New Roman"/>
        </w:rPr>
        <w:fldChar w:fldCharType="begin"/>
      </w:r>
      <w:r w:rsidR="00E72A4A">
        <w:rPr>
          <w:rFonts w:ascii="Times New Roman" w:hAnsi="Times New Roman" w:cs="Times New Roman"/>
        </w:rPr>
        <w:instrText xml:space="preserve"> ADDIN ZOTERO_ITEM CSL_CITATION {"citationID":"ehGWvkzh","properties":{"formattedCitation":"(14,15)","plainCitation":"(14,15)","noteIndex":0},"citationItems":[{"id":15026,"uris":["http://zotero.org/users/16652950/items/SAQWJBVI"],"itemData":{"id":15026,"type":"article-journal","abstract":"The age‐standardized prevalence of Parkinson's disease (PD) has increased substantially over the years and is expected to increase further. This emphasizes the need to identify modifiable risk factors of PD, which could form a logical entry point for the prevention of PD. The World Health Organization (WHO) has recommended reducing exposure to specific environmental factors that have been reported to be associated with PD, in particular pesticides, trichloroethylene (TCE), and air pollution. In this review we critically evaluate the epidemiological and biological evidence on the associations of these factors with PD and review evidence on whether these putative associations are causal. We conclude that when considered in isolation, it is difficult to determine whether these associations are causal, in large part because of the decades‐long lag between relevant exposures and the incidence of manifest PD. However, when considered in tandem with evidence from complementary research lines (such as animal models), it is increasingly likely that these associations reflect harmful causal effects. Fundamentally, whilst we highlight some evidence gaps that require further attention, we believe the current evidence base is sufficiently strong enough to support our call for stronger policy action. © 2024 The Author(s). Movement Disorders published by Wiley Periodicals LLC on behalf of International Parkinson and Movement Disorder Society.","container-title":"Movement Disorders","DOI":"10.1002/mds.30067","ISSN":"0885-3185","issue":"2","journalAbbreviation":"Mov Disord","note":"PMID: 39601461\nPMCID: PMC11832802","page":"204-221","source":"PubMed Central","title":"Environmental Risk Factors for Parkinson's Disease: A Critical Review and Policy Implications","title-short":"Environmental Risk Factors for Parkinson's Disease","volume":"40","author":[{"family":"Atterling Brolin","given":"Kajsa"},{"family":"Schaeffer","given":"Eva"},{"family":"Kuri","given":"Ashvin"},{"family":"Rumrich","given":"Isabell Katharina"},{"family":"Schumacher Schuh","given":"Artur Francisco"},{"family":"Darweesh","given":"Sirwan K.L."},{"family":"Kaasinen","given":"Valtteri"},{"family":"Tolppanen","given":"Anna‐Maija"},{"family":"Chahine","given":"Lana M."},{"family":"Noyce","given":"Alastair J."}],"issued":{"date-parts":[["2025",2]]}}},{"id":15028,"uris":["http://zotero.org/users/16652950/items/Y7283T5W"],"itemData":{"id":15028,"type":"article-journal","abstract":"Despite being acknowledged globally as one of the primary environmental pollutants, pesticides appear as one of the toxic compounds that are available purposefully to be used in controlling pests and vectors, especially in agricultural areas [1]. Nevertheless, pesticides have been discovered to be associated with a broad scope of pathologies, especially with Parkinson’s disease (PD) Most previous studies could not determine a significant positive relationship due to the discrepancies in their methodologies. Based on data published by the Department of Statistics Malaysia, the proportion of citizens with PD in Malaysia is anticipated to grow five-fold by 2040, from an estimated 20,000 to 120,000 cases [2].\n&amp;nbsp;\nHence, this study is employed to deliver an up-to-date systematic review and meta-analysis regarding pesticide exposure and PD which will be based on the highest quality of evidence along with a broader extent of study designs that encompass cohort, case-control and cross-sectional studies to identify the significant link between them. The objective of this study was to find out whether there is an increased risk of PD among adults with occupational exposure to pesticides and to determine the pesticides that are associated with PD.\n&amp;nbsp;\n&amp;nbsp;\nIn formulating the research question, the P (population) E (exposure) C (control) O (outcome) model was used. The search was done from databases such as Google Scholar, Pubmed and Science Direct. The key points used were as followed: “occupational” OR “professional” OR “work-related” OR “job-related” OR/AND “pesticidal” OR “pesticide's” OR “pesticides” OR “pesticide” AND “Parkinson disease” OR “Parkinsons disease” OR “Parkinson's disease” OR “Parkinson” OR “Parkinsons” OR “Parkinson’s”. Meta-analysis was directed by utilizing the Review Manager 5 software to inspect the data regarding work-related pesticide acquaintance and the development of Parkinson’s disease based on all included studies of selected characteristics.\n&amp;nbsp;\nThe systematic review encompassed 26 studies where 23 of them displayed a significant association between occupational exposures to pesticides that increased the risk of developing PD. The meta-analysis also supported the hypothesis of this study where work-related pesticide acquaintance showed 89% higher odds to develop PD [OR = 1.89, 95% CI (1.63 to 2.20)]. For specific types of pesticides, organophosphorus contact revealed the strongest association with 89% higher odds [OR = 1.89, 95% CI (1.35 to 2.64)] followed by insecticides contact with 86% higher odds [OR = 1.57, 95% CI (1.58 to 1.92)], organochlorine exposure with 71% higher odds [OR = 1.71, 95% CI (1.21 to 2.41)], fungicides acquaintance at 42% higher odds [OR = 1.42, 95% CI (1.33 to 1.51)] and herbicides contact with 23% higher odds [OR = 1.23, 95% CI (1.03 to 1.46)] to establish PD (Table 1).\nOverall, occupational pesticide contact exhibited an increased risk of PD with organophosphorus displaying the strongest association among other specific types of pesticide. The theory concerning the specific kind of pesticides that can lead to PD is inconsistent where it is immensely dependent upon their mechanism of toxicity and chemical composition as well as its explicit biochemical passageways which up until this moment is not yet being fully understood. Hence, the result of this study can supplement advanced knowledge in the literature where it can be utilized to govern further studies and implementations in the future to improve the safety and health of the workers who are involved with pesticides’ application day to day as well as the health of the public. Therefore, a safer class of pesticides may also be invented consequently. On the other hand, it may also aid in future studies to find out the specific biomarkers or reliable tools which can measure the causal relationship between pesticides’ acquaintance and PD more accurately. Thus, the forthcoming studies that can count on more unbiased and quantifiable approaches regarding the evaluation of pesticides’ acquaintance and PD must be fostered.\n&amp;nbsp;","container-title":"Asian Journal of Medicine and Biomedicine","DOI":"10.37231/ajmb.2022.6.S1.521","ISSN":"2600-8173","issue":"S1","language":"en","license":"Copyright (c) 2022 Asian Journal of Medicine and Biomedicine","page":"43-44","source":"journal.unisza.edu.my","title":"Association Between Occupational Toxicity Exposure to Pesticides and Parkinson’s Disease Among Adults: Systematic Review and Meta-Analysis","title-short":"Association Between Occupational Toxicity Exposure to Pesticides and Parkinson’s Disease Among Adults","volume":"6","author":[{"family":"Yahya","given":"Nur Adriana Aqirah"},{"family":"Meramat","given":"Asheila AK"}],"issued":{"date-parts":[["2022",11,4]]}}}],"schema":"https://github.com/citation-style-language/schema/raw/master/csl-citation.json"} </w:instrText>
      </w:r>
      <w:r w:rsidR="00E72A4A">
        <w:rPr>
          <w:rFonts w:ascii="Times New Roman" w:hAnsi="Times New Roman" w:cs="Times New Roman"/>
        </w:rPr>
        <w:fldChar w:fldCharType="separate"/>
      </w:r>
      <w:r w:rsidR="00E72A4A" w:rsidRPr="00E72A4A">
        <w:rPr>
          <w:rFonts w:ascii="Times New Roman" w:hAnsi="Times New Roman" w:cs="Times New Roman"/>
        </w:rPr>
        <w:t>(14,15)</w:t>
      </w:r>
      <w:r w:rsidR="00E72A4A">
        <w:rPr>
          <w:rFonts w:ascii="Times New Roman" w:hAnsi="Times New Roman" w:cs="Times New Roman"/>
        </w:rPr>
        <w:fldChar w:fldCharType="end"/>
      </w:r>
      <w:r w:rsidRPr="00477F9B">
        <w:rPr>
          <w:rFonts w:ascii="Times New Roman" w:hAnsi="Times New Roman" w:cs="Times New Roman"/>
        </w:rPr>
        <w:t>. Beyond clinically diagnosed disease, evidence suggests that chronic agrochemical exposure may contribute to subclinical neurological effects and accelerated cognitive decline. These outcomes often emerge gradually and may coexist with other chronic conditions, complicating attribution and diagnosis.</w:t>
      </w:r>
    </w:p>
    <w:p w14:paraId="71D97FC9" w14:textId="77777777" w:rsidR="00477F9B" w:rsidRPr="00477F9B" w:rsidRDefault="00477F9B" w:rsidP="00B5799D">
      <w:pPr>
        <w:jc w:val="both"/>
        <w:rPr>
          <w:rFonts w:ascii="Times New Roman" w:hAnsi="Times New Roman" w:cs="Times New Roman"/>
          <w:b/>
          <w:bCs/>
        </w:rPr>
      </w:pPr>
      <w:r w:rsidRPr="00477F9B">
        <w:rPr>
          <w:rFonts w:ascii="Times New Roman" w:hAnsi="Times New Roman" w:cs="Times New Roman"/>
          <w:b/>
          <w:bCs/>
        </w:rPr>
        <w:t>3.3 Metabolic and Cardiovascular Disease</w:t>
      </w:r>
    </w:p>
    <w:p w14:paraId="40083D6D" w14:textId="77777777" w:rsidR="00477F9B" w:rsidRDefault="00477F9B" w:rsidP="00B5799D">
      <w:pPr>
        <w:jc w:val="both"/>
        <w:rPr>
          <w:rFonts w:ascii="Times New Roman" w:hAnsi="Times New Roman" w:cs="Times New Roman"/>
        </w:rPr>
      </w:pPr>
      <w:r w:rsidRPr="00477F9B">
        <w:rPr>
          <w:rFonts w:ascii="Times New Roman" w:hAnsi="Times New Roman" w:cs="Times New Roman"/>
        </w:rPr>
        <w:t>Growing evidence links agrochemical exposure to metabolic and cardiovascular disorders, including diabetes, hypertension, and atherosclerosis. Certain pesticides have been shown to disrupt glucose metabolism, lipid regulation, and inflammatory pathways, which are central to cardiometabolic health. In farming populations, these conditions frequently coexist with other chronic diseases, increasing overall morbidity. The multifactorial nature of metabolic and cardiovascular disease, influenced by lifestyle, socioeconomic factors, and environmental exposures, makes it difficult to isolate single causal agents, reinforcing the relevance of multi exposure modeling</w:t>
      </w:r>
      <w:r w:rsidR="002A1533">
        <w:rPr>
          <w:rFonts w:ascii="Times New Roman" w:hAnsi="Times New Roman" w:cs="Times New Roman"/>
        </w:rPr>
        <w:fldChar w:fldCharType="begin"/>
      </w:r>
      <w:r w:rsidR="002A1533">
        <w:rPr>
          <w:rFonts w:ascii="Times New Roman" w:hAnsi="Times New Roman" w:cs="Times New Roman"/>
        </w:rPr>
        <w:instrText xml:space="preserve"> ADDIN ZOTERO_ITEM CSL_CITATION {"citationID":"cb6Pe7if","properties":{"formattedCitation":"(16)","plainCitation":"(16)","noteIndex":0},"citationItems":[{"id":15030,"uris":["http://zotero.org/users/16652950/items/M3L8F4XG"],"itemData":{"id":15030,"type":"article-journal","abstract":"Endocrine-disrupting chemicals (EDCs) are exogenous compounds that interfere with hormone action, and growing evidence suggests that human exposure to certain EDCs may increase the risk of obesity, type 2 diabetes mellitus (T2DM), and cardiovascular disease (CVD). To clarify the impact of EDC exposure on cardiometabolic health, we conducted a review of the literature (2005–2025) to identify both human epidemiological studies and animal mechanistic studies. In this narrative review, we primarily summarize the existing human epidemiological evidence on the cardiometabolic effects of EDCs, while also considering mechanistic insights, including selected animal studies, to illustrate biological plausibility. Key findings indicate that EDC exposures are consistently associated with elevated risks of cardiometabolic conditions. Notably, prenatal and early-life EDC exposures appear to increase susceptibility to obesity, impaired glucose metabolism, and cardiovascular dysfunction later in life, while adult exposures are linked to a higher incidence of metabolic syndrome, type 2 diabetes, and related cardiovascular complications. In conclusion, this review underscores EDC exposure as a significant environmental risk factor for cardiometabolic disease. Accordingly, strengthening regulatory policies to reduce human exposure to these chemicals—alongside further research into underlying mechanisms—may be crucial for improving cardiometabolic health outcomes.","container-title":"Cardiovascular Diabetology","DOI":"10.1186/s12933-025-02938-8","ISSN":"1475-2840","issue":"1","journalAbbreviation":"Cardiovasc Diabetol","language":"en","page":"381","source":"Springer Link","title":"Endocrine-disrupting chemicals exposure: cardiometabolic health risk in humans","title-short":"Endocrine-disrupting chemicals exposure","volume":"24","author":[{"family":"Ma","given":"Cheng-Xu"},{"family":"Ma","given":"Xiao-Ni"},{"family":"Li","given":"Hong-Li"},{"family":"Mauricio","given":"Dídac"},{"family":"Fu","given":"Song-Bo"}],"issued":{"date-parts":[["2025",10,1]]}}}],"schema":"https://github.com/citation-style-language/schema/raw/master/csl-citation.json"} </w:instrText>
      </w:r>
      <w:r w:rsidR="002A1533">
        <w:rPr>
          <w:rFonts w:ascii="Times New Roman" w:hAnsi="Times New Roman" w:cs="Times New Roman"/>
        </w:rPr>
        <w:fldChar w:fldCharType="separate"/>
      </w:r>
      <w:r w:rsidR="002A1533" w:rsidRPr="002A1533">
        <w:rPr>
          <w:rFonts w:ascii="Times New Roman" w:hAnsi="Times New Roman" w:cs="Times New Roman"/>
        </w:rPr>
        <w:t>(16)</w:t>
      </w:r>
      <w:r w:rsidR="002A1533">
        <w:rPr>
          <w:rFonts w:ascii="Times New Roman" w:hAnsi="Times New Roman" w:cs="Times New Roman"/>
        </w:rPr>
        <w:fldChar w:fldCharType="end"/>
      </w:r>
      <w:r w:rsidRPr="00477F9B">
        <w:rPr>
          <w:rFonts w:ascii="Times New Roman" w:hAnsi="Times New Roman" w:cs="Times New Roman"/>
        </w:rPr>
        <w:t>.</w:t>
      </w:r>
    </w:p>
    <w:p w14:paraId="17295EBC" w14:textId="77777777" w:rsidR="00D473F7" w:rsidRPr="00477F9B" w:rsidRDefault="00D473F7" w:rsidP="00B5799D">
      <w:pPr>
        <w:jc w:val="both"/>
        <w:rPr>
          <w:rFonts w:ascii="Times New Roman" w:hAnsi="Times New Roman" w:cs="Times New Roman"/>
        </w:rPr>
      </w:pPr>
      <w:r w:rsidRPr="00D473F7">
        <w:rPr>
          <w:rFonts w:ascii="Times New Roman" w:hAnsi="Times New Roman" w:cs="Times New Roman"/>
        </w:rPr>
        <w:t>Systems-level disruptions of metabolic regulation by environmental exposures are increasingly recognized across diverse contexts, including microbiome-mediated and inflammatory pathways</w:t>
      </w:r>
      <w:r>
        <w:rPr>
          <w:rFonts w:ascii="Times New Roman" w:hAnsi="Times New Roman" w:cs="Times New Roman"/>
        </w:rPr>
        <w:fldChar w:fldCharType="begin"/>
      </w:r>
      <w:r>
        <w:rPr>
          <w:rFonts w:ascii="Times New Roman" w:hAnsi="Times New Roman" w:cs="Times New Roman"/>
        </w:rPr>
        <w:instrText xml:space="preserve"> ADDIN ZOTERO_ITEM CSL_CITATION {"citationID":"pHE8XSHX","properties":{"formattedCitation":"(17)","plainCitation":"(17)","noteIndex":0},"citationItems":[{"id":14397,"uris":["http://zotero.org/users/16652950/items/QJQ8Y4JC"],"itemData":{"id":14397,"type":"article-journal","abstract":"Diabetes is increasing rapidly across Africa, where individuals in low-income areas are found to develop the disease at younger ages and lower body mass indices than those in high-income regions. Traditional metabolic risk factors explain only part of this trend, prompting growing interest in the role of chronic infections as contributors to dysglycemia. Persistent exposure to pathogens such as HIV, tuberculosis, hepatitis C virus, Helicobacter pylori, periodontal bacteria, cytomegalovirus, and parasitic organisms remains widespread in the region. These infections may influence glucose metabolism through sustained low-grade inflammation, immune-mediated pancreatic injury, alterations in gut microbial composition, and treatment-related metabolic effects. This narrative review synthesizes current evidence on the infectious determinants of metabolic dysfunction, with a focus on pathogens of high relevance in African settings. The strongest epidemiological signals link HIV infection and antiretroviral therapy exposure, chronic hepatitis C virus infection, and tuberculosis with impaired glucose regulation. Evidence for H. pylori, periodontal disease, and parasitic infections is emerging, but the findings are less consistent. African studies support the plausibility of infection-related metabolic disturbances, although most available investigations are crosssectional, which limits causal inference. Laboratory and mechanistic research remains sparse, and diagnostic variability further constrains interpretation. The review highlights several clinical implications, including the value of incorporating glycemic screening into HIV and tuberculosis programs, the need to consider metabolic effects when selecting antimicrobial therapies, and the importance of integrating lifestyle counselling into chronic infection care. Strengthening longitudinal research, improving diagnostic standardization, and developing integrated infectious disease-non-communicable disease care models will be essential for addressing the intertwined burdens of infection and diabetes in Africa. Understanding how chronic pathogens interact with metabolic pathways may help refine prevention strategies and promote earlier detection of dysglycemia in high-risk populations.","container-title":"Cureus","DOI":"10.7759/cureus.99923","ISSN":"2168-8184","language":"en","source":"DOI.org (Crossref)","title":"Chronic Infections and Diabetes in Africa: A Narrative Review of Pathogen-Associated Metabolic Risk","title-short":"Chronic Infections and Diabetes in Africa","URL":"https://www.cureus.com/articles/445229-chronic-infections-and-diabetes-in-africa-a-narrative-review-of-pathogen-associated-metabolic-risk","author":[{"family":"Lawal","given":"Olabisi P"},{"family":"Ebiala","given":"Fortune I"},{"family":"Abayomi","given":"Modinat"},{"family":"Okeoma","given":"Obiageri Ihuarulam"},{"family":"Amankwah","given":"Nana Ama Aduma"},{"family":"Patrick","given":"John O"},{"family":"Eguakun","given":"Queeneth"},{"family":"Olaniyi","given":"Aliyu O"}],"accessed":{"date-parts":[["2026",2,5]]},"issued":{"date-parts":[["2025",12,23]]}}}],"schema":"https://github.com/citation-style-language/schema/raw/master/csl-citation.json"} </w:instrText>
      </w:r>
      <w:r>
        <w:rPr>
          <w:rFonts w:ascii="Times New Roman" w:hAnsi="Times New Roman" w:cs="Times New Roman"/>
        </w:rPr>
        <w:fldChar w:fldCharType="separate"/>
      </w:r>
      <w:r w:rsidRPr="00D473F7">
        <w:rPr>
          <w:rFonts w:ascii="Times New Roman" w:hAnsi="Times New Roman" w:cs="Times New Roman"/>
        </w:rPr>
        <w:t>(17)</w:t>
      </w:r>
      <w:r>
        <w:rPr>
          <w:rFonts w:ascii="Times New Roman" w:hAnsi="Times New Roman" w:cs="Times New Roman"/>
        </w:rPr>
        <w:fldChar w:fldCharType="end"/>
      </w:r>
      <w:r>
        <w:rPr>
          <w:rFonts w:ascii="Times New Roman" w:hAnsi="Times New Roman" w:cs="Times New Roman"/>
        </w:rPr>
        <w:t xml:space="preserve">. </w:t>
      </w:r>
    </w:p>
    <w:p w14:paraId="2924077F" w14:textId="77777777" w:rsidR="00477F9B" w:rsidRPr="00477F9B" w:rsidRDefault="00477F9B" w:rsidP="00B5799D">
      <w:pPr>
        <w:jc w:val="both"/>
        <w:rPr>
          <w:rFonts w:ascii="Times New Roman" w:hAnsi="Times New Roman" w:cs="Times New Roman"/>
          <w:b/>
          <w:bCs/>
        </w:rPr>
      </w:pPr>
      <w:r w:rsidRPr="00477F9B">
        <w:rPr>
          <w:rFonts w:ascii="Times New Roman" w:hAnsi="Times New Roman" w:cs="Times New Roman"/>
          <w:b/>
          <w:bCs/>
        </w:rPr>
        <w:t>3.4 Reproductive and Developmental Effects</w:t>
      </w:r>
    </w:p>
    <w:p w14:paraId="66406BA0" w14:textId="77777777" w:rsidR="00477F9B" w:rsidRPr="00477F9B" w:rsidRDefault="00477F9B" w:rsidP="00B5799D">
      <w:pPr>
        <w:jc w:val="both"/>
        <w:rPr>
          <w:rFonts w:ascii="Times New Roman" w:hAnsi="Times New Roman" w:cs="Times New Roman"/>
        </w:rPr>
      </w:pPr>
      <w:r w:rsidRPr="00477F9B">
        <w:rPr>
          <w:rFonts w:ascii="Times New Roman" w:hAnsi="Times New Roman" w:cs="Times New Roman"/>
        </w:rPr>
        <w:t xml:space="preserve">Although less frequently studied in adult farmers, reproductive and developmental effects provide important insight into endocrine and intergenerational pathways of harm. Agrochemicals with endocrine disrupting properties have been linked to altered reproductive function and adverse developmental outcomes. Emerging evidence suggests that early life or parental exposure may </w:t>
      </w:r>
      <w:r w:rsidRPr="00477F9B">
        <w:rPr>
          <w:rFonts w:ascii="Times New Roman" w:hAnsi="Times New Roman" w:cs="Times New Roman"/>
        </w:rPr>
        <w:lastRenderedPageBreak/>
        <w:t>influence disease susceptibility later in life, raising concerns about intergenerational risk transmission</w:t>
      </w:r>
      <w:r w:rsidR="000121C3">
        <w:rPr>
          <w:rFonts w:ascii="Times New Roman" w:hAnsi="Times New Roman" w:cs="Times New Roman"/>
        </w:rPr>
        <w:fldChar w:fldCharType="begin"/>
      </w:r>
      <w:r w:rsidR="00D473F7">
        <w:rPr>
          <w:rFonts w:ascii="Times New Roman" w:hAnsi="Times New Roman" w:cs="Times New Roman"/>
        </w:rPr>
        <w:instrText xml:space="preserve"> ADDIN ZOTERO_ITEM CSL_CITATION {"citationID":"Hyv2pic5","properties":{"formattedCitation":"(18)","plainCitation":"(18)","noteIndex":0},"citationItems":[{"id":15032,"uris":["http://zotero.org/users/16652950/items/ZC7WAS63"],"itemData":{"id":15032,"type":"article-journal","abstract":"Global pesticide use has increased significantly over the past decade, leading to greater exposure to contaminants and associated health risks. Endocrine-disrupting pesticides have gained attention due to their strong association with human reproductive impairments and rising global infertility rates. In Costa Rica, studies have reported reduced fertility among agricultural workers and a higher prevalence of male infertility in regions with intensive pesticide use. However, the prioritization of pesticides detected in human fluids, based on their potential impact on reproductive health, has not been conducted. Here, analyzing human biomonitoring studies in the country over the last 25 years, 13 pesticides were identified and prioritized. Mancozeb ranked highest (14.8%), followed by dieldrin (12.1%) and chlorothalonil (12.0%). Eight criteria were used for prioritization, with non-carcinogenic risk, reported reproductive effects, and endocrine disruptor classification as key factors. This comprehensive approach highlights how multiple criteria collectively inform pesticide prioritization in relation to reproductive health risks. The findings indicated that while Costa Rica is a regional leader in pesticide biomonitoring, significant gaps remain, including limited data on unstudied pesticides and general population exposures. Establishing robust biomonitoring programs and public health surveillance systems to generate updated data and support evidence-based prevention policies is recommended. Additionally, the results of this study provide a valuable framework for guiding future research on the potential effects of pesticide mixtures.","container-title":"Environmental Monitoring and Assessment","DOI":"10.1007/s10661-025-14011-8","ISSN":"0167-6369","issue":"5","journalAbbreviation":"Environ Monit Assess","note":"PMID: 40237939\nPMCID: PMC12003610","page":"559","source":"PubMed Central","title":"Endocrine-disrupting pesticide exposure relevant to reproductive health: a case study from Costa Rica","title-short":"Endocrine-disrupting pesticide exposure relevant to reproductive health","volume":"197","author":[{"family":"Apú","given":"Navilla"},{"family":"Rommes","given":"François"},{"family":"Alvarado-Arias","given":"Maricruz"},{"family":"Méndez-Rivera","given":"Michael"},{"family":"Lizano-Fallas","given":"Verónica"}],"issued":{"date-parts":[["2025"]]}}}],"schema":"https://github.com/citation-style-language/schema/raw/master/csl-citation.json"} </w:instrText>
      </w:r>
      <w:r w:rsidR="000121C3">
        <w:rPr>
          <w:rFonts w:ascii="Times New Roman" w:hAnsi="Times New Roman" w:cs="Times New Roman"/>
        </w:rPr>
        <w:fldChar w:fldCharType="separate"/>
      </w:r>
      <w:r w:rsidR="00D473F7" w:rsidRPr="00D473F7">
        <w:rPr>
          <w:rFonts w:ascii="Times New Roman" w:hAnsi="Times New Roman" w:cs="Times New Roman"/>
        </w:rPr>
        <w:t>(18)</w:t>
      </w:r>
      <w:r w:rsidR="000121C3">
        <w:rPr>
          <w:rFonts w:ascii="Times New Roman" w:hAnsi="Times New Roman" w:cs="Times New Roman"/>
        </w:rPr>
        <w:fldChar w:fldCharType="end"/>
      </w:r>
      <w:r w:rsidRPr="00477F9B">
        <w:rPr>
          <w:rFonts w:ascii="Times New Roman" w:hAnsi="Times New Roman" w:cs="Times New Roman"/>
        </w:rPr>
        <w:t>. Together, these diverse outcomes illustrate how heterogeneity, latency, and overlapping disease processes justify a comprehensive exposome based approach to chronic disease risk assessment in agricultural populations.</w:t>
      </w:r>
    </w:p>
    <w:p w14:paraId="506DC6D2" w14:textId="77777777" w:rsidR="005C3A0C" w:rsidRPr="005C3A0C" w:rsidRDefault="005C3A0C" w:rsidP="00B5799D">
      <w:pPr>
        <w:jc w:val="both"/>
        <w:rPr>
          <w:rFonts w:ascii="Times New Roman" w:hAnsi="Times New Roman" w:cs="Times New Roman"/>
          <w:b/>
          <w:bCs/>
        </w:rPr>
      </w:pPr>
      <w:r w:rsidRPr="005C3A0C">
        <w:rPr>
          <w:rFonts w:ascii="Times New Roman" w:hAnsi="Times New Roman" w:cs="Times New Roman"/>
          <w:b/>
          <w:bCs/>
        </w:rPr>
        <w:t>4. The Exposome Framework in Agricultural Health Research</w:t>
      </w:r>
    </w:p>
    <w:p w14:paraId="1E713D22" w14:textId="77777777" w:rsidR="005C3A0C" w:rsidRPr="005C3A0C" w:rsidRDefault="005C3A0C" w:rsidP="00B5799D">
      <w:pPr>
        <w:jc w:val="both"/>
        <w:rPr>
          <w:rFonts w:ascii="Times New Roman" w:hAnsi="Times New Roman" w:cs="Times New Roman"/>
        </w:rPr>
      </w:pPr>
      <w:r w:rsidRPr="005C3A0C">
        <w:rPr>
          <w:rFonts w:ascii="Times New Roman" w:hAnsi="Times New Roman" w:cs="Times New Roman"/>
        </w:rPr>
        <w:t xml:space="preserve">The exposome framework was developed to address the gap between complex environmental exposures and chronic disease etiology by capturing the totality of </w:t>
      </w:r>
      <w:proofErr w:type="spellStart"/>
      <w:r w:rsidRPr="005C3A0C">
        <w:rPr>
          <w:rFonts w:ascii="Times New Roman" w:hAnsi="Times New Roman" w:cs="Times New Roman"/>
        </w:rPr>
        <w:t>non genetic</w:t>
      </w:r>
      <w:proofErr w:type="spellEnd"/>
      <w:r w:rsidRPr="005C3A0C">
        <w:rPr>
          <w:rFonts w:ascii="Times New Roman" w:hAnsi="Times New Roman" w:cs="Times New Roman"/>
        </w:rPr>
        <w:t xml:space="preserve"> influences on health across the life course. In agricultural settings, where exposure environments are dynamic and multifaceted, this framework provides a coherent structure for integrating diverse data streams that extend beyond single chemical assessment.</w:t>
      </w:r>
    </w:p>
    <w:p w14:paraId="794308D4" w14:textId="77777777" w:rsidR="005C3A0C" w:rsidRPr="005C3A0C" w:rsidRDefault="005C3A0C" w:rsidP="00B5799D">
      <w:pPr>
        <w:jc w:val="both"/>
        <w:rPr>
          <w:rFonts w:ascii="Times New Roman" w:hAnsi="Times New Roman" w:cs="Times New Roman"/>
          <w:b/>
          <w:bCs/>
        </w:rPr>
      </w:pPr>
      <w:r w:rsidRPr="005C3A0C">
        <w:rPr>
          <w:rFonts w:ascii="Times New Roman" w:hAnsi="Times New Roman" w:cs="Times New Roman"/>
          <w:b/>
          <w:bCs/>
        </w:rPr>
        <w:t>4.1 Defining the Exposome</w:t>
      </w:r>
    </w:p>
    <w:p w14:paraId="1BB6B829" w14:textId="77777777" w:rsidR="005C3A0C" w:rsidRPr="005C3A0C" w:rsidRDefault="005C3A0C" w:rsidP="00B5799D">
      <w:pPr>
        <w:jc w:val="both"/>
        <w:rPr>
          <w:rFonts w:ascii="Times New Roman" w:hAnsi="Times New Roman" w:cs="Times New Roman"/>
        </w:rPr>
      </w:pPr>
      <w:r w:rsidRPr="005C3A0C">
        <w:rPr>
          <w:rFonts w:ascii="Times New Roman" w:hAnsi="Times New Roman" w:cs="Times New Roman"/>
        </w:rPr>
        <w:t>The exposome encompasses all environmental exposures experienced by an individual from conception onward and is commonly described across complementary domains. The external exposome includes chemical exposures such as pesticides, metals, and air contaminants, as well as physical factors including climate and noise, and social dimensions such as socioeconomic conditions and work organization. Within this domain, a distinction is often made between the general external exposome, which reflects broader environmental and societal contexts, and the specific external exposome, which captures more direct and localized exposures such as occupational chemical use or contaminated drinking water. The internal exposome refers to biological responses and internalized exposures that can be measured through high resolution molecular profiling, including metabolomics, proteomics, epigenomics, and other omics based indicators</w:t>
      </w:r>
      <w:r w:rsidR="00A728A8">
        <w:rPr>
          <w:rFonts w:ascii="Times New Roman" w:hAnsi="Times New Roman" w:cs="Times New Roman"/>
        </w:rPr>
        <w:fldChar w:fldCharType="begin"/>
      </w:r>
      <w:r w:rsidR="00D473F7">
        <w:rPr>
          <w:rFonts w:ascii="Times New Roman" w:hAnsi="Times New Roman" w:cs="Times New Roman"/>
        </w:rPr>
        <w:instrText xml:space="preserve"> ADDIN ZOTERO_ITEM CSL_CITATION {"citationID":"hpULGhpU","properties":{"formattedCitation":"(19)","plainCitation":"(19)","noteIndex":0},"citationItems":[{"id":15035,"uris":["http://zotero.org/users/16652950/items/AR7258C5"],"itemData":{"id":15035,"type":"article-journal","abstract":"Simple SummaryPeople in low- and middle-income countries face a higher risk of developing cancer owing to exposure to harmful environmental and infect...","container-title":"Cancers","DOI":"10.3390/cancers17152537","ISSN":"2072-6694","issue":"15","language":"en","license":"http://creativecommons.org/licenses/by/3.0/","note":"Company: Multidisciplinary Digital Publishing Institute\nDistributor: Multidisciplinary Digital Publishing Institute\nInstitution: Multidisciplinary Digital Publishing Institute\nLabel: Multidisciplinary Digital Publishing Institute\npublisher: publisher","source":"www.mdpi.com","title":"The Exposome Perspective: Environmental and Infectious Agents as Drivers of Cancer Disparities in Low- and Middle-Income Countries","title-short":"The Exposome Perspective","URL":"https://www.mdpi.com/2072-6694/17/15/2537","volume":"17","author":[{"family":"Dlamini","given":"Zodwa"},{"family":"Alaouna","given":"Mohammed"},{"family":"Marutha","given":"Tebogo"},{"family":"Mkhize-Kwitshana","given":"Zilungile"},{"family":"Mbodi","given":"Langanani"},{"family":"Chauke-Malinga","given":"Nkhensani"},{"family":"Luvhengo","given":"Thifhelimbil E."},{"family":"Marima","given":"Rahaba"},{"family":"Hull","given":"Rodney"},{"family":"Skepu","given":"Amanda"},{"family":"Ntwasa","given":"Monde"},{"family":"Duarte","given":"Raquel"},{"family":"Damane","given":"Botle Precious"},{"family":"Mosoane","given":"Benny"},{"family":"Mbatha","given":"Sikhumbuzo"},{"family":"Phakathi","given":"Boitumelo"},{"family":"Khaba","given":"Moshawa"},{"family":"Chokwe","given":"Ramakwana Christinah"},{"family":"Edge","given":"Jenny"},{"family":"Mbita","given":"Zukile"},{"family":"Khanyile","given":"Richard"},{"family":"Molefi","given":"Thulo"}],"accessed":{"date-parts":[["2026",2,19]]},"issued":{"date-parts":[["2025",7,31]]}}}],"schema":"https://github.com/citation-style-language/schema/raw/master/csl-citation.json"} </w:instrText>
      </w:r>
      <w:r w:rsidR="00A728A8">
        <w:rPr>
          <w:rFonts w:ascii="Times New Roman" w:hAnsi="Times New Roman" w:cs="Times New Roman"/>
        </w:rPr>
        <w:fldChar w:fldCharType="separate"/>
      </w:r>
      <w:r w:rsidR="00D473F7" w:rsidRPr="00D473F7">
        <w:rPr>
          <w:rFonts w:ascii="Times New Roman" w:hAnsi="Times New Roman" w:cs="Times New Roman"/>
        </w:rPr>
        <w:t>(19)</w:t>
      </w:r>
      <w:r w:rsidR="00A728A8">
        <w:rPr>
          <w:rFonts w:ascii="Times New Roman" w:hAnsi="Times New Roman" w:cs="Times New Roman"/>
        </w:rPr>
        <w:fldChar w:fldCharType="end"/>
      </w:r>
      <w:r w:rsidRPr="005C3A0C">
        <w:rPr>
          <w:rFonts w:ascii="Times New Roman" w:hAnsi="Times New Roman" w:cs="Times New Roman"/>
        </w:rPr>
        <w:t>. These internal markers provide insight into biological pathways linking external exposures to disease processes.</w:t>
      </w:r>
    </w:p>
    <w:p w14:paraId="4BC3BC35" w14:textId="77777777" w:rsidR="005C3A0C" w:rsidRPr="005C3A0C" w:rsidRDefault="005C3A0C" w:rsidP="00B5799D">
      <w:pPr>
        <w:jc w:val="both"/>
        <w:rPr>
          <w:rFonts w:ascii="Times New Roman" w:hAnsi="Times New Roman" w:cs="Times New Roman"/>
          <w:b/>
          <w:bCs/>
        </w:rPr>
      </w:pPr>
      <w:r w:rsidRPr="005C3A0C">
        <w:rPr>
          <w:rFonts w:ascii="Times New Roman" w:hAnsi="Times New Roman" w:cs="Times New Roman"/>
          <w:b/>
          <w:bCs/>
        </w:rPr>
        <w:t>4.2 Why Farming Is an Exposome Relevant Occupation</w:t>
      </w:r>
    </w:p>
    <w:p w14:paraId="2F1829C0" w14:textId="77777777" w:rsidR="005C3A0C" w:rsidRPr="005C3A0C" w:rsidRDefault="005C3A0C" w:rsidP="00B5799D">
      <w:pPr>
        <w:jc w:val="both"/>
        <w:rPr>
          <w:rFonts w:ascii="Times New Roman" w:hAnsi="Times New Roman" w:cs="Times New Roman"/>
        </w:rPr>
      </w:pPr>
      <w:r w:rsidRPr="005C3A0C">
        <w:rPr>
          <w:rFonts w:ascii="Times New Roman" w:hAnsi="Times New Roman" w:cs="Times New Roman"/>
        </w:rPr>
        <w:t>Farming is particularly well suited to an exposome based perspective because of the diversity and persistence of exposures encountered over time. Agricultural work involves contact with complex mixtures of agrochemicals that vary by crop, season, and region, resulting in substantial exposure heterogeneity. These chemical exposures interact with physical stressors such as heat, ultraviolet radiation, and particulate matter, as well as social and economic pressures related to labor intensity, market volatility, and access to health care</w:t>
      </w:r>
      <w:r w:rsidR="00A728A8">
        <w:rPr>
          <w:rFonts w:ascii="Times New Roman" w:hAnsi="Times New Roman" w:cs="Times New Roman"/>
        </w:rPr>
        <w:fldChar w:fldCharType="begin"/>
      </w:r>
      <w:r w:rsidR="00D473F7">
        <w:rPr>
          <w:rFonts w:ascii="Times New Roman" w:hAnsi="Times New Roman" w:cs="Times New Roman"/>
        </w:rPr>
        <w:instrText xml:space="preserve"> ADDIN ZOTERO_ITEM CSL_CITATION {"citationID":"4o0jP52Q","properties":{"formattedCitation":"(20)","plainCitation":"(20)","noteIndex":0},"citationItems":[{"id":15037,"uris":["http://zotero.org/users/16652950/items/QPS76GBP"],"itemData":{"id":15037,"type":"article-journal","abstract":"Background\nFarm work entails a heterogeneous mixture of exposures that vary considerably across farms and farmers. Farm work is associated with various health outcomes, both adverse and beneficial. One mechanism by which farming exposures can impact health is through the microbiome, including the indoor home environment microbiome. It is unknown how individual occupational exposures shape the microbial composition in workers’ homes.\nObjectives\nWe investigated associations between farm work activities, including specific tasks and pesticide use, and the indoor microbiome in the homes of 468 male farmers.\nMethods\nParticipants were licensed pesticide applicators, mostly farmers, enrolled in the Agricultural Lung Health Study from 2008 to 2011. Vacuumed dust from participants’ bedrooms underwent whole-genome shotgun sequencing for indoor microbiome assessment. Using questionnaire data, we evaluated 6 farm work tasks (processing of either hay, silage, animal feed, fertilizer, or soy/grains, and cleaning grain bins) and 19 pesticide ingredients currently used in the past year, plus 7 banned persistent pesticide ingredients ever used.\nResults\nAll 6 work tasks were associated with increased microbial diversity levels, with a positive dose-response for the total number of tasks performed (P = 0.001). All tasks were associated with altered microbial compositions (weighted UniFrac P = 0.001) and with higher abundance of specific microbes, including soil-based commensal microbes such as Haloterrigena. Among the 19 pesticides, current use of glyphosate and past use of lindane were associated with increased microbial diversity (P = 0.02–0.04). Ten currently used pesticides and all 7 banned pesticides were associated with altered microbial composition (P = 0.001–0.04). Six pesticides were associated with differential abundance of certain microbes.\nDiscussion\nDifferent farm activities and exposures can uniquely impact the dust microbiome inside homes. Our work suggests that changes to the home microbiome could serve as one pathway for how occupational exposures impact the health of workers and their cohabitating family members, offering possible future intervention targets.","container-title":"Environmental Research","DOI":"10.1016/j.envres.2023.117819","ISSN":"0013-9351","journalAbbreviation":"Environmental Research","page":"117819","source":"ScienceDirect","title":"Occupational farm work activities influence workers’ indoor home microbiome","volume":"243","author":[{"family":"Dalton","given":"Kathryn R."},{"family":"Lee","given":"Mikyeong"},{"family":"Wang","given":"Ziyue"},{"family":"Zhao","given":"Shanshan"},{"family":"Parks","given":"Christine G."},{"family":"Beane-Freeman","given":"Laura E."},{"family":"Motsinger-Reif","given":"Alison A."},{"family":"London","given":"Stephanie J."}],"issued":{"date-parts":[["2024",2,15]]}}}],"schema":"https://github.com/citation-style-language/schema/raw/master/csl-citation.json"} </w:instrText>
      </w:r>
      <w:r w:rsidR="00A728A8">
        <w:rPr>
          <w:rFonts w:ascii="Times New Roman" w:hAnsi="Times New Roman" w:cs="Times New Roman"/>
        </w:rPr>
        <w:fldChar w:fldCharType="separate"/>
      </w:r>
      <w:r w:rsidR="00D473F7" w:rsidRPr="00D473F7">
        <w:rPr>
          <w:rFonts w:ascii="Times New Roman" w:hAnsi="Times New Roman" w:cs="Times New Roman"/>
        </w:rPr>
        <w:t>(20)</w:t>
      </w:r>
      <w:r w:rsidR="00A728A8">
        <w:rPr>
          <w:rFonts w:ascii="Times New Roman" w:hAnsi="Times New Roman" w:cs="Times New Roman"/>
        </w:rPr>
        <w:fldChar w:fldCharType="end"/>
      </w:r>
      <w:r w:rsidRPr="005C3A0C">
        <w:rPr>
          <w:rFonts w:ascii="Times New Roman" w:hAnsi="Times New Roman" w:cs="Times New Roman"/>
        </w:rPr>
        <w:t>. Importantly, farming exposures often begin early in life, sometimes in childhood or adolescence, and continue across decades, leading to cumulative exposure trajectories that align with life course models of chronic disease. Climate variability and evolving agricultural policies further shape exposure patterns by influencing chemical use practices and environmental dispersion.</w:t>
      </w:r>
    </w:p>
    <w:p w14:paraId="4D068530" w14:textId="77777777" w:rsidR="005C3A0C" w:rsidRPr="005C3A0C" w:rsidRDefault="005C3A0C" w:rsidP="00B5799D">
      <w:pPr>
        <w:jc w:val="both"/>
        <w:rPr>
          <w:rFonts w:ascii="Times New Roman" w:hAnsi="Times New Roman" w:cs="Times New Roman"/>
          <w:b/>
          <w:bCs/>
        </w:rPr>
      </w:pPr>
      <w:r w:rsidRPr="005C3A0C">
        <w:rPr>
          <w:rFonts w:ascii="Times New Roman" w:hAnsi="Times New Roman" w:cs="Times New Roman"/>
          <w:b/>
          <w:bCs/>
        </w:rPr>
        <w:t>4.3 Limitations of Current Exposome Applications</w:t>
      </w:r>
    </w:p>
    <w:p w14:paraId="0E30657F" w14:textId="77777777" w:rsidR="005C3A0C" w:rsidRPr="005C3A0C" w:rsidRDefault="005C3A0C" w:rsidP="00B5799D">
      <w:pPr>
        <w:jc w:val="both"/>
        <w:rPr>
          <w:rFonts w:ascii="Times New Roman" w:hAnsi="Times New Roman" w:cs="Times New Roman"/>
        </w:rPr>
      </w:pPr>
      <w:r w:rsidRPr="005C3A0C">
        <w:rPr>
          <w:rFonts w:ascii="Times New Roman" w:hAnsi="Times New Roman" w:cs="Times New Roman"/>
        </w:rPr>
        <w:lastRenderedPageBreak/>
        <w:t>Despite its conceptual strengths, the application of the exposome framework in agricultural health research remains limited. One major challenge is data sparsity in rural settings, where environmental monitoring networks and biomonitoring infrastructure are less developed than in urban areas. In addition, farmers are underrepresented in large population based exposome cohorts, which often focus on urban or general populations</w:t>
      </w:r>
      <w:r w:rsidR="00556005">
        <w:rPr>
          <w:rFonts w:ascii="Times New Roman" w:hAnsi="Times New Roman" w:cs="Times New Roman"/>
        </w:rPr>
        <w:fldChar w:fldCharType="begin"/>
      </w:r>
      <w:r w:rsidR="00D473F7">
        <w:rPr>
          <w:rFonts w:ascii="Times New Roman" w:hAnsi="Times New Roman" w:cs="Times New Roman"/>
        </w:rPr>
        <w:instrText xml:space="preserve"> ADDIN ZOTERO_ITEM CSL_CITATION {"citationID":"W0gB45qp","properties":{"formattedCitation":"(21)","plainCitation":"(21)","noteIndex":0},"citationItems":[{"id":15040,"uris":["http://zotero.org/users/16652950/items/FPF8NYVY"],"itemData":{"id":15040,"type":"article-journal","abstract":"Environmental exposures and their health impacts can vary substantially between urban and rural areas. However, different methods for classifying these areas could lead to inconsistencies in environmental exposure and health studies, which are often overlooked. We constructed different urban/rural classification systems based on multiple population-based (e.g., total population, population density, and commuting) and built-environment-based (e.g., nighttime light intensity, building density, road density, distance to urban centers, point of interest density, and urban area coverage) indicators and various classification schemes. These classification systems were applied to Virginia and West Virginia, United States. We compared differences in urban/rural spatial patterns, demographic compositions, and exposures of particulate matter (PM2.5), greenspace, and land surface temperature using these urban/rural classification systems to understand their impacts on environmental exposure and health research. Our findings reveal clear differences in spatial patterns and demographic compositions across various systems. We also observed that different systems can lead to changes in the magnitude and direction of urban/rural disparities in environmental exposure assessment. Addressing the complexities in delineating urbanicity and rurality may include careful consideration of classification systems to reflect those aspects of urbanicity and rurality that are relevant to the research question or the use of multiple, complementary systems.,","container-title":"Environmental science &amp; technology","DOI":"10.1021/acs.est.4c06942","ISSN":"0013-936X","issue":"43","journalAbbreviation":"Environ Sci Technol","note":"PMID: 39412270\nPMCID: PMC11627196","page":"19178-19188","source":"PubMed Central","title":"Delineating Urbanicity and Rurality: Impact on Environmental Exposure Assessment","title-short":"Delineating Urbanicity and Rurality","volume":"58","author":[{"family":"Song","given":"Yimeng"},{"family":"Deziel","given":"Nicole C."},{"family":"Bell","given":"Michelle L."}],"issued":{"date-parts":[["2024",10,29]]}}}],"schema":"https://github.com/citation-style-language/schema/raw/master/csl-citation.json"} </w:instrText>
      </w:r>
      <w:r w:rsidR="00556005">
        <w:rPr>
          <w:rFonts w:ascii="Times New Roman" w:hAnsi="Times New Roman" w:cs="Times New Roman"/>
        </w:rPr>
        <w:fldChar w:fldCharType="separate"/>
      </w:r>
      <w:r w:rsidR="00D473F7" w:rsidRPr="00D473F7">
        <w:rPr>
          <w:rFonts w:ascii="Times New Roman" w:hAnsi="Times New Roman" w:cs="Times New Roman"/>
        </w:rPr>
        <w:t>(21)</w:t>
      </w:r>
      <w:r w:rsidR="00556005">
        <w:rPr>
          <w:rFonts w:ascii="Times New Roman" w:hAnsi="Times New Roman" w:cs="Times New Roman"/>
        </w:rPr>
        <w:fldChar w:fldCharType="end"/>
      </w:r>
      <w:r w:rsidRPr="005C3A0C">
        <w:rPr>
          <w:rFonts w:ascii="Times New Roman" w:hAnsi="Times New Roman" w:cs="Times New Roman"/>
        </w:rPr>
        <w:t>. This underrepresentation restricts the generalizability of findings and limits the ability to capture agriculture specific exposure profiles. Addressing these gaps is essential for translating exposome science into meaningful risk assessment and prevention strategies for farming communities.</w:t>
      </w:r>
    </w:p>
    <w:p w14:paraId="71B2718E" w14:textId="77777777" w:rsidR="005C3A0C" w:rsidRPr="005C3A0C" w:rsidRDefault="005C3A0C" w:rsidP="00B5799D">
      <w:pPr>
        <w:jc w:val="both"/>
        <w:rPr>
          <w:rFonts w:ascii="Times New Roman" w:hAnsi="Times New Roman" w:cs="Times New Roman"/>
          <w:b/>
          <w:bCs/>
        </w:rPr>
      </w:pPr>
      <w:r w:rsidRPr="005C3A0C">
        <w:rPr>
          <w:rFonts w:ascii="Times New Roman" w:hAnsi="Times New Roman" w:cs="Times New Roman"/>
          <w:b/>
          <w:bCs/>
        </w:rPr>
        <w:t>5. Integrative Modeling Approaches for Agrochemical Exposomes</w:t>
      </w:r>
    </w:p>
    <w:p w14:paraId="65BB4C2B" w14:textId="77777777" w:rsidR="00342700" w:rsidRPr="00B5799D" w:rsidRDefault="005C3A0C" w:rsidP="00B5799D">
      <w:pPr>
        <w:jc w:val="both"/>
        <w:rPr>
          <w:rFonts w:ascii="Times New Roman" w:hAnsi="Times New Roman" w:cs="Times New Roman"/>
        </w:rPr>
      </w:pPr>
      <w:r w:rsidRPr="005C3A0C">
        <w:rPr>
          <w:rFonts w:ascii="Times New Roman" w:hAnsi="Times New Roman" w:cs="Times New Roman"/>
        </w:rPr>
        <w:t>Integrative modeling is central to operationalizing the exposome framework in agricultural health research. Because agrochemical exposures are heterogeneous, episodic, and cumulative, no single data source or analytic method is sufficient to characterize risk. Instead, effective exposome modeling requires the coordinated use of environmental data, biomonitoring, and advanced statistical or computational approaches that can accommodate complexity while remaining interpretable for public health application</w:t>
      </w:r>
      <w:r w:rsidR="00AD4B42">
        <w:rPr>
          <w:rFonts w:ascii="Times New Roman" w:hAnsi="Times New Roman" w:cs="Times New Roman"/>
        </w:rPr>
        <w:fldChar w:fldCharType="begin"/>
      </w:r>
      <w:r w:rsidR="00D473F7">
        <w:rPr>
          <w:rFonts w:ascii="Times New Roman" w:hAnsi="Times New Roman" w:cs="Times New Roman"/>
        </w:rPr>
        <w:instrText xml:space="preserve"> ADDIN ZOTERO_ITEM CSL_CITATION {"citationID":"NjcPDLIu","properties":{"formattedCitation":"(22)","plainCitation":"(22)","noteIndex":0},"citationItems":[{"id":15043,"uris":["http://zotero.org/users/16652950/items/9K8DVB57"],"itemData":{"id":15043,"type":"article-journal","abstract":"The exposome approach, emphasizing lifelong environmental exposures, is a holistic framework exploring the intricate interplay between genetics and the environment in shaping health outcomes. Complementing this, the one health approach recognizes the interconnectedness of human and ecological health within a shared ecosystem, extending to planetary health, which encompasses the entire planet. Integrating Disease Surveillance Systems with exposome, one health, and planetary health signifies a paradigm shift in health management, fostering a comprehensive public health framework. This publication advocates for combining traditional health surveillance with exposome and one health/planetary health approach, proposing a three-step approach: ecological analysis, territorial intervention in identified issues, and an analytical phase for assessing interventions. Particularly relevant for Latin American countries facing a double burden of diseases, integrating the exposome into traditional health surveillance proves cost-effective by leveraging existing data and environmental measurements. In conclusion, the integration of exposome and one health approaches into traditional health surveillance presents a robust framework for monitoring population health, especially in regions like Latin America with complex health challenges. This innovative approach enables tailored interventions, disease outbreak predictions, and a holistic understanding of the intricate links between human health and the environment, offering substantial benefits for public health and disease prevention despite existing challenges.","container-title":"Frontiers in Public Health","DOI":"10.3389/fpubh.2024.1376609","ISSN":"2296-2565","journalAbbreviation":"Front Public Health","note":"PMID: 39211902\nPMCID: PMC11359557","page":"1376609","source":"PubMed Central","title":"Integrating the exposome and one health approach to national health surveillance: an opportunity for Latin American countries in health preventive management","title-short":"Integrating the exposome and one health approach to national health surveillance","volume":"12","author":[{"family":"Matus","given":"Patricia"},{"family":"Urquidi","given":"Cinthya"},{"family":"Cárcamo","given":"Marcela"},{"family":"Vidal","given":"Veronica"}],"issued":{"date-parts":[["2024",8,14]]}}}],"schema":"https://github.com/citation-style-language/schema/raw/master/csl-citation.json"} </w:instrText>
      </w:r>
      <w:r w:rsidR="00AD4B42">
        <w:rPr>
          <w:rFonts w:ascii="Times New Roman" w:hAnsi="Times New Roman" w:cs="Times New Roman"/>
        </w:rPr>
        <w:fldChar w:fldCharType="separate"/>
      </w:r>
      <w:r w:rsidR="00D473F7" w:rsidRPr="00D473F7">
        <w:rPr>
          <w:rFonts w:ascii="Times New Roman" w:hAnsi="Times New Roman" w:cs="Times New Roman"/>
        </w:rPr>
        <w:t>(22)</w:t>
      </w:r>
      <w:r w:rsidR="00AD4B42">
        <w:rPr>
          <w:rFonts w:ascii="Times New Roman" w:hAnsi="Times New Roman" w:cs="Times New Roman"/>
        </w:rPr>
        <w:fldChar w:fldCharType="end"/>
      </w:r>
      <w:r w:rsidRPr="005C3A0C">
        <w:rPr>
          <w:rFonts w:ascii="Times New Roman" w:hAnsi="Times New Roman" w:cs="Times New Roman"/>
        </w:rPr>
        <w:t>.</w:t>
      </w:r>
      <w:r w:rsidR="00342700" w:rsidRPr="00B5799D">
        <w:rPr>
          <w:rFonts w:ascii="Times New Roman" w:hAnsi="Times New Roman" w:cs="Times New Roman"/>
        </w:rPr>
        <w:t xml:space="preserve"> </w:t>
      </w:r>
      <w:r w:rsidR="00342700" w:rsidRPr="00B5799D">
        <w:rPr>
          <w:rFonts w:ascii="Times New Roman" w:hAnsi="Times New Roman" w:cs="Times New Roman"/>
          <w:b/>
          <w:bCs/>
        </w:rPr>
        <w:t>Figure 1</w:t>
      </w:r>
      <w:r w:rsidR="00342700" w:rsidRPr="00B5799D">
        <w:rPr>
          <w:rFonts w:ascii="Times New Roman" w:hAnsi="Times New Roman" w:cs="Times New Roman"/>
        </w:rPr>
        <w:t xml:space="preserve"> illustrates an integrated pipeline linking agrochemical exposure assessment with biomonitoring and exposome-based modeling to characterize chronic disease risk in U.S. farming populations.</w:t>
      </w:r>
    </w:p>
    <w:p w14:paraId="5D6609ED" w14:textId="77777777" w:rsidR="00342700" w:rsidRPr="00B5799D" w:rsidRDefault="00342700" w:rsidP="00B5799D">
      <w:pPr>
        <w:jc w:val="both"/>
        <w:rPr>
          <w:rFonts w:ascii="Times New Roman" w:hAnsi="Times New Roman" w:cs="Times New Roman"/>
        </w:rPr>
      </w:pPr>
      <w:r w:rsidRPr="00B5799D">
        <w:rPr>
          <w:rFonts w:ascii="Times New Roman" w:hAnsi="Times New Roman" w:cs="Times New Roman"/>
          <w:noProof/>
        </w:rPr>
        <w:drawing>
          <wp:inline distT="0" distB="0" distL="0" distR="0" wp14:anchorId="4359BA23" wp14:editId="64469772">
            <wp:extent cx="5943600" cy="3962400"/>
            <wp:effectExtent l="0" t="0" r="0" b="0"/>
            <wp:docPr id="159037330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0373301" name="Picture 1590373301"/>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14:paraId="2E97B00D" w14:textId="77777777" w:rsidR="00342700" w:rsidRPr="00342700" w:rsidRDefault="00342700" w:rsidP="00B5799D">
      <w:pPr>
        <w:jc w:val="both"/>
        <w:rPr>
          <w:rFonts w:ascii="Times New Roman" w:hAnsi="Times New Roman" w:cs="Times New Roman"/>
        </w:rPr>
      </w:pPr>
      <w:r w:rsidRPr="00B5799D">
        <w:rPr>
          <w:rFonts w:ascii="Times New Roman" w:hAnsi="Times New Roman" w:cs="Times New Roman"/>
        </w:rPr>
        <w:lastRenderedPageBreak/>
        <w:t xml:space="preserve">Fig </w:t>
      </w:r>
      <w:proofErr w:type="gramStart"/>
      <w:r w:rsidRPr="00B5799D">
        <w:rPr>
          <w:rFonts w:ascii="Times New Roman" w:hAnsi="Times New Roman" w:cs="Times New Roman"/>
        </w:rPr>
        <w:t>1:</w:t>
      </w:r>
      <w:r w:rsidRPr="00342700">
        <w:rPr>
          <w:rFonts w:ascii="Times New Roman" w:hAnsi="Times New Roman" w:cs="Times New Roman"/>
        </w:rPr>
        <w:t>Schematic</w:t>
      </w:r>
      <w:proofErr w:type="gramEnd"/>
      <w:r w:rsidRPr="00342700">
        <w:rPr>
          <w:rFonts w:ascii="Times New Roman" w:hAnsi="Times New Roman" w:cs="Times New Roman"/>
        </w:rPr>
        <w:t xml:space="preserve"> overview of an exposome-based pipeline integrating environmental exposure modeling, biomonitoring, and analytical approaches to assess chronic disease risk from agrochemical exposure.</w:t>
      </w:r>
    </w:p>
    <w:p w14:paraId="0C49AC3B" w14:textId="77777777" w:rsidR="005C3A0C" w:rsidRPr="005C3A0C" w:rsidRDefault="005C3A0C" w:rsidP="00B5799D">
      <w:pPr>
        <w:jc w:val="both"/>
        <w:rPr>
          <w:rFonts w:ascii="Times New Roman" w:hAnsi="Times New Roman" w:cs="Times New Roman"/>
          <w:b/>
          <w:bCs/>
        </w:rPr>
      </w:pPr>
      <w:r w:rsidRPr="005C3A0C">
        <w:rPr>
          <w:rFonts w:ascii="Times New Roman" w:hAnsi="Times New Roman" w:cs="Times New Roman"/>
          <w:b/>
          <w:bCs/>
        </w:rPr>
        <w:t>5.1 Exposure Modeling</w:t>
      </w:r>
    </w:p>
    <w:p w14:paraId="01610E2E" w14:textId="77777777" w:rsidR="005C3A0C" w:rsidRPr="005C3A0C" w:rsidRDefault="005C3A0C" w:rsidP="00B5799D">
      <w:pPr>
        <w:jc w:val="both"/>
        <w:rPr>
          <w:rFonts w:ascii="Times New Roman" w:hAnsi="Times New Roman" w:cs="Times New Roman"/>
        </w:rPr>
      </w:pPr>
      <w:r w:rsidRPr="005C3A0C">
        <w:rPr>
          <w:rFonts w:ascii="Times New Roman" w:hAnsi="Times New Roman" w:cs="Times New Roman"/>
        </w:rPr>
        <w:t xml:space="preserve">Environmental exposure modeling provides the foundation for estimating agrochemical contact in farming systems. Geographic information </w:t>
      </w:r>
      <w:proofErr w:type="gramStart"/>
      <w:r w:rsidRPr="005C3A0C">
        <w:rPr>
          <w:rFonts w:ascii="Times New Roman" w:hAnsi="Times New Roman" w:cs="Times New Roman"/>
        </w:rPr>
        <w:t>system based</w:t>
      </w:r>
      <w:proofErr w:type="gramEnd"/>
      <w:r w:rsidRPr="005C3A0C">
        <w:rPr>
          <w:rFonts w:ascii="Times New Roman" w:hAnsi="Times New Roman" w:cs="Times New Roman"/>
        </w:rPr>
        <w:t xml:space="preserve"> models are widely used to link pesticide application records with spatial data on land use, crop type, and residential or occupational locations. These models enable the estimation of </w:t>
      </w:r>
      <w:proofErr w:type="gramStart"/>
      <w:r w:rsidRPr="005C3A0C">
        <w:rPr>
          <w:rFonts w:ascii="Times New Roman" w:hAnsi="Times New Roman" w:cs="Times New Roman"/>
        </w:rPr>
        <w:t>proximity based</w:t>
      </w:r>
      <w:proofErr w:type="gramEnd"/>
      <w:r w:rsidRPr="005C3A0C">
        <w:rPr>
          <w:rFonts w:ascii="Times New Roman" w:hAnsi="Times New Roman" w:cs="Times New Roman"/>
        </w:rPr>
        <w:t xml:space="preserve"> exposure and allow for the reconstruction of historical exposure patterns over time. Drift and dispersion models further refine exposure estimates by accounting for factors such as application method, weather conditions, and chemical properties that influence airborne transport and off target deposition. Together, these approaches help capture both direct occupational exposure and indirect environmental pathways</w:t>
      </w:r>
      <w:r w:rsidR="00F70478">
        <w:rPr>
          <w:rFonts w:ascii="Times New Roman" w:hAnsi="Times New Roman" w:cs="Times New Roman"/>
        </w:rPr>
        <w:fldChar w:fldCharType="begin"/>
      </w:r>
      <w:r w:rsidR="00D473F7">
        <w:rPr>
          <w:rFonts w:ascii="Times New Roman" w:hAnsi="Times New Roman" w:cs="Times New Roman"/>
        </w:rPr>
        <w:instrText xml:space="preserve"> ADDIN ZOTERO_ITEM CSL_CITATION {"citationID":"4Bo9LL82","properties":{"formattedCitation":"(23)","plainCitation":"(23)","noteIndex":0},"citationItems":[{"id":15046,"uris":["http://zotero.org/users/16652950/items/BBTN8SC8"],"itemData":{"id":15046,"type":"article-journal","abstract":"The global increase in pesticide use has raised concerns about its impact on biodiversity, ecosystems, and human health, in particular of people living near agricultural areas. This study explores the assessment of pesticide exposure and risks to residents at a high spatial granularity using plant protection product data. Our objective was to develop an indicator to monitor pesticide risk levels faced by residents in France by integrating spatial datasets and exposure assessment methodologies. Using spatialized pesticide sales data based on crop authorizations, we mapped potential pesticide loads at the parcel level. This map, combined with population distribution data, allowed us to develop an indicator for monitoring residential pesticide exposures. Our findings indicate that, on average, 13% of people in France may be exposed to various levels of pesticides due to their proximity to treated crops. This indicator demonstrates the usefulness of granular pesticide sales data in monitoring exposure and can support risk reduction strategies, helping to identify regions where efforts towards sustainable farming should concentrate.","container-title":"Scientific Reports","DOI":"10.1038/s41598-025-96928-1","ISSN":"2045-2322","issue":"1","journalAbbreviation":"Sci Rep","language":"en","license":"2025 The European, 2025","note":"publisher: Nature Publishing Group","page":"16785","source":"www.nature.com","title":"Development of a spatial risk indicator for monitoring residential pesticide exposure in agricultural areas","volume":"15","author":[{"family":"Galimberti","given":"Francesco"},{"family":"Bopp","given":"Stephanie K."},{"family":"Carletti","given":"Alessandro"},{"family":"Catarino","given":"Rui"},{"family":"Claverie","given":"Martin"},{"family":"Florio","given":"Pietro"},{"family":"Ippolito","given":"Alessio"},{"family":"Jones","given":"Arwyn"},{"family":"Marchetto","given":"Flavio"},{"family":"Olvedy","given":"Michael"},{"family":"Pistocchi","given":"Alberto"},{"family":"Verhegghen","given":"Astrid"},{"family":"Velde","given":"Marijn","non-dropping-particle":"van der"},{"family":"Vieira","given":"Diana"},{"family":"Andrimont","given":"Raphaël","non-dropping-particle":"d’"}],"issued":{"date-parts":[["2025",5,27]]}}}],"schema":"https://github.com/citation-style-language/schema/raw/master/csl-citation.json"} </w:instrText>
      </w:r>
      <w:r w:rsidR="00F70478">
        <w:rPr>
          <w:rFonts w:ascii="Times New Roman" w:hAnsi="Times New Roman" w:cs="Times New Roman"/>
        </w:rPr>
        <w:fldChar w:fldCharType="separate"/>
      </w:r>
      <w:r w:rsidR="00D473F7" w:rsidRPr="00D473F7">
        <w:rPr>
          <w:rFonts w:ascii="Times New Roman" w:hAnsi="Times New Roman" w:cs="Times New Roman"/>
        </w:rPr>
        <w:t>(23)</w:t>
      </w:r>
      <w:r w:rsidR="00F70478">
        <w:rPr>
          <w:rFonts w:ascii="Times New Roman" w:hAnsi="Times New Roman" w:cs="Times New Roman"/>
        </w:rPr>
        <w:fldChar w:fldCharType="end"/>
      </w:r>
      <w:r w:rsidRPr="005C3A0C">
        <w:rPr>
          <w:rFonts w:ascii="Times New Roman" w:hAnsi="Times New Roman" w:cs="Times New Roman"/>
        </w:rPr>
        <w:t>.</w:t>
      </w:r>
    </w:p>
    <w:p w14:paraId="0369BDC7" w14:textId="77777777" w:rsidR="005C3A0C" w:rsidRPr="005C3A0C" w:rsidRDefault="005C3A0C" w:rsidP="00B5799D">
      <w:pPr>
        <w:jc w:val="both"/>
        <w:rPr>
          <w:rFonts w:ascii="Times New Roman" w:hAnsi="Times New Roman" w:cs="Times New Roman"/>
        </w:rPr>
      </w:pPr>
      <w:r w:rsidRPr="005C3A0C">
        <w:rPr>
          <w:rFonts w:ascii="Times New Roman" w:hAnsi="Times New Roman" w:cs="Times New Roman"/>
        </w:rPr>
        <w:t>To move beyond single chemical assessment, cumulative exposure indices are increasingly applied. These indices aggregate exposure across multiple compounds, application events, or time periods, providing a summary measure of overall burden. While such indices inevitably involve assumptions, they offer a pragmatic means of representing long term exposure in epidemiologic analyses and serve as a bridge between detailed environmental modeling and health outcome data.</w:t>
      </w:r>
    </w:p>
    <w:p w14:paraId="0AA21E37" w14:textId="77777777" w:rsidR="005C3A0C" w:rsidRPr="005C3A0C" w:rsidRDefault="005C3A0C" w:rsidP="00B5799D">
      <w:pPr>
        <w:jc w:val="both"/>
        <w:rPr>
          <w:rFonts w:ascii="Times New Roman" w:hAnsi="Times New Roman" w:cs="Times New Roman"/>
          <w:b/>
          <w:bCs/>
        </w:rPr>
      </w:pPr>
      <w:r w:rsidRPr="005C3A0C">
        <w:rPr>
          <w:rFonts w:ascii="Times New Roman" w:hAnsi="Times New Roman" w:cs="Times New Roman"/>
          <w:b/>
          <w:bCs/>
        </w:rPr>
        <w:t>5.2 Biomonitoring and Internal Dose Modeling</w:t>
      </w:r>
    </w:p>
    <w:p w14:paraId="086DD552" w14:textId="77777777" w:rsidR="005C3A0C" w:rsidRPr="005C3A0C" w:rsidRDefault="005C3A0C" w:rsidP="00B5799D">
      <w:pPr>
        <w:jc w:val="both"/>
        <w:rPr>
          <w:rFonts w:ascii="Times New Roman" w:hAnsi="Times New Roman" w:cs="Times New Roman"/>
        </w:rPr>
      </w:pPr>
      <w:r w:rsidRPr="005C3A0C">
        <w:rPr>
          <w:rFonts w:ascii="Times New Roman" w:hAnsi="Times New Roman" w:cs="Times New Roman"/>
        </w:rPr>
        <w:t xml:space="preserve">Biomonitoring plays a critical role in linking external exposure estimates to internal dose. Measurements of urinary metabolites are commonly used to assess recent exposure to many pesticides and can reflect absorbed dose across multiple routes. Blood based biomarkers offer insight into circulating levels of parent compounds or persistent metabolites, while hair samples provide a </w:t>
      </w:r>
      <w:proofErr w:type="gramStart"/>
      <w:r w:rsidRPr="005C3A0C">
        <w:rPr>
          <w:rFonts w:ascii="Times New Roman" w:hAnsi="Times New Roman" w:cs="Times New Roman"/>
        </w:rPr>
        <w:t>longer term</w:t>
      </w:r>
      <w:proofErr w:type="gramEnd"/>
      <w:r w:rsidRPr="005C3A0C">
        <w:rPr>
          <w:rFonts w:ascii="Times New Roman" w:hAnsi="Times New Roman" w:cs="Times New Roman"/>
        </w:rPr>
        <w:t xml:space="preserve"> record of exposure and may be particularly useful for capturing seasonal or chronic patterns. Each matrix has distinct strengths and limitations, and their combined use can improve exposure characterization</w:t>
      </w:r>
      <w:r w:rsidR="00F70478">
        <w:rPr>
          <w:rFonts w:ascii="Times New Roman" w:hAnsi="Times New Roman" w:cs="Times New Roman"/>
        </w:rPr>
        <w:fldChar w:fldCharType="begin"/>
      </w:r>
      <w:r w:rsidR="00D473F7">
        <w:rPr>
          <w:rFonts w:ascii="Times New Roman" w:hAnsi="Times New Roman" w:cs="Times New Roman"/>
        </w:rPr>
        <w:instrText xml:space="preserve"> ADDIN ZOTERO_ITEM CSL_CITATION {"citationID":"YhiJvW24","properties":{"formattedCitation":"(24)","plainCitation":"(24)","noteIndex":0},"citationItems":[{"id":15048,"uris":["http://zotero.org/users/16652950/items/HCBUCHW6"],"itemData":{"id":15048,"type":"article-journal","abstract":"Biomonitoring allows for the assessment of internal exposure to various pesticides and metabolites. Following PRISMA guidelines, this systematic review aims to summarise innovative biomonitoring techniques for assessing pesticide exposure in agricultural workers, their advantages and limitations, and their applicability. The search of the Medline/PubMed, ScienceDirect, Scopus, and Web of Science databases identified 14 articles dealing with new techniques for biomonitoring pesticide exposure in agricultural workers. These new methodologies have identified several biomarkers associated with exposure to organophosphates. Most of the included studies combine and/or improve traditional methods to overcome their limitations. This leads to more sensitive, specific, and precise techniques with lower detection and quantification limits. Therefore, it is necessary to thoroughly analyse and test new biomonitoring methods for assessing pesticide exposure. These techniques can complement qualitative risk assessments and aid in developing strategies to protect public health and the environment.","container-title":"Toxics","DOI":"10.3390/toxics13020104","ISSN":"2305-6304","issue":"2","journalAbbreviation":"Toxics","note":"PMID: 39997919\nPMCID: PMC11861711","page":"104","source":"PubMed Central","title":"New Methodologies and Techniques for Biomonitoring Pesticide Exposure in Agricultural Workers: A Systematic Review","title-short":"New Methodologies and Techniques for Biomonitoring Pesticide Exposure in Agricultural Workers","volume":"13","author":[{"family":"Moreira","given":"Andreia"},{"family":"Guedes","given":"Joana"},{"family":"Vieira da Silva","given":"Manuela"}],"issued":{"date-parts":[["2025",1,28]]}}}],"schema":"https://github.com/citation-style-language/schema/raw/master/csl-citation.json"} </w:instrText>
      </w:r>
      <w:r w:rsidR="00F70478">
        <w:rPr>
          <w:rFonts w:ascii="Times New Roman" w:hAnsi="Times New Roman" w:cs="Times New Roman"/>
        </w:rPr>
        <w:fldChar w:fldCharType="separate"/>
      </w:r>
      <w:r w:rsidR="00D473F7" w:rsidRPr="00D473F7">
        <w:rPr>
          <w:rFonts w:ascii="Times New Roman" w:hAnsi="Times New Roman" w:cs="Times New Roman"/>
        </w:rPr>
        <w:t>(24)</w:t>
      </w:r>
      <w:r w:rsidR="00F70478">
        <w:rPr>
          <w:rFonts w:ascii="Times New Roman" w:hAnsi="Times New Roman" w:cs="Times New Roman"/>
        </w:rPr>
        <w:fldChar w:fldCharType="end"/>
      </w:r>
      <w:r w:rsidRPr="005C3A0C">
        <w:rPr>
          <w:rFonts w:ascii="Times New Roman" w:hAnsi="Times New Roman" w:cs="Times New Roman"/>
        </w:rPr>
        <w:t>.</w:t>
      </w:r>
    </w:p>
    <w:p w14:paraId="789D5ADF" w14:textId="77777777" w:rsidR="005C3A0C" w:rsidRPr="005C3A0C" w:rsidRDefault="005C3A0C" w:rsidP="00B5799D">
      <w:pPr>
        <w:jc w:val="both"/>
        <w:rPr>
          <w:rFonts w:ascii="Times New Roman" w:hAnsi="Times New Roman" w:cs="Times New Roman"/>
        </w:rPr>
      </w:pPr>
      <w:r w:rsidRPr="005C3A0C">
        <w:rPr>
          <w:rFonts w:ascii="Times New Roman" w:hAnsi="Times New Roman" w:cs="Times New Roman"/>
        </w:rPr>
        <w:t xml:space="preserve">A major challenge in internal dose modeling is the short biological </w:t>
      </w:r>
      <w:proofErr w:type="spellStart"/>
      <w:r w:rsidRPr="005C3A0C">
        <w:rPr>
          <w:rFonts w:ascii="Times New Roman" w:hAnsi="Times New Roman" w:cs="Times New Roman"/>
        </w:rPr>
        <w:t>half life</w:t>
      </w:r>
      <w:proofErr w:type="spellEnd"/>
      <w:r w:rsidRPr="005C3A0C">
        <w:rPr>
          <w:rFonts w:ascii="Times New Roman" w:hAnsi="Times New Roman" w:cs="Times New Roman"/>
        </w:rPr>
        <w:t xml:space="preserve"> of many agrochemicals, which complicates the interpretation of single time point measurements. Temporal variability, influenced by application cycles and individual behaviors, can lead to exposure misclassification if not properly addressed. Repeated sampling, integration with environmental models, and the use of toxicokinetic information can partially mitigate these limitations and strengthen inference</w:t>
      </w:r>
      <w:r w:rsidR="00AC1C3C">
        <w:rPr>
          <w:rFonts w:ascii="Times New Roman" w:hAnsi="Times New Roman" w:cs="Times New Roman"/>
        </w:rPr>
        <w:fldChar w:fldCharType="begin"/>
      </w:r>
      <w:r w:rsidR="00D473F7">
        <w:rPr>
          <w:rFonts w:ascii="Times New Roman" w:hAnsi="Times New Roman" w:cs="Times New Roman"/>
        </w:rPr>
        <w:instrText xml:space="preserve"> ADDIN ZOTERO_ITEM CSL_CITATION {"citationID":"orjgkDOy","properties":{"formattedCitation":"(25)","plainCitation":"(25)","noteIndex":0},"citationItems":[{"id":15051,"uris":["http://zotero.org/users/16652950/items/EBCWG3XG"],"itemData":{"id":15051,"type":"article-journal","abstract":"Much evidence on the adverse health effects of endocrine-disrupting chemicals (EDCs) has accumulated during recent decades. EDCs are commonly found in...","container-title":"Toxics","DOI":"10.3390/toxics10040181","ISSN":"2305-6304","issue":"4","language":"en","license":"http://creativecommons.org/licenses/by/3.0/","note":"Company: Multidisciplinary Digital Publishing Institute\nDistributor: Multidisciplinary Digital Publishing Institute\nInstitution: Multidisciplinary Digital Publishing Institute\nLabel: Multidisciplinary Digital Publishing Institute\npublisher: publisher","source":"www.mdpi.com","title":"Diurnal Variation in Biomarkers of Exposure to Endocrine-Disrupting Chemicals and Their Association with Oxidative Damage in Norwegian Adults: The EuroMix Study","title-short":"Diurnal Variation in Biomarkers of Exposure to Endocrine-Disrupting Chemicals and Their Association with Oxidative Damage in Norwegian Adults","URL":"https://www.mdpi.com/2305-6304/10/4/181","volume":"10","author":[{"family":"Abimbola","given":"Samuel Olushola"},{"family":"Xeni","given":"Christina"},{"family":"Sakhi","given":"Amrit Kaur"},{"family":"Heibati","given":"Behzad"},{"family":"Husøy","given":"Trine"},{"family":"Dirven","given":"Hubert"},{"family":"Makris","given":"Konstantinos C."}],"accessed":{"date-parts":[["2026",2,19]]},"issued":{"date-parts":[["2022",4,6]]}}}],"schema":"https://github.com/citation-style-language/schema/raw/master/csl-citation.json"} </w:instrText>
      </w:r>
      <w:r w:rsidR="00AC1C3C">
        <w:rPr>
          <w:rFonts w:ascii="Times New Roman" w:hAnsi="Times New Roman" w:cs="Times New Roman"/>
        </w:rPr>
        <w:fldChar w:fldCharType="separate"/>
      </w:r>
      <w:r w:rsidR="00D473F7" w:rsidRPr="00D473F7">
        <w:rPr>
          <w:rFonts w:ascii="Times New Roman" w:hAnsi="Times New Roman" w:cs="Times New Roman"/>
        </w:rPr>
        <w:t>(25)</w:t>
      </w:r>
      <w:r w:rsidR="00AC1C3C">
        <w:rPr>
          <w:rFonts w:ascii="Times New Roman" w:hAnsi="Times New Roman" w:cs="Times New Roman"/>
        </w:rPr>
        <w:fldChar w:fldCharType="end"/>
      </w:r>
      <w:r w:rsidRPr="005C3A0C">
        <w:rPr>
          <w:rFonts w:ascii="Times New Roman" w:hAnsi="Times New Roman" w:cs="Times New Roman"/>
        </w:rPr>
        <w:t>.</w:t>
      </w:r>
    </w:p>
    <w:p w14:paraId="47B4163A" w14:textId="77777777" w:rsidR="005C3A0C" w:rsidRPr="005C3A0C" w:rsidRDefault="005C3A0C" w:rsidP="00B5799D">
      <w:pPr>
        <w:jc w:val="both"/>
        <w:rPr>
          <w:rFonts w:ascii="Times New Roman" w:hAnsi="Times New Roman" w:cs="Times New Roman"/>
          <w:b/>
          <w:bCs/>
        </w:rPr>
      </w:pPr>
      <w:r w:rsidRPr="005C3A0C">
        <w:rPr>
          <w:rFonts w:ascii="Times New Roman" w:hAnsi="Times New Roman" w:cs="Times New Roman"/>
          <w:b/>
          <w:bCs/>
        </w:rPr>
        <w:t>5.3 Statistical and Computational Approaches</w:t>
      </w:r>
    </w:p>
    <w:p w14:paraId="62C58CCE" w14:textId="77777777" w:rsidR="005C3A0C" w:rsidRPr="005C3A0C" w:rsidRDefault="005C3A0C" w:rsidP="00B5799D">
      <w:pPr>
        <w:jc w:val="both"/>
        <w:rPr>
          <w:rFonts w:ascii="Times New Roman" w:hAnsi="Times New Roman" w:cs="Times New Roman"/>
        </w:rPr>
      </w:pPr>
      <w:r w:rsidRPr="005C3A0C">
        <w:rPr>
          <w:rFonts w:ascii="Times New Roman" w:hAnsi="Times New Roman" w:cs="Times New Roman"/>
        </w:rPr>
        <w:t xml:space="preserve">High dimensional exposure data require analytic methods capable of handling correlation and interaction among multiple agents. Multi pollutant regression models provide a straightforward extension of traditional approaches but may struggle with collinearity. Bayesian hierarchical models offer greater flexibility by allowing for the incorporation of prior knowledge and the </w:t>
      </w:r>
      <w:r w:rsidRPr="005C3A0C">
        <w:rPr>
          <w:rFonts w:ascii="Times New Roman" w:hAnsi="Times New Roman" w:cs="Times New Roman"/>
        </w:rPr>
        <w:lastRenderedPageBreak/>
        <w:t>estimation of uncertainty across multiple levels of exposure and outcome data. Mixture modeling techniques, such as weighted quantile sum regression and Bayesian kernel machine regression, are increasingly used to identify influential components of complex exposure mixtures while accounting for joint effects</w:t>
      </w:r>
      <w:r w:rsidR="007D2B69">
        <w:rPr>
          <w:rFonts w:ascii="Times New Roman" w:hAnsi="Times New Roman" w:cs="Times New Roman"/>
        </w:rPr>
        <w:fldChar w:fldCharType="begin"/>
      </w:r>
      <w:r w:rsidR="00D473F7">
        <w:rPr>
          <w:rFonts w:ascii="Times New Roman" w:hAnsi="Times New Roman" w:cs="Times New Roman"/>
        </w:rPr>
        <w:instrText xml:space="preserve"> ADDIN ZOTERO_ITEM CSL_CITATION {"citationID":"QtJUDwfG","properties":{"formattedCitation":"(26)","plainCitation":"(26)","noteIndex":0},"citationItems":[{"id":15053,"uris":["http://zotero.org/users/16652950/items/Y4LQFD7H"],"itemData":{"id":15053,"type":"article-journal","abstract":"Biochar, which is a high-carbon biomass pyrolysis byproduct, has considerable potential in environmental remediation, serving as a soil conditioner, a carbon sequestration substrate, and a wastewater treatment agent. Nevertheless, for its effective and safe application, thorough assessment techniques must be employed to analyze and measure the presence of potential risks like organic pollutants, metallic toxicants, and volatile organic compounds (VOCs). This research presents an automated framework based on artificial intelligence (AI), designed to evaluate the quality of biochar in real-time and enhance its environmental sustainability. The proposed system leverages data from the publicly available database to create biochar safety models for prediction. The system consists of three separate models: a classification model to evaluate the safety of biochar according to its chemical makeup, a regression model to estimate quantified levels of heavy metals, and a time series model to predict VOC emissions under different environmental conditions, facilitating evaluation of potential air quality effects. Performance results show that the Random Forest Regression model achieved a low Mean Squared Error (MSE) of 0.0046 and a strong R2 score of 0.9549, indicating high reliability in predicting heavy metal content, while the Random Forest Classifier achieved an external validation accuracy of 96.7%. The efficacy of the LSTM-based time series model in real-time environmental monitoring was demonstrated by the Mean Absolute Percentage Error (MAPE) accuracy of 87.14% in predicting VOC emissions. The multi-model system permits ongoing, precise monitoring while drastically minimizing human interaction and related errors. The AI models developed show great efficacy in classifying biochar safety, estimating the content of heavy metals, and estimating VOC emissions at future times. The system improves evaluation accuracy, operational efficiency, and production optimization while reducing disposal expenses and environmental hazards. This study provides a new contribution by integrating classification, regression, and time series analysis in one automated quality assessment system for biochar. It presents a scalable and smart solution that can be applied across environmental and industrial applications, enabling the wider integration of AI technologies into sustainable material management and environmental monitoring.","container-title":"Frontiers in Soil Science","DOI":"10.3389/fsoil.2025.1661097","ISSN":"2673-8619","journalAbbreviation":"Front. Soil Sci.","language":"English","note":"publisher: Frontiers","source":"Frontiers","title":"Integrating classification, regression, and time series models to assess biochar safety, optimize pollutant removal, and predict environmental impacts","URL":"https://www.frontiersin.org/journals/soil-science/articles/10.3389/fsoil.2025.1661097/full","volume":"5","author":[{"family":"Roy","given":"Shreyashi Deb"},{"family":"Khekare","given":"Ganesh"},{"family":"Chhajed","given":"Sejal"},{"family":"Victor","given":"Adrine Sharon"}],"accessed":{"date-parts":[["2026",2,19]]},"issued":{"date-parts":[["2025",9,23]]}}}],"schema":"https://github.com/citation-style-language/schema/raw/master/csl-citation.json"} </w:instrText>
      </w:r>
      <w:r w:rsidR="007D2B69">
        <w:rPr>
          <w:rFonts w:ascii="Times New Roman" w:hAnsi="Times New Roman" w:cs="Times New Roman"/>
        </w:rPr>
        <w:fldChar w:fldCharType="separate"/>
      </w:r>
      <w:r w:rsidR="00D473F7" w:rsidRPr="00D473F7">
        <w:rPr>
          <w:rFonts w:ascii="Times New Roman" w:hAnsi="Times New Roman" w:cs="Times New Roman"/>
        </w:rPr>
        <w:t>(26)</w:t>
      </w:r>
      <w:r w:rsidR="007D2B69">
        <w:rPr>
          <w:rFonts w:ascii="Times New Roman" w:hAnsi="Times New Roman" w:cs="Times New Roman"/>
        </w:rPr>
        <w:fldChar w:fldCharType="end"/>
      </w:r>
      <w:r w:rsidRPr="005C3A0C">
        <w:rPr>
          <w:rFonts w:ascii="Times New Roman" w:hAnsi="Times New Roman" w:cs="Times New Roman"/>
        </w:rPr>
        <w:t>.</w:t>
      </w:r>
    </w:p>
    <w:p w14:paraId="4FB79D97" w14:textId="77777777" w:rsidR="005C3A0C" w:rsidRPr="005C3A0C" w:rsidRDefault="005C3A0C" w:rsidP="00B5799D">
      <w:pPr>
        <w:jc w:val="both"/>
        <w:rPr>
          <w:rFonts w:ascii="Times New Roman" w:hAnsi="Times New Roman" w:cs="Times New Roman"/>
        </w:rPr>
      </w:pPr>
      <w:r w:rsidRPr="005C3A0C">
        <w:rPr>
          <w:rFonts w:ascii="Times New Roman" w:hAnsi="Times New Roman" w:cs="Times New Roman"/>
        </w:rPr>
        <w:t>Machine learning approaches have also gained attention for their ability to process large and complex datasets. These methods can uncover nonlinear relationships and interaction patterns that may be missed by conventional models. However, their use in exposome research requires careful attention to interpretability and validation to ensure relevance for risk assessment</w:t>
      </w:r>
      <w:r w:rsidR="007D2B69">
        <w:rPr>
          <w:rFonts w:ascii="Times New Roman" w:hAnsi="Times New Roman" w:cs="Times New Roman"/>
        </w:rPr>
        <w:fldChar w:fldCharType="begin"/>
      </w:r>
      <w:r w:rsidR="00EC209A">
        <w:rPr>
          <w:rFonts w:ascii="Times New Roman" w:hAnsi="Times New Roman" w:cs="Times New Roman"/>
        </w:rPr>
        <w:instrText xml:space="preserve"> ADDIN ZOTERO_ITEM CSL_CITATION {"citationID":"zC5JOMQ2","properties":{"formattedCitation":"(27)","plainCitation":"(27)","noteIndex":0},"citationItems":[{"id":15074,"uris":["http://zotero.org/users/16652950/items/SU8PT7EI"],"itemData":{"id":15074,"type":"article-journal","abstract":"Mathematical modeling plays a central role in infectious disease epidemiology, shaping outbreak response strategies and informing public health policy. The COVID-19 pandemic demonstrated the value of these models but also exposed persistent limitations related to data fragility, lack of transparency, limited stakeholder engagement, and insufficient consideration of social and political contexts. Rather than critiquing modeling as a discipline, this perspective argues for a reorientation of infectious disease modeling toward a more responsive, equity-centered, and participatory paradigm. We propose a conceptual framework built on three interrelated principles: adaptability through real-time data integration, transparency via open-source and reproducible practices, and relevance through interdisciplinary and co-produced model design. Drawing on illustrative examples from COVID-19 and dengue control efforts, we highlight how integrating behavioral dynamics, local knowledge, and policy feedback can improve model usefulness and public trust. Reconceptualizing models as dynamic systems of inquiry rather than static forecasting tools can enhance decision-making and promote more equitable and effective responses to future public health emergencies.","container-title":"Global Journal of Epidemiology and Infectious Disease","ISSN":"2770-8675","language":"en","license":"Copyright (c) 2025 Global Journal of Epidemiology and Infectious Disease","page":"43-53","source":"www.scipublications.com","title":"Reimagining Mathematical Modeling for a Responsive and Integrated Future in Infectious Disease Epidemiology","author":[{"family":"Lawal","given":"Olabisi Promise"},{"family":"Okeh","given":"Debra Ukamaka"},{"family":"Ezeamii","given":"Patra Chisom"},{"family":"Olowookere","given":"Adepeju Kafayat"},{"family":"Muhammed","given":"Ismaila"},{"family":"Ugwu","given":"Chukwuebuka Victor"},{"family":"Ayo-ige","given":"Ayodele Blessing"}],"issued":{"date-parts":[["2025",12,22]]}}}],"schema":"https://github.com/citation-style-language/schema/raw/master/csl-citation.json"} </w:instrText>
      </w:r>
      <w:r w:rsidR="007D2B69">
        <w:rPr>
          <w:rFonts w:ascii="Times New Roman" w:hAnsi="Times New Roman" w:cs="Times New Roman"/>
        </w:rPr>
        <w:fldChar w:fldCharType="separate"/>
      </w:r>
      <w:r w:rsidR="00EC209A" w:rsidRPr="00EC209A">
        <w:rPr>
          <w:rFonts w:ascii="Times New Roman" w:hAnsi="Times New Roman" w:cs="Times New Roman"/>
        </w:rPr>
        <w:t>(27)</w:t>
      </w:r>
      <w:r w:rsidR="007D2B69">
        <w:rPr>
          <w:rFonts w:ascii="Times New Roman" w:hAnsi="Times New Roman" w:cs="Times New Roman"/>
        </w:rPr>
        <w:fldChar w:fldCharType="end"/>
      </w:r>
      <w:r w:rsidRPr="005C3A0C">
        <w:rPr>
          <w:rFonts w:ascii="Times New Roman" w:hAnsi="Times New Roman" w:cs="Times New Roman"/>
        </w:rPr>
        <w:t>.</w:t>
      </w:r>
    </w:p>
    <w:p w14:paraId="52259321" w14:textId="77777777" w:rsidR="005C3A0C" w:rsidRPr="005C3A0C" w:rsidRDefault="005C3A0C" w:rsidP="00B5799D">
      <w:pPr>
        <w:jc w:val="both"/>
        <w:rPr>
          <w:rFonts w:ascii="Times New Roman" w:hAnsi="Times New Roman" w:cs="Times New Roman"/>
          <w:b/>
          <w:bCs/>
        </w:rPr>
      </w:pPr>
      <w:r w:rsidRPr="005C3A0C">
        <w:rPr>
          <w:rFonts w:ascii="Times New Roman" w:hAnsi="Times New Roman" w:cs="Times New Roman"/>
          <w:b/>
          <w:bCs/>
        </w:rPr>
        <w:t>5.4 Linking Exposure to Disease Risk</w:t>
      </w:r>
    </w:p>
    <w:p w14:paraId="068A3AB3" w14:textId="77777777" w:rsidR="001E3DE4" w:rsidRPr="001E3DE4" w:rsidRDefault="005C3A0C" w:rsidP="00B5799D">
      <w:pPr>
        <w:jc w:val="both"/>
        <w:rPr>
          <w:rFonts w:ascii="Times New Roman" w:hAnsi="Times New Roman" w:cs="Times New Roman"/>
        </w:rPr>
      </w:pPr>
      <w:r w:rsidRPr="005C3A0C">
        <w:rPr>
          <w:rFonts w:ascii="Times New Roman" w:hAnsi="Times New Roman" w:cs="Times New Roman"/>
        </w:rPr>
        <w:t>The final step in integrative modeling involves linking exposure estimates to chronic disease outcomes. Mediation and interaction analyses can help disentangle biological pathways and identify effect modifiers such as age, sex, or genetic susceptibility. Time varying exposure outcome frameworks are particularly important in agricultural contexts, where exposure intensity fluctuates and disease latency is long</w:t>
      </w:r>
      <w:r w:rsidR="000C62A4">
        <w:rPr>
          <w:rFonts w:ascii="Times New Roman" w:hAnsi="Times New Roman" w:cs="Times New Roman"/>
        </w:rPr>
        <w:fldChar w:fldCharType="begin"/>
      </w:r>
      <w:r w:rsidR="000C62A4">
        <w:rPr>
          <w:rFonts w:ascii="Times New Roman" w:hAnsi="Times New Roman" w:cs="Times New Roman"/>
        </w:rPr>
        <w:instrText xml:space="preserve"> ADDIN ZOTERO_ITEM CSL_CITATION {"citationID":"AFv4X5DB","properties":{"formattedCitation":"(28)","plainCitation":"(28)","noteIndex":0},"citationItems":[{"id":15266,"uris":["http://zotero.org/users/16652950/items/BKBZBJ4Q"],"itemData":{"id":15266,"type":"article-journal","abstract":"Liquid biopsies have developed as a revolutionary technique in cancer diagnosis, treatment evaluation, and the detection of therapeutic resistance. Unlike traditional tissue biopsies, which are invasive and limited to a single temporal analysis, liquid biopsies offer a non-invasive, real-time evaluation of tumour dynamics through the analysis of biomarkers such as circulating tumour DNA (ctDNA), circulating tumour cells (CTCs), exosomes, and microRNAs. This approach enables continuous monitoring of tumour advancement, allowing for the early detection of cancer, the tracking of minimal residual disease, and the identification of emerging resistance mutations. As cancers advance and acquire resistance to therapies, liquid biopsy provides critical information that enables clinicians to customise treatment strategies and improve outcomes. Despite challenges such as sensitivity limitations in early-stage cancers and the necessity for standardised testing protocols, technological advancements, including next-generation sequencing (NGS), CRISPR, and AI-driven analytics, are enhancing the precision and accessibility of liquid biopsies. Through ongoing validation and cost-reduction efforts, liquid biopsies are set to become essential to precision oncology, offering a transformative approach to cancer therapy that could improve patient outcomes and foster equitable healthcare globally.","container-title":"Oncology, Nuclear Medicine and Transplantology","DOI":"10.63946/onmt/17244","ISSN":"3105-8760","issue":"1","language":"english","note":"publisher: Australasia Publishing Group","page":"onmt006","source":"www.onmtjournal.org","title":"The Role of Liquid Biopsies in Tracking Tumor Evolution and Overcoming Therapeutic Resistance in Cancer","volume":"1","author":[{"family":"Oladosu","given":"Tosin Ayodeji"},{"family":"Okafor","given":"Chinaecherem Peace"},{"family":"Nwosu","given":"Patrick Chinazam"},{"family":"Ibukunoluwa","given":"Ayo Ebunolorun"},{"family":"Monica","given":"Uduh Ifeoma"},{"family":"Aderanti","given":"Tosin Abiodun"}],"issued":{"date-parts":[["2025",10,8]]}}}],"schema":"https://github.com/citation-style-language/schema/raw/master/csl-citation.json"} </w:instrText>
      </w:r>
      <w:r w:rsidR="000C62A4">
        <w:rPr>
          <w:rFonts w:ascii="Times New Roman" w:hAnsi="Times New Roman" w:cs="Times New Roman"/>
        </w:rPr>
        <w:fldChar w:fldCharType="separate"/>
      </w:r>
      <w:r w:rsidR="000C62A4" w:rsidRPr="000C62A4">
        <w:rPr>
          <w:rFonts w:ascii="Times New Roman" w:hAnsi="Times New Roman" w:cs="Times New Roman"/>
        </w:rPr>
        <w:t>(28)</w:t>
      </w:r>
      <w:r w:rsidR="000C62A4">
        <w:rPr>
          <w:rFonts w:ascii="Times New Roman" w:hAnsi="Times New Roman" w:cs="Times New Roman"/>
        </w:rPr>
        <w:fldChar w:fldCharType="end"/>
      </w:r>
      <w:r w:rsidRPr="005C3A0C">
        <w:rPr>
          <w:rFonts w:ascii="Times New Roman" w:hAnsi="Times New Roman" w:cs="Times New Roman"/>
        </w:rPr>
        <w:t>. Together, these approaches enable a more nuanced and realistic assessment of how agrochemical exposomes contribute to chronic disease risk over the farming life course</w:t>
      </w:r>
      <w:r w:rsidR="00E57636">
        <w:rPr>
          <w:rFonts w:ascii="Times New Roman" w:hAnsi="Times New Roman" w:cs="Times New Roman"/>
        </w:rPr>
        <w:fldChar w:fldCharType="begin"/>
      </w:r>
      <w:r w:rsidR="000C62A4">
        <w:rPr>
          <w:rFonts w:ascii="Times New Roman" w:hAnsi="Times New Roman" w:cs="Times New Roman"/>
        </w:rPr>
        <w:instrText xml:space="preserve"> ADDIN ZOTERO_ITEM CSL_CITATION {"citationID":"vzpgp396","properties":{"formattedCitation":"(29)","plainCitation":"(29)","noteIndex":0},"citationItems":[{"id":15055,"uris":["http://zotero.org/users/16652950/items/6JLVYJXG"],"itemData":{"id":15055,"type":"article-journal","abstract":"Life course epidemiology seeks to understand the intricate relationships between risk factors and health outcomes across different stages of life to inform prevention and intervention strategies to optimize health throughout the lifespan. However, extant evidence has predominantly been based on separate analyses of data from individual birth cohorts or panel studies, which may not be sufficient to unravel the complex interplay of risk and health across different contexts. We highlight the importance of a multi-study perspective that enables researchers to: (a) Compare and contrast findings from different contexts and populations, which can help identify generalizable patterns and context-specific factors; (b) Examine the robustness of associations and the potential for effect modification by factors such as age, sex, and socioeconomic status; and (c) Improve statistical power and precision by pooling data from multiple studies, thereby allowing for the investigation of rare exposures and outcomes. This integrative framework combines the advantages of multi-study data with a life course perspective to guide research in understanding life course risk and resilience on adult health outcomes by: (a) Encouraging the use of harmonized measures across studies to facilitate comparisons and synthesis of findings; (b) Promoting the adoption of advanced analytical techniques that can accommodate the complexities of multi-study, longitudinal data; and (c) Fostering collaboration between researchers, data repositories, and funding agencies to support the integration of longitudinal data from diverse sources. An integrative approach can help inform the development of individualized risk scores and personalized interventions to promote health and well-being at various life stages.","container-title":"Discover Social Science and Health","DOI":"10.1007/s44155-023-00044-2","ISSN":"2731-0469","issue":"1","journalAbbreviation":"Discov Soc Sci Health","note":"PMID: 37469576\nPMCID: PMC10352429","page":"14","source":"PubMed Central","title":"An integrative approach for the analysis of risk and health across the life course: challenges, innovations, and opportunities for life course research","title-short":"An integrative approach for the analysis of risk and health across the life course","volume":"3","author":[{"family":"Zuber","given":"Sascha"},{"family":"Bechtiger","given":"Laura"},{"family":"Bodelet","given":"Julien Stéphane"},{"family":"Golin","given":"Marta"},{"family":"Heumann","given":"Jens"},{"family":"Kim","given":"Jung Hyun"},{"family":"Klee","given":"Matthias"},{"family":"Mur","given":"Jure"},{"family":"Noll","given":"Jennie"},{"family":"Voll","given":"Stacey"},{"family":"O’Keefe","given":"Patrick"},{"family":"Steinhoff","given":"Annekatrin"},{"family":"Zölitz","given":"Ulf"},{"family":"Muniz-Terrera","given":"Graciela"},{"family":"Shanahan","given":"Lilly"},{"family":"Shanahan","given":"Michael J."},{"family":"Hofer","given":"Scott M."}],"issued":{"date-parts":[["2023"]]}}}],"schema":"https://github.com/citation-style-language/schema/raw/master/csl-citation.json"} </w:instrText>
      </w:r>
      <w:r w:rsidR="00E57636">
        <w:rPr>
          <w:rFonts w:ascii="Times New Roman" w:hAnsi="Times New Roman" w:cs="Times New Roman"/>
        </w:rPr>
        <w:fldChar w:fldCharType="separate"/>
      </w:r>
      <w:r w:rsidR="000C62A4" w:rsidRPr="000C62A4">
        <w:rPr>
          <w:rFonts w:ascii="Times New Roman" w:hAnsi="Times New Roman" w:cs="Times New Roman"/>
        </w:rPr>
        <w:t>(29)</w:t>
      </w:r>
      <w:r w:rsidR="00E57636">
        <w:rPr>
          <w:rFonts w:ascii="Times New Roman" w:hAnsi="Times New Roman" w:cs="Times New Roman"/>
        </w:rPr>
        <w:fldChar w:fldCharType="end"/>
      </w:r>
      <w:r w:rsidRPr="005C3A0C">
        <w:rPr>
          <w:rFonts w:ascii="Times New Roman" w:hAnsi="Times New Roman" w:cs="Times New Roman"/>
        </w:rPr>
        <w:t>.</w:t>
      </w:r>
      <w:r w:rsidR="001E3DE4" w:rsidRPr="00B5799D">
        <w:rPr>
          <w:rFonts w:ascii="Times New Roman" w:hAnsi="Times New Roman" w:cs="Times New Roman"/>
        </w:rPr>
        <w:t xml:space="preserve"> </w:t>
      </w:r>
      <w:r w:rsidR="001E3DE4" w:rsidRPr="001E3DE4">
        <w:rPr>
          <w:rFonts w:ascii="Times New Roman" w:hAnsi="Times New Roman" w:cs="Times New Roman"/>
        </w:rPr>
        <w:t>Table 1 summarizes key analytical approaches used in agrochemical exposome research, highlighting their distinct roles and methodological limitations.</w:t>
      </w:r>
    </w:p>
    <w:p w14:paraId="7FFA931B" w14:textId="77777777" w:rsidR="001E3DE4" w:rsidRPr="001E3DE4" w:rsidRDefault="001E3DE4" w:rsidP="00B5799D">
      <w:pPr>
        <w:jc w:val="both"/>
        <w:rPr>
          <w:rFonts w:ascii="Times New Roman" w:hAnsi="Times New Roman" w:cs="Times New Roman"/>
          <w:b/>
          <w:bCs/>
        </w:rPr>
      </w:pPr>
      <w:r w:rsidRPr="001E3DE4">
        <w:rPr>
          <w:rFonts w:ascii="Times New Roman" w:hAnsi="Times New Roman" w:cs="Times New Roman"/>
          <w:b/>
          <w:bCs/>
        </w:rPr>
        <w:t>Table 1. Key Modeling Approaches in Agrochemical Exposome Research and Their Analytical Trade-offs</w:t>
      </w:r>
    </w:p>
    <w:tbl>
      <w:tblPr>
        <w:tblW w:w="0" w:type="auto"/>
        <w:tblCellSpacing w:w="15" w:type="dxa"/>
        <w:tblBorders>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927"/>
        <w:gridCol w:w="2220"/>
        <w:gridCol w:w="2870"/>
        <w:gridCol w:w="2343"/>
      </w:tblGrid>
      <w:tr w:rsidR="001E3DE4" w:rsidRPr="001E3DE4" w14:paraId="72DDAFA5" w14:textId="77777777" w:rsidTr="001E3DE4">
        <w:trPr>
          <w:tblHeader/>
          <w:tblCellSpacing w:w="15" w:type="dxa"/>
        </w:trPr>
        <w:tc>
          <w:tcPr>
            <w:tcW w:w="0" w:type="auto"/>
            <w:vAlign w:val="center"/>
            <w:hideMark/>
          </w:tcPr>
          <w:p w14:paraId="4AEA67D9" w14:textId="77777777" w:rsidR="001E3DE4" w:rsidRPr="001E3DE4" w:rsidRDefault="001E3DE4" w:rsidP="00B5799D">
            <w:pPr>
              <w:jc w:val="both"/>
              <w:rPr>
                <w:rFonts w:ascii="Times New Roman" w:hAnsi="Times New Roman" w:cs="Times New Roman"/>
                <w:b/>
                <w:bCs/>
              </w:rPr>
            </w:pPr>
            <w:r w:rsidRPr="001E3DE4">
              <w:rPr>
                <w:rFonts w:ascii="Times New Roman" w:hAnsi="Times New Roman" w:cs="Times New Roman"/>
                <w:b/>
                <w:bCs/>
              </w:rPr>
              <w:t>Approach</w:t>
            </w:r>
          </w:p>
        </w:tc>
        <w:tc>
          <w:tcPr>
            <w:tcW w:w="0" w:type="auto"/>
            <w:vAlign w:val="center"/>
            <w:hideMark/>
          </w:tcPr>
          <w:p w14:paraId="1D9EBF2F" w14:textId="77777777" w:rsidR="001E3DE4" w:rsidRPr="001E3DE4" w:rsidRDefault="001E3DE4" w:rsidP="00B5799D">
            <w:pPr>
              <w:jc w:val="both"/>
              <w:rPr>
                <w:rFonts w:ascii="Times New Roman" w:hAnsi="Times New Roman" w:cs="Times New Roman"/>
                <w:b/>
                <w:bCs/>
              </w:rPr>
            </w:pPr>
            <w:r w:rsidRPr="001E3DE4">
              <w:rPr>
                <w:rFonts w:ascii="Times New Roman" w:hAnsi="Times New Roman" w:cs="Times New Roman"/>
                <w:b/>
                <w:bCs/>
              </w:rPr>
              <w:t>Primary Role in Exposome Analysis</w:t>
            </w:r>
          </w:p>
        </w:tc>
        <w:tc>
          <w:tcPr>
            <w:tcW w:w="0" w:type="auto"/>
            <w:vAlign w:val="center"/>
            <w:hideMark/>
          </w:tcPr>
          <w:p w14:paraId="6E192F42" w14:textId="77777777" w:rsidR="001E3DE4" w:rsidRPr="001E3DE4" w:rsidRDefault="001E3DE4" w:rsidP="00B5799D">
            <w:pPr>
              <w:jc w:val="both"/>
              <w:rPr>
                <w:rFonts w:ascii="Times New Roman" w:hAnsi="Times New Roman" w:cs="Times New Roman"/>
                <w:b/>
                <w:bCs/>
              </w:rPr>
            </w:pPr>
            <w:r w:rsidRPr="001E3DE4">
              <w:rPr>
                <w:rFonts w:ascii="Times New Roman" w:hAnsi="Times New Roman" w:cs="Times New Roman"/>
                <w:b/>
                <w:bCs/>
              </w:rPr>
              <w:t>Distinct Contribution</w:t>
            </w:r>
          </w:p>
        </w:tc>
        <w:tc>
          <w:tcPr>
            <w:tcW w:w="0" w:type="auto"/>
            <w:vAlign w:val="center"/>
            <w:hideMark/>
          </w:tcPr>
          <w:p w14:paraId="5736F83A" w14:textId="77777777" w:rsidR="001E3DE4" w:rsidRPr="001E3DE4" w:rsidRDefault="001E3DE4" w:rsidP="00B5799D">
            <w:pPr>
              <w:jc w:val="both"/>
              <w:rPr>
                <w:rFonts w:ascii="Times New Roman" w:hAnsi="Times New Roman" w:cs="Times New Roman"/>
                <w:b/>
                <w:bCs/>
              </w:rPr>
            </w:pPr>
            <w:r w:rsidRPr="001E3DE4">
              <w:rPr>
                <w:rFonts w:ascii="Times New Roman" w:hAnsi="Times New Roman" w:cs="Times New Roman"/>
                <w:b/>
                <w:bCs/>
              </w:rPr>
              <w:t>Key Limitation to Address</w:t>
            </w:r>
          </w:p>
        </w:tc>
      </w:tr>
      <w:tr w:rsidR="001E3DE4" w:rsidRPr="001E3DE4" w14:paraId="6F7B108C" w14:textId="77777777" w:rsidTr="001E3DE4">
        <w:trPr>
          <w:tblCellSpacing w:w="15" w:type="dxa"/>
        </w:trPr>
        <w:tc>
          <w:tcPr>
            <w:tcW w:w="0" w:type="auto"/>
            <w:vAlign w:val="center"/>
            <w:hideMark/>
          </w:tcPr>
          <w:p w14:paraId="3DA84055" w14:textId="77777777" w:rsidR="001E3DE4" w:rsidRPr="001E3DE4" w:rsidRDefault="001E3DE4" w:rsidP="00B5799D">
            <w:pPr>
              <w:jc w:val="both"/>
              <w:rPr>
                <w:rFonts w:ascii="Times New Roman" w:hAnsi="Times New Roman" w:cs="Times New Roman"/>
              </w:rPr>
            </w:pPr>
            <w:r w:rsidRPr="001E3DE4">
              <w:rPr>
                <w:rFonts w:ascii="Times New Roman" w:hAnsi="Times New Roman" w:cs="Times New Roman"/>
              </w:rPr>
              <w:t>GIS-based exposure models</w:t>
            </w:r>
          </w:p>
        </w:tc>
        <w:tc>
          <w:tcPr>
            <w:tcW w:w="0" w:type="auto"/>
            <w:vAlign w:val="center"/>
            <w:hideMark/>
          </w:tcPr>
          <w:p w14:paraId="7AB8CC3A" w14:textId="77777777" w:rsidR="001E3DE4" w:rsidRPr="001E3DE4" w:rsidRDefault="001E3DE4" w:rsidP="00B5799D">
            <w:pPr>
              <w:jc w:val="both"/>
              <w:rPr>
                <w:rFonts w:ascii="Times New Roman" w:hAnsi="Times New Roman" w:cs="Times New Roman"/>
              </w:rPr>
            </w:pPr>
            <w:r w:rsidRPr="001E3DE4">
              <w:rPr>
                <w:rFonts w:ascii="Times New Roman" w:hAnsi="Times New Roman" w:cs="Times New Roman"/>
              </w:rPr>
              <w:t>Spatial reconstruction of pesticide use</w:t>
            </w:r>
          </w:p>
        </w:tc>
        <w:tc>
          <w:tcPr>
            <w:tcW w:w="0" w:type="auto"/>
            <w:vAlign w:val="center"/>
            <w:hideMark/>
          </w:tcPr>
          <w:p w14:paraId="1E7FB4A0" w14:textId="77777777" w:rsidR="001E3DE4" w:rsidRPr="001E3DE4" w:rsidRDefault="001E3DE4" w:rsidP="00B5799D">
            <w:pPr>
              <w:jc w:val="both"/>
              <w:rPr>
                <w:rFonts w:ascii="Times New Roman" w:hAnsi="Times New Roman" w:cs="Times New Roman"/>
              </w:rPr>
            </w:pPr>
            <w:r w:rsidRPr="001E3DE4">
              <w:rPr>
                <w:rFonts w:ascii="Times New Roman" w:hAnsi="Times New Roman" w:cs="Times New Roman"/>
              </w:rPr>
              <w:t>Captures geographic heterogeneity and historical application patterns</w:t>
            </w:r>
          </w:p>
        </w:tc>
        <w:tc>
          <w:tcPr>
            <w:tcW w:w="0" w:type="auto"/>
            <w:vAlign w:val="center"/>
            <w:hideMark/>
          </w:tcPr>
          <w:p w14:paraId="244112CD" w14:textId="77777777" w:rsidR="001E3DE4" w:rsidRPr="001E3DE4" w:rsidRDefault="001E3DE4" w:rsidP="00B5799D">
            <w:pPr>
              <w:jc w:val="both"/>
              <w:rPr>
                <w:rFonts w:ascii="Times New Roman" w:hAnsi="Times New Roman" w:cs="Times New Roman"/>
              </w:rPr>
            </w:pPr>
            <w:r w:rsidRPr="001E3DE4">
              <w:rPr>
                <w:rFonts w:ascii="Times New Roman" w:hAnsi="Times New Roman" w:cs="Times New Roman"/>
              </w:rPr>
              <w:t>Limited representation of individual behaviors</w:t>
            </w:r>
          </w:p>
        </w:tc>
      </w:tr>
      <w:tr w:rsidR="001E3DE4" w:rsidRPr="001E3DE4" w14:paraId="261532F6" w14:textId="77777777" w:rsidTr="001E3DE4">
        <w:trPr>
          <w:tblCellSpacing w:w="15" w:type="dxa"/>
        </w:trPr>
        <w:tc>
          <w:tcPr>
            <w:tcW w:w="0" w:type="auto"/>
            <w:vAlign w:val="center"/>
            <w:hideMark/>
          </w:tcPr>
          <w:p w14:paraId="5F36AF09" w14:textId="77777777" w:rsidR="001E3DE4" w:rsidRPr="001E3DE4" w:rsidRDefault="001E3DE4" w:rsidP="00B5799D">
            <w:pPr>
              <w:jc w:val="both"/>
              <w:rPr>
                <w:rFonts w:ascii="Times New Roman" w:hAnsi="Times New Roman" w:cs="Times New Roman"/>
              </w:rPr>
            </w:pPr>
            <w:r w:rsidRPr="001E3DE4">
              <w:rPr>
                <w:rFonts w:ascii="Times New Roman" w:hAnsi="Times New Roman" w:cs="Times New Roman"/>
              </w:rPr>
              <w:t>Drift and dispersion models</w:t>
            </w:r>
          </w:p>
        </w:tc>
        <w:tc>
          <w:tcPr>
            <w:tcW w:w="0" w:type="auto"/>
            <w:vAlign w:val="center"/>
            <w:hideMark/>
          </w:tcPr>
          <w:p w14:paraId="4FE5E6ED" w14:textId="77777777" w:rsidR="001E3DE4" w:rsidRPr="001E3DE4" w:rsidRDefault="001E3DE4" w:rsidP="00B5799D">
            <w:pPr>
              <w:jc w:val="both"/>
              <w:rPr>
                <w:rFonts w:ascii="Times New Roman" w:hAnsi="Times New Roman" w:cs="Times New Roman"/>
              </w:rPr>
            </w:pPr>
            <w:r w:rsidRPr="001E3DE4">
              <w:rPr>
                <w:rFonts w:ascii="Times New Roman" w:hAnsi="Times New Roman" w:cs="Times New Roman"/>
              </w:rPr>
              <w:t>Estimation of off-target exposure</w:t>
            </w:r>
          </w:p>
        </w:tc>
        <w:tc>
          <w:tcPr>
            <w:tcW w:w="0" w:type="auto"/>
            <w:vAlign w:val="center"/>
            <w:hideMark/>
          </w:tcPr>
          <w:p w14:paraId="41D8F933" w14:textId="77777777" w:rsidR="001E3DE4" w:rsidRPr="001E3DE4" w:rsidRDefault="001E3DE4" w:rsidP="00B5799D">
            <w:pPr>
              <w:jc w:val="both"/>
              <w:rPr>
                <w:rFonts w:ascii="Times New Roman" w:hAnsi="Times New Roman" w:cs="Times New Roman"/>
              </w:rPr>
            </w:pPr>
            <w:r w:rsidRPr="001E3DE4">
              <w:rPr>
                <w:rFonts w:ascii="Times New Roman" w:hAnsi="Times New Roman" w:cs="Times New Roman"/>
              </w:rPr>
              <w:t>Incorporates meteorology and application method variability</w:t>
            </w:r>
          </w:p>
        </w:tc>
        <w:tc>
          <w:tcPr>
            <w:tcW w:w="0" w:type="auto"/>
            <w:vAlign w:val="center"/>
            <w:hideMark/>
          </w:tcPr>
          <w:p w14:paraId="3BDCF0F8" w14:textId="77777777" w:rsidR="001E3DE4" w:rsidRPr="001E3DE4" w:rsidRDefault="001E3DE4" w:rsidP="00B5799D">
            <w:pPr>
              <w:jc w:val="both"/>
              <w:rPr>
                <w:rFonts w:ascii="Times New Roman" w:hAnsi="Times New Roman" w:cs="Times New Roman"/>
              </w:rPr>
            </w:pPr>
            <w:r w:rsidRPr="001E3DE4">
              <w:rPr>
                <w:rFonts w:ascii="Times New Roman" w:hAnsi="Times New Roman" w:cs="Times New Roman"/>
              </w:rPr>
              <w:t>Sensitive to parameter assumptions</w:t>
            </w:r>
          </w:p>
        </w:tc>
      </w:tr>
      <w:tr w:rsidR="001E3DE4" w:rsidRPr="001E3DE4" w14:paraId="7F6127A1" w14:textId="77777777" w:rsidTr="001E3DE4">
        <w:trPr>
          <w:tblCellSpacing w:w="15" w:type="dxa"/>
        </w:trPr>
        <w:tc>
          <w:tcPr>
            <w:tcW w:w="0" w:type="auto"/>
            <w:vAlign w:val="center"/>
            <w:hideMark/>
          </w:tcPr>
          <w:p w14:paraId="1650CB2E" w14:textId="77777777" w:rsidR="001E3DE4" w:rsidRPr="001E3DE4" w:rsidRDefault="001E3DE4" w:rsidP="00B5799D">
            <w:pPr>
              <w:jc w:val="both"/>
              <w:rPr>
                <w:rFonts w:ascii="Times New Roman" w:hAnsi="Times New Roman" w:cs="Times New Roman"/>
              </w:rPr>
            </w:pPr>
            <w:r w:rsidRPr="001E3DE4">
              <w:rPr>
                <w:rFonts w:ascii="Times New Roman" w:hAnsi="Times New Roman" w:cs="Times New Roman"/>
              </w:rPr>
              <w:t>Cumulative exposure indices</w:t>
            </w:r>
          </w:p>
        </w:tc>
        <w:tc>
          <w:tcPr>
            <w:tcW w:w="0" w:type="auto"/>
            <w:vAlign w:val="center"/>
            <w:hideMark/>
          </w:tcPr>
          <w:p w14:paraId="348F65F3" w14:textId="77777777" w:rsidR="001E3DE4" w:rsidRPr="001E3DE4" w:rsidRDefault="001E3DE4" w:rsidP="00B5799D">
            <w:pPr>
              <w:jc w:val="both"/>
              <w:rPr>
                <w:rFonts w:ascii="Times New Roman" w:hAnsi="Times New Roman" w:cs="Times New Roman"/>
              </w:rPr>
            </w:pPr>
            <w:r w:rsidRPr="001E3DE4">
              <w:rPr>
                <w:rFonts w:ascii="Times New Roman" w:hAnsi="Times New Roman" w:cs="Times New Roman"/>
              </w:rPr>
              <w:t>Long-term exposure summarization</w:t>
            </w:r>
          </w:p>
        </w:tc>
        <w:tc>
          <w:tcPr>
            <w:tcW w:w="0" w:type="auto"/>
            <w:vAlign w:val="center"/>
            <w:hideMark/>
          </w:tcPr>
          <w:p w14:paraId="7C46E4A1" w14:textId="77777777" w:rsidR="001E3DE4" w:rsidRPr="001E3DE4" w:rsidRDefault="001E3DE4" w:rsidP="00B5799D">
            <w:pPr>
              <w:jc w:val="both"/>
              <w:rPr>
                <w:rFonts w:ascii="Times New Roman" w:hAnsi="Times New Roman" w:cs="Times New Roman"/>
              </w:rPr>
            </w:pPr>
            <w:r w:rsidRPr="001E3DE4">
              <w:rPr>
                <w:rFonts w:ascii="Times New Roman" w:hAnsi="Times New Roman" w:cs="Times New Roman"/>
              </w:rPr>
              <w:t>Enables life-course exposure representation</w:t>
            </w:r>
          </w:p>
        </w:tc>
        <w:tc>
          <w:tcPr>
            <w:tcW w:w="0" w:type="auto"/>
            <w:vAlign w:val="center"/>
            <w:hideMark/>
          </w:tcPr>
          <w:p w14:paraId="46BDEE06" w14:textId="77777777" w:rsidR="001E3DE4" w:rsidRPr="001E3DE4" w:rsidRDefault="001E3DE4" w:rsidP="00B5799D">
            <w:pPr>
              <w:jc w:val="both"/>
              <w:rPr>
                <w:rFonts w:ascii="Times New Roman" w:hAnsi="Times New Roman" w:cs="Times New Roman"/>
              </w:rPr>
            </w:pPr>
            <w:r w:rsidRPr="001E3DE4">
              <w:rPr>
                <w:rFonts w:ascii="Times New Roman" w:hAnsi="Times New Roman" w:cs="Times New Roman"/>
              </w:rPr>
              <w:t>Simplifies toxicity differences across agents</w:t>
            </w:r>
          </w:p>
        </w:tc>
      </w:tr>
      <w:tr w:rsidR="001E3DE4" w:rsidRPr="001E3DE4" w14:paraId="64531600" w14:textId="77777777" w:rsidTr="001E3DE4">
        <w:trPr>
          <w:tblCellSpacing w:w="15" w:type="dxa"/>
        </w:trPr>
        <w:tc>
          <w:tcPr>
            <w:tcW w:w="0" w:type="auto"/>
            <w:vAlign w:val="center"/>
            <w:hideMark/>
          </w:tcPr>
          <w:p w14:paraId="4D3A4851" w14:textId="77777777" w:rsidR="001E3DE4" w:rsidRPr="001E3DE4" w:rsidRDefault="001E3DE4" w:rsidP="00B5799D">
            <w:pPr>
              <w:jc w:val="both"/>
              <w:rPr>
                <w:rFonts w:ascii="Times New Roman" w:hAnsi="Times New Roman" w:cs="Times New Roman"/>
              </w:rPr>
            </w:pPr>
            <w:r w:rsidRPr="001E3DE4">
              <w:rPr>
                <w:rFonts w:ascii="Times New Roman" w:hAnsi="Times New Roman" w:cs="Times New Roman"/>
              </w:rPr>
              <w:t>Urinary biomonitoring</w:t>
            </w:r>
          </w:p>
        </w:tc>
        <w:tc>
          <w:tcPr>
            <w:tcW w:w="0" w:type="auto"/>
            <w:vAlign w:val="center"/>
            <w:hideMark/>
          </w:tcPr>
          <w:p w14:paraId="4FF53CF1" w14:textId="77777777" w:rsidR="001E3DE4" w:rsidRPr="001E3DE4" w:rsidRDefault="001E3DE4" w:rsidP="00B5799D">
            <w:pPr>
              <w:jc w:val="both"/>
              <w:rPr>
                <w:rFonts w:ascii="Times New Roman" w:hAnsi="Times New Roman" w:cs="Times New Roman"/>
              </w:rPr>
            </w:pPr>
            <w:r w:rsidRPr="001E3DE4">
              <w:rPr>
                <w:rFonts w:ascii="Times New Roman" w:hAnsi="Times New Roman" w:cs="Times New Roman"/>
              </w:rPr>
              <w:t>Short-term internal dose estimation</w:t>
            </w:r>
          </w:p>
        </w:tc>
        <w:tc>
          <w:tcPr>
            <w:tcW w:w="0" w:type="auto"/>
            <w:vAlign w:val="center"/>
            <w:hideMark/>
          </w:tcPr>
          <w:p w14:paraId="0E2FCA83" w14:textId="77777777" w:rsidR="001E3DE4" w:rsidRPr="001E3DE4" w:rsidRDefault="001E3DE4" w:rsidP="00B5799D">
            <w:pPr>
              <w:jc w:val="both"/>
              <w:rPr>
                <w:rFonts w:ascii="Times New Roman" w:hAnsi="Times New Roman" w:cs="Times New Roman"/>
              </w:rPr>
            </w:pPr>
            <w:r w:rsidRPr="001E3DE4">
              <w:rPr>
                <w:rFonts w:ascii="Times New Roman" w:hAnsi="Times New Roman" w:cs="Times New Roman"/>
              </w:rPr>
              <w:t>Reflects absorbed exposure across routes</w:t>
            </w:r>
          </w:p>
        </w:tc>
        <w:tc>
          <w:tcPr>
            <w:tcW w:w="0" w:type="auto"/>
            <w:vAlign w:val="center"/>
            <w:hideMark/>
          </w:tcPr>
          <w:p w14:paraId="5A78B8B6" w14:textId="77777777" w:rsidR="001E3DE4" w:rsidRPr="001E3DE4" w:rsidRDefault="001E3DE4" w:rsidP="00B5799D">
            <w:pPr>
              <w:jc w:val="both"/>
              <w:rPr>
                <w:rFonts w:ascii="Times New Roman" w:hAnsi="Times New Roman" w:cs="Times New Roman"/>
              </w:rPr>
            </w:pPr>
            <w:r w:rsidRPr="001E3DE4">
              <w:rPr>
                <w:rFonts w:ascii="Times New Roman" w:hAnsi="Times New Roman" w:cs="Times New Roman"/>
              </w:rPr>
              <w:t>Narrow temporal exposure window</w:t>
            </w:r>
          </w:p>
        </w:tc>
      </w:tr>
      <w:tr w:rsidR="001E3DE4" w:rsidRPr="001E3DE4" w14:paraId="51F83C4E" w14:textId="77777777" w:rsidTr="001E3DE4">
        <w:trPr>
          <w:tblCellSpacing w:w="15" w:type="dxa"/>
        </w:trPr>
        <w:tc>
          <w:tcPr>
            <w:tcW w:w="0" w:type="auto"/>
            <w:vAlign w:val="center"/>
            <w:hideMark/>
          </w:tcPr>
          <w:p w14:paraId="627FEFD0" w14:textId="77777777" w:rsidR="001E3DE4" w:rsidRPr="001E3DE4" w:rsidRDefault="001E3DE4" w:rsidP="00B5799D">
            <w:pPr>
              <w:jc w:val="both"/>
              <w:rPr>
                <w:rFonts w:ascii="Times New Roman" w:hAnsi="Times New Roman" w:cs="Times New Roman"/>
              </w:rPr>
            </w:pPr>
            <w:r w:rsidRPr="001E3DE4">
              <w:rPr>
                <w:rFonts w:ascii="Times New Roman" w:hAnsi="Times New Roman" w:cs="Times New Roman"/>
              </w:rPr>
              <w:lastRenderedPageBreak/>
              <w:t>Blood biomarkers</w:t>
            </w:r>
          </w:p>
        </w:tc>
        <w:tc>
          <w:tcPr>
            <w:tcW w:w="0" w:type="auto"/>
            <w:vAlign w:val="center"/>
            <w:hideMark/>
          </w:tcPr>
          <w:p w14:paraId="611FFB64" w14:textId="77777777" w:rsidR="001E3DE4" w:rsidRPr="001E3DE4" w:rsidRDefault="001E3DE4" w:rsidP="00B5799D">
            <w:pPr>
              <w:jc w:val="both"/>
              <w:rPr>
                <w:rFonts w:ascii="Times New Roman" w:hAnsi="Times New Roman" w:cs="Times New Roman"/>
              </w:rPr>
            </w:pPr>
            <w:r w:rsidRPr="001E3DE4">
              <w:rPr>
                <w:rFonts w:ascii="Times New Roman" w:hAnsi="Times New Roman" w:cs="Times New Roman"/>
              </w:rPr>
              <w:t>Systemic exposure assessment</w:t>
            </w:r>
          </w:p>
        </w:tc>
        <w:tc>
          <w:tcPr>
            <w:tcW w:w="0" w:type="auto"/>
            <w:vAlign w:val="center"/>
            <w:hideMark/>
          </w:tcPr>
          <w:p w14:paraId="22FC1CB2" w14:textId="77777777" w:rsidR="001E3DE4" w:rsidRPr="001E3DE4" w:rsidRDefault="001E3DE4" w:rsidP="00B5799D">
            <w:pPr>
              <w:jc w:val="both"/>
              <w:rPr>
                <w:rFonts w:ascii="Times New Roman" w:hAnsi="Times New Roman" w:cs="Times New Roman"/>
              </w:rPr>
            </w:pPr>
            <w:r w:rsidRPr="001E3DE4">
              <w:rPr>
                <w:rFonts w:ascii="Times New Roman" w:hAnsi="Times New Roman" w:cs="Times New Roman"/>
              </w:rPr>
              <w:t>Indicates circulating or persistent compounds</w:t>
            </w:r>
          </w:p>
        </w:tc>
        <w:tc>
          <w:tcPr>
            <w:tcW w:w="0" w:type="auto"/>
            <w:vAlign w:val="center"/>
            <w:hideMark/>
          </w:tcPr>
          <w:p w14:paraId="3CE5ABAF" w14:textId="77777777" w:rsidR="001E3DE4" w:rsidRPr="001E3DE4" w:rsidRDefault="001E3DE4" w:rsidP="00B5799D">
            <w:pPr>
              <w:jc w:val="both"/>
              <w:rPr>
                <w:rFonts w:ascii="Times New Roman" w:hAnsi="Times New Roman" w:cs="Times New Roman"/>
              </w:rPr>
            </w:pPr>
            <w:r w:rsidRPr="001E3DE4">
              <w:rPr>
                <w:rFonts w:ascii="Times New Roman" w:hAnsi="Times New Roman" w:cs="Times New Roman"/>
              </w:rPr>
              <w:t>Invasive; limited temporal resolution</w:t>
            </w:r>
          </w:p>
        </w:tc>
      </w:tr>
      <w:tr w:rsidR="001E3DE4" w:rsidRPr="001E3DE4" w14:paraId="07EEF8CB" w14:textId="77777777" w:rsidTr="001E3DE4">
        <w:trPr>
          <w:tblCellSpacing w:w="15" w:type="dxa"/>
        </w:trPr>
        <w:tc>
          <w:tcPr>
            <w:tcW w:w="0" w:type="auto"/>
            <w:vAlign w:val="center"/>
            <w:hideMark/>
          </w:tcPr>
          <w:p w14:paraId="3B2E4D1C" w14:textId="77777777" w:rsidR="001E3DE4" w:rsidRPr="001E3DE4" w:rsidRDefault="001E3DE4" w:rsidP="00B5799D">
            <w:pPr>
              <w:jc w:val="both"/>
              <w:rPr>
                <w:rFonts w:ascii="Times New Roman" w:hAnsi="Times New Roman" w:cs="Times New Roman"/>
              </w:rPr>
            </w:pPr>
            <w:r w:rsidRPr="001E3DE4">
              <w:rPr>
                <w:rFonts w:ascii="Times New Roman" w:hAnsi="Times New Roman" w:cs="Times New Roman"/>
              </w:rPr>
              <w:t>Hair biomarkers</w:t>
            </w:r>
          </w:p>
        </w:tc>
        <w:tc>
          <w:tcPr>
            <w:tcW w:w="0" w:type="auto"/>
            <w:vAlign w:val="center"/>
            <w:hideMark/>
          </w:tcPr>
          <w:p w14:paraId="7A50FDAA" w14:textId="77777777" w:rsidR="001E3DE4" w:rsidRPr="001E3DE4" w:rsidRDefault="001E3DE4" w:rsidP="00B5799D">
            <w:pPr>
              <w:jc w:val="both"/>
              <w:rPr>
                <w:rFonts w:ascii="Times New Roman" w:hAnsi="Times New Roman" w:cs="Times New Roman"/>
              </w:rPr>
            </w:pPr>
            <w:r w:rsidRPr="001E3DE4">
              <w:rPr>
                <w:rFonts w:ascii="Times New Roman" w:hAnsi="Times New Roman" w:cs="Times New Roman"/>
              </w:rPr>
              <w:t>Chronic exposure reconstruction</w:t>
            </w:r>
          </w:p>
        </w:tc>
        <w:tc>
          <w:tcPr>
            <w:tcW w:w="0" w:type="auto"/>
            <w:vAlign w:val="center"/>
            <w:hideMark/>
          </w:tcPr>
          <w:p w14:paraId="10206270" w14:textId="77777777" w:rsidR="001E3DE4" w:rsidRPr="001E3DE4" w:rsidRDefault="001E3DE4" w:rsidP="00B5799D">
            <w:pPr>
              <w:jc w:val="both"/>
              <w:rPr>
                <w:rFonts w:ascii="Times New Roman" w:hAnsi="Times New Roman" w:cs="Times New Roman"/>
              </w:rPr>
            </w:pPr>
            <w:r w:rsidRPr="001E3DE4">
              <w:rPr>
                <w:rFonts w:ascii="Times New Roman" w:hAnsi="Times New Roman" w:cs="Times New Roman"/>
              </w:rPr>
              <w:t>Integrates exposure over months</w:t>
            </w:r>
          </w:p>
        </w:tc>
        <w:tc>
          <w:tcPr>
            <w:tcW w:w="0" w:type="auto"/>
            <w:vAlign w:val="center"/>
            <w:hideMark/>
          </w:tcPr>
          <w:p w14:paraId="456D29F2" w14:textId="77777777" w:rsidR="001E3DE4" w:rsidRPr="001E3DE4" w:rsidRDefault="001E3DE4" w:rsidP="00B5799D">
            <w:pPr>
              <w:jc w:val="both"/>
              <w:rPr>
                <w:rFonts w:ascii="Times New Roman" w:hAnsi="Times New Roman" w:cs="Times New Roman"/>
              </w:rPr>
            </w:pPr>
            <w:r w:rsidRPr="001E3DE4">
              <w:rPr>
                <w:rFonts w:ascii="Times New Roman" w:hAnsi="Times New Roman" w:cs="Times New Roman"/>
              </w:rPr>
              <w:t>Lack of standardized protocols</w:t>
            </w:r>
          </w:p>
        </w:tc>
      </w:tr>
      <w:tr w:rsidR="001E3DE4" w:rsidRPr="001E3DE4" w14:paraId="7EB47B1F" w14:textId="77777777" w:rsidTr="001E3DE4">
        <w:trPr>
          <w:tblCellSpacing w:w="15" w:type="dxa"/>
        </w:trPr>
        <w:tc>
          <w:tcPr>
            <w:tcW w:w="0" w:type="auto"/>
            <w:vAlign w:val="center"/>
            <w:hideMark/>
          </w:tcPr>
          <w:p w14:paraId="75CB28FC" w14:textId="77777777" w:rsidR="001E3DE4" w:rsidRPr="001E3DE4" w:rsidRDefault="001E3DE4" w:rsidP="00B5799D">
            <w:pPr>
              <w:jc w:val="both"/>
              <w:rPr>
                <w:rFonts w:ascii="Times New Roman" w:hAnsi="Times New Roman" w:cs="Times New Roman"/>
              </w:rPr>
            </w:pPr>
            <w:r w:rsidRPr="001E3DE4">
              <w:rPr>
                <w:rFonts w:ascii="Times New Roman" w:hAnsi="Times New Roman" w:cs="Times New Roman"/>
              </w:rPr>
              <w:t>Multi-pollutant regression</w:t>
            </w:r>
          </w:p>
        </w:tc>
        <w:tc>
          <w:tcPr>
            <w:tcW w:w="0" w:type="auto"/>
            <w:vAlign w:val="center"/>
            <w:hideMark/>
          </w:tcPr>
          <w:p w14:paraId="0DF02FF4" w14:textId="77777777" w:rsidR="001E3DE4" w:rsidRPr="001E3DE4" w:rsidRDefault="001E3DE4" w:rsidP="00B5799D">
            <w:pPr>
              <w:jc w:val="both"/>
              <w:rPr>
                <w:rFonts w:ascii="Times New Roman" w:hAnsi="Times New Roman" w:cs="Times New Roman"/>
              </w:rPr>
            </w:pPr>
            <w:r w:rsidRPr="001E3DE4">
              <w:rPr>
                <w:rFonts w:ascii="Times New Roman" w:hAnsi="Times New Roman" w:cs="Times New Roman"/>
              </w:rPr>
              <w:t>Exposure–outcome association testing</w:t>
            </w:r>
          </w:p>
        </w:tc>
        <w:tc>
          <w:tcPr>
            <w:tcW w:w="0" w:type="auto"/>
            <w:vAlign w:val="center"/>
            <w:hideMark/>
          </w:tcPr>
          <w:p w14:paraId="526C6667" w14:textId="77777777" w:rsidR="001E3DE4" w:rsidRPr="001E3DE4" w:rsidRDefault="001E3DE4" w:rsidP="00B5799D">
            <w:pPr>
              <w:jc w:val="both"/>
              <w:rPr>
                <w:rFonts w:ascii="Times New Roman" w:hAnsi="Times New Roman" w:cs="Times New Roman"/>
              </w:rPr>
            </w:pPr>
            <w:r w:rsidRPr="001E3DE4">
              <w:rPr>
                <w:rFonts w:ascii="Times New Roman" w:hAnsi="Times New Roman" w:cs="Times New Roman"/>
              </w:rPr>
              <w:t>Familiar interpretation for epidemiology</w:t>
            </w:r>
          </w:p>
        </w:tc>
        <w:tc>
          <w:tcPr>
            <w:tcW w:w="0" w:type="auto"/>
            <w:vAlign w:val="center"/>
            <w:hideMark/>
          </w:tcPr>
          <w:p w14:paraId="23A15131" w14:textId="77777777" w:rsidR="001E3DE4" w:rsidRPr="001E3DE4" w:rsidRDefault="001E3DE4" w:rsidP="00B5799D">
            <w:pPr>
              <w:jc w:val="both"/>
              <w:rPr>
                <w:rFonts w:ascii="Times New Roman" w:hAnsi="Times New Roman" w:cs="Times New Roman"/>
              </w:rPr>
            </w:pPr>
            <w:r w:rsidRPr="001E3DE4">
              <w:rPr>
                <w:rFonts w:ascii="Times New Roman" w:hAnsi="Times New Roman" w:cs="Times New Roman"/>
              </w:rPr>
              <w:t>Vulnerable to collinearity</w:t>
            </w:r>
          </w:p>
        </w:tc>
      </w:tr>
      <w:tr w:rsidR="001E3DE4" w:rsidRPr="001E3DE4" w14:paraId="2779CB13" w14:textId="77777777" w:rsidTr="001E3DE4">
        <w:trPr>
          <w:tblCellSpacing w:w="15" w:type="dxa"/>
        </w:trPr>
        <w:tc>
          <w:tcPr>
            <w:tcW w:w="0" w:type="auto"/>
            <w:vAlign w:val="center"/>
            <w:hideMark/>
          </w:tcPr>
          <w:p w14:paraId="6CE4488C" w14:textId="77777777" w:rsidR="001E3DE4" w:rsidRPr="001E3DE4" w:rsidRDefault="001E3DE4" w:rsidP="00B5799D">
            <w:pPr>
              <w:jc w:val="both"/>
              <w:rPr>
                <w:rFonts w:ascii="Times New Roman" w:hAnsi="Times New Roman" w:cs="Times New Roman"/>
              </w:rPr>
            </w:pPr>
            <w:r w:rsidRPr="001E3DE4">
              <w:rPr>
                <w:rFonts w:ascii="Times New Roman" w:hAnsi="Times New Roman" w:cs="Times New Roman"/>
              </w:rPr>
              <w:t>Bayesian hierarchical models</w:t>
            </w:r>
          </w:p>
        </w:tc>
        <w:tc>
          <w:tcPr>
            <w:tcW w:w="0" w:type="auto"/>
            <w:vAlign w:val="center"/>
            <w:hideMark/>
          </w:tcPr>
          <w:p w14:paraId="0CC01F78" w14:textId="77777777" w:rsidR="001E3DE4" w:rsidRPr="001E3DE4" w:rsidRDefault="001E3DE4" w:rsidP="00B5799D">
            <w:pPr>
              <w:jc w:val="both"/>
              <w:rPr>
                <w:rFonts w:ascii="Times New Roman" w:hAnsi="Times New Roman" w:cs="Times New Roman"/>
              </w:rPr>
            </w:pPr>
            <w:r w:rsidRPr="001E3DE4">
              <w:rPr>
                <w:rFonts w:ascii="Times New Roman" w:hAnsi="Times New Roman" w:cs="Times New Roman"/>
              </w:rPr>
              <w:t>Complex exposure structure modeling</w:t>
            </w:r>
          </w:p>
        </w:tc>
        <w:tc>
          <w:tcPr>
            <w:tcW w:w="0" w:type="auto"/>
            <w:vAlign w:val="center"/>
            <w:hideMark/>
          </w:tcPr>
          <w:p w14:paraId="4183F4C4" w14:textId="77777777" w:rsidR="001E3DE4" w:rsidRPr="001E3DE4" w:rsidRDefault="001E3DE4" w:rsidP="00B5799D">
            <w:pPr>
              <w:jc w:val="both"/>
              <w:rPr>
                <w:rFonts w:ascii="Times New Roman" w:hAnsi="Times New Roman" w:cs="Times New Roman"/>
              </w:rPr>
            </w:pPr>
            <w:r w:rsidRPr="001E3DE4">
              <w:rPr>
                <w:rFonts w:ascii="Times New Roman" w:hAnsi="Times New Roman" w:cs="Times New Roman"/>
              </w:rPr>
              <w:t>Explicit uncertainty quantification</w:t>
            </w:r>
          </w:p>
        </w:tc>
        <w:tc>
          <w:tcPr>
            <w:tcW w:w="0" w:type="auto"/>
            <w:vAlign w:val="center"/>
            <w:hideMark/>
          </w:tcPr>
          <w:p w14:paraId="7E51E98D" w14:textId="77777777" w:rsidR="001E3DE4" w:rsidRPr="001E3DE4" w:rsidRDefault="001E3DE4" w:rsidP="00B5799D">
            <w:pPr>
              <w:jc w:val="both"/>
              <w:rPr>
                <w:rFonts w:ascii="Times New Roman" w:hAnsi="Times New Roman" w:cs="Times New Roman"/>
              </w:rPr>
            </w:pPr>
            <w:r w:rsidRPr="001E3DE4">
              <w:rPr>
                <w:rFonts w:ascii="Times New Roman" w:hAnsi="Times New Roman" w:cs="Times New Roman"/>
              </w:rPr>
              <w:t>Computational intensity</w:t>
            </w:r>
          </w:p>
        </w:tc>
      </w:tr>
      <w:tr w:rsidR="001E3DE4" w:rsidRPr="001E3DE4" w14:paraId="714BBF7B" w14:textId="77777777" w:rsidTr="001E3DE4">
        <w:trPr>
          <w:tblCellSpacing w:w="15" w:type="dxa"/>
        </w:trPr>
        <w:tc>
          <w:tcPr>
            <w:tcW w:w="0" w:type="auto"/>
            <w:vAlign w:val="center"/>
            <w:hideMark/>
          </w:tcPr>
          <w:p w14:paraId="06704D54" w14:textId="77777777" w:rsidR="001E3DE4" w:rsidRPr="001E3DE4" w:rsidRDefault="001E3DE4" w:rsidP="00B5799D">
            <w:pPr>
              <w:jc w:val="both"/>
              <w:rPr>
                <w:rFonts w:ascii="Times New Roman" w:hAnsi="Times New Roman" w:cs="Times New Roman"/>
              </w:rPr>
            </w:pPr>
            <w:r w:rsidRPr="001E3DE4">
              <w:rPr>
                <w:rFonts w:ascii="Times New Roman" w:hAnsi="Times New Roman" w:cs="Times New Roman"/>
              </w:rPr>
              <w:t>Mixture models (WQS, BKMR)</w:t>
            </w:r>
          </w:p>
        </w:tc>
        <w:tc>
          <w:tcPr>
            <w:tcW w:w="0" w:type="auto"/>
            <w:vAlign w:val="center"/>
            <w:hideMark/>
          </w:tcPr>
          <w:p w14:paraId="1D53568D" w14:textId="77777777" w:rsidR="001E3DE4" w:rsidRPr="001E3DE4" w:rsidRDefault="001E3DE4" w:rsidP="00B5799D">
            <w:pPr>
              <w:jc w:val="both"/>
              <w:rPr>
                <w:rFonts w:ascii="Times New Roman" w:hAnsi="Times New Roman" w:cs="Times New Roman"/>
              </w:rPr>
            </w:pPr>
            <w:r w:rsidRPr="001E3DE4">
              <w:rPr>
                <w:rFonts w:ascii="Times New Roman" w:hAnsi="Times New Roman" w:cs="Times New Roman"/>
              </w:rPr>
              <w:t>Identification of influential mixtures</w:t>
            </w:r>
          </w:p>
        </w:tc>
        <w:tc>
          <w:tcPr>
            <w:tcW w:w="0" w:type="auto"/>
            <w:vAlign w:val="center"/>
            <w:hideMark/>
          </w:tcPr>
          <w:p w14:paraId="212C1A32" w14:textId="77777777" w:rsidR="001E3DE4" w:rsidRPr="001E3DE4" w:rsidRDefault="001E3DE4" w:rsidP="00B5799D">
            <w:pPr>
              <w:jc w:val="both"/>
              <w:rPr>
                <w:rFonts w:ascii="Times New Roman" w:hAnsi="Times New Roman" w:cs="Times New Roman"/>
              </w:rPr>
            </w:pPr>
            <w:r w:rsidRPr="001E3DE4">
              <w:rPr>
                <w:rFonts w:ascii="Times New Roman" w:hAnsi="Times New Roman" w:cs="Times New Roman"/>
              </w:rPr>
              <w:t>Estimates joint effects of correlated agents</w:t>
            </w:r>
          </w:p>
        </w:tc>
        <w:tc>
          <w:tcPr>
            <w:tcW w:w="0" w:type="auto"/>
            <w:vAlign w:val="center"/>
            <w:hideMark/>
          </w:tcPr>
          <w:p w14:paraId="33F5A1C5" w14:textId="77777777" w:rsidR="001E3DE4" w:rsidRPr="001E3DE4" w:rsidRDefault="001E3DE4" w:rsidP="00B5799D">
            <w:pPr>
              <w:jc w:val="both"/>
              <w:rPr>
                <w:rFonts w:ascii="Times New Roman" w:hAnsi="Times New Roman" w:cs="Times New Roman"/>
              </w:rPr>
            </w:pPr>
            <w:r w:rsidRPr="001E3DE4">
              <w:rPr>
                <w:rFonts w:ascii="Times New Roman" w:hAnsi="Times New Roman" w:cs="Times New Roman"/>
              </w:rPr>
              <w:t>Requires large sample sizes</w:t>
            </w:r>
          </w:p>
        </w:tc>
      </w:tr>
      <w:tr w:rsidR="001E3DE4" w:rsidRPr="001E3DE4" w14:paraId="0667D792" w14:textId="77777777" w:rsidTr="001E3DE4">
        <w:trPr>
          <w:tblCellSpacing w:w="15" w:type="dxa"/>
        </w:trPr>
        <w:tc>
          <w:tcPr>
            <w:tcW w:w="0" w:type="auto"/>
            <w:vAlign w:val="center"/>
            <w:hideMark/>
          </w:tcPr>
          <w:p w14:paraId="01FDC561" w14:textId="77777777" w:rsidR="001E3DE4" w:rsidRPr="001E3DE4" w:rsidRDefault="001E3DE4" w:rsidP="00B5799D">
            <w:pPr>
              <w:jc w:val="both"/>
              <w:rPr>
                <w:rFonts w:ascii="Times New Roman" w:hAnsi="Times New Roman" w:cs="Times New Roman"/>
              </w:rPr>
            </w:pPr>
            <w:r w:rsidRPr="001E3DE4">
              <w:rPr>
                <w:rFonts w:ascii="Times New Roman" w:hAnsi="Times New Roman" w:cs="Times New Roman"/>
              </w:rPr>
              <w:t>Machine learning methods</w:t>
            </w:r>
          </w:p>
        </w:tc>
        <w:tc>
          <w:tcPr>
            <w:tcW w:w="0" w:type="auto"/>
            <w:vAlign w:val="center"/>
            <w:hideMark/>
          </w:tcPr>
          <w:p w14:paraId="7F89B8BB" w14:textId="77777777" w:rsidR="001E3DE4" w:rsidRPr="001E3DE4" w:rsidRDefault="001E3DE4" w:rsidP="00B5799D">
            <w:pPr>
              <w:jc w:val="both"/>
              <w:rPr>
                <w:rFonts w:ascii="Times New Roman" w:hAnsi="Times New Roman" w:cs="Times New Roman"/>
              </w:rPr>
            </w:pPr>
            <w:r w:rsidRPr="001E3DE4">
              <w:rPr>
                <w:rFonts w:ascii="Times New Roman" w:hAnsi="Times New Roman" w:cs="Times New Roman"/>
              </w:rPr>
              <w:t>Pattern detection in high-dimensional data</w:t>
            </w:r>
          </w:p>
        </w:tc>
        <w:tc>
          <w:tcPr>
            <w:tcW w:w="0" w:type="auto"/>
            <w:vAlign w:val="center"/>
            <w:hideMark/>
          </w:tcPr>
          <w:p w14:paraId="6180DB5D" w14:textId="77777777" w:rsidR="001E3DE4" w:rsidRPr="001E3DE4" w:rsidRDefault="001E3DE4" w:rsidP="00B5799D">
            <w:pPr>
              <w:jc w:val="both"/>
              <w:rPr>
                <w:rFonts w:ascii="Times New Roman" w:hAnsi="Times New Roman" w:cs="Times New Roman"/>
              </w:rPr>
            </w:pPr>
            <w:r w:rsidRPr="001E3DE4">
              <w:rPr>
                <w:rFonts w:ascii="Times New Roman" w:hAnsi="Times New Roman" w:cs="Times New Roman"/>
              </w:rPr>
              <w:t>Captures nonlinearity and interactions</w:t>
            </w:r>
          </w:p>
        </w:tc>
        <w:tc>
          <w:tcPr>
            <w:tcW w:w="0" w:type="auto"/>
            <w:vAlign w:val="center"/>
            <w:hideMark/>
          </w:tcPr>
          <w:p w14:paraId="276C7240" w14:textId="77777777" w:rsidR="001E3DE4" w:rsidRPr="001E3DE4" w:rsidRDefault="001E3DE4" w:rsidP="00B5799D">
            <w:pPr>
              <w:jc w:val="both"/>
              <w:rPr>
                <w:rFonts w:ascii="Times New Roman" w:hAnsi="Times New Roman" w:cs="Times New Roman"/>
              </w:rPr>
            </w:pPr>
            <w:r w:rsidRPr="001E3DE4">
              <w:rPr>
                <w:rFonts w:ascii="Times New Roman" w:hAnsi="Times New Roman" w:cs="Times New Roman"/>
              </w:rPr>
              <w:t>Interpretability constraints</w:t>
            </w:r>
          </w:p>
        </w:tc>
      </w:tr>
    </w:tbl>
    <w:p w14:paraId="58C5B91B" w14:textId="77777777" w:rsidR="001E3DE4" w:rsidRPr="005C3A0C" w:rsidRDefault="001E3DE4" w:rsidP="00B5799D">
      <w:pPr>
        <w:jc w:val="both"/>
        <w:rPr>
          <w:rFonts w:ascii="Times New Roman" w:hAnsi="Times New Roman" w:cs="Times New Roman"/>
        </w:rPr>
      </w:pPr>
    </w:p>
    <w:p w14:paraId="345B1C13" w14:textId="77777777" w:rsidR="005C3A0C" w:rsidRPr="005C3A0C" w:rsidRDefault="005C3A0C" w:rsidP="00B5799D">
      <w:pPr>
        <w:jc w:val="both"/>
        <w:rPr>
          <w:rFonts w:ascii="Times New Roman" w:hAnsi="Times New Roman" w:cs="Times New Roman"/>
          <w:b/>
          <w:bCs/>
        </w:rPr>
      </w:pPr>
      <w:r w:rsidRPr="005C3A0C">
        <w:rPr>
          <w:rFonts w:ascii="Times New Roman" w:hAnsi="Times New Roman" w:cs="Times New Roman"/>
          <w:b/>
          <w:bCs/>
        </w:rPr>
        <w:t>6. Methodological Challenges and Sources of Uncertainty</w:t>
      </w:r>
    </w:p>
    <w:p w14:paraId="2650C185" w14:textId="77777777" w:rsidR="005C3A0C" w:rsidRPr="005C3A0C" w:rsidRDefault="005C3A0C" w:rsidP="00B5799D">
      <w:pPr>
        <w:jc w:val="both"/>
        <w:rPr>
          <w:rFonts w:ascii="Times New Roman" w:hAnsi="Times New Roman" w:cs="Times New Roman"/>
        </w:rPr>
      </w:pPr>
      <w:r w:rsidRPr="005C3A0C">
        <w:rPr>
          <w:rFonts w:ascii="Times New Roman" w:hAnsi="Times New Roman" w:cs="Times New Roman"/>
        </w:rPr>
        <w:t>Despite advances in exposome science and integrative modeling, substantial methodological challenges remain in assessing chronic disease risk from agrochemical exposure in farming populations. These challenges introduce uncertainty at multiple stages of analysis and must be explicitly acknowledged to ensure balanced interpretation and credible inference.</w:t>
      </w:r>
    </w:p>
    <w:p w14:paraId="031CE323" w14:textId="77777777" w:rsidR="005C3A0C" w:rsidRPr="005C3A0C" w:rsidRDefault="005C3A0C" w:rsidP="00B5799D">
      <w:pPr>
        <w:jc w:val="both"/>
        <w:rPr>
          <w:rFonts w:ascii="Times New Roman" w:hAnsi="Times New Roman" w:cs="Times New Roman"/>
          <w:b/>
          <w:bCs/>
        </w:rPr>
      </w:pPr>
      <w:r w:rsidRPr="005C3A0C">
        <w:rPr>
          <w:rFonts w:ascii="Times New Roman" w:hAnsi="Times New Roman" w:cs="Times New Roman"/>
          <w:b/>
          <w:bCs/>
        </w:rPr>
        <w:t>6.1 Exposure Misclassification</w:t>
      </w:r>
    </w:p>
    <w:p w14:paraId="064264B3" w14:textId="77777777" w:rsidR="005C3A0C" w:rsidRPr="005C3A0C" w:rsidRDefault="005C3A0C" w:rsidP="00B5799D">
      <w:pPr>
        <w:jc w:val="both"/>
        <w:rPr>
          <w:rFonts w:ascii="Times New Roman" w:hAnsi="Times New Roman" w:cs="Times New Roman"/>
        </w:rPr>
      </w:pPr>
      <w:r w:rsidRPr="005C3A0C">
        <w:rPr>
          <w:rFonts w:ascii="Times New Roman" w:hAnsi="Times New Roman" w:cs="Times New Roman"/>
        </w:rPr>
        <w:t xml:space="preserve">Exposure misclassification is a persistent concern in agricultural health research. Many farmers rely on private wells for drinking water, and contamination levels can vary considerably across small geographic areas and over time. Infrequent or absent monitoring of these water sources limits the ability to accurately characterize long term ingestion exposure. In addition, not all relevant agrochemicals or their transformation products are routinely measured, leading to unmeasured or poorly characterized contaminants that may contribute to health risk. Reliance on </w:t>
      </w:r>
      <w:proofErr w:type="spellStart"/>
      <w:r w:rsidRPr="005C3A0C">
        <w:rPr>
          <w:rFonts w:ascii="Times New Roman" w:hAnsi="Times New Roman" w:cs="Times New Roman"/>
        </w:rPr>
        <w:t>self reported</w:t>
      </w:r>
      <w:proofErr w:type="spellEnd"/>
      <w:r w:rsidRPr="005C3A0C">
        <w:rPr>
          <w:rFonts w:ascii="Times New Roman" w:hAnsi="Times New Roman" w:cs="Times New Roman"/>
        </w:rPr>
        <w:t xml:space="preserve"> pesticide use histories further introduces recall bias, particularly in studies that require participants to reconstruct exposure patterns over many years</w:t>
      </w:r>
      <w:r w:rsidR="00FD5C9D">
        <w:rPr>
          <w:rFonts w:ascii="Times New Roman" w:hAnsi="Times New Roman" w:cs="Times New Roman"/>
        </w:rPr>
        <w:fldChar w:fldCharType="begin"/>
      </w:r>
      <w:r w:rsidR="000C62A4">
        <w:rPr>
          <w:rFonts w:ascii="Times New Roman" w:hAnsi="Times New Roman" w:cs="Times New Roman"/>
        </w:rPr>
        <w:instrText xml:space="preserve"> ADDIN ZOTERO_ITEM CSL_CITATION {"citationID":"aRqSTU8v","properties":{"formattedCitation":"(30,31)","plainCitation":"(30,31)","noteIndex":0},"citationItems":[{"id":14930,"uris":["http://zotero.org/users/16652950/items/I6QXF3D9"],"itemData":{"id":14930,"type":"article-journal","abstract":"We describe drinking water sources and water quality for a large agricultural cohort. We used questionnaire data from the Agricultural Health Study (N = 89,655), a cohort of licensed pesticide applicators and their spouses in Iowa (IA) and North Carolina (NC), to ascertain drinking water source at enrollment (1993–1997). For users of public water supplies (PWS), we linked participants’ geocoded addresses to contaminant monitoring data [five haloacetic acids (HAA5), total trihalomethanes (TTHM), and nitrate-nitrogen (NO3-N)]. We estimated private well nitrate levels using random forest models accounting for well depth, soil characteristics, nitrogen inputs, and other predictors. We assigned drinking water source for 84% (N = 74,919) of participants. Among these, 69% of IA and 75% of NC participants used private wells; 27% in IA and 21% in NC used PWS. Median PWS nitrate concentrations (NO3-N) were higher in IA [0.9 mg/L, interquartile range (IQR): 0.4–3.1 mg/L] than NC (0.1 mg/L, IQR: 0.1–0.2 mg/L), while median HAA5 and TTHM concentrations were higher in NC (HAA5: 11.9 µg/L, IQR: 5.5–33.4 µg/L; TTHM: 37.7 µg/L, IQR: 10.7–54.7 µg/L) than IA (HAA5: 5.0 µg/L, IQR: 3.7–10.7 µg/L; TTHM: 13.0 µg/L, IQR: 4.2–32.4 µg/L). Private well nitrate concentrations in IA (1.5 mg/L, IQR: 0.8–4.9 mg/L) and NC (1.9 mg/L, IQR: 1.4–2.5 mg/L) were higher than PWS. More private wells in IA (12%) exceeded 10 mg/L NO3-N (regulatory limit for PWS) than NC (&lt;1%). Due to the proximity of their drinking water sources to farms, agricultural communities may be exposed to elevated nitrate levels.","container-title":"Environmental Epidemiology","DOI":"10.1097/EE9.0000000000000210","ISSN":"2474-7882","issue":"3","journalAbbreviation":"Environ Epidemiol","note":"PMID: 35702502\nPMCID: PMC9187174","page":"e210","source":"PubMed Central","title":"Drinking water sources and water quality in a prospective agricultural cohort","volume":"6","author":[{"family":"Manley","given":"Cherrel K."},{"family":"Spaur","given":"Maya"},{"family":"Madrigal","given":"Jessica M."},{"family":"Fisher","given":"Jared A."},{"family":"Jones","given":"Rena R."},{"family":"Parks","given":"Christine G."},{"family":"Hofmann","given":"Jonathan N."},{"family":"Sandler","given":"Dale P."},{"family":"Beane Freeman","given":"Laura"},{"family":"Ward","given":"Mary H."}],"issued":{"date-parts":[["2022",5,25]]}}},{"id":15058,"uris":["http://zotero.org/users/16652950/items/QEQ6JI4K"],"itemData":{"id":15058,"type":"article-journal","abstract":"Arsenic contamination in the drinking water of Nepal, particularly in the Terai region, poses a serious public health challenge, as groundwater serves as the primary water source for millions of peoples. This study investigates the prevalence, sources, and consequences of arsenic contamination, employing recent data and scientific analyses. Chronic exposure to arsenic is associated with severe health complications, including skin lesions, various forms of cancer, and cardiovascular diseases, disproportionately affecting vulnerable populations. Despite ongoing efforts to mitigate arsenic exposure, challenges remain in the effective identification and management of contaminated sources. Beyond water contamination, arsenic accumulates in soil and crops, jeopardizing food safety. While traditional mapping methods are expensive, machine learning offers cost-effective, high-resolution solutions. Portable field kits enable rapid arsenic detection in drinking water, but proper disposal of filtration waste remains a challenge. Iron-based biosand filters present a viable interim solution to comply with the arsenic standards set by the Government of Nepal, while also effectively eliminating bacteria and viruses. Nevertheless, the establishment of sustainable groundwater treatment systems for clustered communities in the Terai region is imperative. This paper shows the necessity for comprehensive testing, enhanced public awareness, and sustainable water management practices to safeguard public health in Nepal.","container-title":"World Water Policy","DOI":"10.1002/wwp2.70008","ISSN":"2639-541X","issue":"3","language":"en","license":"© 2025 Policy Studies Organization.","note":"_eprint: https://onlinelibrary.wiley.com/doi/pdf/10.1002/wwp2.70008","page":"871-888","source":"Wiley Online Library","title":"Groundwater Arsenic Contamination in Nepal","volume":"11","author":[{"family":"Aryal","given":"Mahendra"}],"issued":{"date-parts":[["2025"]]}}}],"schema":"https://github.com/citation-style-language/schema/raw/master/csl-citation.json"} </w:instrText>
      </w:r>
      <w:r w:rsidR="00FD5C9D">
        <w:rPr>
          <w:rFonts w:ascii="Times New Roman" w:hAnsi="Times New Roman" w:cs="Times New Roman"/>
        </w:rPr>
        <w:fldChar w:fldCharType="separate"/>
      </w:r>
      <w:r w:rsidR="000C62A4" w:rsidRPr="000C62A4">
        <w:rPr>
          <w:rFonts w:ascii="Times New Roman" w:hAnsi="Times New Roman" w:cs="Times New Roman"/>
        </w:rPr>
        <w:t>(30,31)</w:t>
      </w:r>
      <w:r w:rsidR="00FD5C9D">
        <w:rPr>
          <w:rFonts w:ascii="Times New Roman" w:hAnsi="Times New Roman" w:cs="Times New Roman"/>
        </w:rPr>
        <w:fldChar w:fldCharType="end"/>
      </w:r>
      <w:r w:rsidRPr="005C3A0C">
        <w:rPr>
          <w:rFonts w:ascii="Times New Roman" w:hAnsi="Times New Roman" w:cs="Times New Roman"/>
        </w:rPr>
        <w:t>. Even when application records are available, they may not fully capture individual behaviors, protective practices, or secondary exposure routes, all of which influence internal dose.</w:t>
      </w:r>
    </w:p>
    <w:p w14:paraId="3C1DD63C" w14:textId="77777777" w:rsidR="005C3A0C" w:rsidRPr="005C3A0C" w:rsidRDefault="005C3A0C" w:rsidP="00B5799D">
      <w:pPr>
        <w:jc w:val="both"/>
        <w:rPr>
          <w:rFonts w:ascii="Times New Roman" w:hAnsi="Times New Roman" w:cs="Times New Roman"/>
          <w:b/>
          <w:bCs/>
        </w:rPr>
      </w:pPr>
      <w:r w:rsidRPr="005C3A0C">
        <w:rPr>
          <w:rFonts w:ascii="Times New Roman" w:hAnsi="Times New Roman" w:cs="Times New Roman"/>
          <w:b/>
          <w:bCs/>
        </w:rPr>
        <w:lastRenderedPageBreak/>
        <w:t>6.2 Temporal Mismatch</w:t>
      </w:r>
    </w:p>
    <w:p w14:paraId="5FB096E6" w14:textId="77777777" w:rsidR="005C3A0C" w:rsidRPr="005C3A0C" w:rsidRDefault="005C3A0C" w:rsidP="00B5799D">
      <w:pPr>
        <w:jc w:val="both"/>
        <w:rPr>
          <w:rFonts w:ascii="Times New Roman" w:hAnsi="Times New Roman" w:cs="Times New Roman"/>
        </w:rPr>
      </w:pPr>
      <w:r w:rsidRPr="005C3A0C">
        <w:rPr>
          <w:rFonts w:ascii="Times New Roman" w:hAnsi="Times New Roman" w:cs="Times New Roman"/>
        </w:rPr>
        <w:t>A fundamental challenge in linking agrochemical exposure to chronic disease lies in the temporal mismatch between exposure assessment and disease manifestation. Many chronic conditions associated with pesticide exposure, including cancer and neurodegenerative disorders, develop over decades. In contrast, commonly used biomarkers often reflect recent exposure over days or weeks. This disconnect complicates efforts to identify etiologically relevant exposure windows and increases the risk of misclassification. Although environmental modeling and historical reconstruction can extend exposure estimates backward in time, uncertainty remains regarding cumulative dose and critical periods of susceptibility</w:t>
      </w:r>
      <w:r w:rsidR="00752439">
        <w:rPr>
          <w:rFonts w:ascii="Times New Roman" w:hAnsi="Times New Roman" w:cs="Times New Roman"/>
        </w:rPr>
        <w:fldChar w:fldCharType="begin"/>
      </w:r>
      <w:r w:rsidR="000C62A4">
        <w:rPr>
          <w:rFonts w:ascii="Times New Roman" w:hAnsi="Times New Roman" w:cs="Times New Roman"/>
        </w:rPr>
        <w:instrText xml:space="preserve"> ADDIN ZOTERO_ITEM CSL_CITATION {"citationID":"VIeGqlQu","properties":{"formattedCitation":"(32)","plainCitation":"(32)","noteIndex":0},"citationItems":[{"id":13347,"uris":["http://zotero.org/users/16652950/items/76TD6SI6"],"itemData":{"id":13347,"type":"article-journal","abstract":"The extensive use of conventional pesticides has been a fundamental strategy in modern agriculture for controlling pests and increasing crop productiv...","container-title":"Agronomy","DOI":"10.3390/agronomy15081878","ISSN":"2073-4395","issue":"8","language":"en","license":"http://creativecommons.org/licenses/by/3.0/","note":"Company: Multidisciplinary Digital Publishing Institute\nDistributor: Multidisciplinary Digital Publishing Institute\nInstitution: Multidisciplinary Digital Publishing Institute\nLabel: Multidisciplinary Digital Publishing Institute\npublisher: publisher","source":"www.mdpi.com","title":"Environmental and Health Impacts of Pesticides and Nanotechnology as an Alternative in Agriculture","URL":"https://www.mdpi.com/2073-4395/15/8/1878","volume":"15","author":[{"family":"Muñoz-Bautista","given":"Jesús Martín"},{"family":"Bernal-Mercado","given":"Ariadna Thalía"},{"family":"Martínez-Cruz","given":"Oliviert"},{"family":"Burgos-Hernández","given":"Armando"},{"family":"López-Zavala","given":"Alonso Alexis"},{"family":"Ruiz-Cruz","given":"Saul"},{"family":"Ornelas-Paz","given":"José de Jesús"},{"family":"Borboa-Flores","given":"Jesús"},{"family":"Ramos-Enríquez","given":"José Rogelio"},{"family":"Del-Toro-Sánchez","given":"Carmen Lizette"},{"family":"Muñoz-Bautista","given":"Jesús Martín"},{"family":"Bernal-Mercado","given":"Ariadna Thalía"},{"family":"Martínez-Cruz","given":"Oliviert"},{"family":"Burgos-Hernández","given":"Armando"},{"family":"López-Zavala","given":"Alonso Alexis"},{"family":"Ruiz-Cruz","given":"Saul"},{"family":"Ornelas-Paz","given":"José de Jesús"},{"family":"Borboa-Flores","given":"Jesús"},{"family":"Ramos-Enríquez","given":"José Rogelio"},{"family":"Del-Toro-Sánchez","given":"Carmen Lizette"}],"accessed":{"date-parts":[["2026",1,15]]},"issued":{"date-parts":[["2025",8,2]]}}}],"schema":"https://github.com/citation-style-language/schema/raw/master/csl-citation.json"} </w:instrText>
      </w:r>
      <w:r w:rsidR="00752439">
        <w:rPr>
          <w:rFonts w:ascii="Times New Roman" w:hAnsi="Times New Roman" w:cs="Times New Roman"/>
        </w:rPr>
        <w:fldChar w:fldCharType="separate"/>
      </w:r>
      <w:r w:rsidR="000C62A4" w:rsidRPr="000C62A4">
        <w:rPr>
          <w:rFonts w:ascii="Times New Roman" w:hAnsi="Times New Roman" w:cs="Times New Roman"/>
        </w:rPr>
        <w:t>(32)</w:t>
      </w:r>
      <w:r w:rsidR="00752439">
        <w:rPr>
          <w:rFonts w:ascii="Times New Roman" w:hAnsi="Times New Roman" w:cs="Times New Roman"/>
        </w:rPr>
        <w:fldChar w:fldCharType="end"/>
      </w:r>
      <w:r w:rsidRPr="005C3A0C">
        <w:rPr>
          <w:rFonts w:ascii="Times New Roman" w:hAnsi="Times New Roman" w:cs="Times New Roman"/>
        </w:rPr>
        <w:t>.</w:t>
      </w:r>
    </w:p>
    <w:p w14:paraId="1499E1AE" w14:textId="77777777" w:rsidR="005C3A0C" w:rsidRPr="005C3A0C" w:rsidRDefault="005C3A0C" w:rsidP="00B5799D">
      <w:pPr>
        <w:jc w:val="both"/>
        <w:rPr>
          <w:rFonts w:ascii="Times New Roman" w:hAnsi="Times New Roman" w:cs="Times New Roman"/>
          <w:b/>
          <w:bCs/>
        </w:rPr>
      </w:pPr>
      <w:r w:rsidRPr="005C3A0C">
        <w:rPr>
          <w:rFonts w:ascii="Times New Roman" w:hAnsi="Times New Roman" w:cs="Times New Roman"/>
          <w:b/>
          <w:bCs/>
        </w:rPr>
        <w:t>6.3 Confounding and Effect Modification</w:t>
      </w:r>
    </w:p>
    <w:p w14:paraId="6E7387CE" w14:textId="77777777" w:rsidR="005C3A0C" w:rsidRPr="005C3A0C" w:rsidRDefault="005C3A0C" w:rsidP="00B5799D">
      <w:pPr>
        <w:jc w:val="both"/>
        <w:rPr>
          <w:rFonts w:ascii="Times New Roman" w:hAnsi="Times New Roman" w:cs="Times New Roman"/>
        </w:rPr>
      </w:pPr>
      <w:r w:rsidRPr="005C3A0C">
        <w:rPr>
          <w:rFonts w:ascii="Times New Roman" w:hAnsi="Times New Roman" w:cs="Times New Roman"/>
        </w:rPr>
        <w:t xml:space="preserve">Farming populations are exposed to a range of </w:t>
      </w:r>
      <w:proofErr w:type="spellStart"/>
      <w:r w:rsidRPr="005C3A0C">
        <w:rPr>
          <w:rFonts w:ascii="Times New Roman" w:hAnsi="Times New Roman" w:cs="Times New Roman"/>
        </w:rPr>
        <w:t>non chemical</w:t>
      </w:r>
      <w:proofErr w:type="spellEnd"/>
      <w:r w:rsidRPr="005C3A0C">
        <w:rPr>
          <w:rFonts w:ascii="Times New Roman" w:hAnsi="Times New Roman" w:cs="Times New Roman"/>
        </w:rPr>
        <w:t xml:space="preserve"> factors that can confound or modify observed associations. Socioeconomic status influences access to health care, diagnostic practices, and baseline disease risk, while also shaping exposure patterns through farm size, crop choice, and labor intensity. Co exposures such as diesel exhaust from farm machinery, organic dusts, and zoonotic agents introduce additional complexity, as these agents may independently affect chronic disease risk or interact with agrochemicals. Genetic susceptibility and individual differences in metabolism further modify exposure response relationships, contributing to heterogeneity in observed outcomes</w:t>
      </w:r>
      <w:r w:rsidR="00752439">
        <w:rPr>
          <w:rFonts w:ascii="Times New Roman" w:hAnsi="Times New Roman" w:cs="Times New Roman"/>
        </w:rPr>
        <w:fldChar w:fldCharType="begin"/>
      </w:r>
      <w:r w:rsidR="000C62A4">
        <w:rPr>
          <w:rFonts w:ascii="Times New Roman" w:hAnsi="Times New Roman" w:cs="Times New Roman"/>
        </w:rPr>
        <w:instrText xml:space="preserve"> ADDIN ZOTERO_ITEM CSL_CITATION {"citationID":"q8HbT4GG","properties":{"formattedCitation":"(33)","plainCitation":"(33)","noteIndex":0},"citationItems":[{"id":15060,"uris":["http://zotero.org/users/16652950/items/Y6IRNHLI"],"itemData":{"id":15060,"type":"article-journal","abstract":"Non-communicable diseases (NCDs) pose a global health challenge, leading to substantial morbidity, mortality, and economic strain. Our review underscores the escalating incidence of NCDs worldwide and highlights the potential of regenerative agriculture (RA) products in mitigating these diseases. We also explore the efficacy of dietary interventions in NCD management and prevention, emphasizing the superiority of plant-based diets over those high in processed foods and red meat. Examining the role of the gut microbiome in various diseases, including liver disorders, allergies, metabolic syndrome, inflammatory bowel disease, and colon cancer, we find compelling evidence implicating its influence on disease development. Notably, dietary modifications can positively affect the gut microbiome, fostering a symbiotic relationship with the host and making this a critical strategy in disease prevention and treatment. Investigating agricultural practices, we identify parallels between soil/plant and human microbiome studies, suggesting a crucial link between soil health, plant- and animal-derived food quality, and human well-being. Conventional/Industrial agriculture (IA) practices, characterized in part by use of chemical inputs, have adverse effects on soil microbiome diversity, food quality, and ecosystems. In contrast, RA prioritizes soil health through natural processes, and includes avoiding synthetic inputs, crop rotation, and integrating livestock. Emerging evidence suggests that food from RA systems surpasses IA-produced food in quality and nutritional value. Recognizing the interconnection between human, plant, and soil microbiomes, promoting RA-produced foods emerges as a strategy to improve human health and environmental sustainability. By mitigating climate change impacts through carbon sequestration and water cycling, RA offers dual benefits for human and planetary health and well-being. Emphasizing the pivotal role of diet and agricultural practices in combating NCDs and addressing environmental concerns, the adoption of regional RA systems becomes imperative. Increasing RA integration into local food systems can enhance food quality, availability, and affordability while safeguarding human health and the planet's future.","container-title":"One Health","DOI":"10.1016/j.onehlt.2024.100734","ISSN":"2352-7714","journalAbbreviation":"One Health","page":"100734","source":"ScienceDirect","title":"Food for thought: Making the case for food produced via regenerative agriculture in the battle against non-communicable chronic diseases (NCDs)","title-short":"Food for thought","volume":"18","author":[{"family":"Ramkumar","given":"Davendra"},{"family":"Marty","given":"Aileen"},{"family":"Ramkumar","given":"Japhia"},{"family":"Rosencranz","given":"Holly"},{"family":"Vedantham","given":"Radhika"},{"family":"Goldman","given":"Modan"},{"family":"Meyer","given":"Erin"},{"family":"Steinmetz","given":"Jasia"},{"family":"Weckle","given":"Amy"},{"family":"Bloedorn","given":"Kelly"},{"family":"Rosier","given":"Carl"}],"issued":{"date-parts":[["2024",6,1]]}}}],"schema":"https://github.com/citation-style-language/schema/raw/master/csl-citation.json"} </w:instrText>
      </w:r>
      <w:r w:rsidR="00752439">
        <w:rPr>
          <w:rFonts w:ascii="Times New Roman" w:hAnsi="Times New Roman" w:cs="Times New Roman"/>
        </w:rPr>
        <w:fldChar w:fldCharType="separate"/>
      </w:r>
      <w:r w:rsidR="000C62A4" w:rsidRPr="000C62A4">
        <w:rPr>
          <w:rFonts w:ascii="Times New Roman" w:hAnsi="Times New Roman" w:cs="Times New Roman"/>
        </w:rPr>
        <w:t>(33)</w:t>
      </w:r>
      <w:r w:rsidR="00752439">
        <w:rPr>
          <w:rFonts w:ascii="Times New Roman" w:hAnsi="Times New Roman" w:cs="Times New Roman"/>
        </w:rPr>
        <w:fldChar w:fldCharType="end"/>
      </w:r>
      <w:r w:rsidRPr="005C3A0C">
        <w:rPr>
          <w:rFonts w:ascii="Times New Roman" w:hAnsi="Times New Roman" w:cs="Times New Roman"/>
        </w:rPr>
        <w:t>.</w:t>
      </w:r>
    </w:p>
    <w:p w14:paraId="612DE17F" w14:textId="77777777" w:rsidR="005C3A0C" w:rsidRPr="005C3A0C" w:rsidRDefault="005C3A0C" w:rsidP="00B5799D">
      <w:pPr>
        <w:jc w:val="both"/>
        <w:rPr>
          <w:rFonts w:ascii="Times New Roman" w:hAnsi="Times New Roman" w:cs="Times New Roman"/>
          <w:b/>
          <w:bCs/>
        </w:rPr>
      </w:pPr>
      <w:r w:rsidRPr="005C3A0C">
        <w:rPr>
          <w:rFonts w:ascii="Times New Roman" w:hAnsi="Times New Roman" w:cs="Times New Roman"/>
          <w:b/>
          <w:bCs/>
        </w:rPr>
        <w:t>6.4 Data Integration Barriers</w:t>
      </w:r>
    </w:p>
    <w:p w14:paraId="3830A220" w14:textId="77777777" w:rsidR="005C3A0C" w:rsidRPr="005C3A0C" w:rsidRDefault="005C3A0C" w:rsidP="00B5799D">
      <w:pPr>
        <w:jc w:val="both"/>
        <w:rPr>
          <w:rFonts w:ascii="Times New Roman" w:hAnsi="Times New Roman" w:cs="Times New Roman"/>
        </w:rPr>
      </w:pPr>
      <w:r w:rsidRPr="005C3A0C">
        <w:rPr>
          <w:rFonts w:ascii="Times New Roman" w:hAnsi="Times New Roman" w:cs="Times New Roman"/>
        </w:rPr>
        <w:t>Integrative exposome research depends on the ability to link environmental, biological, and clinical datasets, yet such integration is often hindered by practical and structural barriers. Environmental monitoring data may lack spatial resolution or temporal alignment with health records, while biomonitoring data are frequently limited to small subsets of study populations. Differences in data formats, privacy constraints, and institutional silos further impede comprehensive analysis. Addressing these integration challenges is essential for reducing uncertainty and advancing robust exposome based risk assessment in agricultural health research</w:t>
      </w:r>
      <w:r w:rsidR="00752439">
        <w:rPr>
          <w:rFonts w:ascii="Times New Roman" w:hAnsi="Times New Roman" w:cs="Times New Roman"/>
        </w:rPr>
        <w:fldChar w:fldCharType="begin"/>
      </w:r>
      <w:r w:rsidR="000C62A4">
        <w:rPr>
          <w:rFonts w:ascii="Times New Roman" w:hAnsi="Times New Roman" w:cs="Times New Roman"/>
        </w:rPr>
        <w:instrText xml:space="preserve"> ADDIN ZOTERO_ITEM CSL_CITATION {"citationID":"kw77wCKs","properties":{"formattedCitation":"(22,34)","plainCitation":"(22,34)","noteIndex":0},"citationItems":[{"id":15043,"uris":["http://zotero.org/users/16652950/items/9K8DVB57"],"itemData":{"id":15043,"type":"article-journal","abstract":"The exposome approach, emphasizing lifelong environmental exposures, is a holistic framework exploring the intricate interplay between genetics and the environment in shaping health outcomes. Complementing this, the one health approach recognizes the interconnectedness of human and ecological health within a shared ecosystem, extending to planetary health, which encompasses the entire planet. Integrating Disease Surveillance Systems with exposome, one health, and planetary health signifies a paradigm shift in health management, fostering a comprehensive public health framework. This publication advocates for combining traditional health surveillance with exposome and one health/planetary health approach, proposing a three-step approach: ecological analysis, territorial intervention in identified issues, and an analytical phase for assessing interventions. Particularly relevant for Latin American countries facing a double burden of diseases, integrating the exposome into traditional health surveillance proves cost-effective by leveraging existing data and environmental measurements. In conclusion, the integration of exposome and one health approaches into traditional health surveillance presents a robust framework for monitoring population health, especially in regions like Latin America with complex health challenges. This innovative approach enables tailored interventions, disease outbreak predictions, and a holistic understanding of the intricate links between human health and the environment, offering substantial benefits for public health and disease prevention despite existing challenges.","container-title":"Frontiers in Public Health","DOI":"10.3389/fpubh.2024.1376609","ISSN":"2296-2565","journalAbbreviation":"Front Public Health","note":"PMID: 39211902\nPMCID: PMC11359557","page":"1376609","source":"PubMed Central","title":"Integrating the exposome and one health approach to national health surveillance: an opportunity for Latin American countries in health preventive management","title-short":"Integrating the exposome and one health approach to national health surveillance","volume":"12","author":[{"family":"Matus","given":"Patricia"},{"family":"Urquidi","given":"Cinthya"},{"family":"Cárcamo","given":"Marcela"},{"family":"Vidal","given":"Veronica"}],"issued":{"date-parts":[["2024",8,14]]}}},{"id":14956,"uris":["http://zotero.org/users/16652950/items/QR7HH7VX"],"itemData":{"id":14956,"type":"article-journal","abstract":"The human exposome (the cumulative measure of environmental exposures across the life course) offers a critical complement to genomics in deciphering the multifactorial origins of complex diseases. Exposome-wide association studies (ExWAS) represent an emerging class of high-dimensional epidemiological analyses designed to systematically assess associations between diverse environmental exposures and health outcomes. However, ExWAS requires advanced computational standards and tools capable of handling exposure complexity, temporal variability, co-exposure correlation, and multi-omics data integration. This review synthesizes current computational methodologies and platforms for ExWAS, highlighting recent advances in statistical modeling, exposure quantification, and bioinformatics tools. We conducted a PRISMA-ScR-guided scoping review across PubMed, Scopus, and Web of Science (2010–2025), with dual-reviewer screening in Rayyan, standardized data charting, and SWiM-aligned narrative synthesis. We explore multivariable and mixture modeling approaches (e.g., weighted quantile sum regression, Bayesian kernel machine regression), integration of external and internal exposome domains, and the application of longitudinal designs and environmental risk scoring. Key platforms such as the rexposome suite, exposomeShiny, and the integrative INTEGRA framework are examined for their role in operationalizing exposomic analyses at population scale. We also discuss the importance of data standardization, including exposure ontologies, harmonization protocols, and federated data infrastructure supporting cross-cohort analyses. Moreover, we discuss how computational exposomics can elucidate mechanistic pathways linking environmental exposures to disease, particularly when integrated with transcriptomic and metabolomic data. Finally, we outline future directions for the field, including genome–exposome integration, AI-driven causal inference, and translational pipelines for regulatory and clinical implementation. Beyond listing methods, we assess computational maturity and reproducibility (open licensing, containerization, federation readiness) and connect standards + tools to ExWAS workflows and translation. Computationally mature and mechanistically anchored, ExWAS are poised to become central tools in precision environmental health, enhancing the interpretability of genome–environment interactions and the predictive power of integrated omics frameworks.","container-title":"Environment International","DOI":"10.1016/j.envint.2026.110117","ISSN":"0160-4120","journalAbbreviation":"Environment International","page":"110117","source":"ScienceDirect","title":"Computational standards and tools for exposome-wide association studies linking the human exposome with health outcomes","volume":"208","author":[{"family":"Sarigiannis","given":"Dimosthenis"},{"family":"Anesti","given":"Ourania"},{"family":"Papaioannou","given":"Nafsika"},{"family":"Karakoltzidis","given":"Achilleas"},{"family":"Karakitsios","given":"Spyros"}],"issued":{"date-parts":[["2026",2,1]]}}}],"schema":"https://github.com/citation-style-language/schema/raw/master/csl-citation.json"} </w:instrText>
      </w:r>
      <w:r w:rsidR="00752439">
        <w:rPr>
          <w:rFonts w:ascii="Times New Roman" w:hAnsi="Times New Roman" w:cs="Times New Roman"/>
        </w:rPr>
        <w:fldChar w:fldCharType="separate"/>
      </w:r>
      <w:r w:rsidR="000C62A4" w:rsidRPr="000C62A4">
        <w:rPr>
          <w:rFonts w:ascii="Times New Roman" w:hAnsi="Times New Roman" w:cs="Times New Roman"/>
        </w:rPr>
        <w:t>(22,34)</w:t>
      </w:r>
      <w:r w:rsidR="00752439">
        <w:rPr>
          <w:rFonts w:ascii="Times New Roman" w:hAnsi="Times New Roman" w:cs="Times New Roman"/>
        </w:rPr>
        <w:fldChar w:fldCharType="end"/>
      </w:r>
      <w:r w:rsidRPr="005C3A0C">
        <w:rPr>
          <w:rFonts w:ascii="Times New Roman" w:hAnsi="Times New Roman" w:cs="Times New Roman"/>
        </w:rPr>
        <w:t>.</w:t>
      </w:r>
    </w:p>
    <w:p w14:paraId="3CC86910" w14:textId="77777777" w:rsidR="00CF5293" w:rsidRPr="00CF5293" w:rsidRDefault="00CF5293" w:rsidP="00B5799D">
      <w:pPr>
        <w:jc w:val="both"/>
        <w:rPr>
          <w:rFonts w:ascii="Times New Roman" w:hAnsi="Times New Roman" w:cs="Times New Roman"/>
          <w:b/>
          <w:bCs/>
        </w:rPr>
      </w:pPr>
      <w:r w:rsidRPr="00CF5293">
        <w:rPr>
          <w:rFonts w:ascii="Times New Roman" w:hAnsi="Times New Roman" w:cs="Times New Roman"/>
          <w:b/>
          <w:bCs/>
        </w:rPr>
        <w:t>7. Implications for Policy, Surveillance, and Risk Assessment</w:t>
      </w:r>
    </w:p>
    <w:p w14:paraId="6F735091" w14:textId="77777777" w:rsidR="00F520F5" w:rsidRPr="00B5799D" w:rsidRDefault="00F520F5" w:rsidP="00B5799D">
      <w:pPr>
        <w:jc w:val="both"/>
        <w:rPr>
          <w:rFonts w:ascii="Times New Roman" w:hAnsi="Times New Roman" w:cs="Times New Roman"/>
        </w:rPr>
      </w:pPr>
      <w:r w:rsidRPr="00F520F5">
        <w:rPr>
          <w:rFonts w:ascii="Times New Roman" w:hAnsi="Times New Roman" w:cs="Times New Roman"/>
        </w:rPr>
        <w:t>Integrative exposome modeling shifts the assessment of agrochemical exposure from isolated hazards to cumulative, systems-level risk, with important implications for regulation, surveillance, and prevention in agricultural health. In farming environments characterized by long-term, multi-pathway exposure, this perspective better reflects real-world conditions and strengthens the relevance of environmental health evidence for decision making.</w:t>
      </w:r>
    </w:p>
    <w:p w14:paraId="35E6CF00" w14:textId="77777777" w:rsidR="00274E24" w:rsidRPr="00274E24" w:rsidRDefault="00F520F5" w:rsidP="00B5799D">
      <w:pPr>
        <w:jc w:val="both"/>
        <w:rPr>
          <w:rFonts w:ascii="Times New Roman" w:hAnsi="Times New Roman" w:cs="Times New Roman"/>
        </w:rPr>
      </w:pPr>
      <w:r w:rsidRPr="00B5799D">
        <w:rPr>
          <w:rFonts w:ascii="Times New Roman" w:hAnsi="Times New Roman" w:cs="Times New Roman"/>
          <w:b/>
          <w:bCs/>
          <w:noProof/>
        </w:rPr>
        <w:lastRenderedPageBreak/>
        <w:drawing>
          <wp:inline distT="0" distB="0" distL="0" distR="0" wp14:anchorId="032CDC3D" wp14:editId="6B09D23F">
            <wp:extent cx="5943600" cy="3962400"/>
            <wp:effectExtent l="0" t="0" r="0" b="0"/>
            <wp:docPr id="15195023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9502397" name="Picture 1519502397"/>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r w:rsidRPr="00F520F5">
        <w:rPr>
          <w:rFonts w:ascii="Times New Roman" w:hAnsi="Times New Roman" w:cs="Times New Roman"/>
        </w:rPr>
        <w:t xml:space="preserve">Figure </w:t>
      </w:r>
      <w:r w:rsidRPr="00B5799D">
        <w:rPr>
          <w:rFonts w:ascii="Times New Roman" w:hAnsi="Times New Roman" w:cs="Times New Roman"/>
        </w:rPr>
        <w:t>2</w:t>
      </w:r>
      <w:r w:rsidR="00274E24" w:rsidRPr="00B5799D">
        <w:rPr>
          <w:rFonts w:ascii="Times New Roman" w:hAnsi="Times New Roman" w:cs="Times New Roman"/>
        </w:rPr>
        <w:t xml:space="preserve">: </w:t>
      </w:r>
      <w:r w:rsidR="00274E24" w:rsidRPr="00274E24">
        <w:rPr>
          <w:rFonts w:ascii="Times New Roman" w:hAnsi="Times New Roman" w:cs="Times New Roman"/>
        </w:rPr>
        <w:t>Conceptual framework illustrating how cumulative agrochemical exposures, characterized through exposome-based modeling, can be translated into regulatory evaluation, public health surveillance, and preventive interventions in agricultural populations.</w:t>
      </w:r>
    </w:p>
    <w:p w14:paraId="72A00472" w14:textId="77777777" w:rsidR="00274E24" w:rsidRPr="00F520F5" w:rsidRDefault="00274E24" w:rsidP="00B5799D">
      <w:pPr>
        <w:jc w:val="both"/>
        <w:rPr>
          <w:rFonts w:ascii="Times New Roman" w:hAnsi="Times New Roman" w:cs="Times New Roman"/>
          <w:b/>
          <w:bCs/>
        </w:rPr>
      </w:pPr>
    </w:p>
    <w:p w14:paraId="7FD77442" w14:textId="77777777" w:rsidR="00F520F5" w:rsidRPr="00F520F5" w:rsidRDefault="00F520F5" w:rsidP="00B5799D">
      <w:pPr>
        <w:jc w:val="both"/>
        <w:rPr>
          <w:rFonts w:ascii="Times New Roman" w:hAnsi="Times New Roman" w:cs="Times New Roman"/>
        </w:rPr>
      </w:pPr>
      <w:r w:rsidRPr="00F520F5">
        <w:rPr>
          <w:rFonts w:ascii="Times New Roman" w:hAnsi="Times New Roman" w:cs="Times New Roman"/>
        </w:rPr>
        <w:t>From a regulatory perspective, exposome-based evidence highlights persistent blind spots in current oversight mechanisms. Private drinking water wells, which supply a substantial proportion of rural households, remain largely outside routine federal monitoring despite their susceptibility to agrochemical contamination. In addition, regulatory risk assessments continue to focus primarily on individual chemicals, with limited incorporation of cumulative or mixture-based effects. Integrative exposure metrics derived from exposome modeling provide a scientific basis for aligning regulatory evaluation with the complexity of agricultural exposure environments</w:t>
      </w:r>
      <w:r w:rsidR="00325FAB">
        <w:rPr>
          <w:rFonts w:ascii="Times New Roman" w:hAnsi="Times New Roman" w:cs="Times New Roman"/>
        </w:rPr>
        <w:fldChar w:fldCharType="begin"/>
      </w:r>
      <w:r w:rsidR="000C62A4">
        <w:rPr>
          <w:rFonts w:ascii="Times New Roman" w:hAnsi="Times New Roman" w:cs="Times New Roman"/>
        </w:rPr>
        <w:instrText xml:space="preserve"> ADDIN ZOTERO_ITEM CSL_CITATION {"citationID":"QQtLAa2Y","properties":{"formattedCitation":"(35)","plainCitation":"(35)","noteIndex":0},"citationItems":[{"id":13255,"uris":["http://zotero.org/users/16652950/items/3IUUVX7L"],"itemData":{"id":13255,"type":"article-journal","abstract":"Background\nUnderstanding, characterizing, and quantifying human exposures to environmental chemicals is critical to protect public health. Exposure assessments are key to determining risks to the general population and for specific subpopulations given that exposures differ between groups. Exposure data are also important for understanding where interventions, including public policies, should be targeted and the extent to which interventions have been successful. In this review, we aim to show how inadequacies in exposure assessments conducted by polluting industries or regulatory agencies have led to downplaying or disregarding exposure concerns raised by communities; that underestimates of exposure can lead regulatory agencies to conclude that unacceptable risks are, instead, acceptable, allowing pollutants to go unregulated; and that researchers, risk assessors, and policy makers need to better understand the issues that have affected exposure assessments and how appropriate use of exposure data can contribute to health-protective decisions.\n\nMethods\nWe describe current approaches used by regulatory agencies to estimate human exposures to environmental chemicals, including approaches to address limitations in exposure data. We then illustrate how some exposure assessments have been used to reach flawed conclusions about environmental chemicals and make recommendations for improvements.\n\nResults\nExposure data are important for communities, public health advocates, scientists, policy makers, and other groups to understand the extent of environmental exposures in diverse populations. We identify four areas where exposure assessments need to be improved due to systemic sources of error or uncertainty in exposure assessments and illustrate these areas with examples. These include: (1) an inability of regulatory agencies to keep pace with the increasing number of chemicals registered for use or assess their exposures, as well as complications added by use of ‘confidential business information’ which reduce available exposure data; (2) the failure to keep assessments up-to-date; (3) how inadequate assumptions about human behaviors and co-exposures contribute to underestimates of exposure; and (4) that insufficient models of toxicokinetics similarly affect exposure estimates.\n\nConclusion\nWe identified key issues that impact capacity to conduct scientifically robust exposure assessments. These issues must be addressed with scientific or policy approaches to improve estimates of exposure and protect public health.","container-title":"Environmental Health","DOI":"10.1186/s12940-022-00917-0","ISSN":"1476-069X","issue":"Suppl 1","journalAbbreviation":"Environ Health","note":"PMID: 36635700\nPMCID: PMC9835264","page":"121","source":"PubMed Central","title":"Addressing systemic problems with exposure assessments to protect the public’s health","volume":"21","author":[{"family":"Vandenberg","given":"Laura N."},{"family":"Rayasam","given":"Swati D. G."},{"family":"Axelrad","given":"Daniel A."},{"family":"Bennett","given":"Deborah H."},{"family":"Brown","given":"Phil"},{"family":"Carignan","given":"Courtney C."},{"family":"Chartres","given":"Nicholas"},{"family":"Diamond","given":"Miriam L."},{"family":"Joglekar","given":"Rashmi"},{"family":"Shamasunder","given":"Bhavna"},{"family":"Shrader-Frechette","given":"Kristin"},{"family":"Subra","given":"Wilma A."},{"family":"Zarker","given":"Ken"},{"family":"Woodruff","given":"Tracey J."}],"issued":{"date-parts":[["2023",1,12]]}}}],"schema":"https://github.com/citation-style-language/schema/raw/master/csl-citation.json"} </w:instrText>
      </w:r>
      <w:r w:rsidR="00325FAB">
        <w:rPr>
          <w:rFonts w:ascii="Times New Roman" w:hAnsi="Times New Roman" w:cs="Times New Roman"/>
        </w:rPr>
        <w:fldChar w:fldCharType="separate"/>
      </w:r>
      <w:r w:rsidR="000C62A4" w:rsidRPr="000C62A4">
        <w:rPr>
          <w:rFonts w:ascii="Times New Roman" w:hAnsi="Times New Roman" w:cs="Times New Roman"/>
        </w:rPr>
        <w:t>(35)</w:t>
      </w:r>
      <w:r w:rsidR="00325FAB">
        <w:rPr>
          <w:rFonts w:ascii="Times New Roman" w:hAnsi="Times New Roman" w:cs="Times New Roman"/>
        </w:rPr>
        <w:fldChar w:fldCharType="end"/>
      </w:r>
      <w:r w:rsidRPr="00F520F5">
        <w:rPr>
          <w:rFonts w:ascii="Times New Roman" w:hAnsi="Times New Roman" w:cs="Times New Roman"/>
        </w:rPr>
        <w:t>.</w:t>
      </w:r>
    </w:p>
    <w:p w14:paraId="07940915" w14:textId="77777777" w:rsidR="00F520F5" w:rsidRPr="00F520F5" w:rsidRDefault="00F520F5" w:rsidP="00B5799D">
      <w:pPr>
        <w:jc w:val="both"/>
        <w:rPr>
          <w:rFonts w:ascii="Times New Roman" w:hAnsi="Times New Roman" w:cs="Times New Roman"/>
        </w:rPr>
      </w:pPr>
      <w:r w:rsidRPr="00F520F5">
        <w:rPr>
          <w:rFonts w:ascii="Times New Roman" w:hAnsi="Times New Roman" w:cs="Times New Roman"/>
        </w:rPr>
        <w:t>Public health surveillance similarly benefits from an exposome-informed approach. Conventional surveillance systems tend to be reactive, relying on diagnosed disease outcomes rather than upstream indicators of risk. By combining spatial exposure models with targeted biomonitoring, surveillance efforts can identify elevated exposure profiles and emerging risks earlier in the disease trajectory</w:t>
      </w:r>
      <w:r w:rsidR="003D33A6">
        <w:rPr>
          <w:rFonts w:ascii="Times New Roman" w:hAnsi="Times New Roman" w:cs="Times New Roman"/>
        </w:rPr>
        <w:fldChar w:fldCharType="begin"/>
      </w:r>
      <w:r w:rsidR="000C62A4">
        <w:rPr>
          <w:rFonts w:ascii="Times New Roman" w:hAnsi="Times New Roman" w:cs="Times New Roman"/>
        </w:rPr>
        <w:instrText xml:space="preserve"> ADDIN ZOTERO_ITEM CSL_CITATION {"citationID":"mZC1leZC","properties":{"formattedCitation":"(36)","plainCitation":"(36)","noteIndex":0},"citationItems":[{"id":8689,"uris":["http://zotero.org/users/16652950/items/5WLYPCUW"],"itemData":{"id":8689,"type":"article-journal","abstract":"Hospital-acquired infections (HAIs) continue to be one of the biggest problems for modern healthcare systems, and the problem is getting worse because antimicrobial resistance (AMR) is on the rise. Antibiotics that used to work are quickly losing their effectiveness, which is giving rise to highly adaptable bacteria in clinical settings and turning routine procedures into high-risk situations. This publication examines the intersection of healthcare-associated infections (HAIs) and antimicrobial resistance (AMR) within the framework of smart surveillance—digital, data-driven systems engineered to identify, predict, and disrupt the spread of infections in real time. We examine the historical development of infection surveillance, analyze the epidemiological burden and resistance mechanisms contributing to a covert pandemic, and assess emerging technologies such as electronic health record integration, machine-learning analytics, genomic sequencing, and Internet of Things (IoT) sensor networks. These new ideas give us new ways to prevent infections before they happen, but they also bring up difficult moral, legal, and social problems about privacy, fairness, and governance. We contend that intelligent surveillance should be integrated into comprehensive infection prevention frameworks and antimicrobial stewardship initiatives to establish resilient hospitals. By combining predictive analytics with basic IPC procedures, ethical monitoring, and giving workers more autonomy, healthcare organizations may turn passive surveillance into active defense. In the end, winning the war against HAIs will depend not just on cutting-edge technology, but also on how it is used with care, honesty, and openness.","container-title":"Australian Journal of Biomedical Research","DOI":"10.63946/aubiomed/16759","ISSN":"3083-4708","issue":"1","language":"english","note":"publisher: Australasia Publishing Group","page":"aubm002","source":"www.aubiomed.org","title":"Hospital-Acquired Infections in the Age of Antimicrobial Resistance and Smart Surveillance","volume":"1","author":[{"family":"Lawal","given":"Olabisi"},{"family":"Orenolu","given":"Idris Olumide"},{"family":"Ajobiewe","given":"Morayo Anne"},{"family":"Forson","given":"Kwesi Akonu Adom Mensah"},{"family":"Agu","given":"Ujunwa Favour"},{"family":"Fidelix","given":"Moses Emmanuel"},{"family":"Madugba","given":"Frances Chinaechekwa"},{"family":"Obi","given":"Lenin Ifeanyi"}],"issued":{"date-parts":[["2025",8,16]]}}}],"schema":"https://github.com/citation-style-language/schema/raw/master/csl-citation.json"} </w:instrText>
      </w:r>
      <w:r w:rsidR="003D33A6">
        <w:rPr>
          <w:rFonts w:ascii="Times New Roman" w:hAnsi="Times New Roman" w:cs="Times New Roman"/>
        </w:rPr>
        <w:fldChar w:fldCharType="separate"/>
      </w:r>
      <w:r w:rsidR="000C62A4" w:rsidRPr="000C62A4">
        <w:rPr>
          <w:rFonts w:ascii="Times New Roman" w:hAnsi="Times New Roman" w:cs="Times New Roman"/>
        </w:rPr>
        <w:t>(36)</w:t>
      </w:r>
      <w:r w:rsidR="003D33A6">
        <w:rPr>
          <w:rFonts w:ascii="Times New Roman" w:hAnsi="Times New Roman" w:cs="Times New Roman"/>
        </w:rPr>
        <w:fldChar w:fldCharType="end"/>
      </w:r>
      <w:r w:rsidRPr="00F520F5">
        <w:rPr>
          <w:rFonts w:ascii="Times New Roman" w:hAnsi="Times New Roman" w:cs="Times New Roman"/>
        </w:rPr>
        <w:t>. This supports more strategic allocation of monitoring resources and strengthens the capacity for early intervention in high-risk farming communities</w:t>
      </w:r>
      <w:r w:rsidR="00325FAB">
        <w:rPr>
          <w:rFonts w:ascii="Times New Roman" w:hAnsi="Times New Roman" w:cs="Times New Roman"/>
        </w:rPr>
        <w:fldChar w:fldCharType="begin"/>
      </w:r>
      <w:r w:rsidR="000C62A4">
        <w:rPr>
          <w:rFonts w:ascii="Times New Roman" w:hAnsi="Times New Roman" w:cs="Times New Roman"/>
        </w:rPr>
        <w:instrText xml:space="preserve"> ADDIN ZOTERO_ITEM CSL_CITATION {"citationID":"wMiRAh6F","properties":{"formattedCitation":"(37)","plainCitation":"(37)","noteIndex":0},"citationItems":[{"id":15063,"uris":["http://zotero.org/users/16652950/items/WAI5MDDE"],"itemData":{"id":15063,"type":"article-journal","abstract":"The exposome approach, emphasizing lifelong environmental exposures, is a holistic framework exploring the intricate interplay between genetics and the environment in shaping health outcomes. Complementing this, the one health approach recognizes the interconnectedness of human and ecological health within a shared ecosystem, extending to planetary health, which encompasses the entire planet. Integrating Disease Surveillance Systems with exposome, one health, and planetary health signifies a paradigm shift in health management, fostering a comprehensive public health framework.This publication advocates for combining traditional health surveillance with exposome and one health/planetary health approach, proposing a three-step approach: ecological analysis, territorial intervention in identified issues, and an analytical phase for assessing interventions. Particularly relevant for Latin American countries facing a double burden of diseases, integrating the exposome into traditional health surveillance proves cost-effective by leveraging existing data and environmental measurements.In conclusion, the integration of exposome and one health approaches into traditional health surveillance presents a robust framework for monitoring population health, especially in regions like Latin America with complex health challenges. This innovative approach enables tailored interventions, disease outbreak predictions, and a holistic understanding of the intricate links between human health and the environment, offering substantial benefits for public health and disease prevention despite existing challenges.","container-title":"Frontiers in Public Health","DOI":"10.3389/fpubh.2024.1376609","ISSN":"2296-2565","journalAbbreviation":"Front. Public Health","language":"English","note":"publisher: Frontiers","source":"Frontiers","title":"Integrating the exposome and one health approach to national health surveillance: an opportunity for Latin American countries in health preventive management","title-short":"Integrating the exposome and one health approach to national health surveillance","URL":"https://www.frontiersin.org/journals/public-health/articles/10.3389/fpubh.2024.1376609/full","volume":"12","author":[{"family":"Matus","given":"Patricia"},{"family":"Urquidi","given":"Cinthya"},{"family":"Cárcamo","given":"Marcela"},{"family":"Vidal","given":"Veronica"}],"accessed":{"date-parts":[["2026",2,19]]},"issued":{"date-parts":[["2024",8,14]]}}}],"schema":"https://github.com/citation-style-language/schema/raw/master/csl-citation.json"} </w:instrText>
      </w:r>
      <w:r w:rsidR="00325FAB">
        <w:rPr>
          <w:rFonts w:ascii="Times New Roman" w:hAnsi="Times New Roman" w:cs="Times New Roman"/>
        </w:rPr>
        <w:fldChar w:fldCharType="separate"/>
      </w:r>
      <w:r w:rsidR="000C62A4" w:rsidRPr="000C62A4">
        <w:rPr>
          <w:rFonts w:ascii="Times New Roman" w:hAnsi="Times New Roman" w:cs="Times New Roman"/>
        </w:rPr>
        <w:t>(37)</w:t>
      </w:r>
      <w:r w:rsidR="00325FAB">
        <w:rPr>
          <w:rFonts w:ascii="Times New Roman" w:hAnsi="Times New Roman" w:cs="Times New Roman"/>
        </w:rPr>
        <w:fldChar w:fldCharType="end"/>
      </w:r>
      <w:r w:rsidRPr="00F520F5">
        <w:rPr>
          <w:rFonts w:ascii="Times New Roman" w:hAnsi="Times New Roman" w:cs="Times New Roman"/>
        </w:rPr>
        <w:t>.</w:t>
      </w:r>
    </w:p>
    <w:p w14:paraId="552D1CE8" w14:textId="77777777" w:rsidR="00F520F5" w:rsidRPr="00F520F5" w:rsidRDefault="00F520F5" w:rsidP="00B5799D">
      <w:pPr>
        <w:jc w:val="both"/>
        <w:rPr>
          <w:rFonts w:ascii="Times New Roman" w:hAnsi="Times New Roman" w:cs="Times New Roman"/>
        </w:rPr>
      </w:pPr>
      <w:r w:rsidRPr="00F520F5">
        <w:rPr>
          <w:rFonts w:ascii="Times New Roman" w:hAnsi="Times New Roman" w:cs="Times New Roman"/>
        </w:rPr>
        <w:t xml:space="preserve">Exposome modeling also enables a shift in preventive public health from generalized guidance toward more targeted and context-specific strategies. Cumulative exposure profiles can be used to </w:t>
      </w:r>
      <w:r w:rsidRPr="00F520F5">
        <w:rPr>
          <w:rFonts w:ascii="Times New Roman" w:hAnsi="Times New Roman" w:cs="Times New Roman"/>
        </w:rPr>
        <w:lastRenderedPageBreak/>
        <w:t>stratify risk within agricultural populations, allowing interventions to be tailored to dominant exposure pathways, local environmental conditions, and farming practices</w:t>
      </w:r>
      <w:r w:rsidR="00E40749">
        <w:rPr>
          <w:rFonts w:ascii="Times New Roman" w:hAnsi="Times New Roman" w:cs="Times New Roman"/>
        </w:rPr>
        <w:fldChar w:fldCharType="begin"/>
      </w:r>
      <w:r w:rsidR="000C62A4">
        <w:rPr>
          <w:rFonts w:ascii="Times New Roman" w:hAnsi="Times New Roman" w:cs="Times New Roman"/>
        </w:rPr>
        <w:instrText xml:space="preserve"> ADDIN ZOTERO_ITEM CSL_CITATION {"citationID":"A7Q9t69J","properties":{"formattedCitation":"(38)","plainCitation":"(38)","noteIndex":0},"citationItems":[{"id":13325,"uris":["http://zotero.org/users/16652950/items/N959267H"],"itemData":{"id":13325,"type":"article-journal","abstract":"Neurodegenerative diseases (NDs) such as Alzheimer's disease (AD) and Parkinson's disease (PD) are growing public health concerns worldwide, and their burden is particularly severe in low- and middle-income countries, including Nigeria. This perspective highlights the urgent need for tailored public health strategies to address the rising prevalence of these diseases, focusing on prevention, early detection, and management in the Nigerian context. With an aging population and limited healthcare infrastructure, Nigeria faces unique challenges in diagnosing and treating NDs. Cultural factors, such as stigma and misconceptions about cognitive decline, further complicate timely intervention. The paper explores the current public health strategies implemented to combat these diseases, including lifestyle modifications, national policy development, and public-private partnerships. It emphasizes the need for community-based programs, the integration of primary healthcare and neurology, and increased awareness to reduce the societal burden of NDs. Additionally, the manuscript discusses the essential role of training healthcare providers and the integration of traditional and modern medicine in enhancing care. It calls for a coordinated, culturally relevant approach to addressing the rising tide of neurodegenerative diseases in Nigeria, with recommendations for policy reform, healthcare system strengthening, and greater research investment.","container-title":"Journal of Public Health Research","DOI":"10.1177/22799036251350957","ISSN":"2279-9028","issue":"2","journalAbbreviation":"J Public Health Res","language":"eng","note":"PMID: 40567342\nPMCID: PMC12188034","page":"22799036251350957","source":"PubMed","title":"Building healthcare capacity for neurodegenerative disease management in Nigeria: Challenges and opportunities","title-short":"Building healthcare capacity for neurodegenerative disease management in Nigeria","volume":"14","author":[{"family":"Kelechi Wisdom","given":"Elechi"},{"family":"Soyemi","given":"Toluwalashe"},{"family":"Mayowa","given":"Shekoni"},{"family":"Ede","given":"Nwakaego Stephanie"},{"family":"Ubalaeze Solomon","given":"Elechi"},{"family":"Iloanusi","given":"Chukwuagoziem Augustine"},{"family":"Agbo","given":"Chinonyelum Emmanuel"},{"family":"Suzan Idogen","given":"Obehi"},{"family":"Augustine Ikechukwu","given":"Cletus"},{"family":"Clinton Ifeanyi","given":"Okechukwu"},{"family":"Akpowowo","given":"Christiana Komeno"},{"family":"Oyebola","given":"Farounbi Glory"},{"family":"Nndoumele","given":"Chidinma"},{"family":"Olabisi Promise","given":"Lawal"}],"issued":{"date-parts":[["2025",4]]}}}],"schema":"https://github.com/citation-style-language/schema/raw/master/csl-citation.json"} </w:instrText>
      </w:r>
      <w:r w:rsidR="00E40749">
        <w:rPr>
          <w:rFonts w:ascii="Times New Roman" w:hAnsi="Times New Roman" w:cs="Times New Roman"/>
        </w:rPr>
        <w:fldChar w:fldCharType="separate"/>
      </w:r>
      <w:r w:rsidR="000C62A4" w:rsidRPr="000C62A4">
        <w:rPr>
          <w:rFonts w:ascii="Times New Roman" w:hAnsi="Times New Roman" w:cs="Times New Roman"/>
        </w:rPr>
        <w:t>(38)</w:t>
      </w:r>
      <w:r w:rsidR="00E40749">
        <w:rPr>
          <w:rFonts w:ascii="Times New Roman" w:hAnsi="Times New Roman" w:cs="Times New Roman"/>
        </w:rPr>
        <w:fldChar w:fldCharType="end"/>
      </w:r>
      <w:r w:rsidRPr="00F520F5">
        <w:rPr>
          <w:rFonts w:ascii="Times New Roman" w:hAnsi="Times New Roman" w:cs="Times New Roman"/>
        </w:rPr>
        <w:t>. Such precision prevention approaches may include targeted well testing, exposure reduction initiatives, or enhanced clinical screening, thereby improving efficiency and equity</w:t>
      </w:r>
      <w:r w:rsidR="00CB2D3C">
        <w:rPr>
          <w:rFonts w:ascii="Times New Roman" w:hAnsi="Times New Roman" w:cs="Times New Roman"/>
        </w:rPr>
        <w:fldChar w:fldCharType="begin"/>
      </w:r>
      <w:r w:rsidR="000C62A4">
        <w:rPr>
          <w:rFonts w:ascii="Times New Roman" w:hAnsi="Times New Roman" w:cs="Times New Roman"/>
        </w:rPr>
        <w:instrText xml:space="preserve"> ADDIN ZOTERO_ITEM CSL_CITATION {"citationID":"Vujxulec","properties":{"formattedCitation":"(39)","plainCitation":"(39)","noteIndex":0},"citationItems":[{"id":15065,"uris":["http://zotero.org/users/16652950/items/9BV6E7IX"],"itemData":{"id":15065,"type":"article-journal","abstract":"Aging and longevity are shaped by the exposome, a dynamic network of environmental, social, and biological factors. Understanding how these exposures ...","container-title":"Nutrients","DOI":"10.3390/nu17040722","ISSN":"2072-6643","issue":"4","language":"en","license":"http://creativecommons.org/licenses/by/3.0/","note":"Company: Multidisciplinary Digital Publishing Institute\nDistributor: Multidisciplinary Digital Publishing Institute\nInstitution: Multidisciplinary Digital Publishing Institute\nLabel: Multidisciplinary Digital Publishing Institute\npublisher: publisher","source":"www.mdpi.com","title":"The Power of Environment: A Comprehensive Review of the Exposome’s Role in Healthy Aging, Longevity, and Preventive Medicine—Lessons from Blue Zones and Cilento","title-short":"The Power of Environment","URL":"https://www.mdpi.com/2072-6643/17/4/722","volume":"17","author":[{"family":"Aliberti","given":"Silvana Mirella"},{"family":"Capunzo","given":"Mario"}],"accessed":{"date-parts":[["2026",2,19]]},"issued":{"date-parts":[["2025",2,17]]}}}],"schema":"https://github.com/citation-style-language/schema/raw/master/csl-citation.json"} </w:instrText>
      </w:r>
      <w:r w:rsidR="00CB2D3C">
        <w:rPr>
          <w:rFonts w:ascii="Times New Roman" w:hAnsi="Times New Roman" w:cs="Times New Roman"/>
        </w:rPr>
        <w:fldChar w:fldCharType="separate"/>
      </w:r>
      <w:r w:rsidR="000C62A4" w:rsidRPr="000C62A4">
        <w:rPr>
          <w:rFonts w:ascii="Times New Roman" w:hAnsi="Times New Roman" w:cs="Times New Roman"/>
        </w:rPr>
        <w:t>(39)</w:t>
      </w:r>
      <w:r w:rsidR="00CB2D3C">
        <w:rPr>
          <w:rFonts w:ascii="Times New Roman" w:hAnsi="Times New Roman" w:cs="Times New Roman"/>
        </w:rPr>
        <w:fldChar w:fldCharType="end"/>
      </w:r>
      <w:r w:rsidRPr="00F520F5">
        <w:rPr>
          <w:rFonts w:ascii="Times New Roman" w:hAnsi="Times New Roman" w:cs="Times New Roman"/>
        </w:rPr>
        <w:t>.</w:t>
      </w:r>
    </w:p>
    <w:p w14:paraId="3EBAC58D" w14:textId="77777777" w:rsidR="00F520F5" w:rsidRPr="00F520F5" w:rsidRDefault="00F520F5" w:rsidP="00B5799D">
      <w:pPr>
        <w:jc w:val="both"/>
        <w:rPr>
          <w:rFonts w:ascii="Times New Roman" w:hAnsi="Times New Roman" w:cs="Times New Roman"/>
        </w:rPr>
      </w:pPr>
      <w:r w:rsidRPr="00F520F5">
        <w:rPr>
          <w:rFonts w:ascii="Times New Roman" w:hAnsi="Times New Roman" w:cs="Times New Roman"/>
        </w:rPr>
        <w:t>Together, these implications underscore the value of integrated environmental and occupational health strategies that prioritize anticipation over reaction. By embedding cumulative exposure science into regulation, surveillance, and prevention, exposome-based approaches offer a pathway toward more effective and equitable protection of farming populations.</w:t>
      </w:r>
    </w:p>
    <w:p w14:paraId="1E3980D3" w14:textId="77777777" w:rsidR="007C7A3C" w:rsidRPr="007C7A3C" w:rsidRDefault="007C7A3C" w:rsidP="00B5799D">
      <w:pPr>
        <w:jc w:val="both"/>
        <w:rPr>
          <w:rFonts w:ascii="Times New Roman" w:hAnsi="Times New Roman" w:cs="Times New Roman"/>
          <w:b/>
          <w:bCs/>
        </w:rPr>
      </w:pPr>
      <w:r w:rsidRPr="007C7A3C">
        <w:rPr>
          <w:rFonts w:ascii="Times New Roman" w:hAnsi="Times New Roman" w:cs="Times New Roman"/>
          <w:b/>
          <w:bCs/>
        </w:rPr>
        <w:t>8. Future Directions and Research Priorities</w:t>
      </w:r>
    </w:p>
    <w:p w14:paraId="1F0FE6E3" w14:textId="77777777" w:rsidR="007C7A3C" w:rsidRPr="007C7A3C" w:rsidRDefault="007C7A3C" w:rsidP="00B5799D">
      <w:pPr>
        <w:jc w:val="both"/>
        <w:rPr>
          <w:rFonts w:ascii="Times New Roman" w:hAnsi="Times New Roman" w:cs="Times New Roman"/>
        </w:rPr>
      </w:pPr>
      <w:r w:rsidRPr="007C7A3C">
        <w:rPr>
          <w:rFonts w:ascii="Times New Roman" w:hAnsi="Times New Roman" w:cs="Times New Roman"/>
        </w:rPr>
        <w:t>Advancing exposome based assessment of agrochemical related chronic disease risk in farming populations will require coordinated methodological, infrastructural, and ethical progress. Future research must move beyond proof of concept studies toward integrated systems that generate evidence capable of informing prevention, regulation, and community level action.</w:t>
      </w:r>
    </w:p>
    <w:p w14:paraId="401949D6" w14:textId="77777777" w:rsidR="007C7A3C" w:rsidRPr="007C7A3C" w:rsidRDefault="007C7A3C" w:rsidP="00B5799D">
      <w:pPr>
        <w:jc w:val="both"/>
        <w:rPr>
          <w:rFonts w:ascii="Times New Roman" w:hAnsi="Times New Roman" w:cs="Times New Roman"/>
        </w:rPr>
      </w:pPr>
      <w:r w:rsidRPr="007C7A3C">
        <w:rPr>
          <w:rFonts w:ascii="Times New Roman" w:hAnsi="Times New Roman" w:cs="Times New Roman"/>
        </w:rPr>
        <w:t>A priority direction is the development of hybrid frameworks that combine environmental exposure modeling with biomonitoring. Integrating spatially resolved pesticide use data, drift modeling, and water contamination estimates with repeated biological measurements can improve reconstruction of cumulative exposure over time. Such approaches are particularly important in agricultural settings where reliance on short term biomarkers alone is insufficient to capture long latency disease processes. Hybrid designs also allow cross validation between modeled and measured exposures, strengthening confidence in risk estimates</w:t>
      </w:r>
      <w:r w:rsidR="005628ED">
        <w:rPr>
          <w:rFonts w:ascii="Times New Roman" w:hAnsi="Times New Roman" w:cs="Times New Roman"/>
        </w:rPr>
        <w:fldChar w:fldCharType="begin"/>
      </w:r>
      <w:r w:rsidR="000C62A4">
        <w:rPr>
          <w:rFonts w:ascii="Times New Roman" w:hAnsi="Times New Roman" w:cs="Times New Roman"/>
        </w:rPr>
        <w:instrText xml:space="preserve"> ADDIN ZOTERO_ITEM CSL_CITATION {"citationID":"3Rn0751Q","properties":{"formattedCitation":"(40)","plainCitation":"(40)","noteIndex":0},"citationItems":[{"id":15067,"uris":["http://zotero.org/users/16652950/items/ZSRF9K4L"],"itemData":{"id":15067,"type":"article-journal","abstract":"The recently launched FoodSafeR initiative is a cooperative and coordinated approach to the identification, assessment, and management of emerging food security challenges and associated risks—both chemical and microbial. The FoodSafeR consortium includes global stakeholders across governmental, inter-governmental, academic and industrial institutions involved in food safety, research, and production. Consortium members have led in-depth discussions on identifying, assessing and managing chemical and microbial food safety issues resulting from climate change, emerging microbial and chemical contaminants, and evolving dietary preferences. Food safety research often is episodic in nature, increasing after a crisis and then decreasing when there are no major problems. Timely communications about and a central source containing data on previous outbreaks were identified as crucial issues to reduce the harm that could result from a food safety issue. In the course of the discussions, both new and old microbial and chemical hazards were identified for inclusion in a central database. The database could be used to develop artificial intelligence (AI) models to explain existing and predict emerging food safety risks. The FoodSafeR hub continuously collects and merges government, academic and private sector data to enable all stakeholders to better understand emerging risks, both chemical and microbial, and where they are found. As the database expands, climate change impacts on food safety can be documented and then integrated with public health data to rigorously assess the contributions of food safety to public health risks. The overall goal is to enhance global data sharing, improve food safety standards, and ensure the production of safe, accessible food for all populations thereby reducing the economic burden of foodborne illnesses, enhancing food security, and promoting sustainable food systems. The goal of this paper is to alert the global food safety community of the availability of this new resource and to provide information on the types of data it contains while encouraging others to contribute data that would broaden the information available and enable more timely and accurate identification of potential food safety issues throughout the world.","container-title":"Frontiers in Sustainable Food Systems","DOI":"10.3389/fsufs.2025.1646792","ISSN":"2571-581X","journalAbbreviation":"Front. Sustain. Food Syst.","language":"English","note":"publisher: Frontiers","source":"Frontiers","title":"A FoodSafeR perspective on emerging food safety hazards and associated risks","URL":"https://www.frontiersin.org/journals/sustainable-food-systems/articles/10.3389/fsufs.2025.1646792/full","volume":"9","author":[{"family":"Leslie","given":"John F."},{"family":"Ezekiel","given":"Chibundu N."},{"family":"Wagner","given":"Martin"},{"family":"Elliott","given":"Chris"},{"family":"McNerney","given":"Oonagh"},{"family":"Uyttendaele","given":"Mieke"},{"family":"Yongning","given":"Wu"},{"family":"Wang","given":"Songxue"},{"family":"Okoth","given":"Sheila"},{"family":"Lindsay","given":"James"},{"family":"Rawn","given":"Dorothea F. K."},{"family":"Chan","given":"Sheot Harn"},{"family":"Zhang","given":"Kai"},{"family":"Lattanzio","given":"Veronica M. T."},{"family":"Wu","given":"Felicia"},{"family":"Bandyopadhyay","given":"Ranajit"},{"family":"Dupouy","given":"Eleonora"},{"family":"Wearne","given":"Steve"},{"family":"Godefroy","given":"Samuel"},{"family":"Suman","given":"Michele"},{"family":"Krska","given":"Rudolf"}],"accessed":{"date-parts":[["2026",2,19]]},"issued":{"date-parts":[["2025",10,7]]}}}],"schema":"https://github.com/citation-style-language/schema/raw/master/csl-citation.json"} </w:instrText>
      </w:r>
      <w:r w:rsidR="005628ED">
        <w:rPr>
          <w:rFonts w:ascii="Times New Roman" w:hAnsi="Times New Roman" w:cs="Times New Roman"/>
        </w:rPr>
        <w:fldChar w:fldCharType="separate"/>
      </w:r>
      <w:r w:rsidR="000C62A4" w:rsidRPr="000C62A4">
        <w:rPr>
          <w:rFonts w:ascii="Times New Roman" w:hAnsi="Times New Roman" w:cs="Times New Roman"/>
        </w:rPr>
        <w:t>(40)</w:t>
      </w:r>
      <w:r w:rsidR="005628ED">
        <w:rPr>
          <w:rFonts w:ascii="Times New Roman" w:hAnsi="Times New Roman" w:cs="Times New Roman"/>
        </w:rPr>
        <w:fldChar w:fldCharType="end"/>
      </w:r>
      <w:r w:rsidRPr="007C7A3C">
        <w:rPr>
          <w:rFonts w:ascii="Times New Roman" w:hAnsi="Times New Roman" w:cs="Times New Roman"/>
        </w:rPr>
        <w:t>.</w:t>
      </w:r>
    </w:p>
    <w:p w14:paraId="25327980" w14:textId="77777777" w:rsidR="007C7A3C" w:rsidRPr="007C7A3C" w:rsidRDefault="007C7A3C" w:rsidP="00B5799D">
      <w:pPr>
        <w:jc w:val="both"/>
        <w:rPr>
          <w:rFonts w:ascii="Times New Roman" w:hAnsi="Times New Roman" w:cs="Times New Roman"/>
        </w:rPr>
      </w:pPr>
      <w:r w:rsidRPr="007C7A3C">
        <w:rPr>
          <w:rFonts w:ascii="Times New Roman" w:hAnsi="Times New Roman" w:cs="Times New Roman"/>
        </w:rPr>
        <w:t>The growing use of machine learning offers new opportunities to analyze high dimensional exposome data, but future applications must emphasize interpretability alongside predictive performance. Explainable models are essential for identifying influential exposure mixtures, understanding biological pathways, and ensuring that findings can be translated into regulatory and public health contexts. Transparent analytic strategies will also support reproducibility and trust among stakeholders.</w:t>
      </w:r>
    </w:p>
    <w:p w14:paraId="1C6BE66A" w14:textId="77777777" w:rsidR="007C7A3C" w:rsidRPr="007C7A3C" w:rsidRDefault="007C7A3C" w:rsidP="00B5799D">
      <w:pPr>
        <w:jc w:val="both"/>
        <w:rPr>
          <w:rFonts w:ascii="Times New Roman" w:hAnsi="Times New Roman" w:cs="Times New Roman"/>
        </w:rPr>
      </w:pPr>
      <w:r w:rsidRPr="007C7A3C">
        <w:rPr>
          <w:rFonts w:ascii="Times New Roman" w:hAnsi="Times New Roman" w:cs="Times New Roman"/>
        </w:rPr>
        <w:t>Longitudinal cohort studies focused on farmers and agricultural workers represent a critical research need. Existing cohorts remain limited in number and scope, and many lack repeated exposure or biomarker measurements across the life course. Long term follow up, beginning earlier in working life and extending into older age, would improve understanding of exposure trajectories, critical windows of susceptibility, and multi morbidity patterns</w:t>
      </w:r>
      <w:r w:rsidR="005628ED">
        <w:rPr>
          <w:rFonts w:ascii="Times New Roman" w:hAnsi="Times New Roman" w:cs="Times New Roman"/>
        </w:rPr>
        <w:fldChar w:fldCharType="begin"/>
      </w:r>
      <w:r w:rsidR="000C62A4">
        <w:rPr>
          <w:rFonts w:ascii="Times New Roman" w:hAnsi="Times New Roman" w:cs="Times New Roman"/>
        </w:rPr>
        <w:instrText xml:space="preserve"> ADDIN ZOTERO_ITEM CSL_CITATION {"citationID":"zTGxG9ii","properties":{"formattedCitation":"(41)","plainCitation":"(41)","noteIndex":0},"citationItems":[{"id":15069,"uris":["http://zotero.org/users/16652950/items/9KK96UFL"],"itemData":{"id":15069,"type":"article-journal","abstract":"The worldwide rise of neurological and psychiatric conditions poses major challenges. However, current global research remains fragmented, dominated by limited cohorts and poorly integrated datasets that disconnect whole-body health, exposome, and brain health. Theories rarely unify brain measures with extracerebral factors or capture heterogeneity in individual trajectories. We introduce multimodal diversity, a non-linear, non-simplistic causal and ecological construct integrating data representation, whole-body and exposomic factors, and computational modeling to address this situated, embedded, and embodied complexity. This heuristic metamodel integrates global, multilevel data into personalized predictions fostering population inclusion, multimodal integration, diagnostic precision, and equitable, context-sensitive advances in brain health.","container-title":"Nature Communications","DOI":"10.1038/s41467-025-67448-3","ISSN":"2041-1723","issue":"1","journalAbbreviation":"Nat Commun","language":"en","license":"2025 The Author(s)","note":"publisher: Nature Publishing Group","page":"11078","source":"www.nature.com","title":"Computational whole-body-exposome models for global precision brain health","volume":"16","author":[{"family":"Ibáñez","given":"Agustín"},{"family":"Duran-Aniotz","given":"Claudia"},{"family":"Migeot","given":"Joaquín"},{"family":"Báez","given":"Sandra"},{"family":"Fittipaldi","given":"Sol"},{"family":"Coronel-Oliveros","given":"Carlos"},{"family":"Eyre","given":"Harris A."},{"family":"Udeh-Momoh","given":"Chinedu"},{"family":"Zetterberg","given":"Henrik"},{"family":"Alladi","given":"Suvarna"},{"family":"Sandi","given":"Carmen"},{"family":"Robertson","given":"Ian H."},{"family":"Franzen","given":"Sanne"},{"family":"Farombi","given":"Temitope"},{"family":"Montalvo Ortiz","given":"Janitza L."},{"family":"Seshadri","given":"Sudha"},{"family":"Court","given":"Felipe"},{"family":"Valdes-Sosa","given":"Pedro"},{"family":"Xu","given":"Jiayuan"},{"family":"Yu","given":"Chunshui"},{"family":"Grinberg","given":"Lea"},{"family":"Lawlor","given":"Brian"},{"family":"Sachdev","given":"Perminder S."},{"family":"Yaffe","given":"Kristine"},{"family":"Hachinski","given":"Vladimir"},{"family":"Friston","given":"Karl"},{"family":"Tagliazucchi","given":"Enzo"},{"family":"Santamaría-García","given":"Hernando"}],"issued":{"date-parts":[["2025",12,11]]}}}],"schema":"https://github.com/citation-style-language/schema/raw/master/csl-citation.json"} </w:instrText>
      </w:r>
      <w:r w:rsidR="005628ED">
        <w:rPr>
          <w:rFonts w:ascii="Times New Roman" w:hAnsi="Times New Roman" w:cs="Times New Roman"/>
        </w:rPr>
        <w:fldChar w:fldCharType="separate"/>
      </w:r>
      <w:r w:rsidR="000C62A4" w:rsidRPr="000C62A4">
        <w:rPr>
          <w:rFonts w:ascii="Times New Roman" w:hAnsi="Times New Roman" w:cs="Times New Roman"/>
        </w:rPr>
        <w:t>(41)</w:t>
      </w:r>
      <w:r w:rsidR="005628ED">
        <w:rPr>
          <w:rFonts w:ascii="Times New Roman" w:hAnsi="Times New Roman" w:cs="Times New Roman"/>
        </w:rPr>
        <w:fldChar w:fldCharType="end"/>
      </w:r>
      <w:r w:rsidRPr="007C7A3C">
        <w:rPr>
          <w:rFonts w:ascii="Times New Roman" w:hAnsi="Times New Roman" w:cs="Times New Roman"/>
        </w:rPr>
        <w:t>.</w:t>
      </w:r>
    </w:p>
    <w:p w14:paraId="72732BD9" w14:textId="77777777" w:rsidR="007C7A3C" w:rsidRPr="007C7A3C" w:rsidRDefault="007C7A3C" w:rsidP="00B5799D">
      <w:pPr>
        <w:jc w:val="both"/>
        <w:rPr>
          <w:rFonts w:ascii="Times New Roman" w:hAnsi="Times New Roman" w:cs="Times New Roman"/>
        </w:rPr>
      </w:pPr>
      <w:r w:rsidRPr="007C7A3C">
        <w:rPr>
          <w:rFonts w:ascii="Times New Roman" w:hAnsi="Times New Roman" w:cs="Times New Roman"/>
        </w:rPr>
        <w:t>Integration of exposome research with climate and land use change is another emerging priority. Shifts in temperature, precipitation, and pest ecology are altering agrochemical use patterns and environmental transport, with implications for future exposure profiles. Models that incorporate these dynamics will be better positioned to anticipate emerging risks rather than solely documenting past harm.</w:t>
      </w:r>
    </w:p>
    <w:p w14:paraId="47661EA4" w14:textId="77777777" w:rsidR="007C7A3C" w:rsidRPr="007C7A3C" w:rsidRDefault="007C7A3C" w:rsidP="00B5799D">
      <w:pPr>
        <w:jc w:val="both"/>
        <w:rPr>
          <w:rFonts w:ascii="Times New Roman" w:hAnsi="Times New Roman" w:cs="Times New Roman"/>
        </w:rPr>
      </w:pPr>
      <w:r w:rsidRPr="007C7A3C">
        <w:rPr>
          <w:rFonts w:ascii="Times New Roman" w:hAnsi="Times New Roman" w:cs="Times New Roman"/>
        </w:rPr>
        <w:lastRenderedPageBreak/>
        <w:t>Finally, ethical considerations and data justice must be embedded in future research design. Farmers should be engaged as data stakeholders, with meaningful involvement in study governance, data interpretation, and dissemination of results. Transparent communication, protection of privacy, and equitable return of benefits are essential to ensure that exposome science supports, rather than exploits, agricultural communities</w:t>
      </w:r>
      <w:r w:rsidR="005628ED">
        <w:rPr>
          <w:rFonts w:ascii="Times New Roman" w:hAnsi="Times New Roman" w:cs="Times New Roman"/>
        </w:rPr>
        <w:fldChar w:fldCharType="begin"/>
      </w:r>
      <w:r w:rsidR="000C62A4">
        <w:rPr>
          <w:rFonts w:ascii="Times New Roman" w:hAnsi="Times New Roman" w:cs="Times New Roman"/>
        </w:rPr>
        <w:instrText xml:space="preserve"> ADDIN ZOTERO_ITEM CSL_CITATION {"citationID":"5co13Rga","properties":{"formattedCitation":"(42)","plainCitation":"(42)","noteIndex":0},"citationItems":[{"id":15071,"uris":["http://zotero.org/users/16652950/items/URIA4PJB"],"itemData":{"id":15071,"type":"article-journal","abstract":"Climate change is an anthropogenic phenomenon that is alarming scientists and non-scientists alike. The emission of greenhouse gases is causing the temperature of the earth to rise and this increase is accompanied by a multitude of climate change-induced environmental exposures with potential health impacts. Tracking human exposure has been a major research interest of scientists worldwide. This has led to the development of exposome studies that examine internal and external individual exposures over their lifetime and correlate them to health. The monitoring of health has also benefited from significant technological advances in the field of “omics” technologies that analyze physiological changes on the nucleic acid, protein, and metabolism levels, among others. In this review, we discuss various climate change-induced environmental exposures and their potential health implications. We also highlight the potential integration of the technological advancements in the fields of exposome tracking, climate monitoring, and omics technologies shedding light on important questions that need to be answered.","container-title":"Frontiers in Public Health","DOI":"10.3389/fpubh.2022.973000","ISSN":"2296-2565","journalAbbreviation":"Front Public Health","note":"PMID: 36211706\nPMCID: PMC9533016","page":"973000","source":"PubMed Central","title":"Climate change, human health, and the exposome: Utilizing OMIC technologies to navigate an era of uncertainty","title-short":"Climate change, human health, and the exposome","volume":"10","author":[{"family":"Abdelzaher","given":"Hana"},{"family":"Tawfik","given":"Sherouk M."},{"family":"Nour","given":"Ahmed"},{"family":"Abdelkader","given":"Sarah"},{"family":"Elbalkiny","given":"Shaimaa Tarek"},{"family":"Abdelkader","given":"Mohamed"},{"family":"Abbas","given":"Walaa A."},{"family":"Abdelnaser","given":"Anwar"}],"issued":{"date-parts":[["2022",9,21]]}}}],"schema":"https://github.com/citation-style-language/schema/raw/master/csl-citation.json"} </w:instrText>
      </w:r>
      <w:r w:rsidR="005628ED">
        <w:rPr>
          <w:rFonts w:ascii="Times New Roman" w:hAnsi="Times New Roman" w:cs="Times New Roman"/>
        </w:rPr>
        <w:fldChar w:fldCharType="separate"/>
      </w:r>
      <w:r w:rsidR="000C62A4" w:rsidRPr="000C62A4">
        <w:rPr>
          <w:rFonts w:ascii="Times New Roman" w:hAnsi="Times New Roman" w:cs="Times New Roman"/>
        </w:rPr>
        <w:t>(42)</w:t>
      </w:r>
      <w:r w:rsidR="005628ED">
        <w:rPr>
          <w:rFonts w:ascii="Times New Roman" w:hAnsi="Times New Roman" w:cs="Times New Roman"/>
        </w:rPr>
        <w:fldChar w:fldCharType="end"/>
      </w:r>
      <w:r w:rsidRPr="007C7A3C">
        <w:rPr>
          <w:rFonts w:ascii="Times New Roman" w:hAnsi="Times New Roman" w:cs="Times New Roman"/>
        </w:rPr>
        <w:t>.</w:t>
      </w:r>
    </w:p>
    <w:p w14:paraId="33B24854" w14:textId="77777777" w:rsidR="007C7A3C" w:rsidRPr="007C7A3C" w:rsidRDefault="007C7A3C" w:rsidP="00B5799D">
      <w:pPr>
        <w:jc w:val="both"/>
        <w:rPr>
          <w:rFonts w:ascii="Times New Roman" w:hAnsi="Times New Roman" w:cs="Times New Roman"/>
          <w:b/>
          <w:bCs/>
        </w:rPr>
      </w:pPr>
      <w:r w:rsidRPr="007C7A3C">
        <w:rPr>
          <w:rFonts w:ascii="Times New Roman" w:hAnsi="Times New Roman" w:cs="Times New Roman"/>
          <w:b/>
          <w:bCs/>
        </w:rPr>
        <w:t>9. Conclusion</w:t>
      </w:r>
    </w:p>
    <w:p w14:paraId="598D94AF" w14:textId="77777777" w:rsidR="007C7A3C" w:rsidRPr="007C7A3C" w:rsidRDefault="007C7A3C" w:rsidP="00B5799D">
      <w:pPr>
        <w:jc w:val="both"/>
        <w:rPr>
          <w:rFonts w:ascii="Times New Roman" w:hAnsi="Times New Roman" w:cs="Times New Roman"/>
        </w:rPr>
      </w:pPr>
      <w:r w:rsidRPr="007C7A3C">
        <w:rPr>
          <w:rFonts w:ascii="Times New Roman" w:hAnsi="Times New Roman" w:cs="Times New Roman"/>
        </w:rPr>
        <w:t xml:space="preserve">Agrochemical exposure in U.S. farming systems represents a complex and enduring public health challenge that cannot be adequately addressed through single chemical or </w:t>
      </w:r>
      <w:proofErr w:type="gramStart"/>
      <w:r w:rsidRPr="007C7A3C">
        <w:rPr>
          <w:rFonts w:ascii="Times New Roman" w:hAnsi="Times New Roman" w:cs="Times New Roman"/>
        </w:rPr>
        <w:t>short term</w:t>
      </w:r>
      <w:proofErr w:type="gramEnd"/>
      <w:r w:rsidRPr="007C7A3C">
        <w:rPr>
          <w:rFonts w:ascii="Times New Roman" w:hAnsi="Times New Roman" w:cs="Times New Roman"/>
        </w:rPr>
        <w:t xml:space="preserve"> assessment approaches. Farmers experience cumulative, multi pathway exposures across the life course, with health effects that often emerge after long latency periods and manifest as overlapping chronic conditions. Exposome based modeling provides a critical bridge between environmental contamination and chronic disease risk by integrating diverse exposure sources, biological responses, and contextual factors into a coherent analytical framework.</w:t>
      </w:r>
    </w:p>
    <w:p w14:paraId="278DD312" w14:textId="77777777" w:rsidR="007C7A3C" w:rsidRPr="007C7A3C" w:rsidRDefault="007C7A3C" w:rsidP="00B5799D">
      <w:pPr>
        <w:jc w:val="both"/>
        <w:rPr>
          <w:rFonts w:ascii="Times New Roman" w:hAnsi="Times New Roman" w:cs="Times New Roman"/>
        </w:rPr>
      </w:pPr>
      <w:r w:rsidRPr="007C7A3C">
        <w:rPr>
          <w:rFonts w:ascii="Times New Roman" w:hAnsi="Times New Roman" w:cs="Times New Roman"/>
        </w:rPr>
        <w:t xml:space="preserve">By moving beyond reductionist exposure paradigms, integrative exposome approaches improve the capacity to identify high risk mixtures, vulnerable populations, and critical windows of susceptibility. This has direct implications for regulatory science, as cumulative and </w:t>
      </w:r>
      <w:proofErr w:type="gramStart"/>
      <w:r w:rsidRPr="007C7A3C">
        <w:rPr>
          <w:rFonts w:ascii="Times New Roman" w:hAnsi="Times New Roman" w:cs="Times New Roman"/>
        </w:rPr>
        <w:t>mixture based</w:t>
      </w:r>
      <w:proofErr w:type="gramEnd"/>
      <w:r w:rsidRPr="007C7A3C">
        <w:rPr>
          <w:rFonts w:ascii="Times New Roman" w:hAnsi="Times New Roman" w:cs="Times New Roman"/>
        </w:rPr>
        <w:t xml:space="preserve"> evidence can inform more realistic risk assessment and guide reforms that address long standing blind spots in agricultural oversight. Exposome informed surveillance and prevention strategies also offer pathways for earlier intervention, shifting the focus from downstream disease management to upstream risk reduction.</w:t>
      </w:r>
    </w:p>
    <w:p w14:paraId="06E716AF" w14:textId="77777777" w:rsidR="007C7A3C" w:rsidRDefault="007C7A3C" w:rsidP="00B5799D">
      <w:pPr>
        <w:jc w:val="both"/>
        <w:rPr>
          <w:rFonts w:ascii="Times New Roman" w:hAnsi="Times New Roman" w:cs="Times New Roman"/>
        </w:rPr>
      </w:pPr>
      <w:r w:rsidRPr="007C7A3C">
        <w:rPr>
          <w:rFonts w:ascii="Times New Roman" w:hAnsi="Times New Roman" w:cs="Times New Roman"/>
        </w:rPr>
        <w:t>Importantly, the application of exposome modeling in agricultural health has implications for health equity. Farming communities, particularly those reliant on private wells or operating in resource limited settings, have historically borne disproportionate environmental risks with limited institutional protection. Integrated environmental and occupational health strategies that recognize farmers as stakeholders rather than passive recipients of risk are essential for addressing these inequities. Together, these advances position exposome based research as a foundation for more preventive, equitable, and scientifically grounded protection of agricultural populations.</w:t>
      </w:r>
    </w:p>
    <w:p w14:paraId="6A5DF371" w14:textId="77777777" w:rsidR="000F2DBA" w:rsidRPr="007C7A3C" w:rsidRDefault="000F2DBA" w:rsidP="00B5799D">
      <w:pPr>
        <w:jc w:val="both"/>
        <w:rPr>
          <w:rFonts w:ascii="Times New Roman" w:hAnsi="Times New Roman" w:cs="Times New Roman"/>
          <w:b/>
          <w:bCs/>
        </w:rPr>
      </w:pPr>
      <w:r w:rsidRPr="000F2DBA">
        <w:rPr>
          <w:rFonts w:ascii="Times New Roman" w:hAnsi="Times New Roman" w:cs="Times New Roman"/>
          <w:b/>
          <w:bCs/>
        </w:rPr>
        <w:t>REFERENCES</w:t>
      </w:r>
    </w:p>
    <w:p w14:paraId="315114E9" w14:textId="77777777" w:rsidR="00AD780F" w:rsidRDefault="00AD780F" w:rsidP="00B5799D">
      <w:pPr>
        <w:jc w:val="both"/>
        <w:rPr>
          <w:rFonts w:ascii="Times New Roman" w:hAnsi="Times New Roman" w:cs="Times New Roman"/>
        </w:rPr>
      </w:pPr>
    </w:p>
    <w:p w14:paraId="0E9C06D7" w14:textId="77777777" w:rsidR="000C62A4" w:rsidRPr="000C62A4" w:rsidRDefault="000F2DBA" w:rsidP="000C62A4">
      <w:pPr>
        <w:pStyle w:val="Bibliography"/>
        <w:rPr>
          <w:rFonts w:ascii="Times New Roman" w:hAnsi="Times New Roman" w:cs="Times New Roman"/>
        </w:rPr>
      </w:pPr>
      <w:r>
        <w:fldChar w:fldCharType="begin"/>
      </w:r>
      <w:r>
        <w:instrText xml:space="preserve"> ADDIN ZOTERO_BIBL {"uncited":[],"omitted":[],"custom":[]} CSL_BIBLIOGRAPHY </w:instrText>
      </w:r>
      <w:r>
        <w:fldChar w:fldCharType="separate"/>
      </w:r>
      <w:r w:rsidR="000C62A4" w:rsidRPr="000C62A4">
        <w:rPr>
          <w:rFonts w:ascii="Times New Roman" w:hAnsi="Times New Roman" w:cs="Times New Roman"/>
        </w:rPr>
        <w:t>1.</w:t>
      </w:r>
      <w:r w:rsidR="000C62A4" w:rsidRPr="000C62A4">
        <w:rPr>
          <w:rFonts w:ascii="Times New Roman" w:hAnsi="Times New Roman" w:cs="Times New Roman"/>
        </w:rPr>
        <w:tab/>
        <w:t>Lazarević-Pašti T, Milanković V, Tasić T, Petrović S, Leskovac A. With or Without You?—A Critical Review on Pesticides in Food. Foods. 2025 Mar 24;14(7). doi:10.3390/foods14071128</w:t>
      </w:r>
    </w:p>
    <w:p w14:paraId="12BF1191" w14:textId="77777777" w:rsidR="000C62A4" w:rsidRPr="000C62A4" w:rsidRDefault="000C62A4" w:rsidP="000C62A4">
      <w:pPr>
        <w:pStyle w:val="Bibliography"/>
        <w:rPr>
          <w:rFonts w:ascii="Times New Roman" w:hAnsi="Times New Roman" w:cs="Times New Roman"/>
        </w:rPr>
      </w:pPr>
      <w:r w:rsidRPr="000C62A4">
        <w:rPr>
          <w:rFonts w:ascii="Times New Roman" w:hAnsi="Times New Roman" w:cs="Times New Roman"/>
        </w:rPr>
        <w:t>2.</w:t>
      </w:r>
      <w:r w:rsidRPr="000C62A4">
        <w:rPr>
          <w:rFonts w:ascii="Times New Roman" w:hAnsi="Times New Roman" w:cs="Times New Roman"/>
        </w:rPr>
        <w:tab/>
        <w:t>Anaduaka EG, Uchendu NO, Asomadu RO, Ezugwu AL, Okeke ES, Chidike Ezeorba TP. Widespread use of toxic agrochemicals and pesticides for agricultural products storage in Africa and developing countries: Possible panacea for ecotoxicology and health implications. Heliyon. 2023 Apr 1;9(4):e15173. doi:10.1016/j.heliyon.2023.e15173</w:t>
      </w:r>
    </w:p>
    <w:p w14:paraId="4711A8A3" w14:textId="77777777" w:rsidR="000C62A4" w:rsidRPr="000C62A4" w:rsidRDefault="000C62A4" w:rsidP="000C62A4">
      <w:pPr>
        <w:pStyle w:val="Bibliography"/>
        <w:rPr>
          <w:rFonts w:ascii="Times New Roman" w:hAnsi="Times New Roman" w:cs="Times New Roman"/>
        </w:rPr>
      </w:pPr>
      <w:r w:rsidRPr="000C62A4">
        <w:rPr>
          <w:rFonts w:ascii="Times New Roman" w:hAnsi="Times New Roman" w:cs="Times New Roman"/>
        </w:rPr>
        <w:lastRenderedPageBreak/>
        <w:t>3.</w:t>
      </w:r>
      <w:r w:rsidRPr="000C62A4">
        <w:rPr>
          <w:rFonts w:ascii="Times New Roman" w:hAnsi="Times New Roman" w:cs="Times New Roman"/>
        </w:rPr>
        <w:tab/>
        <w:t>Castro-Vargas S, Hernández Rodríguez C, Navas G, Castañón Ballivián E, Xu Y, Marini DA. Pesticides and food sovereignty: (dis)connections and challenges for agrarian movements. The Journal of Peasant Studies. 2025 Oct 2;1–31. doi:10.1080/03066150.2025.2549340</w:t>
      </w:r>
    </w:p>
    <w:p w14:paraId="0B7F6191" w14:textId="77777777" w:rsidR="000C62A4" w:rsidRPr="000C62A4" w:rsidRDefault="000C62A4" w:rsidP="000C62A4">
      <w:pPr>
        <w:pStyle w:val="Bibliography"/>
        <w:rPr>
          <w:rFonts w:ascii="Times New Roman" w:hAnsi="Times New Roman" w:cs="Times New Roman"/>
        </w:rPr>
      </w:pPr>
      <w:r w:rsidRPr="000C62A4">
        <w:rPr>
          <w:rFonts w:ascii="Times New Roman" w:hAnsi="Times New Roman" w:cs="Times New Roman"/>
        </w:rPr>
        <w:t>4.</w:t>
      </w:r>
      <w:r w:rsidRPr="000C62A4">
        <w:rPr>
          <w:rFonts w:ascii="Times New Roman" w:hAnsi="Times New Roman" w:cs="Times New Roman"/>
        </w:rPr>
        <w:tab/>
        <w:t>Benavidez GA. Chronic Disease Prevalence in the US: Sociodemographic and Geographic Variations by Zip Code Tabulation Area. Prev Chronic Dis. 2024;21. doi:10.5888/pcd21.230267</w:t>
      </w:r>
    </w:p>
    <w:p w14:paraId="30CE9DD1" w14:textId="77777777" w:rsidR="000C62A4" w:rsidRPr="000C62A4" w:rsidRDefault="000C62A4" w:rsidP="000C62A4">
      <w:pPr>
        <w:pStyle w:val="Bibliography"/>
        <w:rPr>
          <w:rFonts w:ascii="Times New Roman" w:hAnsi="Times New Roman" w:cs="Times New Roman"/>
        </w:rPr>
      </w:pPr>
      <w:r w:rsidRPr="000C62A4">
        <w:rPr>
          <w:rFonts w:ascii="Times New Roman" w:hAnsi="Times New Roman" w:cs="Times New Roman"/>
        </w:rPr>
        <w:t>5.</w:t>
      </w:r>
      <w:r w:rsidRPr="000C62A4">
        <w:rPr>
          <w:rFonts w:ascii="Times New Roman" w:hAnsi="Times New Roman" w:cs="Times New Roman"/>
        </w:rPr>
        <w:tab/>
        <w:t>Ladeira C. Environmental and Occupational Exposure to Chemical Agents and Health Challenges I—What Message Can Bring to Regulatory Science? Toxics. 2024 Oct 24;12(11). doi:10.3390/toxics12110778</w:t>
      </w:r>
    </w:p>
    <w:p w14:paraId="01891FDD" w14:textId="77777777" w:rsidR="000C62A4" w:rsidRPr="000C62A4" w:rsidRDefault="000C62A4" w:rsidP="000C62A4">
      <w:pPr>
        <w:pStyle w:val="Bibliography"/>
        <w:rPr>
          <w:rFonts w:ascii="Times New Roman" w:hAnsi="Times New Roman" w:cs="Times New Roman"/>
        </w:rPr>
      </w:pPr>
      <w:r w:rsidRPr="000C62A4">
        <w:rPr>
          <w:rFonts w:ascii="Times New Roman" w:hAnsi="Times New Roman" w:cs="Times New Roman"/>
        </w:rPr>
        <w:t>6.</w:t>
      </w:r>
      <w:r w:rsidRPr="000C62A4">
        <w:rPr>
          <w:rFonts w:ascii="Times New Roman" w:hAnsi="Times New Roman" w:cs="Times New Roman"/>
        </w:rPr>
        <w:tab/>
        <w:t>Shekhar C, Khosya R, Thakur K, Mahajan D, Kumar R, Kumar S, et al. A systematic review of pesticide exposure, associated risks, and long-term human health impacts. Toxicology Reports. 2024 Dec 1;13:101840. doi:10.1016/j.toxrep.2024.101840</w:t>
      </w:r>
    </w:p>
    <w:p w14:paraId="049818F6" w14:textId="77777777" w:rsidR="000C62A4" w:rsidRPr="000C62A4" w:rsidRDefault="000C62A4" w:rsidP="000C62A4">
      <w:pPr>
        <w:pStyle w:val="Bibliography"/>
        <w:rPr>
          <w:rFonts w:ascii="Times New Roman" w:hAnsi="Times New Roman" w:cs="Times New Roman"/>
        </w:rPr>
      </w:pPr>
      <w:r w:rsidRPr="000C62A4">
        <w:rPr>
          <w:rFonts w:ascii="Times New Roman" w:hAnsi="Times New Roman" w:cs="Times New Roman"/>
        </w:rPr>
        <w:t>7.</w:t>
      </w:r>
      <w:r w:rsidRPr="000C62A4">
        <w:rPr>
          <w:rFonts w:ascii="Times New Roman" w:hAnsi="Times New Roman" w:cs="Times New Roman"/>
        </w:rPr>
        <w:tab/>
        <w:t>Ahmad MF, Ahmad FA, Alsayegh AA, Zeyaullah Md, AlShahrani AM, Muzammil K, et al. Pesticides impacts on human health and the environment with their mechanisms of action and possible countermeasures. Heliyon. 2024 Apr 15;10(7):e29128. doi:10.1016/j.heliyon.2024.e29128</w:t>
      </w:r>
    </w:p>
    <w:p w14:paraId="5A024745" w14:textId="77777777" w:rsidR="000C62A4" w:rsidRPr="000C62A4" w:rsidRDefault="000C62A4" w:rsidP="000C62A4">
      <w:pPr>
        <w:pStyle w:val="Bibliography"/>
        <w:rPr>
          <w:rFonts w:ascii="Times New Roman" w:hAnsi="Times New Roman" w:cs="Times New Roman"/>
        </w:rPr>
      </w:pPr>
      <w:r w:rsidRPr="000C62A4">
        <w:rPr>
          <w:rFonts w:ascii="Times New Roman" w:hAnsi="Times New Roman" w:cs="Times New Roman"/>
        </w:rPr>
        <w:t>8.</w:t>
      </w:r>
      <w:r w:rsidRPr="000C62A4">
        <w:rPr>
          <w:rFonts w:ascii="Times New Roman" w:hAnsi="Times New Roman" w:cs="Times New Roman"/>
        </w:rPr>
        <w:tab/>
        <w:t>Baćmaga M, Wyszkowska J, Kucharski J. Environmental Implication of Herbicide Use. Molecules. 2024 Dec 18;29(24):5965. doi:10.3390/molecules29245965 PubMed PMID: 39770054; PubMed Central PMCID: PMC11677524.</w:t>
      </w:r>
    </w:p>
    <w:p w14:paraId="2475065B" w14:textId="77777777" w:rsidR="000C62A4" w:rsidRPr="000C62A4" w:rsidRDefault="000C62A4" w:rsidP="000C62A4">
      <w:pPr>
        <w:pStyle w:val="Bibliography"/>
        <w:rPr>
          <w:rFonts w:ascii="Times New Roman" w:hAnsi="Times New Roman" w:cs="Times New Roman"/>
        </w:rPr>
      </w:pPr>
      <w:r w:rsidRPr="000C62A4">
        <w:rPr>
          <w:rFonts w:ascii="Times New Roman" w:hAnsi="Times New Roman" w:cs="Times New Roman"/>
        </w:rPr>
        <w:t>9.</w:t>
      </w:r>
      <w:r w:rsidRPr="000C62A4">
        <w:rPr>
          <w:rFonts w:ascii="Times New Roman" w:hAnsi="Times New Roman" w:cs="Times New Roman"/>
        </w:rPr>
        <w:tab/>
        <w:t>Mueller W, Jones K, Fuhrimann S, Ahmad ZNBS, Sams C, Harding AH, et al. Factors influencing occupational exposure to pyrethroids and glyphosate: An analysis of urinary biomarkers in Malaysia, Uganda and the United Kingdom. Environmental Research. 2024 Feb 1;242:117651. doi:10.1016/j.envres.2023.117651</w:t>
      </w:r>
    </w:p>
    <w:p w14:paraId="388194F2" w14:textId="77777777" w:rsidR="000C62A4" w:rsidRPr="000C62A4" w:rsidRDefault="000C62A4" w:rsidP="000C62A4">
      <w:pPr>
        <w:pStyle w:val="Bibliography"/>
        <w:rPr>
          <w:rFonts w:ascii="Times New Roman" w:hAnsi="Times New Roman" w:cs="Times New Roman"/>
        </w:rPr>
      </w:pPr>
      <w:r w:rsidRPr="000C62A4">
        <w:rPr>
          <w:rFonts w:ascii="Times New Roman" w:hAnsi="Times New Roman" w:cs="Times New Roman"/>
        </w:rPr>
        <w:t>10.</w:t>
      </w:r>
      <w:r w:rsidRPr="000C62A4">
        <w:rPr>
          <w:rFonts w:ascii="Times New Roman" w:hAnsi="Times New Roman" w:cs="Times New Roman"/>
        </w:rPr>
        <w:tab/>
        <w:t>Tudi M, Li H, Li H, Wang L, Lyu J, Yang L, et al. Exposure Routes and Health Risks Associated with Pesticide Application. Toxics. 2022 Jun 19;10(6):335. doi:10.3390/toxics10060335 PubMed PMID: 35736943; PubMed Central PMCID: PMC9231402.</w:t>
      </w:r>
    </w:p>
    <w:p w14:paraId="5E3BD11E" w14:textId="77777777" w:rsidR="000C62A4" w:rsidRPr="000C62A4" w:rsidRDefault="000C62A4" w:rsidP="000C62A4">
      <w:pPr>
        <w:pStyle w:val="Bibliography"/>
        <w:rPr>
          <w:rFonts w:ascii="Times New Roman" w:hAnsi="Times New Roman" w:cs="Times New Roman"/>
        </w:rPr>
      </w:pPr>
      <w:r w:rsidRPr="000C62A4">
        <w:rPr>
          <w:rFonts w:ascii="Times New Roman" w:hAnsi="Times New Roman" w:cs="Times New Roman"/>
        </w:rPr>
        <w:t>11.</w:t>
      </w:r>
      <w:r w:rsidRPr="000C62A4">
        <w:rPr>
          <w:rFonts w:ascii="Times New Roman" w:hAnsi="Times New Roman" w:cs="Times New Roman"/>
        </w:rPr>
        <w:tab/>
        <w:t>Materu SF, Heise S, Urban B. Seasonal and Spatial Detection of Pesticide Residues Under Various Weather Conditions of Agricultural Areas of the Kilombero Valley Ramsar Site, Tanzania. Front Environ Sci. 2021 Mar 9;9. doi:10.3389/fenvs.2021.599814</w:t>
      </w:r>
    </w:p>
    <w:p w14:paraId="37D2577F" w14:textId="77777777" w:rsidR="000C62A4" w:rsidRPr="000C62A4" w:rsidRDefault="000C62A4" w:rsidP="000C62A4">
      <w:pPr>
        <w:pStyle w:val="Bibliography"/>
        <w:rPr>
          <w:rFonts w:ascii="Times New Roman" w:hAnsi="Times New Roman" w:cs="Times New Roman"/>
        </w:rPr>
      </w:pPr>
      <w:r w:rsidRPr="000C62A4">
        <w:rPr>
          <w:rFonts w:ascii="Times New Roman" w:hAnsi="Times New Roman" w:cs="Times New Roman"/>
        </w:rPr>
        <w:t>12.</w:t>
      </w:r>
      <w:r w:rsidRPr="000C62A4">
        <w:rPr>
          <w:rFonts w:ascii="Times New Roman" w:hAnsi="Times New Roman" w:cs="Times New Roman"/>
        </w:rPr>
        <w:tab/>
        <w:t>Burns CJ, Juberg DR. Cancer and occupational exposure to pesticides: an umbrella review. Int Arch Occup Environ Health. 2021 Jul 1;94(5):945–57. doi:10.1007/s00420-020-01638-y</w:t>
      </w:r>
    </w:p>
    <w:p w14:paraId="1B7376AF" w14:textId="77777777" w:rsidR="000C62A4" w:rsidRPr="000C62A4" w:rsidRDefault="000C62A4" w:rsidP="000C62A4">
      <w:pPr>
        <w:pStyle w:val="Bibliography"/>
        <w:rPr>
          <w:rFonts w:ascii="Times New Roman" w:hAnsi="Times New Roman" w:cs="Times New Roman"/>
        </w:rPr>
      </w:pPr>
      <w:r w:rsidRPr="000C62A4">
        <w:rPr>
          <w:rFonts w:ascii="Times New Roman" w:hAnsi="Times New Roman" w:cs="Times New Roman"/>
        </w:rPr>
        <w:t>13.</w:t>
      </w:r>
      <w:r w:rsidRPr="000C62A4">
        <w:rPr>
          <w:rFonts w:ascii="Times New Roman" w:hAnsi="Times New Roman" w:cs="Times New Roman"/>
        </w:rPr>
        <w:tab/>
        <w:t>Jaylet T, Chauhan V, Mezquita L, Boroumand N, Laurent O, Elihn K, et al. Comprehensive computational analysis via Adverse Outcome Pathways and Aggregate Exposure Pathways in exploring synergistic effects from radon and tobacco smoke on lung cancer. Front Public Health. 2025 Jul 31;13. doi:10.3389/fpubh.2025.1571290</w:t>
      </w:r>
    </w:p>
    <w:p w14:paraId="379CDF5B" w14:textId="77777777" w:rsidR="000C62A4" w:rsidRPr="000C62A4" w:rsidRDefault="000C62A4" w:rsidP="000C62A4">
      <w:pPr>
        <w:pStyle w:val="Bibliography"/>
        <w:rPr>
          <w:rFonts w:ascii="Times New Roman" w:hAnsi="Times New Roman" w:cs="Times New Roman"/>
        </w:rPr>
      </w:pPr>
      <w:r w:rsidRPr="000C62A4">
        <w:rPr>
          <w:rFonts w:ascii="Times New Roman" w:hAnsi="Times New Roman" w:cs="Times New Roman"/>
        </w:rPr>
        <w:lastRenderedPageBreak/>
        <w:t>14.</w:t>
      </w:r>
      <w:r w:rsidRPr="000C62A4">
        <w:rPr>
          <w:rFonts w:ascii="Times New Roman" w:hAnsi="Times New Roman" w:cs="Times New Roman"/>
        </w:rPr>
        <w:tab/>
        <w:t>Atterling Brolin K, Schaeffer E, Kuri A, Rumrich IK, Schumacher Schuh AF, Darweesh SKL, et al. Environmental Risk Factors for Parkinson’s Disease: A Critical Review and Policy Implications. Mov Disord. 2025 Feb;40(2):204–21. doi:10.1002/mds.30067 PubMed PMID: 39601461; PubMed Central PMCID: PMC11832802.</w:t>
      </w:r>
    </w:p>
    <w:p w14:paraId="1831805A" w14:textId="77777777" w:rsidR="000C62A4" w:rsidRPr="000C62A4" w:rsidRDefault="000C62A4" w:rsidP="000C62A4">
      <w:pPr>
        <w:pStyle w:val="Bibliography"/>
        <w:rPr>
          <w:rFonts w:ascii="Times New Roman" w:hAnsi="Times New Roman" w:cs="Times New Roman"/>
        </w:rPr>
      </w:pPr>
      <w:r w:rsidRPr="000C62A4">
        <w:rPr>
          <w:rFonts w:ascii="Times New Roman" w:hAnsi="Times New Roman" w:cs="Times New Roman"/>
        </w:rPr>
        <w:t>15.</w:t>
      </w:r>
      <w:r w:rsidRPr="000C62A4">
        <w:rPr>
          <w:rFonts w:ascii="Times New Roman" w:hAnsi="Times New Roman" w:cs="Times New Roman"/>
        </w:rPr>
        <w:tab/>
        <w:t>Yahya NAA, Meramat AA. Association Between Occupational Toxicity Exposure to Pesticides and Parkinson’s Disease Among Adults: Systematic Review and Meta-Analysis. Asian Journal of Medicine and Biomedicine. 2022 Nov 4;6(S1):43–4. doi:10.37231/ajmb.2022.6.S1.521</w:t>
      </w:r>
    </w:p>
    <w:p w14:paraId="3E15AB73" w14:textId="77777777" w:rsidR="000C62A4" w:rsidRPr="000C62A4" w:rsidRDefault="000C62A4" w:rsidP="000C62A4">
      <w:pPr>
        <w:pStyle w:val="Bibliography"/>
        <w:rPr>
          <w:rFonts w:ascii="Times New Roman" w:hAnsi="Times New Roman" w:cs="Times New Roman"/>
        </w:rPr>
      </w:pPr>
      <w:r w:rsidRPr="000C62A4">
        <w:rPr>
          <w:rFonts w:ascii="Times New Roman" w:hAnsi="Times New Roman" w:cs="Times New Roman"/>
        </w:rPr>
        <w:t>16.</w:t>
      </w:r>
      <w:r w:rsidRPr="000C62A4">
        <w:rPr>
          <w:rFonts w:ascii="Times New Roman" w:hAnsi="Times New Roman" w:cs="Times New Roman"/>
        </w:rPr>
        <w:tab/>
        <w:t>Ma CX, Ma XN, Li HL, Mauricio D, Fu SB. Endocrine-disrupting chemicals exposure: cardiometabolic health risk in humans. Cardiovasc Diabetol. 2025 Oct 1;24(1):381. doi:10.1186/s12933-025-02938-8</w:t>
      </w:r>
    </w:p>
    <w:p w14:paraId="605F41CD" w14:textId="77777777" w:rsidR="000C62A4" w:rsidRPr="000C62A4" w:rsidRDefault="000C62A4" w:rsidP="000C62A4">
      <w:pPr>
        <w:pStyle w:val="Bibliography"/>
        <w:rPr>
          <w:rFonts w:ascii="Times New Roman" w:hAnsi="Times New Roman" w:cs="Times New Roman"/>
        </w:rPr>
      </w:pPr>
      <w:r w:rsidRPr="000C62A4">
        <w:rPr>
          <w:rFonts w:ascii="Times New Roman" w:hAnsi="Times New Roman" w:cs="Times New Roman"/>
        </w:rPr>
        <w:t>17.</w:t>
      </w:r>
      <w:r w:rsidRPr="000C62A4">
        <w:rPr>
          <w:rFonts w:ascii="Times New Roman" w:hAnsi="Times New Roman" w:cs="Times New Roman"/>
        </w:rPr>
        <w:tab/>
        <w:t>Lawal OP, Ebiala FI, Abayomi M, Okeoma OI, Amankwah NAA, Patrick JO, et al. Chronic Infections and Diabetes in Africa: A Narrative Review of Pathogen-Associated Metabolic Risk. Cureus. 2025 Dec 23. doi:10.7759/cureus.99923</w:t>
      </w:r>
    </w:p>
    <w:p w14:paraId="416C4C4F" w14:textId="77777777" w:rsidR="000C62A4" w:rsidRPr="000C62A4" w:rsidRDefault="000C62A4" w:rsidP="000C62A4">
      <w:pPr>
        <w:pStyle w:val="Bibliography"/>
        <w:rPr>
          <w:rFonts w:ascii="Times New Roman" w:hAnsi="Times New Roman" w:cs="Times New Roman"/>
        </w:rPr>
      </w:pPr>
      <w:r w:rsidRPr="000C62A4">
        <w:rPr>
          <w:rFonts w:ascii="Times New Roman" w:hAnsi="Times New Roman" w:cs="Times New Roman"/>
        </w:rPr>
        <w:t>18.</w:t>
      </w:r>
      <w:r w:rsidRPr="000C62A4">
        <w:rPr>
          <w:rFonts w:ascii="Times New Roman" w:hAnsi="Times New Roman" w:cs="Times New Roman"/>
        </w:rPr>
        <w:tab/>
        <w:t>Apú N, Rommes F, Alvarado-Arias M, Méndez-Rivera M, Lizano-Fallas V. Endocrine-disrupting pesticide exposure relevant to reproductive health: a case study from Costa Rica. Environ Monit Assess. 2025;197(5):559. doi:10.1007/s10661-025-14011-8 PubMed PMID: 40237939; PubMed Central PMCID: PMC12003610.</w:t>
      </w:r>
    </w:p>
    <w:p w14:paraId="72B84FAF" w14:textId="77777777" w:rsidR="000C62A4" w:rsidRPr="000C62A4" w:rsidRDefault="000C62A4" w:rsidP="000C62A4">
      <w:pPr>
        <w:pStyle w:val="Bibliography"/>
        <w:rPr>
          <w:rFonts w:ascii="Times New Roman" w:hAnsi="Times New Roman" w:cs="Times New Roman"/>
        </w:rPr>
      </w:pPr>
      <w:r w:rsidRPr="000C62A4">
        <w:rPr>
          <w:rFonts w:ascii="Times New Roman" w:hAnsi="Times New Roman" w:cs="Times New Roman"/>
        </w:rPr>
        <w:t>19.</w:t>
      </w:r>
      <w:r w:rsidRPr="000C62A4">
        <w:rPr>
          <w:rFonts w:ascii="Times New Roman" w:hAnsi="Times New Roman" w:cs="Times New Roman"/>
        </w:rPr>
        <w:tab/>
        <w:t>Dlamini Z, Alaouna M, Marutha T, Mkhize-Kwitshana Z, Mbodi L, Chauke-Malinga N, et al. The Exposome Perspective: Environmental and Infectious Agents as Drivers of Cancer Disparities in Low- and Middle-Income Countries. Cancers. 2025 Jul 31;17(15). doi:10.3390/cancers17152537</w:t>
      </w:r>
    </w:p>
    <w:p w14:paraId="23D5D660" w14:textId="77777777" w:rsidR="000C62A4" w:rsidRPr="000C62A4" w:rsidRDefault="000C62A4" w:rsidP="000C62A4">
      <w:pPr>
        <w:pStyle w:val="Bibliography"/>
        <w:rPr>
          <w:rFonts w:ascii="Times New Roman" w:hAnsi="Times New Roman" w:cs="Times New Roman"/>
        </w:rPr>
      </w:pPr>
      <w:r w:rsidRPr="000C62A4">
        <w:rPr>
          <w:rFonts w:ascii="Times New Roman" w:hAnsi="Times New Roman" w:cs="Times New Roman"/>
        </w:rPr>
        <w:t>20.</w:t>
      </w:r>
      <w:r w:rsidRPr="000C62A4">
        <w:rPr>
          <w:rFonts w:ascii="Times New Roman" w:hAnsi="Times New Roman" w:cs="Times New Roman"/>
        </w:rPr>
        <w:tab/>
        <w:t>Dalton KR, Lee M, Wang Z, Zhao S, Parks CG, Beane-Freeman LE, et al. Occupational farm work activities influence workers’ indoor home microbiome. Environmental Research. 2024 Feb 15;243:117819. doi:10.1016/j.envres.2023.117819</w:t>
      </w:r>
    </w:p>
    <w:p w14:paraId="5D8DE6A2" w14:textId="77777777" w:rsidR="000C62A4" w:rsidRPr="000C62A4" w:rsidRDefault="000C62A4" w:rsidP="000C62A4">
      <w:pPr>
        <w:pStyle w:val="Bibliography"/>
        <w:rPr>
          <w:rFonts w:ascii="Times New Roman" w:hAnsi="Times New Roman" w:cs="Times New Roman"/>
        </w:rPr>
      </w:pPr>
      <w:r w:rsidRPr="000C62A4">
        <w:rPr>
          <w:rFonts w:ascii="Times New Roman" w:hAnsi="Times New Roman" w:cs="Times New Roman"/>
        </w:rPr>
        <w:t>21.</w:t>
      </w:r>
      <w:r w:rsidRPr="000C62A4">
        <w:rPr>
          <w:rFonts w:ascii="Times New Roman" w:hAnsi="Times New Roman" w:cs="Times New Roman"/>
        </w:rPr>
        <w:tab/>
        <w:t>Song Y, Deziel NC, Bell ML. Delineating Urbanicity and Rurality: Impact on Environmental Exposure Assessment. Environ Sci Technol. 2024 Oct 29;58(43):19178–88. doi:10.1021/acs.est.4c06942 PubMed PMID: 39412270; PubMed Central PMCID: PMC11627196.</w:t>
      </w:r>
    </w:p>
    <w:p w14:paraId="27D5B2D0" w14:textId="77777777" w:rsidR="000C62A4" w:rsidRPr="000C62A4" w:rsidRDefault="000C62A4" w:rsidP="000C62A4">
      <w:pPr>
        <w:pStyle w:val="Bibliography"/>
        <w:rPr>
          <w:rFonts w:ascii="Times New Roman" w:hAnsi="Times New Roman" w:cs="Times New Roman"/>
        </w:rPr>
      </w:pPr>
      <w:r w:rsidRPr="000C62A4">
        <w:rPr>
          <w:rFonts w:ascii="Times New Roman" w:hAnsi="Times New Roman" w:cs="Times New Roman"/>
        </w:rPr>
        <w:t>22.</w:t>
      </w:r>
      <w:r w:rsidRPr="000C62A4">
        <w:rPr>
          <w:rFonts w:ascii="Times New Roman" w:hAnsi="Times New Roman" w:cs="Times New Roman"/>
        </w:rPr>
        <w:tab/>
        <w:t>Matus P, Urquidi C, Cárcamo M, Vidal V. Integrating the exposome and one health approach to national health surveillance: an opportunity for Latin American countries in health preventive management. Front Public Health. 2024 Aug 14;12:1376609. doi:10.3389/fpubh.2024.1376609 PubMed PMID: 39211902; PubMed Central PMCID: PMC11359557.</w:t>
      </w:r>
    </w:p>
    <w:p w14:paraId="4C39A6DC" w14:textId="77777777" w:rsidR="000C62A4" w:rsidRPr="000C62A4" w:rsidRDefault="000C62A4" w:rsidP="000C62A4">
      <w:pPr>
        <w:pStyle w:val="Bibliography"/>
        <w:rPr>
          <w:rFonts w:ascii="Times New Roman" w:hAnsi="Times New Roman" w:cs="Times New Roman"/>
        </w:rPr>
      </w:pPr>
      <w:r w:rsidRPr="000C62A4">
        <w:rPr>
          <w:rFonts w:ascii="Times New Roman" w:hAnsi="Times New Roman" w:cs="Times New Roman"/>
        </w:rPr>
        <w:t>23.</w:t>
      </w:r>
      <w:r w:rsidRPr="000C62A4">
        <w:rPr>
          <w:rFonts w:ascii="Times New Roman" w:hAnsi="Times New Roman" w:cs="Times New Roman"/>
        </w:rPr>
        <w:tab/>
        <w:t>Galimberti F, Bopp SK, Carletti A, Catarino R, Claverie M, Florio P, et al. Development of a spatial risk indicator for monitoring residential pesticide exposure in agricultural areas. Sci Rep. 2025 May 27;15(1):16785. doi:10.1038/s41598-025-96928-1</w:t>
      </w:r>
    </w:p>
    <w:p w14:paraId="5AC322D5" w14:textId="77777777" w:rsidR="000C62A4" w:rsidRPr="000C62A4" w:rsidRDefault="000C62A4" w:rsidP="000C62A4">
      <w:pPr>
        <w:pStyle w:val="Bibliography"/>
        <w:rPr>
          <w:rFonts w:ascii="Times New Roman" w:hAnsi="Times New Roman" w:cs="Times New Roman"/>
        </w:rPr>
      </w:pPr>
      <w:r w:rsidRPr="000C62A4">
        <w:rPr>
          <w:rFonts w:ascii="Times New Roman" w:hAnsi="Times New Roman" w:cs="Times New Roman"/>
        </w:rPr>
        <w:lastRenderedPageBreak/>
        <w:t>24.</w:t>
      </w:r>
      <w:r w:rsidRPr="000C62A4">
        <w:rPr>
          <w:rFonts w:ascii="Times New Roman" w:hAnsi="Times New Roman" w:cs="Times New Roman"/>
        </w:rPr>
        <w:tab/>
        <w:t>Moreira A, Guedes J, Vieira da Silva M. New Methodologies and Techniques for Biomonitoring Pesticide Exposure in Agricultural Workers: A Systematic Review. Toxics. 2025 Jan 28;13(2):104. doi:10.3390/toxics13020104 PubMed PMID: 39997919; PubMed Central PMCID: PMC11861711.</w:t>
      </w:r>
    </w:p>
    <w:p w14:paraId="0B1C2836" w14:textId="77777777" w:rsidR="000C62A4" w:rsidRPr="000C62A4" w:rsidRDefault="000C62A4" w:rsidP="000C62A4">
      <w:pPr>
        <w:pStyle w:val="Bibliography"/>
        <w:rPr>
          <w:rFonts w:ascii="Times New Roman" w:hAnsi="Times New Roman" w:cs="Times New Roman"/>
        </w:rPr>
      </w:pPr>
      <w:r w:rsidRPr="000C62A4">
        <w:rPr>
          <w:rFonts w:ascii="Times New Roman" w:hAnsi="Times New Roman" w:cs="Times New Roman"/>
        </w:rPr>
        <w:t>25.</w:t>
      </w:r>
      <w:r w:rsidRPr="000C62A4">
        <w:rPr>
          <w:rFonts w:ascii="Times New Roman" w:hAnsi="Times New Roman" w:cs="Times New Roman"/>
        </w:rPr>
        <w:tab/>
        <w:t>Abimbola SO, Xeni C, Sakhi AK, Heibati B, Husøy T, Dirven H, et al. Diurnal Variation in Biomarkers of Exposure to Endocrine-Disrupting Chemicals and Their Association with Oxidative Damage in Norwegian Adults: The EuroMix Study. Toxics. 2022 Apr 6;10(4). doi:10.3390/toxics10040181</w:t>
      </w:r>
    </w:p>
    <w:p w14:paraId="523F697F" w14:textId="77777777" w:rsidR="000C62A4" w:rsidRPr="000C62A4" w:rsidRDefault="000C62A4" w:rsidP="000C62A4">
      <w:pPr>
        <w:pStyle w:val="Bibliography"/>
        <w:rPr>
          <w:rFonts w:ascii="Times New Roman" w:hAnsi="Times New Roman" w:cs="Times New Roman"/>
        </w:rPr>
      </w:pPr>
      <w:r w:rsidRPr="000C62A4">
        <w:rPr>
          <w:rFonts w:ascii="Times New Roman" w:hAnsi="Times New Roman" w:cs="Times New Roman"/>
        </w:rPr>
        <w:t>26.</w:t>
      </w:r>
      <w:r w:rsidRPr="000C62A4">
        <w:rPr>
          <w:rFonts w:ascii="Times New Roman" w:hAnsi="Times New Roman" w:cs="Times New Roman"/>
        </w:rPr>
        <w:tab/>
        <w:t>Roy SD, Khekare G, Chhajed S, Victor AS. Integrating classification, regression, and time series models to assess biochar safety, optimize pollutant removal, and predict environmental impacts. Front Soil Sci. 2025 Sep 23;5. doi:10.3389/fsoil.2025.1661097</w:t>
      </w:r>
    </w:p>
    <w:p w14:paraId="65BF0AB8" w14:textId="77777777" w:rsidR="000C62A4" w:rsidRPr="000C62A4" w:rsidRDefault="000C62A4" w:rsidP="000C62A4">
      <w:pPr>
        <w:pStyle w:val="Bibliography"/>
        <w:rPr>
          <w:rFonts w:ascii="Times New Roman" w:hAnsi="Times New Roman" w:cs="Times New Roman"/>
        </w:rPr>
      </w:pPr>
      <w:r w:rsidRPr="000C62A4">
        <w:rPr>
          <w:rFonts w:ascii="Times New Roman" w:hAnsi="Times New Roman" w:cs="Times New Roman"/>
        </w:rPr>
        <w:t>27.</w:t>
      </w:r>
      <w:r w:rsidRPr="000C62A4">
        <w:rPr>
          <w:rFonts w:ascii="Times New Roman" w:hAnsi="Times New Roman" w:cs="Times New Roman"/>
        </w:rPr>
        <w:tab/>
        <w:t>Lawal OP, Okeh DU, Ezeamii PC, Olowookere AK, Muhammed I, Ugwu CV, et al. Reimagining Mathematical Modeling for a Responsive and Integrated Future in Infectious Disease Epidemiology. Global Journal of Epidemiology and Infectious Disease. 2025 Dec 22;43–53.</w:t>
      </w:r>
    </w:p>
    <w:p w14:paraId="6D0B3006" w14:textId="77777777" w:rsidR="000C62A4" w:rsidRPr="000C62A4" w:rsidRDefault="000C62A4" w:rsidP="000C62A4">
      <w:pPr>
        <w:pStyle w:val="Bibliography"/>
        <w:rPr>
          <w:rFonts w:ascii="Times New Roman" w:hAnsi="Times New Roman" w:cs="Times New Roman"/>
        </w:rPr>
      </w:pPr>
      <w:r w:rsidRPr="000C62A4">
        <w:rPr>
          <w:rFonts w:ascii="Times New Roman" w:hAnsi="Times New Roman" w:cs="Times New Roman"/>
        </w:rPr>
        <w:t>28.</w:t>
      </w:r>
      <w:r w:rsidRPr="000C62A4">
        <w:rPr>
          <w:rFonts w:ascii="Times New Roman" w:hAnsi="Times New Roman" w:cs="Times New Roman"/>
        </w:rPr>
        <w:tab/>
        <w:t>Oladosu TA, Okafor CP, Nwosu PC, Ibukunoluwa AE, Monica UI, Aderanti TA. The Role of Liquid Biopsies in Tracking Tumor Evolution and Overcoming Therapeutic Resistance in Cancer. Oncology, Nuclear Medicine and Transplantology. 2025 Oct 8;1(1):onmt006. doi:10.63946/onmt/17244</w:t>
      </w:r>
    </w:p>
    <w:p w14:paraId="613E47B2" w14:textId="77777777" w:rsidR="000C62A4" w:rsidRPr="000C62A4" w:rsidRDefault="000C62A4" w:rsidP="000C62A4">
      <w:pPr>
        <w:pStyle w:val="Bibliography"/>
        <w:rPr>
          <w:rFonts w:ascii="Times New Roman" w:hAnsi="Times New Roman" w:cs="Times New Roman"/>
        </w:rPr>
      </w:pPr>
      <w:r w:rsidRPr="000C62A4">
        <w:rPr>
          <w:rFonts w:ascii="Times New Roman" w:hAnsi="Times New Roman" w:cs="Times New Roman"/>
        </w:rPr>
        <w:t>29.</w:t>
      </w:r>
      <w:r w:rsidRPr="000C62A4">
        <w:rPr>
          <w:rFonts w:ascii="Times New Roman" w:hAnsi="Times New Roman" w:cs="Times New Roman"/>
        </w:rPr>
        <w:tab/>
        <w:t>Zuber S, Bechtiger L, Bodelet JS, Golin M, Heumann J, Kim JH, et al. An integrative approach for the analysis of risk and health across the life course: challenges, innovations, and opportunities for life course research. Discov Soc Sci Health. 2023;3(1):14. doi:10.1007/s44155-023-00044-2 PubMed PMID: 37469576; PubMed Central PMCID: PMC10352429.</w:t>
      </w:r>
    </w:p>
    <w:p w14:paraId="2D5158B3" w14:textId="77777777" w:rsidR="000C62A4" w:rsidRPr="000C62A4" w:rsidRDefault="000C62A4" w:rsidP="000C62A4">
      <w:pPr>
        <w:pStyle w:val="Bibliography"/>
        <w:rPr>
          <w:rFonts w:ascii="Times New Roman" w:hAnsi="Times New Roman" w:cs="Times New Roman"/>
        </w:rPr>
      </w:pPr>
      <w:r w:rsidRPr="000C62A4">
        <w:rPr>
          <w:rFonts w:ascii="Times New Roman" w:hAnsi="Times New Roman" w:cs="Times New Roman"/>
        </w:rPr>
        <w:t>30.</w:t>
      </w:r>
      <w:r w:rsidRPr="000C62A4">
        <w:rPr>
          <w:rFonts w:ascii="Times New Roman" w:hAnsi="Times New Roman" w:cs="Times New Roman"/>
        </w:rPr>
        <w:tab/>
        <w:t>Manley CK, Spaur M, Madrigal JM, Fisher JA, Jones RR, Parks CG, et al. Drinking water sources and water quality in a prospective agricultural cohort. Environ Epidemiol. 2022 May 25;6(3):e210. doi:10.1097/EE9.0000000000000210 PubMed PMID: 35702502; PubMed Central PMCID: PMC9187174.</w:t>
      </w:r>
    </w:p>
    <w:p w14:paraId="24C4871F" w14:textId="77777777" w:rsidR="000C62A4" w:rsidRPr="000C62A4" w:rsidRDefault="000C62A4" w:rsidP="000C62A4">
      <w:pPr>
        <w:pStyle w:val="Bibliography"/>
        <w:rPr>
          <w:rFonts w:ascii="Times New Roman" w:hAnsi="Times New Roman" w:cs="Times New Roman"/>
        </w:rPr>
      </w:pPr>
      <w:r w:rsidRPr="000C62A4">
        <w:rPr>
          <w:rFonts w:ascii="Times New Roman" w:hAnsi="Times New Roman" w:cs="Times New Roman"/>
        </w:rPr>
        <w:t>31.</w:t>
      </w:r>
      <w:r w:rsidRPr="000C62A4">
        <w:rPr>
          <w:rFonts w:ascii="Times New Roman" w:hAnsi="Times New Roman" w:cs="Times New Roman"/>
        </w:rPr>
        <w:tab/>
        <w:t>Aryal M. Groundwater Arsenic Contamination in Nepal. World Water Policy. 2025;11(3):871–88. doi:10.1002/wwp2.70008</w:t>
      </w:r>
    </w:p>
    <w:p w14:paraId="22807DAA" w14:textId="77777777" w:rsidR="000C62A4" w:rsidRPr="000C62A4" w:rsidRDefault="000C62A4" w:rsidP="000C62A4">
      <w:pPr>
        <w:pStyle w:val="Bibliography"/>
        <w:rPr>
          <w:rFonts w:ascii="Times New Roman" w:hAnsi="Times New Roman" w:cs="Times New Roman"/>
        </w:rPr>
      </w:pPr>
      <w:r w:rsidRPr="000C62A4">
        <w:rPr>
          <w:rFonts w:ascii="Times New Roman" w:hAnsi="Times New Roman" w:cs="Times New Roman"/>
        </w:rPr>
        <w:t>32.</w:t>
      </w:r>
      <w:r w:rsidRPr="000C62A4">
        <w:rPr>
          <w:rFonts w:ascii="Times New Roman" w:hAnsi="Times New Roman" w:cs="Times New Roman"/>
        </w:rPr>
        <w:tab/>
        <w:t>Muñoz-Bautista JM, Bernal-Mercado AT, Martínez-Cruz O, Burgos-Hernández A, López-Zavala AA, Ruiz-Cruz S, et al. Environmental and Health Impacts of Pesticides and Nanotechnology as an Alternative in Agriculture. Agronomy. 2025 Aug 2;15(8). doi:10.3390/agronomy15081878</w:t>
      </w:r>
    </w:p>
    <w:p w14:paraId="3661AE96" w14:textId="77777777" w:rsidR="000C62A4" w:rsidRPr="000C62A4" w:rsidRDefault="000C62A4" w:rsidP="000C62A4">
      <w:pPr>
        <w:pStyle w:val="Bibliography"/>
        <w:rPr>
          <w:rFonts w:ascii="Times New Roman" w:hAnsi="Times New Roman" w:cs="Times New Roman"/>
        </w:rPr>
      </w:pPr>
      <w:r w:rsidRPr="000C62A4">
        <w:rPr>
          <w:rFonts w:ascii="Times New Roman" w:hAnsi="Times New Roman" w:cs="Times New Roman"/>
        </w:rPr>
        <w:t>33.</w:t>
      </w:r>
      <w:r w:rsidRPr="000C62A4">
        <w:rPr>
          <w:rFonts w:ascii="Times New Roman" w:hAnsi="Times New Roman" w:cs="Times New Roman"/>
        </w:rPr>
        <w:tab/>
        <w:t>Ramkumar D, Marty A, Ramkumar J, Rosencranz H, Vedantham R, Goldman M, et al. Food for thought: Making the case for food produced via regenerative agriculture in the battle against non-communicable chronic diseases (NCDs). One Health. 2024 Jun 1;18:100734. doi:10.1016/j.onehlt.2024.100734</w:t>
      </w:r>
    </w:p>
    <w:p w14:paraId="5C738370" w14:textId="77777777" w:rsidR="000C62A4" w:rsidRPr="000C62A4" w:rsidRDefault="000C62A4" w:rsidP="000C62A4">
      <w:pPr>
        <w:pStyle w:val="Bibliography"/>
        <w:rPr>
          <w:rFonts w:ascii="Times New Roman" w:hAnsi="Times New Roman" w:cs="Times New Roman"/>
        </w:rPr>
      </w:pPr>
      <w:r w:rsidRPr="000C62A4">
        <w:rPr>
          <w:rFonts w:ascii="Times New Roman" w:hAnsi="Times New Roman" w:cs="Times New Roman"/>
        </w:rPr>
        <w:lastRenderedPageBreak/>
        <w:t>34.</w:t>
      </w:r>
      <w:r w:rsidRPr="000C62A4">
        <w:rPr>
          <w:rFonts w:ascii="Times New Roman" w:hAnsi="Times New Roman" w:cs="Times New Roman"/>
        </w:rPr>
        <w:tab/>
        <w:t>Sarigiannis D, Anesti O, Papaioannou N, Karakoltzidis A, Karakitsios S. Computational standards and tools for exposome-wide association studies linking the human exposome with health outcomes. Environment International. 2026 Feb 1;208:110117. doi:10.1016/j.envint.2026.110117</w:t>
      </w:r>
    </w:p>
    <w:p w14:paraId="56863C73" w14:textId="77777777" w:rsidR="000C62A4" w:rsidRPr="000C62A4" w:rsidRDefault="000C62A4" w:rsidP="000C62A4">
      <w:pPr>
        <w:pStyle w:val="Bibliography"/>
        <w:rPr>
          <w:rFonts w:ascii="Times New Roman" w:hAnsi="Times New Roman" w:cs="Times New Roman"/>
        </w:rPr>
      </w:pPr>
      <w:r w:rsidRPr="000C62A4">
        <w:rPr>
          <w:rFonts w:ascii="Times New Roman" w:hAnsi="Times New Roman" w:cs="Times New Roman"/>
        </w:rPr>
        <w:t>35.</w:t>
      </w:r>
      <w:r w:rsidRPr="000C62A4">
        <w:rPr>
          <w:rFonts w:ascii="Times New Roman" w:hAnsi="Times New Roman" w:cs="Times New Roman"/>
        </w:rPr>
        <w:tab/>
        <w:t>Vandenberg LN, Rayasam SDG, Axelrad DA, Bennett DH, Brown P, Carignan CC, et al. Addressing systemic problems with exposure assessments to protect the public’s health. Environ Health. 2023 Jan 12;21(Suppl 1):121. doi:10.1186/s12940-022-00917-0 PubMed PMID: 36635700; PubMed Central PMCID: PMC9835264.</w:t>
      </w:r>
    </w:p>
    <w:p w14:paraId="76C9DCAB" w14:textId="77777777" w:rsidR="000C62A4" w:rsidRPr="000C62A4" w:rsidRDefault="000C62A4" w:rsidP="000C62A4">
      <w:pPr>
        <w:pStyle w:val="Bibliography"/>
        <w:rPr>
          <w:rFonts w:ascii="Times New Roman" w:hAnsi="Times New Roman" w:cs="Times New Roman"/>
        </w:rPr>
      </w:pPr>
      <w:r w:rsidRPr="000C62A4">
        <w:rPr>
          <w:rFonts w:ascii="Times New Roman" w:hAnsi="Times New Roman" w:cs="Times New Roman"/>
        </w:rPr>
        <w:t>36.</w:t>
      </w:r>
      <w:r w:rsidRPr="000C62A4">
        <w:rPr>
          <w:rFonts w:ascii="Times New Roman" w:hAnsi="Times New Roman" w:cs="Times New Roman"/>
        </w:rPr>
        <w:tab/>
        <w:t>Lawal O, Orenolu IO, Ajobiewe MA, Forson KAAM, Agu UF, Fidelix ME, et al. Hospital-Acquired Infections in the Age of Antimicrobial Resistance and Smart Surveillance. Australian Journal of Biomedical Research. 2025 Aug 16;1(1):aubm002. doi:10.63946/aubiomed/16759</w:t>
      </w:r>
    </w:p>
    <w:p w14:paraId="3923849B" w14:textId="77777777" w:rsidR="000C62A4" w:rsidRPr="000C62A4" w:rsidRDefault="000C62A4" w:rsidP="000C62A4">
      <w:pPr>
        <w:pStyle w:val="Bibliography"/>
        <w:rPr>
          <w:rFonts w:ascii="Times New Roman" w:hAnsi="Times New Roman" w:cs="Times New Roman"/>
        </w:rPr>
      </w:pPr>
      <w:r w:rsidRPr="000C62A4">
        <w:rPr>
          <w:rFonts w:ascii="Times New Roman" w:hAnsi="Times New Roman" w:cs="Times New Roman"/>
        </w:rPr>
        <w:t>37.</w:t>
      </w:r>
      <w:r w:rsidRPr="000C62A4">
        <w:rPr>
          <w:rFonts w:ascii="Times New Roman" w:hAnsi="Times New Roman" w:cs="Times New Roman"/>
        </w:rPr>
        <w:tab/>
        <w:t>Matus P, Urquidi C, Cárcamo M, Vidal V. Integrating the exposome and one health approach to national health surveillance: an opportunity for Latin American countries in health preventive management. Front Public Health. 2024 Aug 14;12. doi:10.3389/fpubh.2024.1376609</w:t>
      </w:r>
    </w:p>
    <w:p w14:paraId="22A30B26" w14:textId="77777777" w:rsidR="000C62A4" w:rsidRPr="000C62A4" w:rsidRDefault="000C62A4" w:rsidP="000C62A4">
      <w:pPr>
        <w:pStyle w:val="Bibliography"/>
        <w:rPr>
          <w:rFonts w:ascii="Times New Roman" w:hAnsi="Times New Roman" w:cs="Times New Roman"/>
        </w:rPr>
      </w:pPr>
      <w:r w:rsidRPr="000C62A4">
        <w:rPr>
          <w:rFonts w:ascii="Times New Roman" w:hAnsi="Times New Roman" w:cs="Times New Roman"/>
        </w:rPr>
        <w:t>38.</w:t>
      </w:r>
      <w:r w:rsidRPr="000C62A4">
        <w:rPr>
          <w:rFonts w:ascii="Times New Roman" w:hAnsi="Times New Roman" w:cs="Times New Roman"/>
        </w:rPr>
        <w:tab/>
        <w:t>Kelechi Wisdom E, Soyemi T, Mayowa S, Ede NS, Ubalaeze Solomon E, Iloanusi CA, et al. Building healthcare capacity for neurodegenerative disease management in Nigeria: Challenges and opportunities. J Public Health Res. 2025 Apr;14(2):22799036251350957. doi:10.1177/22799036251350957 PubMed PMID: 40567342; PubMed Central PMCID: PMC12188034.</w:t>
      </w:r>
    </w:p>
    <w:p w14:paraId="63EF664D" w14:textId="77777777" w:rsidR="000C62A4" w:rsidRPr="000C62A4" w:rsidRDefault="000C62A4" w:rsidP="000C62A4">
      <w:pPr>
        <w:pStyle w:val="Bibliography"/>
        <w:rPr>
          <w:rFonts w:ascii="Times New Roman" w:hAnsi="Times New Roman" w:cs="Times New Roman"/>
        </w:rPr>
      </w:pPr>
      <w:r w:rsidRPr="000C62A4">
        <w:rPr>
          <w:rFonts w:ascii="Times New Roman" w:hAnsi="Times New Roman" w:cs="Times New Roman"/>
        </w:rPr>
        <w:t>39.</w:t>
      </w:r>
      <w:r w:rsidRPr="000C62A4">
        <w:rPr>
          <w:rFonts w:ascii="Times New Roman" w:hAnsi="Times New Roman" w:cs="Times New Roman"/>
        </w:rPr>
        <w:tab/>
        <w:t>Aliberti SM, Capunzo M. The Power of Environment: A Comprehensive Review of the Exposome’s Role in Healthy Aging, Longevity, and Preventive Medicine—Lessons from Blue Zones and Cilento. Nutrients. 2025 Feb 17;17(4). doi:10.3390/nu17040722</w:t>
      </w:r>
    </w:p>
    <w:p w14:paraId="72348C55" w14:textId="77777777" w:rsidR="000C62A4" w:rsidRPr="000C62A4" w:rsidRDefault="000C62A4" w:rsidP="000C62A4">
      <w:pPr>
        <w:pStyle w:val="Bibliography"/>
        <w:rPr>
          <w:rFonts w:ascii="Times New Roman" w:hAnsi="Times New Roman" w:cs="Times New Roman"/>
        </w:rPr>
      </w:pPr>
      <w:r w:rsidRPr="000C62A4">
        <w:rPr>
          <w:rFonts w:ascii="Times New Roman" w:hAnsi="Times New Roman" w:cs="Times New Roman"/>
        </w:rPr>
        <w:t>40.</w:t>
      </w:r>
      <w:r w:rsidRPr="000C62A4">
        <w:rPr>
          <w:rFonts w:ascii="Times New Roman" w:hAnsi="Times New Roman" w:cs="Times New Roman"/>
        </w:rPr>
        <w:tab/>
        <w:t>Leslie JF, Ezekiel CN, Wagner M, Elliott C, McNerney O, Uyttendaele M, et al. A FoodSafeR perspective on emerging food safety hazards and associated risks. Front Sustain Food Syst. 2025 Oct 7;9. doi:10.3389/fsufs.2025.1646792</w:t>
      </w:r>
    </w:p>
    <w:p w14:paraId="64F89C73" w14:textId="77777777" w:rsidR="000C62A4" w:rsidRPr="000C62A4" w:rsidRDefault="000C62A4" w:rsidP="000C62A4">
      <w:pPr>
        <w:pStyle w:val="Bibliography"/>
        <w:rPr>
          <w:rFonts w:ascii="Times New Roman" w:hAnsi="Times New Roman" w:cs="Times New Roman"/>
        </w:rPr>
      </w:pPr>
      <w:r w:rsidRPr="000C62A4">
        <w:rPr>
          <w:rFonts w:ascii="Times New Roman" w:hAnsi="Times New Roman" w:cs="Times New Roman"/>
        </w:rPr>
        <w:t>41.</w:t>
      </w:r>
      <w:r w:rsidRPr="000C62A4">
        <w:rPr>
          <w:rFonts w:ascii="Times New Roman" w:hAnsi="Times New Roman" w:cs="Times New Roman"/>
        </w:rPr>
        <w:tab/>
        <w:t>Ibáñez A, Duran-Aniotz C, Migeot J, Báez S, Fittipaldi S, Coronel-Oliveros C, et al. Computational whole-body-exposome models for global precision brain health. Nat Commun. 2025 Dec 11;16(1):11078. doi:10.1038/s41467-025-67448-3</w:t>
      </w:r>
    </w:p>
    <w:p w14:paraId="3096E67B" w14:textId="77777777" w:rsidR="000C62A4" w:rsidRPr="000C62A4" w:rsidRDefault="000C62A4" w:rsidP="000C62A4">
      <w:pPr>
        <w:pStyle w:val="Bibliography"/>
        <w:rPr>
          <w:rFonts w:ascii="Times New Roman" w:hAnsi="Times New Roman" w:cs="Times New Roman"/>
        </w:rPr>
      </w:pPr>
      <w:r w:rsidRPr="000C62A4">
        <w:rPr>
          <w:rFonts w:ascii="Times New Roman" w:hAnsi="Times New Roman" w:cs="Times New Roman"/>
        </w:rPr>
        <w:t>42.</w:t>
      </w:r>
      <w:r w:rsidRPr="000C62A4">
        <w:rPr>
          <w:rFonts w:ascii="Times New Roman" w:hAnsi="Times New Roman" w:cs="Times New Roman"/>
        </w:rPr>
        <w:tab/>
        <w:t>Abdelzaher H, Tawfik SM, Nour A, Abdelkader S, Elbalkiny ST, Abdelkader M, et al. Climate change, human health, and the exposome: Utilizing OMIC technologies to navigate an era of uncertainty. Front Public Health. 2022 Sep 21;10:973000. doi:10.3389/fpubh.2022.973000 PubMed PMID: 36211706; PubMed Central PMCID: PMC9533016.</w:t>
      </w:r>
    </w:p>
    <w:p w14:paraId="2814DC72" w14:textId="77777777" w:rsidR="000F2DBA" w:rsidRPr="00B5799D" w:rsidRDefault="000F2DBA" w:rsidP="00B5799D">
      <w:pPr>
        <w:jc w:val="both"/>
        <w:rPr>
          <w:rFonts w:ascii="Times New Roman" w:hAnsi="Times New Roman" w:cs="Times New Roman"/>
        </w:rPr>
      </w:pPr>
      <w:r>
        <w:rPr>
          <w:rFonts w:ascii="Times New Roman" w:hAnsi="Times New Roman" w:cs="Times New Roman"/>
        </w:rPr>
        <w:fldChar w:fldCharType="end"/>
      </w:r>
    </w:p>
    <w:sectPr w:rsidR="000F2DBA" w:rsidRPr="00B5799D">
      <w:headerReference w:type="even" r:id="rId9"/>
      <w:headerReference w:type="default" r:id="rId10"/>
      <w:footerReference w:type="even" r:id="rId11"/>
      <w:footerReference w:type="default" r:id="rId12"/>
      <w:headerReference w:type="first" r:id="rId13"/>
      <w:footerReference w:type="first" r:id="rId1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446E8ED" w14:textId="77777777" w:rsidR="001055A6" w:rsidRDefault="001055A6" w:rsidP="00302242">
      <w:pPr>
        <w:spacing w:after="0" w:line="240" w:lineRule="auto"/>
      </w:pPr>
      <w:r>
        <w:separator/>
      </w:r>
    </w:p>
  </w:endnote>
  <w:endnote w:type="continuationSeparator" w:id="0">
    <w:p w14:paraId="70B0DCFA" w14:textId="77777777" w:rsidR="001055A6" w:rsidRDefault="001055A6" w:rsidP="003022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A078BD" w14:textId="77777777" w:rsidR="00302242" w:rsidRDefault="0030224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2706BA" w14:textId="77777777" w:rsidR="00302242" w:rsidRDefault="0030224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90B5F0" w14:textId="77777777" w:rsidR="00302242" w:rsidRDefault="0030224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0AA316B" w14:textId="77777777" w:rsidR="001055A6" w:rsidRDefault="001055A6" w:rsidP="00302242">
      <w:pPr>
        <w:spacing w:after="0" w:line="240" w:lineRule="auto"/>
      </w:pPr>
      <w:r>
        <w:separator/>
      </w:r>
    </w:p>
  </w:footnote>
  <w:footnote w:type="continuationSeparator" w:id="0">
    <w:p w14:paraId="72EF70A0" w14:textId="77777777" w:rsidR="001055A6" w:rsidRDefault="001055A6" w:rsidP="0030224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8F3093" w14:textId="3F7A1542" w:rsidR="00302242" w:rsidRDefault="00302242">
    <w:pPr>
      <w:pStyle w:val="Header"/>
    </w:pPr>
    <w:r>
      <w:rPr>
        <w:noProof/>
      </w:rPr>
      <w:pict w14:anchorId="18A9A70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21627329"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6D609F" w14:textId="3074932B" w:rsidR="00302242" w:rsidRDefault="00302242">
    <w:pPr>
      <w:pStyle w:val="Header"/>
    </w:pPr>
    <w:r>
      <w:rPr>
        <w:noProof/>
      </w:rPr>
      <w:pict w14:anchorId="0190F0D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21627330"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BDC35D" w14:textId="499BAECB" w:rsidR="00302242" w:rsidRDefault="00302242">
    <w:pPr>
      <w:pStyle w:val="Header"/>
    </w:pPr>
    <w:r>
      <w:rPr>
        <w:noProof/>
      </w:rPr>
      <w:pict w14:anchorId="3D60E77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21627328"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7475EC"/>
    <w:multiLevelType w:val="multilevel"/>
    <w:tmpl w:val="68D8B2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F62370"/>
    <w:multiLevelType w:val="multilevel"/>
    <w:tmpl w:val="849A6C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B2548E2"/>
    <w:multiLevelType w:val="multilevel"/>
    <w:tmpl w:val="A82C30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7A0BEB"/>
    <w:multiLevelType w:val="multilevel"/>
    <w:tmpl w:val="D82CBA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06B022B"/>
    <w:multiLevelType w:val="multilevel"/>
    <w:tmpl w:val="9AC4F8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5AF1765"/>
    <w:multiLevelType w:val="multilevel"/>
    <w:tmpl w:val="57F016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7413B76"/>
    <w:multiLevelType w:val="multilevel"/>
    <w:tmpl w:val="98AA36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7B52122"/>
    <w:multiLevelType w:val="multilevel"/>
    <w:tmpl w:val="83CCC4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E734F79"/>
    <w:multiLevelType w:val="multilevel"/>
    <w:tmpl w:val="140C81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4575125"/>
    <w:multiLevelType w:val="multilevel"/>
    <w:tmpl w:val="92B493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5C061CD"/>
    <w:multiLevelType w:val="multilevel"/>
    <w:tmpl w:val="95B24B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5D922D0"/>
    <w:multiLevelType w:val="multilevel"/>
    <w:tmpl w:val="6310E2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8F86727"/>
    <w:multiLevelType w:val="multilevel"/>
    <w:tmpl w:val="3D9E3E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F7A2002"/>
    <w:multiLevelType w:val="multilevel"/>
    <w:tmpl w:val="60620B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075241D"/>
    <w:multiLevelType w:val="multilevel"/>
    <w:tmpl w:val="36B635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0B016E9"/>
    <w:multiLevelType w:val="multilevel"/>
    <w:tmpl w:val="58EE3D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1B76501"/>
    <w:multiLevelType w:val="multilevel"/>
    <w:tmpl w:val="683E6F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21B712D"/>
    <w:multiLevelType w:val="multilevel"/>
    <w:tmpl w:val="52026F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4B77E4D"/>
    <w:multiLevelType w:val="multilevel"/>
    <w:tmpl w:val="6A8CFE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52452EF"/>
    <w:multiLevelType w:val="hybridMultilevel"/>
    <w:tmpl w:val="D60626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0C21767"/>
    <w:multiLevelType w:val="multilevel"/>
    <w:tmpl w:val="F7181F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1FD5533"/>
    <w:multiLevelType w:val="multilevel"/>
    <w:tmpl w:val="785CCB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38F0F8E"/>
    <w:multiLevelType w:val="multilevel"/>
    <w:tmpl w:val="C38A28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E5A1624"/>
    <w:multiLevelType w:val="multilevel"/>
    <w:tmpl w:val="4140A7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F146A0B"/>
    <w:multiLevelType w:val="multilevel"/>
    <w:tmpl w:val="116EFC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FD6036B"/>
    <w:multiLevelType w:val="multilevel"/>
    <w:tmpl w:val="C26C4D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35070DB"/>
    <w:multiLevelType w:val="multilevel"/>
    <w:tmpl w:val="B7863E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94444DF"/>
    <w:multiLevelType w:val="multilevel"/>
    <w:tmpl w:val="A06014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D861B68"/>
    <w:multiLevelType w:val="multilevel"/>
    <w:tmpl w:val="48BE0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F8F4716"/>
    <w:multiLevelType w:val="multilevel"/>
    <w:tmpl w:val="C33416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46125DE"/>
    <w:multiLevelType w:val="multilevel"/>
    <w:tmpl w:val="F1CEEF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4B24B48"/>
    <w:multiLevelType w:val="multilevel"/>
    <w:tmpl w:val="B33CB8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AD81E92"/>
    <w:multiLevelType w:val="multilevel"/>
    <w:tmpl w:val="1AFCBC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BBB3543"/>
    <w:multiLevelType w:val="multilevel"/>
    <w:tmpl w:val="27A09C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E7F3CDE"/>
    <w:multiLevelType w:val="multilevel"/>
    <w:tmpl w:val="ACBAF7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EEF1925"/>
    <w:multiLevelType w:val="multilevel"/>
    <w:tmpl w:val="876CCE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4680072"/>
    <w:multiLevelType w:val="multilevel"/>
    <w:tmpl w:val="ADE001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2"/>
  </w:num>
  <w:num w:numId="2">
    <w:abstractNumId w:val="2"/>
  </w:num>
  <w:num w:numId="3">
    <w:abstractNumId w:val="15"/>
  </w:num>
  <w:num w:numId="4">
    <w:abstractNumId w:val="34"/>
  </w:num>
  <w:num w:numId="5">
    <w:abstractNumId w:val="20"/>
  </w:num>
  <w:num w:numId="6">
    <w:abstractNumId w:val="25"/>
  </w:num>
  <w:num w:numId="7">
    <w:abstractNumId w:val="22"/>
  </w:num>
  <w:num w:numId="8">
    <w:abstractNumId w:val="21"/>
  </w:num>
  <w:num w:numId="9">
    <w:abstractNumId w:val="23"/>
  </w:num>
  <w:num w:numId="10">
    <w:abstractNumId w:val="7"/>
  </w:num>
  <w:num w:numId="11">
    <w:abstractNumId w:val="30"/>
  </w:num>
  <w:num w:numId="12">
    <w:abstractNumId w:val="0"/>
  </w:num>
  <w:num w:numId="13">
    <w:abstractNumId w:val="11"/>
  </w:num>
  <w:num w:numId="14">
    <w:abstractNumId w:val="1"/>
  </w:num>
  <w:num w:numId="15">
    <w:abstractNumId w:val="35"/>
  </w:num>
  <w:num w:numId="16">
    <w:abstractNumId w:val="16"/>
  </w:num>
  <w:num w:numId="17">
    <w:abstractNumId w:val="5"/>
  </w:num>
  <w:num w:numId="18">
    <w:abstractNumId w:val="36"/>
  </w:num>
  <w:num w:numId="19">
    <w:abstractNumId w:val="31"/>
  </w:num>
  <w:num w:numId="20">
    <w:abstractNumId w:val="27"/>
  </w:num>
  <w:num w:numId="21">
    <w:abstractNumId w:val="33"/>
  </w:num>
  <w:num w:numId="22">
    <w:abstractNumId w:val="18"/>
  </w:num>
  <w:num w:numId="23">
    <w:abstractNumId w:val="9"/>
  </w:num>
  <w:num w:numId="24">
    <w:abstractNumId w:val="3"/>
  </w:num>
  <w:num w:numId="25">
    <w:abstractNumId w:val="6"/>
  </w:num>
  <w:num w:numId="26">
    <w:abstractNumId w:val="26"/>
  </w:num>
  <w:num w:numId="27">
    <w:abstractNumId w:val="14"/>
  </w:num>
  <w:num w:numId="28">
    <w:abstractNumId w:val="29"/>
  </w:num>
  <w:num w:numId="29">
    <w:abstractNumId w:val="28"/>
  </w:num>
  <w:num w:numId="30">
    <w:abstractNumId w:val="13"/>
  </w:num>
  <w:num w:numId="31">
    <w:abstractNumId w:val="10"/>
  </w:num>
  <w:num w:numId="32">
    <w:abstractNumId w:val="4"/>
  </w:num>
  <w:num w:numId="33">
    <w:abstractNumId w:val="12"/>
  </w:num>
  <w:num w:numId="34">
    <w:abstractNumId w:val="24"/>
  </w:num>
  <w:num w:numId="35">
    <w:abstractNumId w:val="17"/>
  </w:num>
  <w:num w:numId="36">
    <w:abstractNumId w:val="8"/>
  </w:num>
  <w:num w:numId="37">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7B82"/>
    <w:rsid w:val="000121C3"/>
    <w:rsid w:val="000252AA"/>
    <w:rsid w:val="00026B52"/>
    <w:rsid w:val="0004444D"/>
    <w:rsid w:val="000C62A4"/>
    <w:rsid w:val="000D2FB0"/>
    <w:rsid w:val="000F2DBA"/>
    <w:rsid w:val="001055A6"/>
    <w:rsid w:val="001E3DE4"/>
    <w:rsid w:val="00262E3F"/>
    <w:rsid w:val="00274E24"/>
    <w:rsid w:val="00292C56"/>
    <w:rsid w:val="002A1533"/>
    <w:rsid w:val="002E2617"/>
    <w:rsid w:val="002F6694"/>
    <w:rsid w:val="00301F84"/>
    <w:rsid w:val="00302242"/>
    <w:rsid w:val="0031532E"/>
    <w:rsid w:val="00325FAB"/>
    <w:rsid w:val="00332456"/>
    <w:rsid w:val="00342700"/>
    <w:rsid w:val="003D33A6"/>
    <w:rsid w:val="00427B82"/>
    <w:rsid w:val="00477F9B"/>
    <w:rsid w:val="004A34FA"/>
    <w:rsid w:val="00532208"/>
    <w:rsid w:val="00556005"/>
    <w:rsid w:val="005628ED"/>
    <w:rsid w:val="00595EDA"/>
    <w:rsid w:val="005C3A0C"/>
    <w:rsid w:val="0067575F"/>
    <w:rsid w:val="00752439"/>
    <w:rsid w:val="00793EC6"/>
    <w:rsid w:val="007C7A3C"/>
    <w:rsid w:val="007D2B69"/>
    <w:rsid w:val="00892205"/>
    <w:rsid w:val="00981265"/>
    <w:rsid w:val="00A728A8"/>
    <w:rsid w:val="00AC1C3C"/>
    <w:rsid w:val="00AD4B42"/>
    <w:rsid w:val="00AD780F"/>
    <w:rsid w:val="00B56ABD"/>
    <w:rsid w:val="00B5799D"/>
    <w:rsid w:val="00BA0028"/>
    <w:rsid w:val="00C016CA"/>
    <w:rsid w:val="00C96063"/>
    <w:rsid w:val="00CA71D5"/>
    <w:rsid w:val="00CB2D3C"/>
    <w:rsid w:val="00CD7137"/>
    <w:rsid w:val="00CF5293"/>
    <w:rsid w:val="00D16A45"/>
    <w:rsid w:val="00D473F7"/>
    <w:rsid w:val="00E14BB3"/>
    <w:rsid w:val="00E40749"/>
    <w:rsid w:val="00E42B6C"/>
    <w:rsid w:val="00E57636"/>
    <w:rsid w:val="00E72A4A"/>
    <w:rsid w:val="00E966A1"/>
    <w:rsid w:val="00EC209A"/>
    <w:rsid w:val="00EE4476"/>
    <w:rsid w:val="00F520F5"/>
    <w:rsid w:val="00F70478"/>
    <w:rsid w:val="00F711F4"/>
    <w:rsid w:val="00FB0D9E"/>
    <w:rsid w:val="00FC4E16"/>
    <w:rsid w:val="00FD5C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9DB8508"/>
  <w15:chartTrackingRefBased/>
  <w15:docId w15:val="{6D031D9C-8F70-46FF-AF74-9EFC42EC8C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27B82"/>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427B82"/>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427B82"/>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427B82"/>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427B82"/>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427B8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27B8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27B8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27B8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27B82"/>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427B82"/>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427B82"/>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427B82"/>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427B82"/>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427B8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27B8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27B8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27B82"/>
    <w:rPr>
      <w:rFonts w:eastAsiaTheme="majorEastAsia" w:cstheme="majorBidi"/>
      <w:color w:val="272727" w:themeColor="text1" w:themeTint="D8"/>
    </w:rPr>
  </w:style>
  <w:style w:type="paragraph" w:styleId="Title">
    <w:name w:val="Title"/>
    <w:basedOn w:val="Normal"/>
    <w:next w:val="Normal"/>
    <w:link w:val="TitleChar"/>
    <w:uiPriority w:val="10"/>
    <w:qFormat/>
    <w:rsid w:val="00427B8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27B8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27B8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27B8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27B82"/>
    <w:pPr>
      <w:spacing w:before="160"/>
      <w:jc w:val="center"/>
    </w:pPr>
    <w:rPr>
      <w:i/>
      <w:iCs/>
      <w:color w:val="404040" w:themeColor="text1" w:themeTint="BF"/>
    </w:rPr>
  </w:style>
  <w:style w:type="character" w:customStyle="1" w:styleId="QuoteChar">
    <w:name w:val="Quote Char"/>
    <w:basedOn w:val="DefaultParagraphFont"/>
    <w:link w:val="Quote"/>
    <w:uiPriority w:val="29"/>
    <w:rsid w:val="00427B82"/>
    <w:rPr>
      <w:i/>
      <w:iCs/>
      <w:color w:val="404040" w:themeColor="text1" w:themeTint="BF"/>
    </w:rPr>
  </w:style>
  <w:style w:type="paragraph" w:styleId="ListParagraph">
    <w:name w:val="List Paragraph"/>
    <w:basedOn w:val="Normal"/>
    <w:uiPriority w:val="34"/>
    <w:qFormat/>
    <w:rsid w:val="00427B82"/>
    <w:pPr>
      <w:ind w:left="720"/>
      <w:contextualSpacing/>
    </w:pPr>
  </w:style>
  <w:style w:type="character" w:styleId="IntenseEmphasis">
    <w:name w:val="Intense Emphasis"/>
    <w:basedOn w:val="DefaultParagraphFont"/>
    <w:uiPriority w:val="21"/>
    <w:qFormat/>
    <w:rsid w:val="00427B82"/>
    <w:rPr>
      <w:i/>
      <w:iCs/>
      <w:color w:val="2F5496" w:themeColor="accent1" w:themeShade="BF"/>
    </w:rPr>
  </w:style>
  <w:style w:type="paragraph" w:styleId="IntenseQuote">
    <w:name w:val="Intense Quote"/>
    <w:basedOn w:val="Normal"/>
    <w:next w:val="Normal"/>
    <w:link w:val="IntenseQuoteChar"/>
    <w:uiPriority w:val="30"/>
    <w:qFormat/>
    <w:rsid w:val="00427B82"/>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427B82"/>
    <w:rPr>
      <w:i/>
      <w:iCs/>
      <w:color w:val="2F5496" w:themeColor="accent1" w:themeShade="BF"/>
    </w:rPr>
  </w:style>
  <w:style w:type="character" w:styleId="IntenseReference">
    <w:name w:val="Intense Reference"/>
    <w:basedOn w:val="DefaultParagraphFont"/>
    <w:uiPriority w:val="32"/>
    <w:qFormat/>
    <w:rsid w:val="00427B82"/>
    <w:rPr>
      <w:b/>
      <w:bCs/>
      <w:smallCaps/>
      <w:color w:val="2F5496" w:themeColor="accent1" w:themeShade="BF"/>
      <w:spacing w:val="5"/>
    </w:rPr>
  </w:style>
  <w:style w:type="paragraph" w:styleId="NormalWeb">
    <w:name w:val="Normal (Web)"/>
    <w:basedOn w:val="Normal"/>
    <w:uiPriority w:val="99"/>
    <w:semiHidden/>
    <w:unhideWhenUsed/>
    <w:rsid w:val="00342700"/>
    <w:rPr>
      <w:rFonts w:ascii="Times New Roman" w:hAnsi="Times New Roman" w:cs="Times New Roman"/>
    </w:rPr>
  </w:style>
  <w:style w:type="paragraph" w:styleId="Bibliography">
    <w:name w:val="Bibliography"/>
    <w:basedOn w:val="Normal"/>
    <w:next w:val="Normal"/>
    <w:uiPriority w:val="37"/>
    <w:unhideWhenUsed/>
    <w:rsid w:val="000F2DBA"/>
    <w:pPr>
      <w:tabs>
        <w:tab w:val="left" w:pos="384"/>
      </w:tabs>
      <w:spacing w:after="240" w:line="240" w:lineRule="auto"/>
      <w:ind w:left="384" w:hanging="384"/>
    </w:pPr>
  </w:style>
  <w:style w:type="character" w:styleId="Hyperlink">
    <w:name w:val="Hyperlink"/>
    <w:basedOn w:val="DefaultParagraphFont"/>
    <w:uiPriority w:val="99"/>
    <w:unhideWhenUsed/>
    <w:rsid w:val="00FB0D9E"/>
    <w:rPr>
      <w:color w:val="0563C1" w:themeColor="hyperlink"/>
      <w:u w:val="single"/>
    </w:rPr>
  </w:style>
  <w:style w:type="character" w:styleId="UnresolvedMention">
    <w:name w:val="Unresolved Mention"/>
    <w:basedOn w:val="DefaultParagraphFont"/>
    <w:uiPriority w:val="99"/>
    <w:semiHidden/>
    <w:unhideWhenUsed/>
    <w:rsid w:val="00FB0D9E"/>
    <w:rPr>
      <w:color w:val="605E5C"/>
      <w:shd w:val="clear" w:color="auto" w:fill="E1DFDD"/>
    </w:rPr>
  </w:style>
  <w:style w:type="paragraph" w:styleId="Header">
    <w:name w:val="header"/>
    <w:basedOn w:val="Normal"/>
    <w:link w:val="HeaderChar"/>
    <w:uiPriority w:val="99"/>
    <w:unhideWhenUsed/>
    <w:rsid w:val="00302242"/>
    <w:pPr>
      <w:tabs>
        <w:tab w:val="center" w:pos="4680"/>
        <w:tab w:val="right" w:pos="9360"/>
      </w:tabs>
      <w:spacing w:after="0" w:line="240" w:lineRule="auto"/>
    </w:pPr>
  </w:style>
  <w:style w:type="character" w:customStyle="1" w:styleId="HeaderChar">
    <w:name w:val="Header Char"/>
    <w:basedOn w:val="DefaultParagraphFont"/>
    <w:link w:val="Header"/>
    <w:uiPriority w:val="99"/>
    <w:rsid w:val="00302242"/>
  </w:style>
  <w:style w:type="paragraph" w:styleId="Footer">
    <w:name w:val="footer"/>
    <w:basedOn w:val="Normal"/>
    <w:link w:val="FooterChar"/>
    <w:uiPriority w:val="99"/>
    <w:unhideWhenUsed/>
    <w:rsid w:val="00302242"/>
    <w:pPr>
      <w:tabs>
        <w:tab w:val="center" w:pos="4680"/>
        <w:tab w:val="right" w:pos="9360"/>
      </w:tabs>
      <w:spacing w:after="0" w:line="240" w:lineRule="auto"/>
    </w:pPr>
  </w:style>
  <w:style w:type="character" w:customStyle="1" w:styleId="FooterChar">
    <w:name w:val="Footer Char"/>
    <w:basedOn w:val="DefaultParagraphFont"/>
    <w:link w:val="Footer"/>
    <w:uiPriority w:val="99"/>
    <w:rsid w:val="0030224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112</TotalTime>
  <Pages>17</Pages>
  <Words>25224</Words>
  <Characters>143781</Characters>
  <Application>Microsoft Office Word</Application>
  <DocSecurity>0</DocSecurity>
  <Lines>1198</Lines>
  <Paragraphs>337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168668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Olabisi Lawal</dc:creator>
  <cp:keywords/>
  <dc:description/>
  <cp:lastModifiedBy>SDI PC 1170</cp:lastModifiedBy>
  <cp:revision>70</cp:revision>
  <dcterms:created xsi:type="dcterms:W3CDTF">2026-02-19T04:34:00Z</dcterms:created>
  <dcterms:modified xsi:type="dcterms:W3CDTF">2026-02-24T12:07:00Z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zotero-version="7.0.16"&gt;&lt;session id="oano1DTD"/&gt;&lt;style id="http://www.zotero.org/styles/nlm-citation-sequence" locale="en-US" hasBibliography="1" bibliographyStyleHasBeenSet="1"/&gt;&lt;prefs&gt;&lt;pref name="fieldType" value="Field"/&gt;&lt;/prefs&gt;</vt:lpwstr>
  </property>
  <property fmtid="{D5CDD505-2E9C-101B-9397-08002B2CF9AE}" pid="3" name="ZOTERO_PREF_2">
    <vt:lpwstr>&lt;/data&gt;</vt:lpwstr>
  </property>
</Properties>
</file>