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7956B8" w14:textId="77777777" w:rsidR="006F6260" w:rsidRPr="00D73BA4" w:rsidRDefault="006F6260" w:rsidP="00C973B7">
      <w:pPr>
        <w:rPr>
          <w:rFonts w:ascii="Times New Roman" w:hAnsi="Times New Roman" w:cs="Times New Roman"/>
          <w:b/>
          <w:bCs/>
          <w:u w:val="single"/>
        </w:rPr>
      </w:pPr>
      <w:r w:rsidRPr="00D73BA4">
        <w:rPr>
          <w:rFonts w:ascii="Times New Roman" w:hAnsi="Times New Roman" w:cs="Times New Roman"/>
          <w:b/>
          <w:bCs/>
          <w:u w:val="single"/>
        </w:rPr>
        <w:t>Review Article</w:t>
      </w:r>
    </w:p>
    <w:p w14:paraId="0800C7AF" w14:textId="0D1414C4" w:rsidR="00C973B7" w:rsidRDefault="00C973B7" w:rsidP="00C973B7">
      <w:pPr>
        <w:rPr>
          <w:rFonts w:ascii="Times New Roman" w:hAnsi="Times New Roman" w:cs="Times New Roman"/>
          <w:b/>
          <w:bCs/>
        </w:rPr>
      </w:pPr>
      <w:r w:rsidRPr="0086305E">
        <w:rPr>
          <w:rFonts w:ascii="Times New Roman" w:hAnsi="Times New Roman" w:cs="Times New Roman"/>
          <w:b/>
          <w:bCs/>
        </w:rPr>
        <w:t>Modeling Agrochemical Contamination in Drinking Water and Chronic Disease Risk in U.S. Farmers</w:t>
      </w:r>
    </w:p>
    <w:p w14:paraId="3CCE156F" w14:textId="77777777" w:rsidR="00D73BA4" w:rsidRDefault="00D73BA4" w:rsidP="00C973B7">
      <w:pPr>
        <w:rPr>
          <w:rFonts w:ascii="Times New Roman" w:hAnsi="Times New Roman" w:cs="Times New Roman"/>
          <w:b/>
          <w:bCs/>
        </w:rPr>
      </w:pPr>
    </w:p>
    <w:p w14:paraId="6223877D" w14:textId="77777777" w:rsidR="00A56DFC" w:rsidRPr="00A56DFC" w:rsidRDefault="00A56DFC" w:rsidP="00A56DFC">
      <w:pPr>
        <w:pStyle w:val="ListParagraph"/>
        <w:rPr>
          <w:rFonts w:ascii="Times New Roman" w:hAnsi="Times New Roman" w:cs="Times New Roman"/>
          <w:b/>
          <w:bCs/>
        </w:rPr>
      </w:pPr>
    </w:p>
    <w:p w14:paraId="0811A460" w14:textId="77777777" w:rsidR="00591DA1" w:rsidRPr="00591DA1" w:rsidRDefault="00591DA1" w:rsidP="00591DA1">
      <w:pPr>
        <w:rPr>
          <w:rFonts w:ascii="Times New Roman" w:hAnsi="Times New Roman" w:cs="Times New Roman"/>
          <w:b/>
          <w:bCs/>
        </w:rPr>
      </w:pPr>
      <w:r w:rsidRPr="00591DA1">
        <w:rPr>
          <w:rFonts w:ascii="Times New Roman" w:hAnsi="Times New Roman" w:cs="Times New Roman"/>
          <w:b/>
          <w:bCs/>
        </w:rPr>
        <w:t>Abstract</w:t>
      </w:r>
    </w:p>
    <w:p w14:paraId="27DBA1D0" w14:textId="77777777" w:rsidR="00591DA1" w:rsidRPr="00335136" w:rsidRDefault="00591DA1" w:rsidP="00591DA1">
      <w:pPr>
        <w:rPr>
          <w:rFonts w:ascii="Times New Roman" w:hAnsi="Times New Roman" w:cs="Times New Roman"/>
        </w:rPr>
      </w:pPr>
      <w:r w:rsidRPr="00591DA1">
        <w:rPr>
          <w:rFonts w:ascii="Times New Roman" w:hAnsi="Times New Roman" w:cs="Times New Roman"/>
        </w:rPr>
        <w:t>Agrochemical contamination of drinking water is a pervasive but underrecognized environmental health risk in U.S. agricultural communities. Farmers and their families are uniquely vulnerable due to intensive chemical use, residential proximity to treated fields, long-term reliance on private wells, and regulatory gaps in water quality monitoring. Chronic exposure to low levels of pesticides, herbicides, and nutrients through drinking water has been increasingly linked to adverse health outcomes, yet direct monitoring and biomonitoring approaches remain insufficient to characterize cumulative, long-term exposure relevant to chronic disease etiology.</w:t>
      </w:r>
      <w:r w:rsidRPr="00335136">
        <w:rPr>
          <w:rFonts w:ascii="Times New Roman" w:hAnsi="Times New Roman" w:cs="Times New Roman"/>
        </w:rPr>
        <w:t xml:space="preserve"> </w:t>
      </w:r>
      <w:r w:rsidRPr="00591DA1">
        <w:rPr>
          <w:rFonts w:ascii="Times New Roman" w:hAnsi="Times New Roman" w:cs="Times New Roman"/>
        </w:rPr>
        <w:t>This review synthesizes current modeling approaches used to estimate agrochemical contamination in drinking water and examines how these modeled exposures have been linked to chronic disease risk among U.S. farmers. We discuss major classes of agrochemicals of concern, including herbicides, insecticides, nitrates, and their metabolites, and critically evaluate environmental fate and transport models, spatial and temporal exposure models, and emerging mixture-based frameworks. We further review epidemiologic evidence linking modeled drinking water exposure to cancer, neurologic, endocrine, metabolic, and renal outcomes, highlighting the importance of exposure duration, intensity, and latency.</w:t>
      </w:r>
      <w:r w:rsidRPr="00335136">
        <w:rPr>
          <w:rFonts w:ascii="Times New Roman" w:hAnsi="Times New Roman" w:cs="Times New Roman"/>
        </w:rPr>
        <w:t xml:space="preserve"> </w:t>
      </w:r>
      <w:r w:rsidRPr="00591DA1">
        <w:rPr>
          <w:rFonts w:ascii="Times New Roman" w:hAnsi="Times New Roman" w:cs="Times New Roman"/>
        </w:rPr>
        <w:t>Key methodological challenges</w:t>
      </w:r>
      <w:r w:rsidR="00D46D6A">
        <w:rPr>
          <w:rFonts w:ascii="Times New Roman" w:hAnsi="Times New Roman" w:cs="Times New Roman"/>
        </w:rPr>
        <w:t>,</w:t>
      </w:r>
      <w:r w:rsidRPr="00335136">
        <w:rPr>
          <w:rFonts w:ascii="Times New Roman" w:hAnsi="Times New Roman" w:cs="Times New Roman"/>
        </w:rPr>
        <w:t xml:space="preserve"> </w:t>
      </w:r>
      <w:r w:rsidRPr="00591DA1">
        <w:rPr>
          <w:rFonts w:ascii="Times New Roman" w:hAnsi="Times New Roman" w:cs="Times New Roman"/>
        </w:rPr>
        <w:t>including exposure misclassification, confounding by occupational and socioeconomic factors, and limited generalizability</w:t>
      </w:r>
      <w:r w:rsidR="00D46D6A">
        <w:rPr>
          <w:rFonts w:ascii="Times New Roman" w:hAnsi="Times New Roman" w:cs="Times New Roman"/>
        </w:rPr>
        <w:t>,</w:t>
      </w:r>
      <w:r w:rsidRPr="00335136">
        <w:rPr>
          <w:rFonts w:ascii="Times New Roman" w:hAnsi="Times New Roman" w:cs="Times New Roman"/>
        </w:rPr>
        <w:t xml:space="preserve"> </w:t>
      </w:r>
      <w:r w:rsidRPr="00591DA1">
        <w:rPr>
          <w:rFonts w:ascii="Times New Roman" w:hAnsi="Times New Roman" w:cs="Times New Roman"/>
        </w:rPr>
        <w:t>are examined alongside implications for surveillance and risk assessment. We conclude by outlining future research priorities and policy needs, emphasizing hybrid modeling–biomonitoring approaches and translation of cumulative exposure evidence into preventive regulation. Modeling agrochemical contamination in drinking water is essential for advancing farmer health equity and informing integrated environmental–occupational health strategies.</w:t>
      </w:r>
    </w:p>
    <w:p w14:paraId="2FDB5F1D" w14:textId="77777777" w:rsidR="00401F54" w:rsidRPr="00401F54" w:rsidRDefault="00401F54" w:rsidP="00401F54">
      <w:pPr>
        <w:rPr>
          <w:rFonts w:ascii="Times New Roman" w:hAnsi="Times New Roman" w:cs="Times New Roman"/>
        </w:rPr>
      </w:pPr>
      <w:r w:rsidRPr="00401F54">
        <w:rPr>
          <w:rFonts w:ascii="Times New Roman" w:hAnsi="Times New Roman" w:cs="Times New Roman"/>
          <w:b/>
          <w:bCs/>
        </w:rPr>
        <w:t>Keywords:</w:t>
      </w:r>
      <w:r w:rsidR="00BC2B19" w:rsidRPr="00335136">
        <w:rPr>
          <w:rFonts w:ascii="Times New Roman" w:hAnsi="Times New Roman" w:cs="Times New Roman"/>
        </w:rPr>
        <w:t xml:space="preserve"> </w:t>
      </w:r>
      <w:r w:rsidRPr="00401F54">
        <w:rPr>
          <w:rFonts w:ascii="Times New Roman" w:hAnsi="Times New Roman" w:cs="Times New Roman"/>
        </w:rPr>
        <w:t>Agrochemicals; Drinking water contamination; Exposure modeling; Private wells; Chronic disease risk; Farmers; Environmental epidemiology; Pesticides; Nitrates</w:t>
      </w:r>
    </w:p>
    <w:p w14:paraId="0DDC9801" w14:textId="77777777" w:rsidR="00401F54" w:rsidRPr="00591DA1" w:rsidRDefault="00401F54" w:rsidP="00591DA1">
      <w:pPr>
        <w:rPr>
          <w:rFonts w:ascii="Times New Roman" w:hAnsi="Times New Roman" w:cs="Times New Roman"/>
        </w:rPr>
      </w:pPr>
    </w:p>
    <w:p w14:paraId="62C0283E" w14:textId="5A1C1ADA" w:rsidR="00591DA1" w:rsidRDefault="00591DA1" w:rsidP="00C973B7">
      <w:pPr>
        <w:rPr>
          <w:rFonts w:ascii="Times New Roman" w:hAnsi="Times New Roman" w:cs="Times New Roman"/>
          <w:b/>
          <w:bCs/>
        </w:rPr>
      </w:pPr>
    </w:p>
    <w:p w14:paraId="033F080C" w14:textId="24246896" w:rsidR="00667EC4" w:rsidRDefault="00667EC4" w:rsidP="00C973B7">
      <w:pPr>
        <w:rPr>
          <w:rFonts w:ascii="Times New Roman" w:hAnsi="Times New Roman" w:cs="Times New Roman"/>
          <w:b/>
          <w:bCs/>
        </w:rPr>
      </w:pPr>
    </w:p>
    <w:p w14:paraId="23CD0D20" w14:textId="0C7D4BCF" w:rsidR="00667EC4" w:rsidRDefault="00667EC4" w:rsidP="00C973B7">
      <w:pPr>
        <w:rPr>
          <w:rFonts w:ascii="Times New Roman" w:hAnsi="Times New Roman" w:cs="Times New Roman"/>
          <w:b/>
          <w:bCs/>
        </w:rPr>
      </w:pPr>
    </w:p>
    <w:p w14:paraId="3DD20D1B" w14:textId="3E4D9488" w:rsidR="00667EC4" w:rsidRDefault="00667EC4" w:rsidP="00C973B7">
      <w:pPr>
        <w:rPr>
          <w:rFonts w:ascii="Times New Roman" w:hAnsi="Times New Roman" w:cs="Times New Roman"/>
          <w:b/>
          <w:bCs/>
        </w:rPr>
      </w:pPr>
    </w:p>
    <w:p w14:paraId="41480970" w14:textId="77777777" w:rsidR="00667EC4" w:rsidRPr="0086305E" w:rsidRDefault="00667EC4" w:rsidP="00C973B7">
      <w:pPr>
        <w:rPr>
          <w:rFonts w:ascii="Times New Roman" w:hAnsi="Times New Roman" w:cs="Times New Roman"/>
          <w:b/>
          <w:bCs/>
        </w:rPr>
      </w:pPr>
      <w:bookmarkStart w:id="0" w:name="_GoBack"/>
      <w:bookmarkEnd w:id="0"/>
    </w:p>
    <w:p w14:paraId="00D4B01D" w14:textId="77777777" w:rsidR="00C2594F" w:rsidRPr="00C2594F" w:rsidRDefault="00C2594F" w:rsidP="00C2594F">
      <w:pPr>
        <w:rPr>
          <w:rFonts w:ascii="Times New Roman" w:hAnsi="Times New Roman" w:cs="Times New Roman"/>
          <w:b/>
          <w:bCs/>
        </w:rPr>
      </w:pPr>
      <w:r w:rsidRPr="00C2594F">
        <w:rPr>
          <w:rFonts w:ascii="Times New Roman" w:hAnsi="Times New Roman" w:cs="Times New Roman"/>
          <w:b/>
          <w:bCs/>
        </w:rPr>
        <w:t>1. Introduction</w:t>
      </w:r>
    </w:p>
    <w:p w14:paraId="7A74F6FD" w14:textId="77777777" w:rsidR="00C2594F" w:rsidRPr="00C2594F" w:rsidRDefault="00C2594F" w:rsidP="00C2594F">
      <w:pPr>
        <w:rPr>
          <w:rFonts w:ascii="Times New Roman" w:hAnsi="Times New Roman" w:cs="Times New Roman"/>
          <w:b/>
          <w:bCs/>
        </w:rPr>
      </w:pPr>
      <w:r w:rsidRPr="00C2594F">
        <w:rPr>
          <w:rFonts w:ascii="Times New Roman" w:hAnsi="Times New Roman" w:cs="Times New Roman"/>
          <w:b/>
          <w:bCs/>
        </w:rPr>
        <w:t>1.1 Agrochemical Use and Water Contamination in U.S. Agriculture</w:t>
      </w:r>
    </w:p>
    <w:p w14:paraId="7434396D" w14:textId="77777777" w:rsidR="00C2594F" w:rsidRPr="00C2594F" w:rsidRDefault="00C2594F" w:rsidP="00C2594F">
      <w:pPr>
        <w:rPr>
          <w:rFonts w:ascii="Times New Roman" w:hAnsi="Times New Roman" w:cs="Times New Roman"/>
        </w:rPr>
      </w:pPr>
      <w:r w:rsidRPr="00C2594F">
        <w:rPr>
          <w:rFonts w:ascii="Times New Roman" w:hAnsi="Times New Roman" w:cs="Times New Roman"/>
        </w:rPr>
        <w:t>Modern U.S. agriculture relies heavily on agrochemicals</w:t>
      </w:r>
      <w:r w:rsidR="00D46D6A">
        <w:rPr>
          <w:rFonts w:ascii="Times New Roman" w:hAnsi="Times New Roman" w:cs="Times New Roman"/>
        </w:rPr>
        <w:t xml:space="preserve">, </w:t>
      </w:r>
      <w:r w:rsidRPr="00C2594F">
        <w:rPr>
          <w:rFonts w:ascii="Times New Roman" w:hAnsi="Times New Roman" w:cs="Times New Roman"/>
        </w:rPr>
        <w:t>including herbicides, insecticides, fungicides, and synthetic fertilizers</w:t>
      </w:r>
      <w:r w:rsidR="00D46D6A">
        <w:rPr>
          <w:rFonts w:ascii="Times New Roman" w:hAnsi="Times New Roman" w:cs="Times New Roman"/>
        </w:rPr>
        <w:t>,</w:t>
      </w:r>
      <w:r w:rsidR="00787E22" w:rsidRPr="00335136">
        <w:rPr>
          <w:rFonts w:ascii="Times New Roman" w:hAnsi="Times New Roman" w:cs="Times New Roman"/>
        </w:rPr>
        <w:t xml:space="preserve"> </w:t>
      </w:r>
      <w:r w:rsidRPr="00C2594F">
        <w:rPr>
          <w:rFonts w:ascii="Times New Roman" w:hAnsi="Times New Roman" w:cs="Times New Roman"/>
        </w:rPr>
        <w:t>to sustain crop yields and ensure food security. Millions of kilograms of active ingredients are applied annually across diverse cropping systems, with use intensity varying by region, crop type, and season. While these inputs have delivered substantial agronomic benefits, their widespread and repeated application has raised persistent concerns about off-target environmental contamination, particularly of drinking water sources in agricultural landscapes</w:t>
      </w:r>
      <w:r w:rsidR="005A58F1">
        <w:rPr>
          <w:rFonts w:ascii="Times New Roman" w:hAnsi="Times New Roman" w:cs="Times New Roman"/>
        </w:rPr>
        <w:fldChar w:fldCharType="begin"/>
      </w:r>
      <w:r w:rsidR="005A58F1">
        <w:rPr>
          <w:rFonts w:ascii="Times New Roman" w:hAnsi="Times New Roman" w:cs="Times New Roman"/>
        </w:rPr>
        <w:instrText xml:space="preserve"> ADDIN ZOTERO_ITEM CSL_CITATION {"citationID":"UPP1QjMb","properties":{"formattedCitation":"(1,2)","plainCitation":"(1,2)","noteIndex":0},"citationItems":[{"id":14900,"uris":["http://zotero.org/users/16652950/items/7QAC6QD3"],"itemData":{"id":14900,"type":"article-journal","abstract":"Global consumption of agrochemicals continues to rise, despite growing evidence of their adverse effects on environmental quality and human health. The extent of increase varies across nations, by type of chemical compounds and by severity of the detrimental impacts. The differential impacts are largely attributable to the level of technology adoption and regulation as well as their enforcement and compliance. The article highlights gaps in technical, legal, and social aspects, which include the paucity of holistic and long-term ecological impact assessment frameworks and lack of consideration for the social dimensions of pesticide use in regulatory decisions. Bridging these gaps, establishing global cooperation for regulation and governance, and a regional/national-level monitoring mechanism are suggested. This, complemented with a policy shift from the current approach of productivity enhancement to augmenting agroecosystem services, would encourage sustainable and nature-positive agriculture equipped to meet the multiple challenges of food security, ecological safety, and climate resilience.","container-title":"Annual Review of Environment and Resources","DOI":"10.1146/annurev-environ-120920-111015","ISSN":"1543-5938, 1545-2050","issue":"1","journalAbbreviation":"Annu. Rev. Environ. Resour.","language":"en","license":"http://creativecommons.org/licenses/by/4.0/","page":"399-421","source":"DOI.org (Crossref)","title":"Agrochemicals, Environment, and Human Health","volume":"47","author":[{"family":"Devi","given":"P. Indira"},{"family":"Manjula","given":"M."},{"family":"Bhavani","given":"R.V."}],"issued":{"date-parts":[["2022",10,17]]}}},{"id":13174,"uris":["http://zotero.org/users/16652950/items/4S3VLB6E"],"itemData":{"id":13174,"type":"article-journal","abstract":"This review critically examines the multifaceted impacts of chemical pesticides on environmental ecosystems and human health, highlighting the urgent need for sustainable pest management practices. The widespread use of pesticides, such as organochlorine compounds (e.g., DDT, endrin) known for their persistence and bioaccumulation, poses significant risks to biodiversity, water quality, and food safety. By accumulating in the food chain, these substances threaten higher trophic levels and amplify the potential for adverse health outcomes, including acute poisoning, cancer, and neurological disorders. Specific examples such as glyphosate and atrazine illustrate the pervasive nature of pesticide contamination in various environments. Key findings include the association of pesticide exposure with increased risks of non-Hodgkin lymphoma and Parkinson's disease, and the development of antibiotic resistance in microbial communities. The review discusses potential remediation methods, including physicochemical techniques like photodegradation and advanced oxidation processes, as well as bioremediation strategies involving microbial degradation. Photodegradation rates are influenced by environmental factors such as sunlight intensity, soil properties, and organic matter content. Bioremediation using specific microbial consortia has shown promise in degrading persistent pesticides, enhancing soil recovery. Emphasizing the importance of integrated pest management (IPM), enhanced regulatory frameworks, and user education, this review advocates for a strategic shift towards practices that minimize environmental harm and safeguard human health. Implementing these measures can significantly contribute to the advancement of sustainable agriculture by reducing pesticide reliance and promoting ecological balance.","container-title":"Emerging Contaminants","DOI":"10.1016/j.emcon.2024.100410","ISSN":"2405-6650","issue":"1","journalAbbreviation":"Emerging Contaminants","page":"100410","source":"ScienceDirect","title":"A comprehensive review on environmental and human health impacts of chemical pesticide usage","volume":"11","author":[{"family":"Zhou","given":"Wei"},{"family":"Li","given":"Mengmeng"},{"family":"Achal","given":"Varenyam"}],"issued":{"date-parts":[["2025",3,1]]}}}],"schema":"https://github.com/citation-style-language/schema/raw/master/csl-citation.json"} </w:instrText>
      </w:r>
      <w:r w:rsidR="005A58F1">
        <w:rPr>
          <w:rFonts w:ascii="Times New Roman" w:hAnsi="Times New Roman" w:cs="Times New Roman"/>
        </w:rPr>
        <w:fldChar w:fldCharType="separate"/>
      </w:r>
      <w:r w:rsidR="005A58F1" w:rsidRPr="005A58F1">
        <w:rPr>
          <w:rFonts w:ascii="Times New Roman" w:hAnsi="Times New Roman" w:cs="Times New Roman"/>
        </w:rPr>
        <w:t>(1,2)</w:t>
      </w:r>
      <w:r w:rsidR="005A58F1">
        <w:rPr>
          <w:rFonts w:ascii="Times New Roman" w:hAnsi="Times New Roman" w:cs="Times New Roman"/>
        </w:rPr>
        <w:fldChar w:fldCharType="end"/>
      </w:r>
      <w:r w:rsidRPr="00C2594F">
        <w:rPr>
          <w:rFonts w:ascii="Times New Roman" w:hAnsi="Times New Roman" w:cs="Times New Roman"/>
        </w:rPr>
        <w:t>.</w:t>
      </w:r>
    </w:p>
    <w:p w14:paraId="128BF72C" w14:textId="77777777" w:rsidR="00C2594F" w:rsidRPr="00C2594F" w:rsidRDefault="00C2594F" w:rsidP="00C2594F">
      <w:pPr>
        <w:rPr>
          <w:rFonts w:ascii="Times New Roman" w:hAnsi="Times New Roman" w:cs="Times New Roman"/>
        </w:rPr>
      </w:pPr>
      <w:r w:rsidRPr="00C2594F">
        <w:rPr>
          <w:rFonts w:ascii="Times New Roman" w:hAnsi="Times New Roman" w:cs="Times New Roman"/>
        </w:rPr>
        <w:t>Agrochemicals can enter groundwater and surface water through multiple pathways, including leaching through permeable soils, surface runoff following precipitation events, spray drift, and subsurface drainage</w:t>
      </w:r>
      <w:r w:rsidR="005A58F1">
        <w:rPr>
          <w:rFonts w:ascii="Times New Roman" w:hAnsi="Times New Roman" w:cs="Times New Roman"/>
        </w:rPr>
        <w:fldChar w:fldCharType="begin"/>
      </w:r>
      <w:r w:rsidR="005A58F1">
        <w:rPr>
          <w:rFonts w:ascii="Times New Roman" w:hAnsi="Times New Roman" w:cs="Times New Roman"/>
        </w:rPr>
        <w:instrText xml:space="preserve"> ADDIN ZOTERO_ITEM CSL_CITATION {"citationID":"7Z7TyyVG","properties":{"formattedCitation":"(3)","plainCitation":"(3)","noteIndex":0},"citationItems":[{"id":14901,"uris":["http://zotero.org/users/16652950/items/QPBN8EUU"],"itemData":{"id":14901,"type":"article-journal","abstract":"Chemical pesticides in the hydrogeological system are a global concern as they pose a severe threat to humans and other organisms. In agriculture, around 4.12 million tonnes of pesticides were used globally in 2018, which is 50% more than in the 1990s. Various pesticides detected in the hydrogeological system of India since the 1990s have been documented and reviewed to understand the prevalence, source, history and degradation pathways. This review contributes to a better understanding of existing pesticide pollution and the state of hydrogeological resource deterioration. Small to excess levels of pesticide residues were detected in groundwater, surface water, soil, and sediments. Pesticides that were most commonly and predominantly found in the hydrogeological system were HCHs, DDTs, endosulfan, heptachlor, drins (aldrin, dieldrin, endrin), chlordane etc. β and γ-HCH isomers among HCHs, whereas p,p′-DDT and p,p′-DDE among the DDTs were detected most prevalently. In many regions, pesticide residue levels in water have exceeded the maximum residue limits of WHO and BIS, while those in soils and sediments have exceeded the threshold effect level and probable effect level. Higher pesticide residues were detected in the water resources of rural agricultural areas compared to peri-urban or urban areas. A positive correlation of pesticide residues between water resources and soil has been observed in some regions, suggesting a similar contamination source. Diagnostic ratios of pesticides reveal their source, history and degradation pathways. Diagnostic ratios observed in various studies conducted in India suggest historical as well as recent use of banned pesticides. Strengthening current policies and regulations, monitoring pesticide use, changes in pesticide application practices, awareness among farmers, and the use of prominent removal techniques are necessary to tackle pesticide contamination in India.","container-title":"Environmental Geochemistry and Health","DOI":"10.1007/s10653-023-01608-6","ISSN":"0269-4042","journalAbbreviation":"Environ Geochem Health","note":"PMID: 37183216\nPMCID: PMC10183316","page":"1-33","source":"PubMed Central","title":"Pesticides in the hydrogeo-environment: a review of contaminant prevalence, source and mobilisation in India","title-short":"Pesticides in the hydrogeo-environment","author":[{"family":"Rajan","given":"Shijin"},{"family":"Parween","given":"Musarrat"},{"family":"Raju","given":"N. Janardhana"}],"issued":{"date-parts":[["2023",5,15]]}}}],"schema":"https://github.com/citation-style-language/schema/raw/master/csl-citation.json"} </w:instrText>
      </w:r>
      <w:r w:rsidR="005A58F1">
        <w:rPr>
          <w:rFonts w:ascii="Times New Roman" w:hAnsi="Times New Roman" w:cs="Times New Roman"/>
        </w:rPr>
        <w:fldChar w:fldCharType="separate"/>
      </w:r>
      <w:r w:rsidR="005A58F1" w:rsidRPr="005A58F1">
        <w:rPr>
          <w:rFonts w:ascii="Times New Roman" w:hAnsi="Times New Roman" w:cs="Times New Roman"/>
        </w:rPr>
        <w:t>(3)</w:t>
      </w:r>
      <w:r w:rsidR="005A58F1">
        <w:rPr>
          <w:rFonts w:ascii="Times New Roman" w:hAnsi="Times New Roman" w:cs="Times New Roman"/>
        </w:rPr>
        <w:fldChar w:fldCharType="end"/>
      </w:r>
      <w:r w:rsidRPr="00C2594F">
        <w:rPr>
          <w:rFonts w:ascii="Times New Roman" w:hAnsi="Times New Roman" w:cs="Times New Roman"/>
        </w:rPr>
        <w:t>. Chemical properties such as solubility, persistence, and degradation rates interact with environmental factors</w:t>
      </w:r>
      <w:r w:rsidR="00D46D6A">
        <w:rPr>
          <w:rFonts w:ascii="Times New Roman" w:hAnsi="Times New Roman" w:cs="Times New Roman"/>
        </w:rPr>
        <w:t>,</w:t>
      </w:r>
      <w:r w:rsidR="00787E22" w:rsidRPr="00335136">
        <w:rPr>
          <w:rFonts w:ascii="Times New Roman" w:hAnsi="Times New Roman" w:cs="Times New Roman"/>
        </w:rPr>
        <w:t xml:space="preserve"> </w:t>
      </w:r>
      <w:r w:rsidRPr="00C2594F">
        <w:rPr>
          <w:rFonts w:ascii="Times New Roman" w:hAnsi="Times New Roman" w:cs="Times New Roman"/>
        </w:rPr>
        <w:t>soil composition, aquifer vulnerability, land slope, and climate variability</w:t>
      </w:r>
      <w:r w:rsidR="00787E22" w:rsidRPr="00335136">
        <w:rPr>
          <w:rFonts w:ascii="Times New Roman" w:hAnsi="Times New Roman" w:cs="Times New Roman"/>
        </w:rPr>
        <w:t xml:space="preserve"> </w:t>
      </w:r>
      <w:r w:rsidRPr="00C2594F">
        <w:rPr>
          <w:rFonts w:ascii="Times New Roman" w:hAnsi="Times New Roman" w:cs="Times New Roman"/>
        </w:rPr>
        <w:t>to determine transport and fate. As a result, contaminants such as nitrates, atrazine, glyphosate, and other pesticide residues are frequently detected in agricultural watersheds, sometimes at concentrations exceeding health-based guidelines</w:t>
      </w:r>
      <w:r w:rsidR="005A58F1">
        <w:rPr>
          <w:rFonts w:ascii="Times New Roman" w:hAnsi="Times New Roman" w:cs="Times New Roman"/>
        </w:rPr>
        <w:fldChar w:fldCharType="begin"/>
      </w:r>
      <w:r w:rsidR="005A58F1">
        <w:rPr>
          <w:rFonts w:ascii="Times New Roman" w:hAnsi="Times New Roman" w:cs="Times New Roman"/>
        </w:rPr>
        <w:instrText xml:space="preserve"> ADDIN ZOTERO_ITEM CSL_CITATION {"citationID":"V844QwuO","properties":{"formattedCitation":"(3,4)","plainCitation":"(3,4)","noteIndex":0},"citationItems":[{"id":14901,"uris":["http://zotero.org/users/16652950/items/QPBN8EUU"],"itemData":{"id":14901,"type":"article-journal","abstract":"Chemical pesticides in the hydrogeological system are a global concern as they pose a severe threat to humans and other organisms. In agriculture, around 4.12 million tonnes of pesticides were used globally in 2018, which is 50% more than in the 1990s. Various pesticides detected in the hydrogeological system of India since the 1990s have been documented and reviewed to understand the prevalence, source, history and degradation pathways. This review contributes to a better understanding of existing pesticide pollution and the state of hydrogeological resource deterioration. Small to excess levels of pesticide residues were detected in groundwater, surface water, soil, and sediments. Pesticides that were most commonly and predominantly found in the hydrogeological system were HCHs, DDTs, endosulfan, heptachlor, drins (aldrin, dieldrin, endrin), chlordane etc. β and γ-HCH isomers among HCHs, whereas p,p′-DDT and p,p′-DDE among the DDTs were detected most prevalently. In many regions, pesticide residue levels in water have exceeded the maximum residue limits of WHO and BIS, while those in soils and sediments have exceeded the threshold effect level and probable effect level. Higher pesticide residues were detected in the water resources of rural agricultural areas compared to peri-urban or urban areas. A positive correlation of pesticide residues between water resources and soil has been observed in some regions, suggesting a similar contamination source. Diagnostic ratios of pesticides reveal their source, history and degradation pathways. Diagnostic ratios observed in various studies conducted in India suggest historical as well as recent use of banned pesticides. Strengthening current policies and regulations, monitoring pesticide use, changes in pesticide application practices, awareness among farmers, and the use of prominent removal techniques are necessary to tackle pesticide contamination in India.","container-title":"Environmental Geochemistry and Health","DOI":"10.1007/s10653-023-01608-6","ISSN":"0269-4042","journalAbbreviation":"Environ Geochem Health","note":"PMID: 37183216\nPMCID: PMC10183316","page":"1-33","source":"PubMed Central","title":"Pesticides in the hydrogeo-environment: a review of contaminant prevalence, source and mobilisation in India","title-short":"Pesticides in the hydrogeo-environment","author":[{"family":"Rajan","given":"Shijin"},{"family":"Parween","given":"Musarrat"},{"family":"Raju","given":"N. Janardhana"}],"issued":{"date-parts":[["2023",5,15]]}}},{"id":13312,"uris":["http://zotero.org/users/16652950/items/ZSWHZD3Y"],"itemData":{"id":13312,"type":"article-journal","abstract":"Pesticides play an important role in agricultural development. However, pesticide application can result in both acute and chronic human toxicities, and the adverse effects of pesticides on the environment and human health remain a serious problem. There is therefore a need to discuss the application methods for pesticides, the routes of pesticide exposure, and the health risks posed by pesticide application. The health problems related to pesticide application and exposure in developing countries are of particular concern. The purpose of this paper is to provide scientific information for policymakers in order to allow the development of proper pesticide application technics and methods to minimize pesticide exposure and the adverse health effects on both applicators and communities. Studies indicate that there are four main pesticide application methods, including hydraulic spraying, backpack spraying, basal trunk spraying, and aerial spraying. Pesticide application methods are mainly selected by considering the habits of target pests, the characteristics of target sites, and the properties of pesticides. Humans are directly exposed to pesticides in occupational, agricultural, and household activities and are indirectly exposed to pesticides via environmental media, including air, water, soil, and food. Human exposure to pesticides occurs mainly through dermal, oral, and respiratory routes. People who are directly and/or indirectly exposed to pesticides may contract acute toxicity effects and chronic diseases. Although no segment of the general population is completely protected against exposure to pesticides and their potentially serious health effects, a disproportionate burden is shouldered by people in developing countries. Both deterministic and probabilistic human health risk assessments have their advantages and disadvantages and both types of methods should be comprehensively implemented in research on exposure and human health risk assessment. Equipment for appropriate pesticide application is important for application efficiency to minimize the loss of spray solution as well as reduce pesticide residuals in the environment and adverse human health effects due to over-spraying and residues. Policymakers should implement various useful measures, such as integrated pest management (IPM) laws that prohibit the use of pesticides with high risks and the development of a national implementation plan (NIP) to reduce the adverse effects of pesticides on the environment and on human health.","container-title":"Toxics","DOI":"10.3390/toxics10060335","ISSN":"2305-6304","issue":"6","journalAbbreviation":"Toxics","note":"PMID: 35736943\nPMCID: PMC9231402","page":"335","source":"PubMed Central","title":"Exposure Routes and Health Risks Associated with Pesticide Application","volume":"10","author":[{"family":"Tudi","given":"Muyesaier"},{"family":"Li","given":"Hairong"},{"family":"Li","given":"Hongying"},{"family":"Wang","given":"Li"},{"family":"Lyu","given":"Jia"},{"family":"Yang","given":"Linsheng"},{"family":"Tong","given":"Shuangmei"},{"family":"Yu","given":"Qiming Jimmy"},{"family":"Ruan","given":"Huada Daniel"},{"family":"Atabila","given":"Albert"},{"family":"Phung","given":"Dung Tri"},{"family":"Sadler","given":"Ross"},{"family":"Connell","given":"Des"}],"issued":{"date-parts":[["2022",6,19]]}}}],"schema":"https://github.com/citation-style-language/schema/raw/master/csl-citation.json"} </w:instrText>
      </w:r>
      <w:r w:rsidR="005A58F1">
        <w:rPr>
          <w:rFonts w:ascii="Times New Roman" w:hAnsi="Times New Roman" w:cs="Times New Roman"/>
        </w:rPr>
        <w:fldChar w:fldCharType="separate"/>
      </w:r>
      <w:r w:rsidR="005A58F1" w:rsidRPr="005A58F1">
        <w:rPr>
          <w:rFonts w:ascii="Times New Roman" w:hAnsi="Times New Roman" w:cs="Times New Roman"/>
        </w:rPr>
        <w:t>(3,4)</w:t>
      </w:r>
      <w:r w:rsidR="005A58F1">
        <w:rPr>
          <w:rFonts w:ascii="Times New Roman" w:hAnsi="Times New Roman" w:cs="Times New Roman"/>
        </w:rPr>
        <w:fldChar w:fldCharType="end"/>
      </w:r>
      <w:r w:rsidRPr="00C2594F">
        <w:rPr>
          <w:rFonts w:ascii="Times New Roman" w:hAnsi="Times New Roman" w:cs="Times New Roman"/>
        </w:rPr>
        <w:t>.</w:t>
      </w:r>
    </w:p>
    <w:p w14:paraId="1E960E1B" w14:textId="77777777" w:rsidR="00C2594F" w:rsidRPr="00C2594F" w:rsidRDefault="00C2594F" w:rsidP="00C2594F">
      <w:pPr>
        <w:rPr>
          <w:rFonts w:ascii="Times New Roman" w:hAnsi="Times New Roman" w:cs="Times New Roman"/>
        </w:rPr>
      </w:pPr>
      <w:r w:rsidRPr="00C2594F">
        <w:rPr>
          <w:rFonts w:ascii="Times New Roman" w:hAnsi="Times New Roman" w:cs="Times New Roman"/>
        </w:rPr>
        <w:t>A critical dimension of this issue is the reliance of many farming households on private drinking water wells. Unlike public water systems, private wells are largely unregulated at the federal level and are not subject to routine monitoring or mandatory treatment. Consequently, contamination can persist undetected for years, creating conditions for long-term, low-dose exposure among farming families. This regulatory gap places agricultural communities at the intersection of intensive chemical use and limited water quality oversight, amplifying potential health risks.</w:t>
      </w:r>
    </w:p>
    <w:p w14:paraId="7DA7E158" w14:textId="77777777" w:rsidR="00C2594F" w:rsidRPr="00C2594F" w:rsidRDefault="00C2594F" w:rsidP="00C2594F">
      <w:pPr>
        <w:rPr>
          <w:rFonts w:ascii="Times New Roman" w:hAnsi="Times New Roman" w:cs="Times New Roman"/>
          <w:b/>
          <w:bCs/>
        </w:rPr>
      </w:pPr>
      <w:r w:rsidRPr="00C2594F">
        <w:rPr>
          <w:rFonts w:ascii="Times New Roman" w:hAnsi="Times New Roman" w:cs="Times New Roman"/>
          <w:b/>
          <w:bCs/>
        </w:rPr>
        <w:t>1.2 Chronic Disease Burden Among U.S. Farmers</w:t>
      </w:r>
    </w:p>
    <w:p w14:paraId="2C7CEE5F" w14:textId="77777777" w:rsidR="00C2594F" w:rsidRPr="00C2594F" w:rsidRDefault="00C2594F" w:rsidP="00C2594F">
      <w:pPr>
        <w:rPr>
          <w:rFonts w:ascii="Times New Roman" w:hAnsi="Times New Roman" w:cs="Times New Roman"/>
        </w:rPr>
      </w:pPr>
      <w:r w:rsidRPr="00C2594F">
        <w:rPr>
          <w:rFonts w:ascii="Times New Roman" w:hAnsi="Times New Roman" w:cs="Times New Roman"/>
        </w:rPr>
        <w:t>Farmers and agricultural workers experience a distinct profile of chronic disease risks shaped by occupational, environmental, and social factors. Epidemiologic studies have documented elevated risks of certain cancers, including hematologic malignancies, prostate cancer, and non-Hodgkin lymphoma, alongside increased prevalence of neurologic disorders such as Parkinson’s disease. Emerging evidence also links agricultural exposures to endocrine disruption, metabolic disorders, chronic kidney disease, and adverse cardiovascular outcomes</w:t>
      </w:r>
      <w:r w:rsidR="006306B9">
        <w:rPr>
          <w:rFonts w:ascii="Times New Roman" w:hAnsi="Times New Roman" w:cs="Times New Roman"/>
        </w:rPr>
        <w:fldChar w:fldCharType="begin"/>
      </w:r>
      <w:r w:rsidR="006306B9">
        <w:rPr>
          <w:rFonts w:ascii="Times New Roman" w:hAnsi="Times New Roman" w:cs="Times New Roman"/>
        </w:rPr>
        <w:instrText xml:space="preserve"> ADDIN ZOTERO_ITEM CSL_CITATION {"citationID":"EiSgGCxX","properties":{"formattedCitation":"(5)","plainCitation":"(5)","noteIndex":0},"citationItems":[{"id":14904,"uris":["http://zotero.org/users/16652950/items/LG5ACGFA"],"itemData":{"id":14904,"type":"article-journal","abstract":"Simple SummaryNon-Hodgkin lymphoma is a growing public health concern in Ethiopia, yet evidence on non-infectious risk factors remains limited. In thi...","container-title":"Cancers","DOI":"10.3390/cancers17233745","ISSN":"2072-6694","issue":"23","language":"en","license":"http://creativecommons.org/licenses/by/3.0/","note":"Company: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publisher","source":"www.mdpi.com","title":"Occupational, Lifestyle, and Medical Risk Factors for Non-Hodgkin Lymphoma: A Case–Control Study in Ethiopia","title-short":"Occupational, Lifestyle, and Medical Risk Factors for Non-Hodgkin Lymphoma","URL":"https://www.mdpi.com/2072-6694/17/23/3745","volume":"17","author":[{"family":"Baissa","given":"Obsie T."},{"family":"Abdela","given":"Fozia"},{"family":"Tadesse","given":"Fissehatsion"},{"family":"Damie","given":"Amanuel"},{"family":"Sori","given":"Moti"},{"family":"Hailu","given":"Workagegnehu"},{"family":"Bizuneh","given":"Segenet"},{"family":"Abebe","given":"Bewketu"},{"family":"Adamu","given":"Begashaw"},{"family":"Amir","given":"Gail"},{"family":"Paltiel","given":"Ora"}],"accessed":{"date-parts":[["2026",2,18]]},"issued":{"date-parts":[["2025",11,23]]}}}],"schema":"https://github.com/citation-style-language/schema/raw/master/csl-citation.json"} </w:instrText>
      </w:r>
      <w:r w:rsidR="006306B9">
        <w:rPr>
          <w:rFonts w:ascii="Times New Roman" w:hAnsi="Times New Roman" w:cs="Times New Roman"/>
        </w:rPr>
        <w:fldChar w:fldCharType="separate"/>
      </w:r>
      <w:r w:rsidR="006306B9" w:rsidRPr="006306B9">
        <w:rPr>
          <w:rFonts w:ascii="Times New Roman" w:hAnsi="Times New Roman" w:cs="Times New Roman"/>
        </w:rPr>
        <w:t>(5)</w:t>
      </w:r>
      <w:r w:rsidR="006306B9">
        <w:rPr>
          <w:rFonts w:ascii="Times New Roman" w:hAnsi="Times New Roman" w:cs="Times New Roman"/>
        </w:rPr>
        <w:fldChar w:fldCharType="end"/>
      </w:r>
      <w:r w:rsidRPr="00C2594F">
        <w:rPr>
          <w:rFonts w:ascii="Times New Roman" w:hAnsi="Times New Roman" w:cs="Times New Roman"/>
        </w:rPr>
        <w:t>.</w:t>
      </w:r>
    </w:p>
    <w:p w14:paraId="4FD180A9" w14:textId="77777777" w:rsidR="00C2594F" w:rsidRPr="00C2594F" w:rsidRDefault="00C2594F" w:rsidP="00C2594F">
      <w:pPr>
        <w:rPr>
          <w:rFonts w:ascii="Times New Roman" w:hAnsi="Times New Roman" w:cs="Times New Roman"/>
        </w:rPr>
      </w:pPr>
      <w:r w:rsidRPr="00C2594F">
        <w:rPr>
          <w:rFonts w:ascii="Times New Roman" w:hAnsi="Times New Roman" w:cs="Times New Roman"/>
        </w:rPr>
        <w:t xml:space="preserve">A defining feature of health risk in farming populations is the dual exposure context. Farmers are exposed occupationally through direct handling and application of agrochemicals, as well as environmentally through residential proximity to treated fields and contaminated water sources. Drinking water exposure represents a continuous, often lifelong pathway that can operate </w:t>
      </w:r>
      <w:r w:rsidRPr="00C2594F">
        <w:rPr>
          <w:rFonts w:ascii="Times New Roman" w:hAnsi="Times New Roman" w:cs="Times New Roman"/>
        </w:rPr>
        <w:lastRenderedPageBreak/>
        <w:t>independently of active farming status, extending risks to family members and aging farmers long after occupational exposure has ceased</w:t>
      </w:r>
      <w:r w:rsidR="006306B9">
        <w:rPr>
          <w:rFonts w:ascii="Times New Roman" w:hAnsi="Times New Roman" w:cs="Times New Roman"/>
        </w:rPr>
        <w:fldChar w:fldCharType="begin"/>
      </w:r>
      <w:r w:rsidR="00691FE4">
        <w:rPr>
          <w:rFonts w:ascii="Times New Roman" w:hAnsi="Times New Roman" w:cs="Times New Roman"/>
        </w:rPr>
        <w:instrText xml:space="preserve"> ADDIN ZOTERO_ITEM CSL_CITATION {"citationID":"WSGbuIhj","properties":{"formattedCitation":"(4,6,7)","plainCitation":"(4,6,7)","noteIndex":0},"citationItems":[{"id":13312,"uris":["http://zotero.org/users/16652950/items/ZSWHZD3Y"],"itemData":{"id":13312,"type":"article-journal","abstract":"Pesticides play an important role in agricultural development. However, pesticide application can result in both acute and chronic human toxicities, and the adverse effects of pesticides on the environment and human health remain a serious problem. There is therefore a need to discuss the application methods for pesticides, the routes of pesticide exposure, and the health risks posed by pesticide application. The health problems related to pesticide application and exposure in developing countries are of particular concern. The purpose of this paper is to provide scientific information for policymakers in order to allow the development of proper pesticide application technics and methods to minimize pesticide exposure and the adverse health effects on both applicators and communities. Studies indicate that there are four main pesticide application methods, including hydraulic spraying, backpack spraying, basal trunk spraying, and aerial spraying. Pesticide application methods are mainly selected by considering the habits of target pests, the characteristics of target sites, and the properties of pesticides. Humans are directly exposed to pesticides in occupational, agricultural, and household activities and are indirectly exposed to pesticides via environmental media, including air, water, soil, and food. Human exposure to pesticides occurs mainly through dermal, oral, and respiratory routes. People who are directly and/or indirectly exposed to pesticides may contract acute toxicity effects and chronic diseases. Although no segment of the general population is completely protected against exposure to pesticides and their potentially serious health effects, a disproportionate burden is shouldered by people in developing countries. Both deterministic and probabilistic human health risk assessments have their advantages and disadvantages and both types of methods should be comprehensively implemented in research on exposure and human health risk assessment. Equipment for appropriate pesticide application is important for application efficiency to minimize the loss of spray solution as well as reduce pesticide residuals in the environment and adverse human health effects due to over-spraying and residues. Policymakers should implement various useful measures, such as integrated pest management (IPM) laws that prohibit the use of pesticides with high risks and the development of a national implementation plan (NIP) to reduce the adverse effects of pesticides on the environment and on human health.","container-title":"Toxics","DOI":"10.3390/toxics10060335","ISSN":"2305-6304","issue":"6","journalAbbreviation":"Toxics","note":"PMID: 35736943\nPMCID: PMC9231402","page":"335","source":"PubMed Central","title":"Exposure Routes and Health Risks Associated with Pesticide Application","volume":"10","author":[{"family":"Tudi","given":"Muyesaier"},{"family":"Li","given":"Hairong"},{"family":"Li","given":"Hongying"},{"family":"Wang","given":"Li"},{"family":"Lyu","given":"Jia"},{"family":"Yang","given":"Linsheng"},{"family":"Tong","given":"Shuangmei"},{"family":"Yu","given":"Qiming Jimmy"},{"family":"Ruan","given":"Huada Daniel"},{"family":"Atabila","given":"Albert"},{"family":"Phung","given":"Dung Tri"},{"family":"Sadler","given":"Ross"},{"family":"Connell","given":"Des"}],"issued":{"date-parts":[["2022",6,19]]}}},{"id":14906,"uris":["http://zotero.org/users/16652950/items/EHH9IFSA"],"itemData":{"id":14906,"type":"article-journal","abstract":"The main objective of this review was to determine the main risks that agricultural workers are exposed to during pesticide application, which may hav...","container-title":"Environments","DOI":"10.3390/environments10090160","ISSN":"2076-3298","issue":"9","language":"en","license":"http://creativecommons.org/licenses/by/3.0/","note":"Company: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publisher","source":"www.mdpi.com","title":"Pesticide Application as a Risk Factor/Behaviour for Workers’ Health: A Systematic Review","title-short":"Pesticide Application as a Risk Factor/Behaviour for Workers’ Health","URL":"https://www.mdpi.com/2076-3298/10/9/160","volume":"10","author":[{"family":"Moreira","given":"Andreia"},{"family":"Silva","given":"Manuela Vieira","dropping-particle":"da"}],"accessed":{"date-parts":[["2026",2,18]]},"issued":{"date-parts":[["2023",9,13]]}}},{"id":14465,"uris":["http://zotero.org/users/16652950/items/9QBJKMAZ"],"itemData":{"id":14465,"type":"article-journal","abstract":"Background\nObesity among older adults in the United States is a growing public health concern, with rising rates contributing to chronic disease, disability, and premature mortality. While higher income is generally associated with lower obesity risk, this relationship may not hold equally across racial and ethnic groups. This study examines how household income relates to obesity among older adults and whether race moderates this association.\n\nMethods\nWe used longitudinal data from the Health and Retirement Study (2014–2018), a nationally representative panel of U.S. adults aged 50 and older (N = 12,118). Obesity was defined as BMI ≥ 30 using self-reported height and weight. Household income was measured both continuously and in quartiles. We estimated mixed-effects logistic regression models with race-income interaction terms, adjusting for age, gender, nativity, work status, functional limitations, and survey year.\n\nResults\nHigher income was associated with reduced odds of obesity overall (OR = 0.95 per $10,000, 95% CI: 0.92–0.99), but this protective effect differed by race. Among White older adults, income was strongly protective; among Black adults, income had no significant effect (interaction OR = 1.05, p &lt; 0.05); and among Hispanic adults, the effect was weaker and non-significant. Obesity disparities persisted across income levels, with high-income Black seniors having higher obesity prevalence than low-income Whites.\n\nConclusions\nIncome-based health advantages do not accrue equally across racial groups. Interventions must go beyond economic measures to address structural barriers, cultural contexts, and life-course disadvantage that shape obesity risk in later life.","container-title":"BMC Public Health","DOI":"10.1186/s12889-025-22910-1","ISSN":"1471-2458","journalAbbreviation":"BMC Public Health","note":"PMID: 41039415\nPMCID: PMC12492692","page":"3306","source":"PubMed Central","title":"Household income and obesity among older adults: the moderating role of race in a longitudinal analysis","title-short":"Household income and obesity among older adults","volume":"25","author":[{"family":"Folorunsho","given":"Sunkanmi"},{"family":"Ajayi","given":"Victor"},{"family":"Sanmori","given":"Munirat"}],"issued":{"date-parts":[["2025",10,2]]}}}],"schema":"https://github.com/citation-style-language/schema/raw/master/csl-citation.json"} </w:instrText>
      </w:r>
      <w:r w:rsidR="006306B9">
        <w:rPr>
          <w:rFonts w:ascii="Times New Roman" w:hAnsi="Times New Roman" w:cs="Times New Roman"/>
        </w:rPr>
        <w:fldChar w:fldCharType="separate"/>
      </w:r>
      <w:r w:rsidR="00691FE4" w:rsidRPr="00691FE4">
        <w:rPr>
          <w:rFonts w:ascii="Times New Roman" w:hAnsi="Times New Roman" w:cs="Times New Roman"/>
        </w:rPr>
        <w:t>(4,6,7)</w:t>
      </w:r>
      <w:r w:rsidR="006306B9">
        <w:rPr>
          <w:rFonts w:ascii="Times New Roman" w:hAnsi="Times New Roman" w:cs="Times New Roman"/>
        </w:rPr>
        <w:fldChar w:fldCharType="end"/>
      </w:r>
      <w:r w:rsidRPr="00C2594F">
        <w:rPr>
          <w:rFonts w:ascii="Times New Roman" w:hAnsi="Times New Roman" w:cs="Times New Roman"/>
        </w:rPr>
        <w:t>.</w:t>
      </w:r>
    </w:p>
    <w:p w14:paraId="3341BE8B" w14:textId="77777777" w:rsidR="00C2594F" w:rsidRPr="00C2594F" w:rsidRDefault="00C2594F" w:rsidP="00C2594F">
      <w:pPr>
        <w:rPr>
          <w:rFonts w:ascii="Times New Roman" w:hAnsi="Times New Roman" w:cs="Times New Roman"/>
        </w:rPr>
      </w:pPr>
      <w:r w:rsidRPr="00C2594F">
        <w:rPr>
          <w:rFonts w:ascii="Times New Roman" w:hAnsi="Times New Roman" w:cs="Times New Roman"/>
        </w:rPr>
        <w:t>Despite these risks, health surveillance in farming populations remains fragmented. Many large-scale health datasets lack detailed occupational histories, residential exposure information, or high-resolution environmental data. Underdiagnosis, limited access to specialty care in rural areas, and variability in health reporting further complicate disease tracking. These gaps hinder the ability to fully characterize long-term disease burdens and to attribute risks to specific environmental exposures such as drinking water contamination.</w:t>
      </w:r>
    </w:p>
    <w:p w14:paraId="7C37AA97" w14:textId="77777777" w:rsidR="00C2594F" w:rsidRPr="00C2594F" w:rsidRDefault="00C2594F" w:rsidP="00C2594F">
      <w:pPr>
        <w:rPr>
          <w:rFonts w:ascii="Times New Roman" w:hAnsi="Times New Roman" w:cs="Times New Roman"/>
          <w:b/>
          <w:bCs/>
        </w:rPr>
      </w:pPr>
      <w:r w:rsidRPr="00C2594F">
        <w:rPr>
          <w:rFonts w:ascii="Times New Roman" w:hAnsi="Times New Roman" w:cs="Times New Roman"/>
          <w:b/>
          <w:bCs/>
        </w:rPr>
        <w:t>1.3 Why Modeling Matters</w:t>
      </w:r>
    </w:p>
    <w:p w14:paraId="7E9869B9" w14:textId="77777777" w:rsidR="00C2594F" w:rsidRPr="00C2594F" w:rsidRDefault="00C2594F" w:rsidP="00C2594F">
      <w:pPr>
        <w:rPr>
          <w:rFonts w:ascii="Times New Roman" w:hAnsi="Times New Roman" w:cs="Times New Roman"/>
        </w:rPr>
      </w:pPr>
      <w:r w:rsidRPr="00C2594F">
        <w:rPr>
          <w:rFonts w:ascii="Times New Roman" w:hAnsi="Times New Roman" w:cs="Times New Roman"/>
        </w:rPr>
        <w:t>Direct monitoring of agrochemicals in drinking water and biomonitoring of exposed individuals are essential but inherently limited. Monitoring data are often spatially sparse, temporally inconsistent, and biased toward regulated public water systems, leaving private wells underrepresented. Biomonitoring, while informative for recent exposure, typically reflects short biological half-lives and may fail to capture cumulative or historical exposure relevant to chronic disease development</w:t>
      </w:r>
      <w:r w:rsidR="005D0BDC">
        <w:rPr>
          <w:rFonts w:ascii="Times New Roman" w:hAnsi="Times New Roman" w:cs="Times New Roman"/>
        </w:rPr>
        <w:fldChar w:fldCharType="begin"/>
      </w:r>
      <w:r w:rsidR="00691FE4">
        <w:rPr>
          <w:rFonts w:ascii="Times New Roman" w:hAnsi="Times New Roman" w:cs="Times New Roman"/>
        </w:rPr>
        <w:instrText xml:space="preserve"> ADDIN ZOTERO_ITEM CSL_CITATION {"citationID":"9gjYVzLg","properties":{"formattedCitation":"(8)","plainCitation":"(8)","noteIndex":0},"citationItems":[{"id":14910,"uris":["http://zotero.org/users/16652950/items/5RJMIXMR"],"itemData":{"id":14910,"type":"article-journal","abstract":"Pesticide contamination in drinking water poses serious risks due to their toxicity, persistence, and poor degradability. In Mexico, the absence of specific regulations creates exposure risks for non-occupational populations. This study assessed pesticide occurrence and chronic exposure risk in the Guadalajara Metropolitan Area (GMA). A total of 39 household tap water samples and 40 commercial purified water samples were analyzed by HPLC-MS/MS. Commercially purified water samples were obtained from local purification establishments unaffiliated with national or transnational brands. Five pesticides were detected in tap water, with molinate and malathion showing the highest exposure frequencies (43.6% and 38.5%). In purified water, only malathion was found, present in 95% of samples, with a maximum of 1.57 mg/L in a single case. Risk levels were classified using Acceptable Daily Intake (ADI) thresholds. Spatial patterns revealed higher risk in areas supplied by Lake Chapala. Multivariate statistics identified atrazine and picloram as key contributors to exposure variance. Levene's and Kruskal-Wallis tests confirmed significant differences in malathion levels between municipalities. The results show contrasting contamination profiles and treatment limitations in both water sources. This is the first study in Mexico to jointly evaluate pesticide contamination and human exposure risk in public and commercial water using a spatial-statistical framework.","container-title":"Environmental Science and Pollution Research International","DOI":"10.1007/s11356-025-37140-6","ISSN":"1614-7499","issue":"45","journalAbbreviation":"Environ Sci Pollut Res Int","language":"eng","note":"PMID: 41203892","page":"25689-25705","source":"PubMed","title":"Pesticide contamination and human exposure risk in municipal and commercially purified water from an urban zone in Mexico","volume":"32","author":[{"family":"Aviña-Hermosillo","given":"Abril L."},{"family":"Morán-Salazar","given":"Rene G."},{"family":"Peregrina-Lucano","given":"Alejandro A."},{"family":"Reynaga-Delgado","given":"Eire"},{"family":"Badillo-Camacho","given":"Jessica"},{"family":"Ramos-Rivera","given":"Carlos A."},{"family":"González-Villagomez","given":"Lizeth A."},{"family":"Barcelo-Quintal","given":"Icela D."},{"family":"Gómez-Salazar","given":"Sergio"}],"issued":{"date-parts":[["2025",9]]}}}],"schema":"https://github.com/citation-style-language/schema/raw/master/csl-citation.json"} </w:instrText>
      </w:r>
      <w:r w:rsidR="005D0BDC">
        <w:rPr>
          <w:rFonts w:ascii="Times New Roman" w:hAnsi="Times New Roman" w:cs="Times New Roman"/>
        </w:rPr>
        <w:fldChar w:fldCharType="separate"/>
      </w:r>
      <w:r w:rsidR="00691FE4" w:rsidRPr="00691FE4">
        <w:rPr>
          <w:rFonts w:ascii="Times New Roman" w:hAnsi="Times New Roman" w:cs="Times New Roman"/>
        </w:rPr>
        <w:t>(8)</w:t>
      </w:r>
      <w:r w:rsidR="005D0BDC">
        <w:rPr>
          <w:rFonts w:ascii="Times New Roman" w:hAnsi="Times New Roman" w:cs="Times New Roman"/>
        </w:rPr>
        <w:fldChar w:fldCharType="end"/>
      </w:r>
      <w:r w:rsidRPr="00C2594F">
        <w:rPr>
          <w:rFonts w:ascii="Times New Roman" w:hAnsi="Times New Roman" w:cs="Times New Roman"/>
        </w:rPr>
        <w:t>.</w:t>
      </w:r>
    </w:p>
    <w:p w14:paraId="381CDC9D" w14:textId="77777777" w:rsidR="00C2594F" w:rsidRPr="00C2594F" w:rsidRDefault="00C2594F" w:rsidP="00C2594F">
      <w:pPr>
        <w:rPr>
          <w:rFonts w:ascii="Times New Roman" w:hAnsi="Times New Roman" w:cs="Times New Roman"/>
        </w:rPr>
      </w:pPr>
      <w:r w:rsidRPr="00C2594F">
        <w:rPr>
          <w:rFonts w:ascii="Times New Roman" w:hAnsi="Times New Roman" w:cs="Times New Roman"/>
        </w:rPr>
        <w:t>Exposure modeling offers a complementary and, in many cases, indispensable approach. By integrating data on agrochemical use, environmental transport, hydrology, land use, and water sources, models can reconstruct spatially and temporally resolved exposure estimates over extended periods. These approaches enable assessment of cumulative exposure, identification of high-risk regions and populations, and evaluation of exposure gradients that are otherwise unobservable</w:t>
      </w:r>
      <w:r w:rsidR="00E81637">
        <w:rPr>
          <w:rFonts w:ascii="Times New Roman" w:hAnsi="Times New Roman" w:cs="Times New Roman"/>
        </w:rPr>
        <w:fldChar w:fldCharType="begin"/>
      </w:r>
      <w:r w:rsidR="00691FE4">
        <w:rPr>
          <w:rFonts w:ascii="Times New Roman" w:hAnsi="Times New Roman" w:cs="Times New Roman"/>
        </w:rPr>
        <w:instrText xml:space="preserve"> ADDIN ZOTERO_ITEM CSL_CITATION {"citationID":"oDd9kKJe","properties":{"formattedCitation":"(9)","plainCitation":"(9)","noteIndex":0},"citationItems":[{"id":14912,"uris":["http://zotero.org/users/16652950/items/KYC6MF6H"],"itemData":{"id":14912,"type":"article-journal","abstract":"Diffuse agricultural pollution is a leading contributor to surface water degradation, particularly in regions undergoing rapid land use change and agr...","container-title":"Sustainability","DOI":"10.3390/su17094130","ISSN":"2071-1050","issue":"9","language":"en","license":"http://creativecommons.org/licenses/by/3.0/","note":"Company: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publisher","source":"www.mdpi.com","title":"Integrating AHP and GIS for Sustainable Surface Water Planning: Identifying Vulnerability to Agricultural Diffuse Pollution in the Guachal River Watershed","title-short":"Integrating AHP and GIS for Sustainable Surface Water Planning","URL":"https://www.mdpi.com/2071-1050/17/9/4130","volume":"17","author":[{"family":"Terán-Gómez","given":"Víctor Felipe"},{"family":"Buitrago-Ramírez","given":"Ana María"},{"family":"Echeverri-Sánchez","given":"Andrés Fernando"},{"family":"Figueroa-Casas","given":"Apolinar"},{"family":"Benavides-Bolaños","given":"Jhony Armando"}],"accessed":{"date-parts":[["2026",2,18]]},"issued":{"date-parts":[["2025",5,1]]}}}],"schema":"https://github.com/citation-style-language/schema/raw/master/csl-citation.json"} </w:instrText>
      </w:r>
      <w:r w:rsidR="00E81637">
        <w:rPr>
          <w:rFonts w:ascii="Times New Roman" w:hAnsi="Times New Roman" w:cs="Times New Roman"/>
        </w:rPr>
        <w:fldChar w:fldCharType="separate"/>
      </w:r>
      <w:r w:rsidR="00691FE4" w:rsidRPr="00691FE4">
        <w:rPr>
          <w:rFonts w:ascii="Times New Roman" w:hAnsi="Times New Roman" w:cs="Times New Roman"/>
        </w:rPr>
        <w:t>(9)</w:t>
      </w:r>
      <w:r w:rsidR="00E81637">
        <w:rPr>
          <w:rFonts w:ascii="Times New Roman" w:hAnsi="Times New Roman" w:cs="Times New Roman"/>
        </w:rPr>
        <w:fldChar w:fldCharType="end"/>
      </w:r>
      <w:r w:rsidRPr="00C2594F">
        <w:rPr>
          <w:rFonts w:ascii="Times New Roman" w:hAnsi="Times New Roman" w:cs="Times New Roman"/>
        </w:rPr>
        <w:t>.</w:t>
      </w:r>
    </w:p>
    <w:p w14:paraId="464836FF" w14:textId="77777777" w:rsidR="00C2594F" w:rsidRPr="00C2594F" w:rsidRDefault="00C2594F" w:rsidP="00C2594F">
      <w:pPr>
        <w:rPr>
          <w:rFonts w:ascii="Times New Roman" w:hAnsi="Times New Roman" w:cs="Times New Roman"/>
        </w:rPr>
      </w:pPr>
      <w:r w:rsidRPr="00C2594F">
        <w:rPr>
          <w:rFonts w:ascii="Times New Roman" w:hAnsi="Times New Roman" w:cs="Times New Roman"/>
        </w:rPr>
        <w:t>Importantly, modeled exposure metrics can be linked to epidemiologic data to strengthen causal inference and support risk assessment. They also provide a critical evidence base for policy decisions, including the prioritization of contaminants for regulation, the targeting of monitoring resources, and the development of preventive interventions for vulnerable agricultural communities.</w:t>
      </w:r>
    </w:p>
    <w:p w14:paraId="5B72A4CF" w14:textId="77777777" w:rsidR="00C2594F" w:rsidRPr="00C2594F" w:rsidRDefault="00C2594F" w:rsidP="00C2594F">
      <w:pPr>
        <w:rPr>
          <w:rFonts w:ascii="Times New Roman" w:hAnsi="Times New Roman" w:cs="Times New Roman"/>
          <w:b/>
          <w:bCs/>
        </w:rPr>
      </w:pPr>
      <w:r w:rsidRPr="00C2594F">
        <w:rPr>
          <w:rFonts w:ascii="Times New Roman" w:hAnsi="Times New Roman" w:cs="Times New Roman"/>
          <w:b/>
          <w:bCs/>
        </w:rPr>
        <w:t>1.4 Scope and Objectives of This Review</w:t>
      </w:r>
    </w:p>
    <w:p w14:paraId="582980AD" w14:textId="77777777" w:rsidR="00C2594F" w:rsidRPr="00C2594F" w:rsidRDefault="00C2594F" w:rsidP="00C2594F">
      <w:pPr>
        <w:rPr>
          <w:rFonts w:ascii="Times New Roman" w:hAnsi="Times New Roman" w:cs="Times New Roman"/>
        </w:rPr>
      </w:pPr>
      <w:r w:rsidRPr="00C2594F">
        <w:rPr>
          <w:rFonts w:ascii="Times New Roman" w:hAnsi="Times New Roman" w:cs="Times New Roman"/>
        </w:rPr>
        <w:t>This review synthesizes the current state of knowledge on modeling agrochemical contamination in drinking water and its implications for chronic disease risk among U.S. farmers. Rather than cataloging individual exposure–outcome studies, the review focuses on modeling frameworks and methodological approaches used to estimate drinking water contamination and long-term exposure. Emphasis is placed on drinking water pathways as a distinct and underappreciated contributor to chronic, non-communicable disease risk in agricultural populations.</w:t>
      </w:r>
    </w:p>
    <w:p w14:paraId="4B3A40C4" w14:textId="77777777" w:rsidR="00C2594F" w:rsidRPr="00335136" w:rsidRDefault="00C2594F" w:rsidP="00C2594F">
      <w:pPr>
        <w:rPr>
          <w:rFonts w:ascii="Times New Roman" w:hAnsi="Times New Roman" w:cs="Times New Roman"/>
        </w:rPr>
      </w:pPr>
      <w:r w:rsidRPr="00C2594F">
        <w:rPr>
          <w:rFonts w:ascii="Times New Roman" w:hAnsi="Times New Roman" w:cs="Times New Roman"/>
        </w:rPr>
        <w:t>The objectives are to (</w:t>
      </w:r>
      <w:proofErr w:type="spellStart"/>
      <w:r w:rsidRPr="00C2594F">
        <w:rPr>
          <w:rFonts w:ascii="Times New Roman" w:hAnsi="Times New Roman" w:cs="Times New Roman"/>
        </w:rPr>
        <w:t>i</w:t>
      </w:r>
      <w:proofErr w:type="spellEnd"/>
      <w:r w:rsidRPr="00C2594F">
        <w:rPr>
          <w:rFonts w:ascii="Times New Roman" w:hAnsi="Times New Roman" w:cs="Times New Roman"/>
        </w:rPr>
        <w:t xml:space="preserve">) summarize key agrochemicals of concern in U.S. drinking water, (ii) critically evaluate modeling approaches used to estimate exposure, (iii) assess how modeled </w:t>
      </w:r>
      <w:r w:rsidRPr="00C2594F">
        <w:rPr>
          <w:rFonts w:ascii="Times New Roman" w:hAnsi="Times New Roman" w:cs="Times New Roman"/>
        </w:rPr>
        <w:lastRenderedPageBreak/>
        <w:t>exposures have been linked to chronic disease outcomes, and (iv) identify methodological challenges and future directions relevant to environmental health research and policy.</w:t>
      </w:r>
    </w:p>
    <w:p w14:paraId="14D389D4" w14:textId="77777777" w:rsidR="001D224A" w:rsidRPr="001D224A" w:rsidRDefault="001D224A" w:rsidP="001D224A">
      <w:pPr>
        <w:rPr>
          <w:rFonts w:ascii="Times New Roman" w:hAnsi="Times New Roman" w:cs="Times New Roman"/>
          <w:b/>
          <w:bCs/>
        </w:rPr>
      </w:pPr>
      <w:r w:rsidRPr="001D224A">
        <w:rPr>
          <w:rFonts w:ascii="Times New Roman" w:hAnsi="Times New Roman" w:cs="Times New Roman"/>
          <w:b/>
          <w:bCs/>
        </w:rPr>
        <w:t>2. Conceptual Framework: From Agrochemical Use to Chronic Disease</w:t>
      </w:r>
    </w:p>
    <w:p w14:paraId="125B4FB4" w14:textId="77777777" w:rsidR="001D224A" w:rsidRPr="001D224A" w:rsidRDefault="001D224A" w:rsidP="001D224A">
      <w:pPr>
        <w:rPr>
          <w:rFonts w:ascii="Times New Roman" w:hAnsi="Times New Roman" w:cs="Times New Roman"/>
        </w:rPr>
      </w:pPr>
      <w:r w:rsidRPr="001D224A">
        <w:rPr>
          <w:rFonts w:ascii="Times New Roman" w:hAnsi="Times New Roman" w:cs="Times New Roman"/>
        </w:rPr>
        <w:t>Understanding the relationship between agrochemical use and chronic disease among U.S. farmers requires an integrated conceptual framework that links environmental processes, exposure pathways, and population-specific vulnerabilities. Agrochemical contamination of drinking water is not a single-point event but the cumulative outcome of chemical application practices, environmental transport and fate, water sourcing, and long-term human exposure</w:t>
      </w:r>
      <w:r w:rsidR="00671223">
        <w:rPr>
          <w:rFonts w:ascii="Times New Roman" w:hAnsi="Times New Roman" w:cs="Times New Roman"/>
        </w:rPr>
        <w:fldChar w:fldCharType="begin"/>
      </w:r>
      <w:r w:rsidR="00691FE4">
        <w:rPr>
          <w:rFonts w:ascii="Times New Roman" w:hAnsi="Times New Roman" w:cs="Times New Roman"/>
        </w:rPr>
        <w:instrText xml:space="preserve"> ADDIN ZOTERO_ITEM CSL_CITATION {"citationID":"AkdZCkYH","properties":{"formattedCitation":"(10)","plainCitation":"(10)","noteIndex":0},"citationItems":[{"id":14914,"uris":["http://zotero.org/users/16652950/items/GQCZFZCL"],"itemData":{"id":14914,"type":"article-journal","abstract":"Agrochemical use is an integral component of modern agricultural production in the United States, yet long-term occupational exposure among farmers has been associated with a range of chronic health outcomes. Accurately characterizing these exposures remains challenging due to spatial heterogeneity in land use, application practices, and environmental dispersion. Over the past three decades, geographic information systems (GIS) have emerged as important tools for addressing these challenges by enabling spatially explicit modeling of agrochemical exposure and its potential health impacts. This review synthesizes and critically evaluates peer-reviewed epidemiological studies published between 1995 and 2024 that apply GIS-based methods to examine associations between agrochemical exposure and chronic disease risk among U.S. farmers. The review focuses on studies employing spatial modeling techniques such as buffer and proximity analyses, land-use regression models, interpolation methods, and hybrid frameworks integrating pesticide application records, land-use data, environmental monitoring datasets, and remote sensing products. These approaches have been applied most frequently to cancer and neurodegenerative disease outcomes, with comparatively fewer studies addressing respiratory and other chronic conditions. By systematically comparing GIS-based exposure modeling strategies, this review uniquely highlights methodological strengths, recurring limitations, and sources of uncertainty across the literature, including exposure misclassification, ecological inference, temporal misalignment, and spatial scale variability. Overall, GIS-based approaches have strengthened population-level exposure assessment by improving spatial resolution and identifying geographic disparities in disease risk. The review underscores the need for greater methodological standardization, improved temporal modeling, and integration of individual-level data to advance spatial epidemiology and support occupational health surveillance, risk assessment, and policy development.","container-title":"Journal of Disease and Global Health","DOI":"10.56557/jodagh/2026/v19i110200","ISSN":"2454-1842","issue":"1","language":"en","page":"79-93","source":"ikprress.org","title":"Agrochemical Exposure and Chronic Disease Risk among U.S. Farmers Using Spatial Modeling: A Review of GIS-Based Epidemiological Approaches","title-short":"Agrochemical Exposure and Chronic Disease Risk among U.S. Farmers Using Spatial Modeling","volume":"19","author":[{"family":"NnanyelugoEgbuchiem","given":"Alex"},{"family":"Egbubine","given":"Linda"},{"family":"Ugorji","given":"Henry Okorie"},{"family":"Njemanze","given":"Emmanuel C."}],"issued":{"date-parts":[["2026",1,27]]}}}],"schema":"https://github.com/citation-style-language/schema/raw/master/csl-citation.json"} </w:instrText>
      </w:r>
      <w:r w:rsidR="00671223">
        <w:rPr>
          <w:rFonts w:ascii="Times New Roman" w:hAnsi="Times New Roman" w:cs="Times New Roman"/>
        </w:rPr>
        <w:fldChar w:fldCharType="separate"/>
      </w:r>
      <w:r w:rsidR="00691FE4" w:rsidRPr="00691FE4">
        <w:rPr>
          <w:rFonts w:ascii="Times New Roman" w:hAnsi="Times New Roman" w:cs="Times New Roman"/>
        </w:rPr>
        <w:t>(10)</w:t>
      </w:r>
      <w:r w:rsidR="00671223">
        <w:rPr>
          <w:rFonts w:ascii="Times New Roman" w:hAnsi="Times New Roman" w:cs="Times New Roman"/>
        </w:rPr>
        <w:fldChar w:fldCharType="end"/>
      </w:r>
      <w:r w:rsidRPr="001D224A">
        <w:rPr>
          <w:rFonts w:ascii="Times New Roman" w:hAnsi="Times New Roman" w:cs="Times New Roman"/>
        </w:rPr>
        <w:t>. This framework provides the foundation for exposure modeling approaches and informs interpretation of epidemiologic findings.</w:t>
      </w:r>
    </w:p>
    <w:p w14:paraId="540D5D05" w14:textId="77777777" w:rsidR="001D224A" w:rsidRPr="001D224A" w:rsidRDefault="001D224A" w:rsidP="001D224A">
      <w:pPr>
        <w:rPr>
          <w:rFonts w:ascii="Times New Roman" w:hAnsi="Times New Roman" w:cs="Times New Roman"/>
          <w:b/>
          <w:bCs/>
        </w:rPr>
      </w:pPr>
      <w:r w:rsidRPr="001D224A">
        <w:rPr>
          <w:rFonts w:ascii="Times New Roman" w:hAnsi="Times New Roman" w:cs="Times New Roman"/>
          <w:b/>
          <w:bCs/>
        </w:rPr>
        <w:t>2.1 Environmental Transport and Fate</w:t>
      </w:r>
    </w:p>
    <w:p w14:paraId="1FB65E3D" w14:textId="77777777" w:rsidR="001D224A" w:rsidRPr="001D224A" w:rsidRDefault="001D224A" w:rsidP="001D224A">
      <w:pPr>
        <w:rPr>
          <w:rFonts w:ascii="Times New Roman" w:hAnsi="Times New Roman" w:cs="Times New Roman"/>
        </w:rPr>
      </w:pPr>
      <w:r w:rsidRPr="001D224A">
        <w:rPr>
          <w:rFonts w:ascii="Times New Roman" w:hAnsi="Times New Roman" w:cs="Times New Roman"/>
        </w:rPr>
        <w:t>Following application, agrochemicals are subject to a range of environmental transport and transformation processes that determine their persistence and movement through agricultural landscapes. Leaching is a primary pathway for groundwater contamination, particularly for water-soluble and weakly sorbed compounds such as nitrates and certain herbicides. In regions with permeable soils or shallow aquifers, agrochemicals can migrate rapidly below the root zone and enter drinking water sources. Surface runoff, driven by rainfall and irrigation events, contributes to contamination of streams, rivers, and reservoirs, especially in areas with sloped terrain or limited vegetative cover</w:t>
      </w:r>
      <w:r w:rsidR="00671223">
        <w:rPr>
          <w:rFonts w:ascii="Times New Roman" w:hAnsi="Times New Roman" w:cs="Times New Roman"/>
        </w:rPr>
        <w:fldChar w:fldCharType="begin"/>
      </w:r>
      <w:r w:rsidR="00691FE4">
        <w:rPr>
          <w:rFonts w:ascii="Times New Roman" w:hAnsi="Times New Roman" w:cs="Times New Roman"/>
        </w:rPr>
        <w:instrText xml:space="preserve"> ADDIN ZOTERO_ITEM CSL_CITATION {"citationID":"7d4AzWCX","properties":{"formattedCitation":"(11,12)","plainCitation":"(11,12)","noteIndex":0},"citationItems":[{"id":14916,"uris":["http://zotero.org/users/16652950/items/77AZKVAU"],"itemData":{"id":14916,"type":"article-journal","abstract":"Pesticides are detected in surface water and groundwater, endangering the environment. In lowland regions with subsurface drainage systems, drained depressions become hotspots for transport of pesticides and their transformation products (TPs). This study focuses on detailed modelling of the degradation and transport of pesticides with different physico-chemical properties. The objective is to analyse complex hydrological transport processes, to understand the temporal and spatial dynamics of the degradation and transport of pesticides. The ecohydrological model SWAT+ simulates hydrological processes as well as agricultural management and pesticide degradation, and can therefore be used to develop pesticide loss reduction strategies. This study focuses on modelling of three pesticides (pendimethalin, diflufenican, and flufenacet), and two TPs, flufenacet-oxalic acid (FOA) and flufenacet sulfonic acid (FESA). The study area is a 100-hectare farmland in the northern German lowlands of Schleswig-Holstein that is characterized by an spacious drainage network of 6.3 km and managed according to common conventional agricultural practice. SWAT+ modelled streamflow with very good agreement between observed and simulated data during calibration and validation. Regarding pesticides, the model performance for highly mobile substances is better than for non-mobile pesticides. While the transport of the moderately to very mobile substances via tile drains played an important role in both wet and dry conditions, no transport via tile drains was modelled for the highly sorptive and non-mobile pendimethalin. In conclusion, the model can reliably represent the degradation of moderately to very mobile pesticides in small-scale tile drainage-dominated catchments, as well as surface runoff-induced peak loads. However, it has weaknesses in accounting for the subsurface transport of non-mobile substances, which can lead to an underestimation of the subsequent delivery after precipitation events and thus underestimates the total load.","container-title":"Science of The Total Environment","DOI":"10.1016/j.scitotenv.2024.173629","ISSN":"0048-9697","journalAbbreviation":"Science of The Total Environment","page":"173629","source":"ScienceDirect","title":"A spatio-temporal analysis of environmental fate and transport processes of pesticides and their transformation products in agricultural landscapes dominated by subsurface drainage with SWAT+","volume":"945","author":[{"family":"Wendell","given":"Anne-Kathrin"},{"family":"Guse","given":"Björn"},{"family":"Bieger","given":"Katrin"},{"family":"Wagner","given":"Paul D."},{"family":"Kiesel","given":"Jens"},{"family":"Ulrich","given":"Uta"},{"family":"Fohrer","given":"Nicola"}],"issued":{"date-parts":[["2024",10,1]]}}},{"id":13249,"uris":["http://zotero.org/users/16652950/items/YSH3YVVQ"],"itemData":{"id":13249,"type":"article-journal","abstract":"The widespread use of pesticides in modern agriculture has significantly enhanced food production by managing pests and diseases; however, their degra...","container-title":"Environments","DOI":"10.3390/environments12080272","ISSN":"2076-3298","issue":"8","language":"en","license":"http://creativecommons.org/licenses/by/3.0/","note":"Company: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publisher","source":"www.mdpi.com","title":"Pesticide Degradation: Impacts on Soil Fertility and Nutrient Cycling","title-short":"Pesticide Degradation","URL":"https://www.mdpi.com/2076-3298/12/8/272","volume":"12","author":[{"family":"Yasir","given":"Muhammad"},{"family":"Hossain","given":"Abul"},{"family":"Pratap-Singh","given":"Anubhav"},{"family":"Yasir","given":"Muhammad"},{"family":"Hossain","given":"Abul"},{"family":"Pratap-Singh","given":"Anubhav"}],"accessed":{"date-parts":[["2026",1,11]]},"issued":{"date-parts":[["2025",8,6]]}}}],"schema":"https://github.com/citation-style-language/schema/raw/master/csl-citation.json"} </w:instrText>
      </w:r>
      <w:r w:rsidR="00671223">
        <w:rPr>
          <w:rFonts w:ascii="Times New Roman" w:hAnsi="Times New Roman" w:cs="Times New Roman"/>
        </w:rPr>
        <w:fldChar w:fldCharType="separate"/>
      </w:r>
      <w:r w:rsidR="00691FE4" w:rsidRPr="00691FE4">
        <w:rPr>
          <w:rFonts w:ascii="Times New Roman" w:hAnsi="Times New Roman" w:cs="Times New Roman"/>
        </w:rPr>
        <w:t>(11,12)</w:t>
      </w:r>
      <w:r w:rsidR="00671223">
        <w:rPr>
          <w:rFonts w:ascii="Times New Roman" w:hAnsi="Times New Roman" w:cs="Times New Roman"/>
        </w:rPr>
        <w:fldChar w:fldCharType="end"/>
      </w:r>
      <w:r w:rsidRPr="001D224A">
        <w:rPr>
          <w:rFonts w:ascii="Times New Roman" w:hAnsi="Times New Roman" w:cs="Times New Roman"/>
        </w:rPr>
        <w:t>.</w:t>
      </w:r>
    </w:p>
    <w:p w14:paraId="324A0056" w14:textId="77777777" w:rsidR="001D224A" w:rsidRPr="001D224A" w:rsidRDefault="001D224A" w:rsidP="001D224A">
      <w:pPr>
        <w:rPr>
          <w:rFonts w:ascii="Times New Roman" w:hAnsi="Times New Roman" w:cs="Times New Roman"/>
        </w:rPr>
      </w:pPr>
      <w:r w:rsidRPr="001D224A">
        <w:rPr>
          <w:rFonts w:ascii="Times New Roman" w:hAnsi="Times New Roman" w:cs="Times New Roman"/>
        </w:rPr>
        <w:t>Volatilization and spray drift can transport agrochemicals beyond application sites, leading to secondary deposition on soils and water bodies. Once in the environment, degradation processes</w:t>
      </w:r>
      <w:r w:rsidR="00D46D6A">
        <w:rPr>
          <w:rFonts w:ascii="Times New Roman" w:hAnsi="Times New Roman" w:cs="Times New Roman"/>
        </w:rPr>
        <w:t>,</w:t>
      </w:r>
      <w:r w:rsidR="009A7D5B" w:rsidRPr="00335136">
        <w:rPr>
          <w:rFonts w:ascii="Times New Roman" w:hAnsi="Times New Roman" w:cs="Times New Roman"/>
        </w:rPr>
        <w:t xml:space="preserve"> </w:t>
      </w:r>
      <w:r w:rsidRPr="001D224A">
        <w:rPr>
          <w:rFonts w:ascii="Times New Roman" w:hAnsi="Times New Roman" w:cs="Times New Roman"/>
        </w:rPr>
        <w:t>including microbial metabolism, photolysis, and chemical hydrolysis</w:t>
      </w:r>
      <w:r w:rsidR="00D46D6A">
        <w:rPr>
          <w:rFonts w:ascii="Times New Roman" w:hAnsi="Times New Roman" w:cs="Times New Roman"/>
        </w:rPr>
        <w:t>,</w:t>
      </w:r>
      <w:r w:rsidR="009A7D5B" w:rsidRPr="00335136">
        <w:rPr>
          <w:rFonts w:ascii="Times New Roman" w:hAnsi="Times New Roman" w:cs="Times New Roman"/>
        </w:rPr>
        <w:t xml:space="preserve"> </w:t>
      </w:r>
      <w:r w:rsidRPr="001D224A">
        <w:rPr>
          <w:rFonts w:ascii="Times New Roman" w:hAnsi="Times New Roman" w:cs="Times New Roman"/>
        </w:rPr>
        <w:t>may reduce parent compound concentrations but can also generate metabolites with distinct toxicological profiles and environmental persistence. The balance between transport and degradation is strongly influenced by soil characteristics, including texture, organic matter content, and pH, as well as by hydrological conditions such as recharge rates and groundwater flow patterns</w:t>
      </w:r>
      <w:r w:rsidR="00671223">
        <w:rPr>
          <w:rFonts w:ascii="Times New Roman" w:hAnsi="Times New Roman" w:cs="Times New Roman"/>
        </w:rPr>
        <w:fldChar w:fldCharType="begin"/>
      </w:r>
      <w:r w:rsidR="00691FE4">
        <w:rPr>
          <w:rFonts w:ascii="Times New Roman" w:hAnsi="Times New Roman" w:cs="Times New Roman"/>
        </w:rPr>
        <w:instrText xml:space="preserve"> ADDIN ZOTERO_ITEM CSL_CITATION {"citationID":"xPnEq89h","properties":{"formattedCitation":"(13)","plainCitation":"(13)","noteIndex":0},"citationItems":[{"id":14918,"uris":["http://zotero.org/users/16652950/items/9YAZUK2M"],"itemData":{"id":14918,"type":"article-journal","abstract":"Agricultural activities are essential for sustaining the global population, yet they exert considerable pressure on the environment. A major challenge we face today is agricultural pollution, much of which is diffuse in nature, lacking a clear point of origin for chemical discharge. Modern agricultural practices, which often depend on substantial applications of fertilizers, pesticides, and irrigation water, are key contributors to this form of pollution. These activities lead to downstream contamination through mechanisms such as surface runoff, leaching, soil erosion, wind dispersal, and sedimentation. The environmental and human health consequences of diffuse pollution are profound and cannot be ignored. Accurate assessment of the risks posed by agricultural pollutants is crucial for ensuring the production of safe, high-quality food while safeguarding the environment. This requires systematic monitoring and evaluation of agricultural practices, including soil testing and nutrient management. Furthermore, the development and implementation of best management practices (BMPs) are critical in reducing the levels of agricultural pollution. Such measures are essential for mitigating the negative impacts on ecosystems and public health. Therefore, the adoption of preventive strategies aimed at minimizing pollution and its associated risks is highly recommended to ensure long-term environmental sustainability and human well-being.","container-title":"Science of The Total Environment","DOI":"10.1016/j.scitotenv.2025.178398","ISSN":"0048-9697","journalAbbreviation":"Science of The Total Environment","page":"178398","source":"ScienceDirect","title":"Diffuse soil pollution from agriculture: Impacts and remediation","title-short":"Diffuse soil pollution from agriculture","volume":"962","author":[{"family":"Nuruzzaman","given":"Md"},{"family":"Bahar","given":"Md Mezbaul"},{"family":"Naidu","given":"Ravi"}],"issued":{"date-parts":[["2025",1,25]]}}}],"schema":"https://github.com/citation-style-language/schema/raw/master/csl-citation.json"} </w:instrText>
      </w:r>
      <w:r w:rsidR="00671223">
        <w:rPr>
          <w:rFonts w:ascii="Times New Roman" w:hAnsi="Times New Roman" w:cs="Times New Roman"/>
        </w:rPr>
        <w:fldChar w:fldCharType="separate"/>
      </w:r>
      <w:r w:rsidR="00691FE4" w:rsidRPr="00691FE4">
        <w:rPr>
          <w:rFonts w:ascii="Times New Roman" w:hAnsi="Times New Roman" w:cs="Times New Roman"/>
        </w:rPr>
        <w:t>(13)</w:t>
      </w:r>
      <w:r w:rsidR="00671223">
        <w:rPr>
          <w:rFonts w:ascii="Times New Roman" w:hAnsi="Times New Roman" w:cs="Times New Roman"/>
        </w:rPr>
        <w:fldChar w:fldCharType="end"/>
      </w:r>
      <w:r w:rsidRPr="001D224A">
        <w:rPr>
          <w:rFonts w:ascii="Times New Roman" w:hAnsi="Times New Roman" w:cs="Times New Roman"/>
        </w:rPr>
        <w:t>.</w:t>
      </w:r>
    </w:p>
    <w:p w14:paraId="5BFBA33B" w14:textId="77777777" w:rsidR="001D224A" w:rsidRPr="001D224A" w:rsidRDefault="001D224A" w:rsidP="001D224A">
      <w:pPr>
        <w:rPr>
          <w:rFonts w:ascii="Times New Roman" w:hAnsi="Times New Roman" w:cs="Times New Roman"/>
        </w:rPr>
      </w:pPr>
      <w:r w:rsidRPr="001D224A">
        <w:rPr>
          <w:rFonts w:ascii="Times New Roman" w:hAnsi="Times New Roman" w:cs="Times New Roman"/>
        </w:rPr>
        <w:t>Climate variability further modulates these processes. Intense precipitation events can enhance runoff and leaching, while prolonged dry periods may concentrate contaminants in shallow aquifers. Cropping systems and management practices, including crop rotation, tillage, and timing of application, also shape the spatial and temporal distribution of agrochemical residues in water resources.</w:t>
      </w:r>
    </w:p>
    <w:p w14:paraId="5FB1ECEB" w14:textId="77777777" w:rsidR="001D224A" w:rsidRPr="001D224A" w:rsidRDefault="001D224A" w:rsidP="001D224A">
      <w:pPr>
        <w:rPr>
          <w:rFonts w:ascii="Times New Roman" w:hAnsi="Times New Roman" w:cs="Times New Roman"/>
          <w:b/>
          <w:bCs/>
        </w:rPr>
      </w:pPr>
      <w:r w:rsidRPr="001D224A">
        <w:rPr>
          <w:rFonts w:ascii="Times New Roman" w:hAnsi="Times New Roman" w:cs="Times New Roman"/>
          <w:b/>
          <w:bCs/>
        </w:rPr>
        <w:t>2.2 Drinking Water Exposure Pathways</w:t>
      </w:r>
    </w:p>
    <w:p w14:paraId="47DACF15" w14:textId="77777777" w:rsidR="001D224A" w:rsidRPr="001D224A" w:rsidRDefault="001D224A" w:rsidP="001D224A">
      <w:pPr>
        <w:rPr>
          <w:rFonts w:ascii="Times New Roman" w:hAnsi="Times New Roman" w:cs="Times New Roman"/>
        </w:rPr>
      </w:pPr>
      <w:r w:rsidRPr="001D224A">
        <w:rPr>
          <w:rFonts w:ascii="Times New Roman" w:hAnsi="Times New Roman" w:cs="Times New Roman"/>
        </w:rPr>
        <w:t xml:space="preserve">Drinking water serves as a critical exposure pathway linking environmental contamination to human health. In agricultural regions, a substantial proportion of households rely on private wells that draw from shallow groundwater sources, which are particularly vulnerable to contamination. Unlike public water systems, private wells are not subject to routine monitoring, </w:t>
      </w:r>
      <w:r w:rsidRPr="001D224A">
        <w:rPr>
          <w:rFonts w:ascii="Times New Roman" w:hAnsi="Times New Roman" w:cs="Times New Roman"/>
        </w:rPr>
        <w:lastRenderedPageBreak/>
        <w:t>treatment requirements, or enforceable contaminant standards, resulting in significant variability in exposure levels across households</w:t>
      </w:r>
      <w:r w:rsidR="00671223">
        <w:rPr>
          <w:rFonts w:ascii="Times New Roman" w:hAnsi="Times New Roman" w:cs="Times New Roman"/>
        </w:rPr>
        <w:fldChar w:fldCharType="begin"/>
      </w:r>
      <w:r w:rsidR="00691FE4">
        <w:rPr>
          <w:rFonts w:ascii="Times New Roman" w:hAnsi="Times New Roman" w:cs="Times New Roman"/>
        </w:rPr>
        <w:instrText xml:space="preserve"> ADDIN ZOTERO_ITEM CSL_CITATION {"citationID":"fdgynnjq","properties":{"formattedCitation":"(14)","plainCitation":"(14)","noteIndex":0},"citationItems":[{"id":14921,"uris":["http://zotero.org/users/16652950/items/3P3X73P2"],"itemData":{"id":14921,"type":"article-journal","abstract":"Background:\nHumans are primary drivers of environmental–contaminant exposures worldwide, including in drinking-water (DW). In the United States, point-of-use DW (POU–DW) is supplied via private tapwater (TW), public-supply TW, and bottled water (BW). Differences in management, monitoring, and messaging and lack of directly–intercomparable exposure data influence the actual and perceived quality and safety of different DW supplies and directly impact consumer decision–making.\n\nObjectives:\nThe purpose of this paper is to provide a meta-analysis (quantitative synthesis) of POU–DW contaminant–mixture exposures and corresponding potential human–health effects of private-TW, public-TW, and BW by aggregating exposure results and harmonizing apical–health–benchmark–weighted and bioactivity–weighted effects predictions across previous studies by this research group.\n\nDiscussion:\nSimultaneous exposures to multiple inorganic and organic contaminants of known or suspected human-health concern are common across all three DW supplies, with substantial variability observed in each and no systematic difference in predicted cumulative risk between supplies. Differences in contaminant or contaminant–class exposures, with important implications for DW–quality improvements, were observed and attributed to corresponding differences in regulation and compliance monitoring.\n\nConclusion:\nThe results indicate that human-health risks from contaminant exposures are common to and comparable in all three DW–supplies, including BW. Importantly, this study’s target analytical coverage, which exceeds that currently feasible for water purveyors or homeowners, nevertheless is a substantial underestimation of the breadth of contaminant mixtures in the environment and potentially present in DW. Thus, the results emphasize the need for improved understanding of the adverse human-health implications of long-term exposures to low–level inorganic–/organic–contaminant mixtures across all three distribution pipelines and do not support commercial messaging of BW as a systematically safer alternative to public-TW. Regardless of the supply, increased public engagement in source-water protection and drinking–water treatment is necessary to reduce risks associated with long-term DW–contaminant exposures, especially in vulnerable populations, and to reduce environmental waste and plastics contamination.","container-title":"Environment international","DOI":"10.1016/j.envint.2024.109220","ISSN":"0160-4120","journalAbbreviation":"Environ Int","note":"PMID: 39736175\nPMCID: PMC12086739","page":"109220","source":"PubMed Central","title":"Private, public, and bottled drinking water: Shared contaminant-mixture exposures and effects challenge","title-short":"Private, public, and bottled drinking water","volume":"195","author":[{"family":"Bradley","given":"Paul M."},{"family":"Romanok","given":"Kristin M."},{"family":"Smalling","given":"Kelly L."},{"family":"Gordon","given":"Stephanie E."},{"family":"Huffman","given":"Bradley J."},{"family":"Friedman","given":"Katie Paul"},{"family":"Villeneuve","given":"Daniel L."},{"family":"Blackwell","given":"Brett R."},{"family":"Fitzpatrick","given":"Suzanne C."},{"family":"Focazio","given":"Michael J."},{"family":"Medlock-Kakaley","given":"Elizabeth"},{"family":"Meppelink","given":"Shannon M."},{"family":"Navas–Acien","given":"Ana"},{"family":"Nigra","given":"Anne E."},{"family":"Schreiner","given":"Molly L."}],"issued":{"date-parts":[["2025",1]]}}}],"schema":"https://github.com/citation-style-language/schema/raw/master/csl-citation.json"} </w:instrText>
      </w:r>
      <w:r w:rsidR="00671223">
        <w:rPr>
          <w:rFonts w:ascii="Times New Roman" w:hAnsi="Times New Roman" w:cs="Times New Roman"/>
        </w:rPr>
        <w:fldChar w:fldCharType="separate"/>
      </w:r>
      <w:r w:rsidR="00691FE4" w:rsidRPr="00691FE4">
        <w:rPr>
          <w:rFonts w:ascii="Times New Roman" w:hAnsi="Times New Roman" w:cs="Times New Roman"/>
        </w:rPr>
        <w:t>(14)</w:t>
      </w:r>
      <w:r w:rsidR="00671223">
        <w:rPr>
          <w:rFonts w:ascii="Times New Roman" w:hAnsi="Times New Roman" w:cs="Times New Roman"/>
        </w:rPr>
        <w:fldChar w:fldCharType="end"/>
      </w:r>
      <w:r w:rsidRPr="001D224A">
        <w:rPr>
          <w:rFonts w:ascii="Times New Roman" w:hAnsi="Times New Roman" w:cs="Times New Roman"/>
        </w:rPr>
        <w:t>.</w:t>
      </w:r>
    </w:p>
    <w:p w14:paraId="30473F0F" w14:textId="77777777" w:rsidR="001D224A" w:rsidRPr="001D224A" w:rsidRDefault="001D224A" w:rsidP="001D224A">
      <w:pPr>
        <w:rPr>
          <w:rFonts w:ascii="Times New Roman" w:hAnsi="Times New Roman" w:cs="Times New Roman"/>
        </w:rPr>
      </w:pPr>
      <w:r w:rsidRPr="001D224A">
        <w:rPr>
          <w:rFonts w:ascii="Times New Roman" w:hAnsi="Times New Roman" w:cs="Times New Roman"/>
        </w:rPr>
        <w:t>Exposure through drinking water is characterized by both seasonal and long-term variability. Seasonal fluctuations in agrochemical application and precipitation patterns can produce episodic spikes in contaminant concentrations, while chronic low-level contamination may persist over decades. Long-term exposure is especially relevant for chronic disease etiology, as repeated ingestion of contaminated water can lead to cumulative internal doses even when individual measurements fall below regulatory thresholds</w:t>
      </w:r>
      <w:r w:rsidR="00671223">
        <w:rPr>
          <w:rFonts w:ascii="Times New Roman" w:hAnsi="Times New Roman" w:cs="Times New Roman"/>
        </w:rPr>
        <w:fldChar w:fldCharType="begin"/>
      </w:r>
      <w:r w:rsidR="00691FE4">
        <w:rPr>
          <w:rFonts w:ascii="Times New Roman" w:hAnsi="Times New Roman" w:cs="Times New Roman"/>
        </w:rPr>
        <w:instrText xml:space="preserve"> ADDIN ZOTERO_ITEM CSL_CITATION {"citationID":"kHo4q49G","properties":{"formattedCitation":"(15)","plainCitation":"(15)","noteIndex":0},"citationItems":[{"id":14924,"uris":["http://zotero.org/users/16652950/items/9VI6AX58"],"itemData":{"id":14924,"type":"article-journal","abstract":"Drinking water wells on a riverbank filtration sites are exposed to contamination from farmlands (like pesticides) that had migrated from the contaminated river. In this study, pesticide contamination of the Warta River and riverbank filtration water at the Mosina-Krajkowo well field (Poland) were examined during the annual cycle. Among the 164 pesticides analysed, 25 were identified. The highest concentrations occurred in the river water and decreased along the flow path from the river to wells. Only the most persistent substances were detected at the farthest points. During the study, seasonal changes in pesticide concentrations and differences in the types of occurring substances were observed. Most substances and the highest concentrations were detected in May 2018, while the lowest number and the lowest concentrations were detected in February 2018. Spring is the period of increased exposure of water to pollution, which is correlated with increased pesticides use and increased rainfall. Seven toxic and persistent pesticides were found with the highest concentrations in water: isoproturon, nicosulfuron, imidacloprid, terbuthylazine, chlorotoluron, S-metalachlor, and prometryn. Pesticides are widely used in the study area; therefore, a potential health risk assessment was performed. The hazard quotient (HQ) values did not exceed one, which indicated a less significant health risk.","container-title":"Scientific Reports","DOI":"10.1038/s41598-022-07385-z","ISSN":"2045-2322","journalAbbreviation":"Sci Rep","note":"PMID: 35228621\nPMCID: PMC8885637","page":"3317","source":"PubMed Central","title":"Seasonal variation of pesticides in surface water and drinking water wells in the annual cycle in western Poland, and potential health risk assessment","volume":"12","author":[{"family":"Kruć-Fijałkowska","given":"Roksana"},{"family":"Dragon","given":"Krzysztof"},{"family":"Drożdżyński","given":"Dariusz"},{"family":"Górski","given":"Józef"}],"issued":{"date-parts":[["2022",2,28]]}}}],"schema":"https://github.com/citation-style-language/schema/raw/master/csl-citation.json"} </w:instrText>
      </w:r>
      <w:r w:rsidR="00671223">
        <w:rPr>
          <w:rFonts w:ascii="Times New Roman" w:hAnsi="Times New Roman" w:cs="Times New Roman"/>
        </w:rPr>
        <w:fldChar w:fldCharType="separate"/>
      </w:r>
      <w:r w:rsidR="00691FE4" w:rsidRPr="00691FE4">
        <w:rPr>
          <w:rFonts w:ascii="Times New Roman" w:hAnsi="Times New Roman" w:cs="Times New Roman"/>
        </w:rPr>
        <w:t>(15)</w:t>
      </w:r>
      <w:r w:rsidR="00671223">
        <w:rPr>
          <w:rFonts w:ascii="Times New Roman" w:hAnsi="Times New Roman" w:cs="Times New Roman"/>
        </w:rPr>
        <w:fldChar w:fldCharType="end"/>
      </w:r>
      <w:r w:rsidRPr="001D224A">
        <w:rPr>
          <w:rFonts w:ascii="Times New Roman" w:hAnsi="Times New Roman" w:cs="Times New Roman"/>
        </w:rPr>
        <w:t>.</w:t>
      </w:r>
    </w:p>
    <w:p w14:paraId="384AE18A" w14:textId="77777777" w:rsidR="001D224A" w:rsidRPr="001D224A" w:rsidRDefault="001D224A" w:rsidP="001D224A">
      <w:pPr>
        <w:rPr>
          <w:rFonts w:ascii="Times New Roman" w:hAnsi="Times New Roman" w:cs="Times New Roman"/>
          <w:b/>
          <w:bCs/>
        </w:rPr>
      </w:pPr>
      <w:r w:rsidRPr="001D224A">
        <w:rPr>
          <w:rFonts w:ascii="Times New Roman" w:hAnsi="Times New Roman" w:cs="Times New Roman"/>
          <w:b/>
          <w:bCs/>
        </w:rPr>
        <w:t>2.3 Farmer-Specific Risk Context</w:t>
      </w:r>
    </w:p>
    <w:p w14:paraId="2BBB42BA" w14:textId="77777777" w:rsidR="001D224A" w:rsidRPr="001D224A" w:rsidRDefault="001D224A" w:rsidP="001D224A">
      <w:pPr>
        <w:rPr>
          <w:rFonts w:ascii="Times New Roman" w:hAnsi="Times New Roman" w:cs="Times New Roman"/>
        </w:rPr>
      </w:pPr>
      <w:r w:rsidRPr="001D224A">
        <w:rPr>
          <w:rFonts w:ascii="Times New Roman" w:hAnsi="Times New Roman" w:cs="Times New Roman"/>
        </w:rPr>
        <w:t>Farmers experience a unique risk context shaped by residential proximity to treated fields and long-term residence in agricultural environments. Many farming households live on or adjacent to cropland, increasing the likelihood that locally applied agrochemicals affect nearby water sources. Long durations of residence, often spanning multiple decades, amplify cumulative exposure and increase the relevance of historical contamination patterns.</w:t>
      </w:r>
    </w:p>
    <w:p w14:paraId="49FB9A02" w14:textId="77777777" w:rsidR="001D224A" w:rsidRPr="00335136" w:rsidRDefault="001D224A" w:rsidP="001D224A">
      <w:pPr>
        <w:rPr>
          <w:rFonts w:ascii="Times New Roman" w:hAnsi="Times New Roman" w:cs="Times New Roman"/>
        </w:rPr>
      </w:pPr>
      <w:r w:rsidRPr="001D224A">
        <w:rPr>
          <w:rFonts w:ascii="Times New Roman" w:hAnsi="Times New Roman" w:cs="Times New Roman"/>
        </w:rPr>
        <w:t>Social and regulatory factors further contribute to vulnerability. Limited access to water testing, financial barriers to remediation, and regulatory exclusions for private wells create conditions in which exposure may remain unrecognized and unaddressed. Together, these factors underscore the importance of conceptualizing agrochemical exposure as a chronic, place-based risk, rather than an isolated environmental hazard</w:t>
      </w:r>
      <w:r w:rsidR="0080156C">
        <w:rPr>
          <w:rFonts w:ascii="Times New Roman" w:hAnsi="Times New Roman" w:cs="Times New Roman"/>
        </w:rPr>
        <w:fldChar w:fldCharType="begin"/>
      </w:r>
      <w:r w:rsidR="00691FE4">
        <w:rPr>
          <w:rFonts w:ascii="Times New Roman" w:hAnsi="Times New Roman" w:cs="Times New Roman"/>
        </w:rPr>
        <w:instrText xml:space="preserve"> ADDIN ZOTERO_ITEM CSL_CITATION {"citationID":"L6leZmJv","properties":{"formattedCitation":"(16)","plainCitation":"(16)","noteIndex":0},"citationItems":[{"id":14927,"uris":["http://zotero.org/users/16652950/items/IGISMIU6"],"itemData":{"id":14927,"type":"article-journal","abstract":"Background:\nGlyphosate is one of the most heavily used pesticides in the world, but little is known about sources of glyphosate exposure in pregnant people living in agricultural regions.\n\nObjective:\nOur objective was to evaluate glyphosate exposure during pregnancy in relation to residential proximity to agriculture as well as agricultural spray season.\n\nMethods:\nWe quantified glyphosate concentrations in 453 urine samples collected biweekly from a cohort of 40 pregnant people in southern Idaho from February through December 2021. We estimated each participant’s glyphosate exposure as the geometric mean (GM) of glyphosate concentrations measured in all samples (average n=11 samples/participant), as well as the GM of samples collected during the pesticide “spray season” (defined as those collected 1 May–15 August; average n=5 samples/participant) and the “nonspray season” (defined as those collected before 1 May or after 15 August; average n=6 samples/participant). We defined participants who resided &lt;0.5km from an actively cultivated agriculture field to live “near fields” and those residing ≥0.5km from an agricultural field to live “far from fields” (n=22 and 18, respectively).\n\nResults:\nAmong participants living near fields, urinary glyphosate was detected more frequently and at significantly increased GM concentrations during the spray season in comparison with the nonspray season (81% vs. 55%; 0.228μg/L vs. 0.150μg/L, p&lt;0.001). In contrast, among participants who lived far from fields, neither glyphosate detection frequency nor GMs differed in the spray vs nonspray season (66% vs. 64%; 0.154μg/L vs. 0.165μg/L, p=0.45). Concentrations did not differ by residential proximity to fields during the nonspray season (0.154μg/L vs. 0.165μg/L, for near vs. far, p=0.53).\n\nDiscussion:\nPregnant people living near agriculture fields had significantly increased urinary glyphosate concentrations during the agricultural spray season than during the nonspray season. They also had significantly higher urinary glyphosate concentrations during the spray season than those who lived far from agricultural fields at any time of year, but concentrations did not differ during the nonspray season. These findings suggest that agricultural glyphosate spray is a source of exposure for people living near fields. https://doi.org/10.1289/EHP12768","container-title":"Environmental Health Perspectives","DOI":"10.1289/EHP12768","ISSN":"0091-6765","issue":"12","journalAbbreviation":"Environ Health Perspect","note":"PMID: 38054699\nPMCID: PMC10699167","page":"127001","source":"PubMed Central","title":"The Effect of Pesticide Spray Season and Residential Proximity to Agriculture on Glyphosate Exposure among Pregnant People in Southern Idaho, 2021","volume":"131","author":[{"family":"Curl","given":"Cynthia L."},{"family":"Hyland","given":"Carly"},{"family":"Spivak","given":"Meredith"},{"family":"Sheppard","given":"Lianne"},{"family":"Lanphear","given":"Bruce"},{"family":"Antoniou","given":"Michael N."},{"family":"Ospina","given":"Maria"},{"family":"Calafat","given":"Antonia M."}],"issued":{"date-parts":[["2023",12,6]]}}}],"schema":"https://github.com/citation-style-language/schema/raw/master/csl-citation.json"} </w:instrText>
      </w:r>
      <w:r w:rsidR="0080156C">
        <w:rPr>
          <w:rFonts w:ascii="Times New Roman" w:hAnsi="Times New Roman" w:cs="Times New Roman"/>
        </w:rPr>
        <w:fldChar w:fldCharType="separate"/>
      </w:r>
      <w:r w:rsidR="00691FE4" w:rsidRPr="00691FE4">
        <w:rPr>
          <w:rFonts w:ascii="Times New Roman" w:hAnsi="Times New Roman" w:cs="Times New Roman"/>
        </w:rPr>
        <w:t>(16)</w:t>
      </w:r>
      <w:r w:rsidR="0080156C">
        <w:rPr>
          <w:rFonts w:ascii="Times New Roman" w:hAnsi="Times New Roman" w:cs="Times New Roman"/>
        </w:rPr>
        <w:fldChar w:fldCharType="end"/>
      </w:r>
      <w:r w:rsidRPr="001D224A">
        <w:rPr>
          <w:rFonts w:ascii="Times New Roman" w:hAnsi="Times New Roman" w:cs="Times New Roman"/>
        </w:rPr>
        <w:t>.</w:t>
      </w:r>
    </w:p>
    <w:p w14:paraId="545020A8" w14:textId="77777777" w:rsidR="00156B6F" w:rsidRPr="00335136" w:rsidRDefault="00156B6F" w:rsidP="001D224A">
      <w:pPr>
        <w:rPr>
          <w:rFonts w:ascii="Times New Roman" w:hAnsi="Times New Roman" w:cs="Times New Roman"/>
        </w:rPr>
      </w:pPr>
      <w:r w:rsidRPr="00335136">
        <w:rPr>
          <w:rFonts w:ascii="Times New Roman" w:hAnsi="Times New Roman" w:cs="Times New Roman"/>
          <w:noProof/>
        </w:rPr>
        <w:lastRenderedPageBreak/>
        <w:drawing>
          <wp:inline distT="0" distB="0" distL="0" distR="0" wp14:anchorId="7AB2223A" wp14:editId="1ED7F240">
            <wp:extent cx="5943600" cy="3962400"/>
            <wp:effectExtent l="0" t="0" r="0" b="0"/>
            <wp:docPr id="2116891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91527" name="Picture 211689152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101B662" w14:textId="77777777" w:rsidR="00AD780F" w:rsidRPr="00335136" w:rsidRDefault="004B7820">
      <w:pPr>
        <w:rPr>
          <w:rFonts w:ascii="Times New Roman" w:hAnsi="Times New Roman" w:cs="Times New Roman"/>
          <w:b/>
          <w:bCs/>
        </w:rPr>
      </w:pPr>
      <w:r w:rsidRPr="004B7820">
        <w:rPr>
          <w:rFonts w:ascii="Times New Roman" w:hAnsi="Times New Roman" w:cs="Times New Roman"/>
          <w:b/>
          <w:bCs/>
        </w:rPr>
        <w:t>Conceptual Framework Linking Agrochemical Application to Chronic Disease Risk through Drinking Water Exposure Among U.S. Farmers</w:t>
      </w:r>
      <w:r w:rsidRPr="00335136">
        <w:rPr>
          <w:rFonts w:ascii="Times New Roman" w:hAnsi="Times New Roman" w:cs="Times New Roman"/>
          <w:b/>
          <w:bCs/>
        </w:rPr>
        <w:t xml:space="preserve">. </w:t>
      </w:r>
      <w:r w:rsidRPr="004B7820">
        <w:rPr>
          <w:rFonts w:ascii="Times New Roman" w:hAnsi="Times New Roman" w:cs="Times New Roman"/>
        </w:rPr>
        <w:t>Framework showing how agrochemical use leads to groundwater and surface water contamination through leaching, runoff, and drift, contributing to drinking water exposure from private wells and public systems. Spatial and temporal exposure modeling estimates cumulative and mixture exposures, while farmer-specific vulnerabilities modify chronic disease risk.</w:t>
      </w:r>
    </w:p>
    <w:p w14:paraId="59BE8FE9" w14:textId="77777777" w:rsidR="00266BBB" w:rsidRPr="00266BBB" w:rsidRDefault="00266BBB" w:rsidP="00266BBB">
      <w:pPr>
        <w:rPr>
          <w:rFonts w:ascii="Times New Roman" w:hAnsi="Times New Roman" w:cs="Times New Roman"/>
          <w:b/>
          <w:bCs/>
        </w:rPr>
      </w:pPr>
      <w:r w:rsidRPr="00266BBB">
        <w:rPr>
          <w:rFonts w:ascii="Times New Roman" w:hAnsi="Times New Roman" w:cs="Times New Roman"/>
          <w:b/>
          <w:bCs/>
        </w:rPr>
        <w:t>3. Agrochemicals of Concern in Drinking Water</w:t>
      </w:r>
    </w:p>
    <w:p w14:paraId="7EA3D454" w14:textId="77777777" w:rsidR="00266BBB" w:rsidRPr="00266BBB" w:rsidRDefault="00266BBB" w:rsidP="00266BBB">
      <w:pPr>
        <w:rPr>
          <w:rFonts w:ascii="Times New Roman" w:hAnsi="Times New Roman" w:cs="Times New Roman"/>
        </w:rPr>
      </w:pPr>
      <w:r w:rsidRPr="00266BBB">
        <w:rPr>
          <w:rFonts w:ascii="Times New Roman" w:hAnsi="Times New Roman" w:cs="Times New Roman"/>
        </w:rPr>
        <w:t>Agrochemical contamination of drinking water in the United States encompasses a heterogeneous group of compounds with diverse physicochemical properties, environmental behaviors, and toxicological profiles. Among farming communities, exposure through drinking water is shaped not only by the volume and frequency of chemical application but also by persistence, mobility, and regulatory oversight</w:t>
      </w:r>
      <w:r w:rsidR="00D4192E">
        <w:rPr>
          <w:rFonts w:ascii="Times New Roman" w:hAnsi="Times New Roman" w:cs="Times New Roman"/>
        </w:rPr>
        <w:fldChar w:fldCharType="begin"/>
      </w:r>
      <w:r w:rsidR="00691FE4">
        <w:rPr>
          <w:rFonts w:ascii="Times New Roman" w:hAnsi="Times New Roman" w:cs="Times New Roman"/>
        </w:rPr>
        <w:instrText xml:space="preserve"> ADDIN ZOTERO_ITEM CSL_CITATION {"citationID":"wMYKqeEc","properties":{"formattedCitation":"(17)","plainCitation":"(17)","noteIndex":0},"citationItems":[{"id":14930,"uris":["http://zotero.org/users/16652950/items/I6QXF3D9"],"itemData":{"id":14930,"type":"article-journal","abstract":"We describe drinking water sources and water quality for a large agricultural cohort. We used questionnaire data from the Agricultural Health Study (N = 89,655), a cohort of licensed pesticide applicators and their spouses in Iowa (IA) and North Carolina (NC), to ascertain drinking water source at enrollment (1993–1997). For users of public water supplies (PWS), we linked participants’ geocoded addresses to contaminant monitoring data [five haloacetic acids (HAA5), total trihalomethanes (TTHM), and nitrate-nitrogen (NO3-N)]. We estimated private well nitrate levels using random forest models accounting for well depth, soil characteristics, nitrogen inputs, and other predictors. We assigned drinking water source for 84% (N = 74,919) of participants. Among these, 69% of IA and 75% of NC participants used private wells; 27% in IA and 21% in NC used PWS. Median PWS nitrate concentrations (NO3-N) were higher in IA [0.9 mg/L, interquartile range (IQR): 0.4–3.1 mg/L] than NC (0.1 mg/L, IQR: 0.1–0.2 mg/L), while median HAA5 and TTHM concentrations were higher in NC (HAA5: 11.9 µg/L, IQR: 5.5–33.4 µg/L; TTHM: 37.7 µg/L, IQR: 10.7–54.7 µg/L) than IA (HAA5: 5.0 µg/L, IQR: 3.7–10.7 µg/L; TTHM: 13.0 µg/L, IQR: 4.2–32.4 µg/L). Private well nitrate concentrations in IA (1.5 mg/L, IQR: 0.8–4.9 mg/L) and NC (1.9 mg/L, IQR: 1.4–2.5 mg/L) were higher than PWS. More private wells in IA (12%) exceeded 10 mg/L NO3-N (regulatory limit for PWS) than NC (&lt;1%). Due to the proximity of their drinking water sources to farms, agricultural communities may be exposed to elevated nitrate levels.","container-title":"Environmental Epidemiology","DOI":"10.1097/EE9.0000000000000210","ISSN":"2474-7882","issue":"3","journalAbbreviation":"Environ Epidemiol","note":"PMID: 35702502\nPMCID: PMC9187174","page":"e210","source":"PubMed Central","title":"Drinking water sources and water quality in a prospective agricultural cohort","volume":"6","author":[{"family":"Manley","given":"Cherrel K."},{"family":"Spaur","given":"Maya"},{"family":"Madrigal","given":"Jessica M."},{"family":"Fisher","given":"Jared A."},{"family":"Jones","given":"Rena R."},{"family":"Parks","given":"Christine G."},{"family":"Hofmann","given":"Jonathan N."},{"family":"Sandler","given":"Dale P."},{"family":"Beane Freeman","given":"Laura"},{"family":"Ward","given":"Mary H."}],"issued":{"date-parts":[["2022",5,25]]}}}],"schema":"https://github.com/citation-style-language/schema/raw/master/csl-citation.json"} </w:instrText>
      </w:r>
      <w:r w:rsidR="00D4192E">
        <w:rPr>
          <w:rFonts w:ascii="Times New Roman" w:hAnsi="Times New Roman" w:cs="Times New Roman"/>
        </w:rPr>
        <w:fldChar w:fldCharType="separate"/>
      </w:r>
      <w:r w:rsidR="00691FE4" w:rsidRPr="00691FE4">
        <w:rPr>
          <w:rFonts w:ascii="Times New Roman" w:hAnsi="Times New Roman" w:cs="Times New Roman"/>
        </w:rPr>
        <w:t>(17)</w:t>
      </w:r>
      <w:r w:rsidR="00D4192E">
        <w:rPr>
          <w:rFonts w:ascii="Times New Roman" w:hAnsi="Times New Roman" w:cs="Times New Roman"/>
        </w:rPr>
        <w:fldChar w:fldCharType="end"/>
      </w:r>
      <w:r w:rsidRPr="00266BBB">
        <w:rPr>
          <w:rFonts w:ascii="Times New Roman" w:hAnsi="Times New Roman" w:cs="Times New Roman"/>
        </w:rPr>
        <w:t>. This section highlights key agrochemicals of concern, with emphasis on compounds most frequently detected in agricultural water sources and most plausibly linked to chronic disease risk.</w:t>
      </w:r>
    </w:p>
    <w:p w14:paraId="6E158FED" w14:textId="77777777" w:rsidR="00266BBB" w:rsidRPr="00266BBB" w:rsidRDefault="00266BBB" w:rsidP="00266BBB">
      <w:pPr>
        <w:rPr>
          <w:rFonts w:ascii="Times New Roman" w:hAnsi="Times New Roman" w:cs="Times New Roman"/>
          <w:b/>
          <w:bCs/>
        </w:rPr>
      </w:pPr>
      <w:r w:rsidRPr="00266BBB">
        <w:rPr>
          <w:rFonts w:ascii="Times New Roman" w:hAnsi="Times New Roman" w:cs="Times New Roman"/>
          <w:b/>
          <w:bCs/>
        </w:rPr>
        <w:t>3.1 Pesticides and Herbicides</w:t>
      </w:r>
    </w:p>
    <w:p w14:paraId="4C3F6937" w14:textId="77777777" w:rsidR="00266BBB" w:rsidRPr="00266BBB" w:rsidRDefault="00266BBB" w:rsidP="00266BBB">
      <w:pPr>
        <w:rPr>
          <w:rFonts w:ascii="Times New Roman" w:hAnsi="Times New Roman" w:cs="Times New Roman"/>
        </w:rPr>
      </w:pPr>
      <w:r w:rsidRPr="00266BBB">
        <w:rPr>
          <w:rFonts w:ascii="Times New Roman" w:hAnsi="Times New Roman" w:cs="Times New Roman"/>
        </w:rPr>
        <w:t xml:space="preserve">Herbicides and insecticides constitute the dominant class of agrochemicals detected in U.S. agricultural watersheds. Atrazine remains one of the most extensively studied herbicides due to its widespread historical use in corn production and its high mobility in soil. Its moderate </w:t>
      </w:r>
      <w:r w:rsidRPr="00266BBB">
        <w:rPr>
          <w:rFonts w:ascii="Times New Roman" w:hAnsi="Times New Roman" w:cs="Times New Roman"/>
        </w:rPr>
        <w:lastRenderedPageBreak/>
        <w:t>persistence and tendency to leach into groundwater have resulted in frequent detection in both surface water and private wells, particularly in the Midwest. Atrazine is a well-characterized endocrine disruptor, with experimental and epidemiologic evidence linking exposure to hormonal dysregulation, reproductive effects, and increased cancer risk, making it a persistent concern despite use restrictions in some jurisdictions</w:t>
      </w:r>
      <w:r w:rsidR="00C20A17">
        <w:rPr>
          <w:rFonts w:ascii="Times New Roman" w:hAnsi="Times New Roman" w:cs="Times New Roman"/>
        </w:rPr>
        <w:fldChar w:fldCharType="begin"/>
      </w:r>
      <w:r w:rsidR="00691FE4">
        <w:rPr>
          <w:rFonts w:ascii="Times New Roman" w:hAnsi="Times New Roman" w:cs="Times New Roman"/>
        </w:rPr>
        <w:instrText xml:space="preserve"> ADDIN ZOTERO_ITEM CSL_CITATION {"citationID":"HHbZvvpl","properties":{"formattedCitation":"(18)","plainCitation":"(18)","noteIndex":0},"citationItems":[{"id":14934,"uris":["http://zotero.org/users/16652950/items/I3GQB8U4"],"itemData":{"id":14934,"type":"article-journal","abstract":"One of the guiding principles of the sustainable use of herbicides is their targeted action exclusively against weeds, consisting of blocking photosyn...","container-title":"Molecules","DOI":"10.3390/molecules29245965","ISSN":"1420-3049","issue":"24","language":"en","license":"http://creativecommons.org/licenses/by/3.0/","note":"Company: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publisher","source":"www.mdpi.com","title":"Environmental Implication of Herbicide Use","URL":"https://www.mdpi.com/1420-3049/29/24/5965","volume":"29","author":[{"family":"Baćmaga","given":"Małgorzata"},{"family":"Wyszkowska","given":"Jadwiga"},{"family":"Kucharski","given":"Jan"}],"accessed":{"date-parts":[["2026",2,18]]},"issued":{"date-parts":[["2024",12,17]]}}}],"schema":"https://github.com/citation-style-language/schema/raw/master/csl-citation.json"} </w:instrText>
      </w:r>
      <w:r w:rsidR="00C20A17">
        <w:rPr>
          <w:rFonts w:ascii="Times New Roman" w:hAnsi="Times New Roman" w:cs="Times New Roman"/>
        </w:rPr>
        <w:fldChar w:fldCharType="separate"/>
      </w:r>
      <w:r w:rsidR="00691FE4" w:rsidRPr="00691FE4">
        <w:rPr>
          <w:rFonts w:ascii="Times New Roman" w:hAnsi="Times New Roman" w:cs="Times New Roman"/>
        </w:rPr>
        <w:t>(18)</w:t>
      </w:r>
      <w:r w:rsidR="00C20A17">
        <w:rPr>
          <w:rFonts w:ascii="Times New Roman" w:hAnsi="Times New Roman" w:cs="Times New Roman"/>
        </w:rPr>
        <w:fldChar w:fldCharType="end"/>
      </w:r>
      <w:r w:rsidRPr="00266BBB">
        <w:rPr>
          <w:rFonts w:ascii="Times New Roman" w:hAnsi="Times New Roman" w:cs="Times New Roman"/>
        </w:rPr>
        <w:t>.</w:t>
      </w:r>
    </w:p>
    <w:p w14:paraId="37B42F09" w14:textId="77777777" w:rsidR="00266BBB" w:rsidRPr="00266BBB" w:rsidRDefault="00266BBB" w:rsidP="00266BBB">
      <w:pPr>
        <w:rPr>
          <w:rFonts w:ascii="Times New Roman" w:hAnsi="Times New Roman" w:cs="Times New Roman"/>
        </w:rPr>
      </w:pPr>
      <w:r w:rsidRPr="00266BBB">
        <w:rPr>
          <w:rFonts w:ascii="Times New Roman" w:hAnsi="Times New Roman" w:cs="Times New Roman"/>
        </w:rPr>
        <w:t xml:space="preserve">Glyphosate, currently the most widely used herbicide in the United States, presents a more complex exposure profile. Although glyphosate binds strongly to soil particles, its extensive use and the presence of mobile degradation products such as </w:t>
      </w:r>
      <w:proofErr w:type="spellStart"/>
      <w:r w:rsidRPr="00266BBB">
        <w:rPr>
          <w:rFonts w:ascii="Times New Roman" w:hAnsi="Times New Roman" w:cs="Times New Roman"/>
        </w:rPr>
        <w:t>aminomethylphosphonic</w:t>
      </w:r>
      <w:proofErr w:type="spellEnd"/>
      <w:r w:rsidRPr="00266BBB">
        <w:rPr>
          <w:rFonts w:ascii="Times New Roman" w:hAnsi="Times New Roman" w:cs="Times New Roman"/>
        </w:rPr>
        <w:t xml:space="preserve"> acid (AMPA) have led to increasing detection in surface water and, in some cases, groundwater. The toxicological profile of glyphosate and its formulations remains contested, particularly with respect to carcinogenicity and metabolic effects, underscoring the need for refined exposure assessment through modeling approaches</w:t>
      </w:r>
      <w:r w:rsidR="00C20A17">
        <w:rPr>
          <w:rFonts w:ascii="Times New Roman" w:hAnsi="Times New Roman" w:cs="Times New Roman"/>
        </w:rPr>
        <w:fldChar w:fldCharType="begin"/>
      </w:r>
      <w:r w:rsidR="00691FE4">
        <w:rPr>
          <w:rFonts w:ascii="Times New Roman" w:hAnsi="Times New Roman" w:cs="Times New Roman"/>
        </w:rPr>
        <w:instrText xml:space="preserve"> ADDIN ZOTERO_ITEM CSL_CITATION {"citationID":"FTajzfcV","properties":{"formattedCitation":"(19)","plainCitation":"(19)","noteIndex":0},"citationItems":[{"id":14937,"uris":["http://zotero.org/users/16652950/items/BANN4QHF"],"itemData":{"id":14937,"type":"article-journal","abstract":"Glyphosate, a non-selective systemic biocide with broad-spectrum activity, is the most widely used herbicide in the world. It can persist in the environment for days or months, and its intensive and large-scale use can constitute a major environmental and health problem. In this systematic review, we investigate the current state of our knowledge related to the effects of this pesticide on the nervous system of various animal species and humans. The information provided indicates that exposure to glyphosate or its commercial formulations induces several neurotoxic effects. It has been shown that exposure to this pesticide during the early stages of life can seriously affect normal cell development by deregulating some of the signaling pathways involved in this process, leading to alterations in differentiation, neuronal growth, and myelination. Glyphosate also seems to exert a significant toxic effect on neurotransmission and to induce oxidative stress, neuroinflammation and mitochondrial dysfunction, processes that lead to neuronal death due to autophagy, necrosis, or apoptosis, as well as the appearance of behavioral and motor disorders. The doses of glyphosate that produce these neurotoxic effects vary widely but are lower than the limits set by regulatory agencies. Although there are important discrepancies between the analyzed findings, it is unequivocal that exposure to glyphosate produces important alterations in the structure and function of the nervous system of humans, rodents, fish, and invertebrates.","container-title":"International Journal of Molecular Sciences","DOI":"10.3390/ijms23094605","ISSN":"1422-0067","issue":"9","journalAbbreviation":"Int J Mol Sci","note":"PMID: 35562999\nPMCID: PMC9101768","page":"4605","source":"PubMed Central","title":"Toxic Effects of Glyphosate on the Nervous System: A Systematic Review","title-short":"Toxic Effects of Glyphosate on the Nervous System","volume":"23","author":[{"family":"Costas-Ferreira","given":"Carmen"},{"family":"Durán","given":"Rafael"},{"family":"Faro","given":"Lilian R. F."}],"issued":{"date-parts":[["2022",4,21]]}}}],"schema":"https://github.com/citation-style-language/schema/raw/master/csl-citation.json"} </w:instrText>
      </w:r>
      <w:r w:rsidR="00C20A17">
        <w:rPr>
          <w:rFonts w:ascii="Times New Roman" w:hAnsi="Times New Roman" w:cs="Times New Roman"/>
        </w:rPr>
        <w:fldChar w:fldCharType="separate"/>
      </w:r>
      <w:r w:rsidR="00691FE4" w:rsidRPr="00691FE4">
        <w:rPr>
          <w:rFonts w:ascii="Times New Roman" w:hAnsi="Times New Roman" w:cs="Times New Roman"/>
        </w:rPr>
        <w:t>(19)</w:t>
      </w:r>
      <w:r w:rsidR="00C20A17">
        <w:rPr>
          <w:rFonts w:ascii="Times New Roman" w:hAnsi="Times New Roman" w:cs="Times New Roman"/>
        </w:rPr>
        <w:fldChar w:fldCharType="end"/>
      </w:r>
      <w:r w:rsidRPr="00266BBB">
        <w:rPr>
          <w:rFonts w:ascii="Times New Roman" w:hAnsi="Times New Roman" w:cs="Times New Roman"/>
        </w:rPr>
        <w:t>.</w:t>
      </w:r>
    </w:p>
    <w:p w14:paraId="167D2DC2" w14:textId="77777777" w:rsidR="00266BBB" w:rsidRPr="00266BBB" w:rsidRDefault="00266BBB" w:rsidP="00266BBB">
      <w:pPr>
        <w:rPr>
          <w:rFonts w:ascii="Times New Roman" w:hAnsi="Times New Roman" w:cs="Times New Roman"/>
        </w:rPr>
      </w:pPr>
      <w:r w:rsidRPr="00266BBB">
        <w:rPr>
          <w:rFonts w:ascii="Times New Roman" w:hAnsi="Times New Roman" w:cs="Times New Roman"/>
        </w:rPr>
        <w:t>Chlorpyrifos and related organophosphate insecticides are of concern due to their neurotoxic properties and potential for developmental and chronic neurologic effects. While regulatory actions have reduced some uses, legacy contamination and continued application in certain agricultural sectors sustain exposure potential. Organophosphates are typically less persistent than herbicides but can be highly toxic at low concentrations, and episodic contamination of drinking water following application events has been documented. Detection frequency varies regionally, reflecting differences in crop type, pest pressure, and regulatory enforcement</w:t>
      </w:r>
      <w:r w:rsidR="00C20A17">
        <w:rPr>
          <w:rFonts w:ascii="Times New Roman" w:hAnsi="Times New Roman" w:cs="Times New Roman"/>
        </w:rPr>
        <w:fldChar w:fldCharType="begin"/>
      </w:r>
      <w:r w:rsidR="00691FE4">
        <w:rPr>
          <w:rFonts w:ascii="Times New Roman" w:hAnsi="Times New Roman" w:cs="Times New Roman"/>
        </w:rPr>
        <w:instrText xml:space="preserve"> ADDIN ZOTERO_ITEM CSL_CITATION {"citationID":"TbmY9kvh","properties":{"formattedCitation":"(20)","plainCitation":"(20)","noteIndex":0},"citationItems":[{"id":14940,"uris":["http://zotero.org/users/16652950/items/ZQANQW46"],"itemData":{"id":14940,"type":"article-journal","abstract":"Organophosphate (OP) insecticides are used to eliminate agricultural threats posed by insects, through inhibition of the neurotransmitter acetylcholin...","container-title":"Journal of Developmental Biology","DOI":"10.3390/jdb10040049","ISSN":"2221-3759","issue":"4","language":"en","license":"http://creativecommons.org/licenses/by/3.0/","note":"Company: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publisher","source":"www.mdpi.com","title":"Organophosphate Insecticide Toxicity in Neural Development, Cognition, Behaviour and Degeneration: Insights from Zebrafish","title-short":"Organophosphate Insecticide Toxicity in Neural Development, Cognition, Behaviour and Degeneration","URL":"https://www.mdpi.com/2221-3759/10/4/49","volume":"10","author":[{"family":"Neylon","given":"Jeremy"},{"family":"Fuller","given":"Jarrad N."},{"family":"Poel","given":"Chris","dropping-particle":"van der"},{"family":"Church","given":"Jarrod E."},{"family":"Dworkin","given":"Sebastian"}],"accessed":{"date-parts":[["2026",2,18]]},"issued":{"date-parts":[["2022",11,20]]}}}],"schema":"https://github.com/citation-style-language/schema/raw/master/csl-citation.json"} </w:instrText>
      </w:r>
      <w:r w:rsidR="00C20A17">
        <w:rPr>
          <w:rFonts w:ascii="Times New Roman" w:hAnsi="Times New Roman" w:cs="Times New Roman"/>
        </w:rPr>
        <w:fldChar w:fldCharType="separate"/>
      </w:r>
      <w:r w:rsidR="00691FE4" w:rsidRPr="00691FE4">
        <w:rPr>
          <w:rFonts w:ascii="Times New Roman" w:hAnsi="Times New Roman" w:cs="Times New Roman"/>
        </w:rPr>
        <w:t>(20)</w:t>
      </w:r>
      <w:r w:rsidR="00C20A17">
        <w:rPr>
          <w:rFonts w:ascii="Times New Roman" w:hAnsi="Times New Roman" w:cs="Times New Roman"/>
        </w:rPr>
        <w:fldChar w:fldCharType="end"/>
      </w:r>
      <w:r w:rsidRPr="00266BBB">
        <w:rPr>
          <w:rFonts w:ascii="Times New Roman" w:hAnsi="Times New Roman" w:cs="Times New Roman"/>
        </w:rPr>
        <w:t>.</w:t>
      </w:r>
    </w:p>
    <w:p w14:paraId="5B513BE0" w14:textId="77777777" w:rsidR="00266BBB" w:rsidRPr="00266BBB" w:rsidRDefault="00266BBB" w:rsidP="00266BBB">
      <w:pPr>
        <w:rPr>
          <w:rFonts w:ascii="Times New Roman" w:hAnsi="Times New Roman" w:cs="Times New Roman"/>
          <w:b/>
          <w:bCs/>
        </w:rPr>
      </w:pPr>
      <w:r w:rsidRPr="00266BBB">
        <w:rPr>
          <w:rFonts w:ascii="Times New Roman" w:hAnsi="Times New Roman" w:cs="Times New Roman"/>
          <w:b/>
          <w:bCs/>
        </w:rPr>
        <w:t>3.2 Nutrients and Co-Contaminants</w:t>
      </w:r>
    </w:p>
    <w:p w14:paraId="5672D664" w14:textId="77777777" w:rsidR="00266BBB" w:rsidRPr="00266BBB" w:rsidRDefault="00266BBB" w:rsidP="00266BBB">
      <w:pPr>
        <w:rPr>
          <w:rFonts w:ascii="Times New Roman" w:hAnsi="Times New Roman" w:cs="Times New Roman"/>
        </w:rPr>
      </w:pPr>
      <w:r w:rsidRPr="00266BBB">
        <w:rPr>
          <w:rFonts w:ascii="Times New Roman" w:hAnsi="Times New Roman" w:cs="Times New Roman"/>
        </w:rPr>
        <w:t>Nitrates and nitrites represent the most ubiquitous contaminants in agricultural drinking water and are a primary driver of groundwater impairment in farming regions. Derived largely from nitrogen-based fertilizers and animal waste, nitrates are highly soluble and readily leach into groundwater, particularly in areas with intensive row-crop agriculture and shallow aquifers. Elevated nitrate concentrations are commonly observed in private wells, often exceeding federal drinking water standards</w:t>
      </w:r>
      <w:r w:rsidR="00C20A17">
        <w:rPr>
          <w:rFonts w:ascii="Times New Roman" w:hAnsi="Times New Roman" w:cs="Times New Roman"/>
        </w:rPr>
        <w:fldChar w:fldCharType="begin"/>
      </w:r>
      <w:r w:rsidR="00691FE4">
        <w:rPr>
          <w:rFonts w:ascii="Times New Roman" w:hAnsi="Times New Roman" w:cs="Times New Roman"/>
        </w:rPr>
        <w:instrText xml:space="preserve"> ADDIN ZOTERO_ITEM CSL_CITATION {"citationID":"C9TjMQkx","properties":{"formattedCitation":"(21)","plainCitation":"(21)","noteIndex":0},"citationItems":[{"id":14942,"uris":["http://zotero.org/users/16652950/items/FLJ4GE5C"],"itemData":{"id":14942,"type":"article-journal","abstract":"Anthropogenic factors are contaminating crystalline aquifers more rapidly than natural sources and affecting human health in many states in India. Since a large population depends on untreated groundwater, identifying the sources of this contamination and assessing the related human health risk are essential to ensure a good-quality water supply. Nitrate is one of the most widespread means of groundwater contamination in many parts of India. Coimbatore and Tirupur districts are the most rapidly growing industrial urban areas in southern India. This paper deals with nitrate contamination and possible health risks for children and adults in the Coimbatore and Tirupur districts based on 93 groundwater samples. To achieve this goal, classical hydrochemical and deterministic hazard identification methods coupled with spatial mapping technologies were applied. A wide variation in nitrate concentration, between 1 and 415 mg/L, was observed, with 37% of the samples exceeding the WHO permissible limit of 50 mg/L. The distinct concentrations of nitrate and other ions observed spatially can be attributed to the diverse geochemical and land use settings in the study area. The bivariate plots of NO3 with other ions suggested that the principal origin of nitrate in this study is related to the excess application of fertilizers and sewages. The spatial variation of NO3, in comparison with the land use map, confirmed these results. The values of hazard quotient (HQ) via ingestion exceeded the critical value, one in 40% in males, 42% in females, and 45% in children. However, HQ values via oral pathways are within one and pose no exposure risk. Thus, the hazard index corresponds to HQingestion only. The health risk was in the increasing order of male&gt;female&gt;children, and shows that body weight is the most critical factor that is influencing the health impact to children as compared to adults. The spatial variation of hazard index values showed that groundwater quality is highly polluted with NO3 in the north and northeastern parts of the study area, mainly due to intensive agricultural practices, and poses critical health concerns. Considering the increasing population and higher dependencies on groundwater, immediate and sufficient measures are proposed.","container-title":"Environmental Science and Pollution Research International","DOI":"10.1007/s11356-020-11552-y","ISSN":"0944-1344","issue":"8","journalAbbreviation":"Environ Sci Pollut Res Int","note":"PMID: 33170463\nPMCID: PMC8528785","page":"10248-10261","source":"PubMed Central","title":"Exposure and health risk assessment of nitrate contamination in groundwater in Coimbatore and Tirupur districts in Tamil Nadu, South India","volume":"28","author":[{"family":"Pazhuparambil Jayarajan","given":"Sajil Kumar"},{"family":"Kuriachan","given":"Lemoon"}],"issued":{"date-parts":[["2021"]]}}}],"schema":"https://github.com/citation-style-language/schema/raw/master/csl-citation.json"} </w:instrText>
      </w:r>
      <w:r w:rsidR="00C20A17">
        <w:rPr>
          <w:rFonts w:ascii="Times New Roman" w:hAnsi="Times New Roman" w:cs="Times New Roman"/>
        </w:rPr>
        <w:fldChar w:fldCharType="separate"/>
      </w:r>
      <w:r w:rsidR="00691FE4" w:rsidRPr="00691FE4">
        <w:rPr>
          <w:rFonts w:ascii="Times New Roman" w:hAnsi="Times New Roman" w:cs="Times New Roman"/>
        </w:rPr>
        <w:t>(21)</w:t>
      </w:r>
      <w:r w:rsidR="00C20A17">
        <w:rPr>
          <w:rFonts w:ascii="Times New Roman" w:hAnsi="Times New Roman" w:cs="Times New Roman"/>
        </w:rPr>
        <w:fldChar w:fldCharType="end"/>
      </w:r>
      <w:r w:rsidRPr="00266BBB">
        <w:rPr>
          <w:rFonts w:ascii="Times New Roman" w:hAnsi="Times New Roman" w:cs="Times New Roman"/>
        </w:rPr>
        <w:t>.</w:t>
      </w:r>
    </w:p>
    <w:p w14:paraId="0E97A840" w14:textId="77777777" w:rsidR="00266BBB" w:rsidRPr="00266BBB" w:rsidRDefault="00266BBB" w:rsidP="00266BBB">
      <w:pPr>
        <w:rPr>
          <w:rFonts w:ascii="Times New Roman" w:hAnsi="Times New Roman" w:cs="Times New Roman"/>
        </w:rPr>
      </w:pPr>
      <w:r w:rsidRPr="00266BBB">
        <w:rPr>
          <w:rFonts w:ascii="Times New Roman" w:hAnsi="Times New Roman" w:cs="Times New Roman"/>
        </w:rPr>
        <w:t>Beyond their established association with methemoglobinemia, nitrates have been implicated in a range of chronic health outcomes, including colorectal cancer, thyroid dysfunction, and adverse cardiometabolic effects. Importantly, nitrates may act synergistically with pesticides and other organic contaminants. Co-exposure can enhance nitrosamine formation or exacerbate oxidative stress and endocrine disruption, suggesting that single-chemical risk assessments may underestimate true health risks in agricultural settings</w:t>
      </w:r>
      <w:r w:rsidR="00C20A17">
        <w:rPr>
          <w:rFonts w:ascii="Times New Roman" w:hAnsi="Times New Roman" w:cs="Times New Roman"/>
        </w:rPr>
        <w:fldChar w:fldCharType="begin"/>
      </w:r>
      <w:r w:rsidR="00691FE4">
        <w:rPr>
          <w:rFonts w:ascii="Times New Roman" w:hAnsi="Times New Roman" w:cs="Times New Roman"/>
        </w:rPr>
        <w:instrText xml:space="preserve"> ADDIN ZOTERO_ITEM CSL_CITATION {"citationID":"6YmeABMu","properties":{"formattedCitation":"(22)","plainCitation":"(22)","noteIndex":0},"citationItems":[{"id":14945,"uris":["http://zotero.org/users/16652950/items/7W8MSGHV"],"itemData":{"id":14945,"type":"report","abstract":"Introduction: The problem related to water pollution of nitrates and nitrites is both an issue in Iran and also most parts of the world. Studies to evaluate the acute and chronic effects of nitrate and nitrite have demonstrated that different concentrations of these compounds in water and food have been causing multiple diseases. Methods: In this paper, researchers reviewed published articles and research from 1950 to 2016 in English and Farsi, according to key words “nitrate”, “nitrite”, “water”, “food” and “health effects”, retrieved from databases, such as Medline, Scopus, Pub Med, and scientific information database (SID). Results: Consumption of drinking water and food containing high concentrations of nitrate and nitrite could cause diseases, such as cancer, methemoglobinemia, and enlargement of the thyroid gland and diabetes mellitus. The positive effects of low concentrations of nitrates and nitrites include a protective effect on the cardiovascular system, regulatory role in blood pressure, and homeostasis (also static) of the vessels Conclusions: As different concentrations of nitrates and nitrites have beneficial and undesirable effects on human health and regarding the high cost of treating water contaminated with nitrite and nitrate, more investigations should be done in setting the standards and levels of parameters used in drinking water.","genre":"Review Article","language":"en","license":"This is an open-access article distributed under the terms of the Creative Commons Attribution 4.0 International License (CC BY 4.0) (https://creativecommons.org/licenses/by/4.0/) which permits unrestricted use, distribution, and reproduction in any medium, provided the original work is properly cited.","note":"ISSN: 2251-9513\nissue: 3\njournalAbbreviation: Health Scope\ncontainer-title: Health Scope\nvolume: 6\nDOI: 10.5812/jhealthscope.14164","number":"6","page":"e14164","publisher":"Health Scope","source":"brieflands.com","title":"A Review of Adverse Effects and Benefits of Nitrate and Nitrite in Drinking Water and Food on Human Health","URL":"https://brieflands.com/journals/healthscope/articles/14164#abstract","author":[{"family":"Parvizishad","given":"Mina"},{"family":"Dalvand","given":"Arash"},{"family":"Mahvi","given":"Amir Hossein"},{"family":"Goodarzi","given":"Fatemeh"}],"accessed":{"date-parts":[["2026",2,18]]},"issued":{"date-parts":[["2016",7,9]]}}}],"schema":"https://github.com/citation-style-language/schema/raw/master/csl-citation.json"} </w:instrText>
      </w:r>
      <w:r w:rsidR="00C20A17">
        <w:rPr>
          <w:rFonts w:ascii="Times New Roman" w:hAnsi="Times New Roman" w:cs="Times New Roman"/>
        </w:rPr>
        <w:fldChar w:fldCharType="separate"/>
      </w:r>
      <w:r w:rsidR="00691FE4" w:rsidRPr="00691FE4">
        <w:rPr>
          <w:rFonts w:ascii="Times New Roman" w:hAnsi="Times New Roman" w:cs="Times New Roman"/>
        </w:rPr>
        <w:t>(22)</w:t>
      </w:r>
      <w:r w:rsidR="00C20A17">
        <w:rPr>
          <w:rFonts w:ascii="Times New Roman" w:hAnsi="Times New Roman" w:cs="Times New Roman"/>
        </w:rPr>
        <w:fldChar w:fldCharType="end"/>
      </w:r>
      <w:r w:rsidRPr="00266BBB">
        <w:rPr>
          <w:rFonts w:ascii="Times New Roman" w:hAnsi="Times New Roman" w:cs="Times New Roman"/>
        </w:rPr>
        <w:t>.</w:t>
      </w:r>
    </w:p>
    <w:p w14:paraId="6B1E64A2" w14:textId="77777777" w:rsidR="00266BBB" w:rsidRPr="00266BBB" w:rsidRDefault="00266BBB" w:rsidP="00266BBB">
      <w:pPr>
        <w:rPr>
          <w:rFonts w:ascii="Times New Roman" w:hAnsi="Times New Roman" w:cs="Times New Roman"/>
          <w:b/>
          <w:bCs/>
        </w:rPr>
      </w:pPr>
      <w:r w:rsidRPr="00266BBB">
        <w:rPr>
          <w:rFonts w:ascii="Times New Roman" w:hAnsi="Times New Roman" w:cs="Times New Roman"/>
          <w:b/>
          <w:bCs/>
        </w:rPr>
        <w:t>3.3 Emerging and Understudied Compounds</w:t>
      </w:r>
    </w:p>
    <w:p w14:paraId="08077C56" w14:textId="77777777" w:rsidR="00266BBB" w:rsidRPr="00266BBB" w:rsidRDefault="00266BBB" w:rsidP="00266BBB">
      <w:pPr>
        <w:rPr>
          <w:rFonts w:ascii="Times New Roman" w:hAnsi="Times New Roman" w:cs="Times New Roman"/>
        </w:rPr>
      </w:pPr>
      <w:r w:rsidRPr="00266BBB">
        <w:rPr>
          <w:rFonts w:ascii="Times New Roman" w:hAnsi="Times New Roman" w:cs="Times New Roman"/>
        </w:rPr>
        <w:t xml:space="preserve">In addition to parent compounds, metabolites and degradation products represent an underappreciated component of drinking water contamination. Many pesticide metabolites are more mobile and persistent than their parent chemicals and may retain biological activity. For </w:t>
      </w:r>
      <w:r w:rsidRPr="00266BBB">
        <w:rPr>
          <w:rFonts w:ascii="Times New Roman" w:hAnsi="Times New Roman" w:cs="Times New Roman"/>
        </w:rPr>
        <w:lastRenderedPageBreak/>
        <w:t xml:space="preserve">example, atrazine </w:t>
      </w:r>
      <w:proofErr w:type="spellStart"/>
      <w:r w:rsidRPr="00266BBB">
        <w:rPr>
          <w:rFonts w:ascii="Times New Roman" w:hAnsi="Times New Roman" w:cs="Times New Roman"/>
        </w:rPr>
        <w:t>degradates</w:t>
      </w:r>
      <w:proofErr w:type="spellEnd"/>
      <w:r w:rsidRPr="00266BBB">
        <w:rPr>
          <w:rFonts w:ascii="Times New Roman" w:hAnsi="Times New Roman" w:cs="Times New Roman"/>
        </w:rPr>
        <w:t xml:space="preserve"> are frequently detected at concentrations comparable to or exceeding those of atrazine itself, yet are less consistently monitored and regulated</w:t>
      </w:r>
      <w:r w:rsidR="00CE3A50">
        <w:rPr>
          <w:rFonts w:ascii="Times New Roman" w:hAnsi="Times New Roman" w:cs="Times New Roman"/>
        </w:rPr>
        <w:fldChar w:fldCharType="begin"/>
      </w:r>
      <w:r w:rsidR="00691FE4">
        <w:rPr>
          <w:rFonts w:ascii="Times New Roman" w:hAnsi="Times New Roman" w:cs="Times New Roman"/>
        </w:rPr>
        <w:instrText xml:space="preserve"> ADDIN ZOTERO_ITEM CSL_CITATION {"citationID":"LXrLv6nm","properties":{"formattedCitation":"(23)","plainCitation":"(23)","noteIndex":0},"citationItems":[{"id":14947,"uris":["http://zotero.org/users/16652950/items/M8ZR7UUA"],"itemData":{"id":14947,"type":"webpage","abstract":"When micropollutants degrade in the environment, they may form persistent and toxic transformation products, which should be accounted for in the environmental risk assessment of the parent compounds. Transformation products have become a topic of interest not only with regard to their formation in the environment, but also during advanced water treatment processes, where disinfection byproducts can form from benign precursors. In addition, environmental risk assessment of human and veterinary pharmaceuticals requires inclusion of human metabolites as most pharmaceuticals are not excreted into wastewater in their original form, but are extensively metabolized. All three areas have developed their independent approaches to assess the risk associated with transformation product formation including hazard identification, exposure assessment, hazard assessment including dose−response characterization, and risk characterization. This review provides an overview and defines a link among those areas, emphasizing commonalities and encouraging a common approach. We distinguish among approaches to assess transformation products of individual pollutants that are undergoing a particular transformation process, e.g., biotransformation or (photo)oxidation, and approaches with the goal of prioritizing transformation products in terms of their contribution to environmental risk. We classify existing approaches for transformation product assessment in degradation studies as exposure- or effect-driven. In the exposure-driven approach, transformation products are identified and quantified by chemical analysis followed by effect assessment. In the effect-driven approach, a reaction mixture undergoes toxicity testing. If the decrease in toxicity parallels the decrease of parent compound concentration, the transformation products are considered to be irrelevant, and only when toxicity increases or the decrease is not proportional to the parent compound concentration are the TPs identified. For prioritization of transformation products in terms of their contribution to overall environmental risk, we integrate existing research into a coherent model-based, risk-driven framework. In the proposed framework, read-across from data of the parent compound to the transformation products is emphasized, but limitations to this approach are also discussed. Most prominently, we demonstrate how effect data for parent compounds can be used in combination with analysis of toxicophore structures and bioconcentration potential to facilitate transformation product effect assessment.","container-title":"ACS Publications","language":"en","title":"Recent Advances in Environmental Risk Assessment of Transformation Products","URL":"https://pubs.acs.org/doi/abs/10.1021/es1030799","accessed":{"date-parts":[["2026",2,18]]},"issued":{"date-parts":[["2011",4,7]]}}}],"schema":"https://github.com/citation-style-language/schema/raw/master/csl-citation.json"} </w:instrText>
      </w:r>
      <w:r w:rsidR="00CE3A50">
        <w:rPr>
          <w:rFonts w:ascii="Times New Roman" w:hAnsi="Times New Roman" w:cs="Times New Roman"/>
        </w:rPr>
        <w:fldChar w:fldCharType="separate"/>
      </w:r>
      <w:r w:rsidR="00691FE4" w:rsidRPr="00691FE4">
        <w:rPr>
          <w:rFonts w:ascii="Times New Roman" w:hAnsi="Times New Roman" w:cs="Times New Roman"/>
        </w:rPr>
        <w:t>(23)</w:t>
      </w:r>
      <w:r w:rsidR="00CE3A50">
        <w:rPr>
          <w:rFonts w:ascii="Times New Roman" w:hAnsi="Times New Roman" w:cs="Times New Roman"/>
        </w:rPr>
        <w:fldChar w:fldCharType="end"/>
      </w:r>
      <w:r w:rsidRPr="00266BBB">
        <w:rPr>
          <w:rFonts w:ascii="Times New Roman" w:hAnsi="Times New Roman" w:cs="Times New Roman"/>
        </w:rPr>
        <w:t>.</w:t>
      </w:r>
    </w:p>
    <w:p w14:paraId="2239AEDC" w14:textId="77777777" w:rsidR="00266BBB" w:rsidRPr="00266BBB" w:rsidRDefault="00266BBB" w:rsidP="00266BBB">
      <w:pPr>
        <w:rPr>
          <w:rFonts w:ascii="Times New Roman" w:hAnsi="Times New Roman" w:cs="Times New Roman"/>
        </w:rPr>
      </w:pPr>
      <w:r w:rsidRPr="00266BBB">
        <w:rPr>
          <w:rFonts w:ascii="Times New Roman" w:hAnsi="Times New Roman" w:cs="Times New Roman"/>
        </w:rPr>
        <w:t>Data gaps remain substantial for emerging compounds, including newer pesticides, formulation additives, and transformation products formed during water treatment. Monitoring programs often prioritize a limited set of regulated chemicals, leaving many agrichemicals unmeasured. These gaps complicate exposure modeling and hinder comprehensive risk assessment. Addressing these limitations will require expanded monitoring, improved analytical methods, and modeling frameworks capable of accounting for chemical mixtures and transformation pathways.</w:t>
      </w:r>
    </w:p>
    <w:p w14:paraId="19F5E991" w14:textId="77777777" w:rsidR="00266BBB" w:rsidRPr="00335136" w:rsidRDefault="00266BBB">
      <w:pPr>
        <w:rPr>
          <w:rFonts w:ascii="Times New Roman" w:hAnsi="Times New Roman" w:cs="Times New Roman"/>
        </w:rPr>
      </w:pPr>
    </w:p>
    <w:p w14:paraId="0A0E29A2" w14:textId="77777777" w:rsidR="00DD4E5D" w:rsidRPr="00DD4E5D" w:rsidRDefault="00DD4E5D" w:rsidP="00DD4E5D">
      <w:pPr>
        <w:rPr>
          <w:rFonts w:ascii="Times New Roman" w:hAnsi="Times New Roman" w:cs="Times New Roman"/>
          <w:b/>
          <w:bCs/>
        </w:rPr>
      </w:pPr>
      <w:r w:rsidRPr="00DD4E5D">
        <w:rPr>
          <w:rFonts w:ascii="Times New Roman" w:hAnsi="Times New Roman" w:cs="Times New Roman"/>
          <w:b/>
          <w:bCs/>
        </w:rPr>
        <w:t>4. Modeling Agrochemical Contamination in Drinking Water</w:t>
      </w:r>
    </w:p>
    <w:p w14:paraId="5C5FEA0A" w14:textId="77777777" w:rsidR="00DD4E5D" w:rsidRPr="00DD4E5D" w:rsidRDefault="00DD4E5D" w:rsidP="00DD4E5D">
      <w:pPr>
        <w:rPr>
          <w:rFonts w:ascii="Times New Roman" w:hAnsi="Times New Roman" w:cs="Times New Roman"/>
        </w:rPr>
      </w:pPr>
      <w:r w:rsidRPr="00DD4E5D">
        <w:rPr>
          <w:rFonts w:ascii="Times New Roman" w:hAnsi="Times New Roman" w:cs="Times New Roman"/>
        </w:rPr>
        <w:t>Modeling approaches play a central role in characterizing agrochemical contamination of drinking water, particularly in agricultural regions where direct monitoring is sparse, temporally inconsistent, or biased toward regulated public systems. These models translate information on chemical use, environmental processes, and landscape characteristics into estimates of spatially and temporally resolved exposure</w:t>
      </w:r>
      <w:r w:rsidR="00CE3A50">
        <w:rPr>
          <w:rFonts w:ascii="Times New Roman" w:hAnsi="Times New Roman" w:cs="Times New Roman"/>
        </w:rPr>
        <w:fldChar w:fldCharType="begin"/>
      </w:r>
      <w:r w:rsidR="002065D6">
        <w:rPr>
          <w:rFonts w:ascii="Times New Roman" w:hAnsi="Times New Roman" w:cs="Times New Roman"/>
        </w:rPr>
        <w:instrText xml:space="preserve"> ADDIN ZOTERO_ITEM CSL_CITATION {"citationID":"6URsVesh","properties":{"formattedCitation":"(24)","plainCitation":"(24)","noteIndex":0},"citationItems":[{"id":15074,"uris":["http://zotero.org/users/16652950/items/SU8PT7EI"],"itemData":{"id":15074,"type":"article-journal","abstract":"Mathematical modeling plays a central role in infectious disease epidemiology, shaping outbreak response strategies and informing public health policy. The COVID-19 pandemic demonstrated the value of these models but also exposed persistent limitations related to data fragility, lack of transparency, limited stakeholder engagement, and insufficient consideration of social and political contexts. Rather than critiquing modeling as a discipline, this perspective argues for a reorientation of infectious disease modeling toward a more responsive, equity-centered, and participatory paradigm. We propose a conceptual framework built on three interrelated principles: adaptability through real-time data integration, transparency via open-source and reproducible practices, and relevance through interdisciplinary and co-produced model design. Drawing on illustrative examples from COVID-19 and dengue control efforts, we highlight how integrating behavioral dynamics, local knowledge, and policy feedback can improve model usefulness and public trust. Reconceptualizing models as dynamic systems of inquiry rather than static forecasting tools can enhance decision-making and promote more equitable and effective responses to future public health emergencies.","container-title":"Global Journal of Epidemiology and Infectious Disease","ISSN":"2770-8675","language":"en","license":"Copyright (c) 2025 Global Journal of Epidemiology and Infectious Disease","page":"43-53","source":"www.scipublications.com","title":"Reimagining Mathematical Modeling for a Responsive and Integrated Future in Infectious Disease Epidemiology","author":[{"family":"Lawal","given":"Olabisi Promise"},{"family":"Okeh","given":"Debra Ukamaka"},{"family":"Ezeamii","given":"Patra Chisom"},{"family":"Olowookere","given":"Adepeju Kafayat"},{"family":"Muhammed","given":"Ismaila"},{"family":"Ugwu","given":"Chukwuebuka Victor"},{"family":"Ayo-ige","given":"Ayodele Blessing"}],"issued":{"date-parts":[["2025",12,22]]}}}],"schema":"https://github.com/citation-style-language/schema/raw/master/csl-citation.json"} </w:instrText>
      </w:r>
      <w:r w:rsidR="00CE3A50">
        <w:rPr>
          <w:rFonts w:ascii="Times New Roman" w:hAnsi="Times New Roman" w:cs="Times New Roman"/>
        </w:rPr>
        <w:fldChar w:fldCharType="separate"/>
      </w:r>
      <w:r w:rsidR="002065D6" w:rsidRPr="002065D6">
        <w:rPr>
          <w:rFonts w:ascii="Times New Roman" w:hAnsi="Times New Roman" w:cs="Times New Roman"/>
        </w:rPr>
        <w:t>(24)</w:t>
      </w:r>
      <w:r w:rsidR="00CE3A50">
        <w:rPr>
          <w:rFonts w:ascii="Times New Roman" w:hAnsi="Times New Roman" w:cs="Times New Roman"/>
        </w:rPr>
        <w:fldChar w:fldCharType="end"/>
      </w:r>
      <w:r w:rsidRPr="00DD4E5D">
        <w:rPr>
          <w:rFonts w:ascii="Times New Roman" w:hAnsi="Times New Roman" w:cs="Times New Roman"/>
        </w:rPr>
        <w:t xml:space="preserve">. This section synthesizes the major modeling frameworks used in the literature, highlighting their applications, strengths, and limitations for exposure assessment in studies of chronic disease risk among U.S. farmers. A summary of these approaches is provided in </w:t>
      </w:r>
      <w:r w:rsidRPr="00DD4E5D">
        <w:rPr>
          <w:rFonts w:ascii="Times New Roman" w:hAnsi="Times New Roman" w:cs="Times New Roman"/>
          <w:b/>
          <w:bCs/>
        </w:rPr>
        <w:t>Table 1</w:t>
      </w:r>
      <w:r w:rsidRPr="00DD4E5D">
        <w:rPr>
          <w:rFonts w:ascii="Times New Roman" w:hAnsi="Times New Roman" w:cs="Times New Roman"/>
        </w:rPr>
        <w:t>, which is referenced throughout this section.</w:t>
      </w:r>
    </w:p>
    <w:p w14:paraId="66A278B1" w14:textId="77777777" w:rsidR="00DD4E5D" w:rsidRPr="00DD4E5D" w:rsidRDefault="00DD4E5D" w:rsidP="00DD4E5D">
      <w:pPr>
        <w:rPr>
          <w:rFonts w:ascii="Times New Roman" w:hAnsi="Times New Roman" w:cs="Times New Roman"/>
          <w:b/>
          <w:bCs/>
        </w:rPr>
      </w:pPr>
      <w:r w:rsidRPr="00DD4E5D">
        <w:rPr>
          <w:rFonts w:ascii="Times New Roman" w:hAnsi="Times New Roman" w:cs="Times New Roman"/>
          <w:b/>
          <w:bCs/>
        </w:rPr>
        <w:t>4.1 Environmental Fate and Transport Models</w:t>
      </w:r>
    </w:p>
    <w:p w14:paraId="01FD1032" w14:textId="77777777" w:rsidR="00DD4E5D" w:rsidRPr="00DD4E5D" w:rsidRDefault="00DD4E5D" w:rsidP="00DD4E5D">
      <w:pPr>
        <w:rPr>
          <w:rFonts w:ascii="Times New Roman" w:hAnsi="Times New Roman" w:cs="Times New Roman"/>
        </w:rPr>
      </w:pPr>
      <w:r w:rsidRPr="00DD4E5D">
        <w:rPr>
          <w:rFonts w:ascii="Times New Roman" w:hAnsi="Times New Roman" w:cs="Times New Roman"/>
        </w:rPr>
        <w:t>Environmental fate and transport models are process-based tools designed to simulate the movement, transformation, and persistence of agrochemicals in soil–water systems. These models explicitly represent physical and chemical processes such as leaching, runoff, volatilization, sorption, and degradation. Hydrological components simulate water movement through soil profiles, unsaturated zones, and aquifers, allowing estimation of contaminant fluxes into groundwater and surface water sources used for drinking water</w:t>
      </w:r>
      <w:r w:rsidR="00015DA9">
        <w:rPr>
          <w:rFonts w:ascii="Times New Roman" w:hAnsi="Times New Roman" w:cs="Times New Roman"/>
        </w:rPr>
        <w:fldChar w:fldCharType="begin"/>
      </w:r>
      <w:r w:rsidR="00691FE4">
        <w:rPr>
          <w:rFonts w:ascii="Times New Roman" w:hAnsi="Times New Roman" w:cs="Times New Roman"/>
        </w:rPr>
        <w:instrText xml:space="preserve"> ADDIN ZOTERO_ITEM CSL_CITATION {"citationID":"QyXFVJjl","properties":{"formattedCitation":"(25)","plainCitation":"(25)","noteIndex":0},"citationItems":[{"id":14951,"uris":["http://zotero.org/users/16652950/items/YE2RC59U"],"itemData":{"id":14951,"type":"article-journal","abstract":"Transformation products (TP) of pesticides are found everywhere in the aquatic environment. Their dynamic formation and subsequent transport from agricultural fields to adjacent water bodies can be estimated by using environmental fate models, which is done in the registration process for plant protection products in the European Union. In this study, peer-reviewed applications of such models, the model complexity and their structure are documented and analysed. In total, 20 publications of 10 models – eight leaching models (GLEAMS, MACRO, RZWQM2, PEARL, PRZM, Pelmo, LEACHM, HYDRUS 1-D) and two catchment scale models (Zin-AgriTra, FRM) – were identified. The reviewed models greatly differ in their process complexity regarding the formation rate and the formation pathways of TPs.The major reason given for models failing to reproduce sampled TP concentrations in case studies was an erroneous substance transport, especially missing preferential flow simulation in soil. However, the contribution of TP formation processes to simulation uncertainty was not analysed at all in most of the studies. By comparing the structure of existing models, the state of knowledge on TP fate and requirements of TP fate assessment, the following recommendations were drawn: (i) It is suggested that the models should be updated to reflect the current state of knowledge in process research, especially more complex transformation schemes and the formation of different TPs in different compartments, which was not included in most of the models. (ii) Even though there are pesticide parent compound fate models at the catchment scale with a temporal resolution of one day, none of these models is able to simulate TP fate. Such models would enable scientists and authorities to estimate the environmental fate of TPs at the larger catchment scale or the regional scale. (iii) To get over the assessment of the huge number of TPs formed in the environment, an integration of Quantitative Structure Properties Relationship models predicting TP fate characteristics, TP pathway prediction models and environmental fate models is suggested. This would allow for a largely automated and comprehensive assessment of the fate of a pesticide parent compound and all its TPs for regulatory purposes.","container-title":"Frontiers in Environmental Science","DOI":"10.3389/fenvs.2021.717738","ISSN":"2296-665X","journalAbbreviation":"Front. Environ. Sci.","language":"English","note":"publisher: Frontiers","source":"Frontiers","title":"Modelling the Fate of Pesticide Transformation Products From Plot to Catchment Scale—State of Knowledge and Future Challenges","URL":"https://www.frontiersin.org/journals/environmental-science/articles/10.3389/fenvs.2021.717738/full","volume":"9","author":[{"family":"Gassmann","given":"Matthias"}],"accessed":{"date-parts":[["2026",2,18]]},"issued":{"date-parts":[["2021",7,29]]}}}],"schema":"https://github.com/citation-style-language/schema/raw/master/csl-citation.json"} </w:instrText>
      </w:r>
      <w:r w:rsidR="00015DA9">
        <w:rPr>
          <w:rFonts w:ascii="Times New Roman" w:hAnsi="Times New Roman" w:cs="Times New Roman"/>
        </w:rPr>
        <w:fldChar w:fldCharType="separate"/>
      </w:r>
      <w:r w:rsidR="00691FE4" w:rsidRPr="00691FE4">
        <w:rPr>
          <w:rFonts w:ascii="Times New Roman" w:hAnsi="Times New Roman" w:cs="Times New Roman"/>
        </w:rPr>
        <w:t>(25)</w:t>
      </w:r>
      <w:r w:rsidR="00015DA9">
        <w:rPr>
          <w:rFonts w:ascii="Times New Roman" w:hAnsi="Times New Roman" w:cs="Times New Roman"/>
        </w:rPr>
        <w:fldChar w:fldCharType="end"/>
      </w:r>
      <w:r w:rsidRPr="00DD4E5D">
        <w:rPr>
          <w:rFonts w:ascii="Times New Roman" w:hAnsi="Times New Roman" w:cs="Times New Roman"/>
        </w:rPr>
        <w:t>.</w:t>
      </w:r>
    </w:p>
    <w:p w14:paraId="6463053C" w14:textId="77777777" w:rsidR="00DD4E5D" w:rsidRPr="00DD4E5D" w:rsidRDefault="00DD4E5D" w:rsidP="00DD4E5D">
      <w:pPr>
        <w:rPr>
          <w:rFonts w:ascii="Times New Roman" w:hAnsi="Times New Roman" w:cs="Times New Roman"/>
        </w:rPr>
      </w:pPr>
      <w:r w:rsidRPr="00DD4E5D">
        <w:rPr>
          <w:rFonts w:ascii="Times New Roman" w:hAnsi="Times New Roman" w:cs="Times New Roman"/>
        </w:rPr>
        <w:t>Such models are particularly valuable for understanding how environmental conditions influence contamination patterns. By incorporating parameters related to soil texture, organic matter content, rainfall, irrigation, and chemical-specific properties, fate and transport models can capture heterogeneity across agricultural landscapes. They are often used to identify vulnerable regions, estimate long-term average concentrations, and evaluate the impact of changes in agricultural practices or climate conditions</w:t>
      </w:r>
      <w:r w:rsidR="00015DA9">
        <w:rPr>
          <w:rFonts w:ascii="Times New Roman" w:hAnsi="Times New Roman" w:cs="Times New Roman"/>
        </w:rPr>
        <w:fldChar w:fldCharType="begin"/>
      </w:r>
      <w:r w:rsidR="00691FE4">
        <w:rPr>
          <w:rFonts w:ascii="Times New Roman" w:hAnsi="Times New Roman" w:cs="Times New Roman"/>
        </w:rPr>
        <w:instrText xml:space="preserve"> ADDIN ZOTERO_ITEM CSL_CITATION {"citationID":"LoWl9eIr","properties":{"formattedCitation":"(11,25)","plainCitation":"(11,25)","noteIndex":0},"citationItems":[{"id":14916,"uris":["http://zotero.org/users/16652950/items/77AZKVAU"],"itemData":{"id":14916,"type":"article-journal","abstract":"Pesticides are detected in surface water and groundwater, endangering the environment. In lowland regions with subsurface drainage systems, drained depressions become hotspots for transport of pesticides and their transformation products (TPs). This study focuses on detailed modelling of the degradation and transport of pesticides with different physico-chemical properties. The objective is to analyse complex hydrological transport processes, to understand the temporal and spatial dynamics of the degradation and transport of pesticides. The ecohydrological model SWAT+ simulates hydrological processes as well as agricultural management and pesticide degradation, and can therefore be used to develop pesticide loss reduction strategies. This study focuses on modelling of three pesticides (pendimethalin, diflufenican, and flufenacet), and two TPs, flufenacet-oxalic acid (FOA) and flufenacet sulfonic acid (FESA). The study area is a 100-hectare farmland in the northern German lowlands of Schleswig-Holstein that is characterized by an spacious drainage network of 6.3 km and managed according to common conventional agricultural practice. SWAT+ modelled streamflow with very good agreement between observed and simulated data during calibration and validation. Regarding pesticides, the model performance for highly mobile substances is better than for non-mobile pesticides. While the transport of the moderately to very mobile substances via tile drains played an important role in both wet and dry conditions, no transport via tile drains was modelled for the highly sorptive and non-mobile pendimethalin. In conclusion, the model can reliably represent the degradation of moderately to very mobile pesticides in small-scale tile drainage-dominated catchments, as well as surface runoff-induced peak loads. However, it has weaknesses in accounting for the subsurface transport of non-mobile substances, which can lead to an underestimation of the subsequent delivery after precipitation events and thus underestimates the total load.","container-title":"Science of The Total Environment","DOI":"10.1016/j.scitotenv.2024.173629","ISSN":"0048-9697","journalAbbreviation":"Science of The Total Environment","page":"173629","source":"ScienceDirect","title":"A spatio-temporal analysis of environmental fate and transport processes of pesticides and their transformation products in agricultural landscapes dominated by subsurface drainage with SWAT+","volume":"945","author":[{"family":"Wendell","given":"Anne-Kathrin"},{"family":"Guse","given":"Björn"},{"family":"Bieger","given":"Katrin"},{"family":"Wagner","given":"Paul D."},{"family":"Kiesel","given":"Jens"},{"family":"Ulrich","given":"Uta"},{"family":"Fohrer","given":"Nicola"}],"issued":{"date-parts":[["2024",10,1]]}}},{"id":14951,"uris":["http://zotero.org/users/16652950/items/YE2RC59U"],"itemData":{"id":14951,"type":"article-journal","abstract":"Transformation products (TP) of pesticides are found everywhere in the aquatic environment. Their dynamic formation and subsequent transport from agricultural fields to adjacent water bodies can be estimated by using environmental fate models, which is done in the registration process for plant protection products in the European Union. In this study, peer-reviewed applications of such models, the model complexity and their structure are documented and analysed. In total, 20 publications of 10 models – eight leaching models (GLEAMS, MACRO, RZWQM2, PEARL, PRZM, Pelmo, LEACHM, HYDRUS 1-D) and two catchment scale models (Zin-AgriTra, FRM) – were identified. The reviewed models greatly differ in their process complexity regarding the formation rate and the formation pathways of TPs.The major reason given for models failing to reproduce sampled TP concentrations in case studies was an erroneous substance transport, especially missing preferential flow simulation in soil. However, the contribution of TP formation processes to simulation uncertainty was not analysed at all in most of the studies. By comparing the structure of existing models, the state of knowledge on TP fate and requirements of TP fate assessment, the following recommendations were drawn: (i) It is suggested that the models should be updated to reflect the current state of knowledge in process research, especially more complex transformation schemes and the formation of different TPs in different compartments, which was not included in most of the models. (ii) Even though there are pesticide parent compound fate models at the catchment scale with a temporal resolution of one day, none of these models is able to simulate TP fate. Such models would enable scientists and authorities to estimate the environmental fate of TPs at the larger catchment scale or the regional scale. (iii) To get over the assessment of the huge number of TPs formed in the environment, an integration of Quantitative Structure Properties Relationship models predicting TP fate characteristics, TP pathway prediction models and environmental fate models is suggested. This would allow for a largely automated and comprehensive assessment of the fate of a pesticide parent compound and all its TPs for regulatory purposes.","container-title":"Frontiers in Environmental Science","DOI":"10.3389/fenvs.2021.717738","ISSN":"2296-665X","journalAbbreviation":"Front. Environ. Sci.","language":"English","note":"publisher: Frontiers","source":"Frontiers","title":"Modelling the Fate of Pesticide Transformation Products From Plot to Catchment Scale—State of Knowledge and Future Challenges","URL":"https://www.frontiersin.org/journals/environmental-science/articles/10.3389/fenvs.2021.717738/full","volume":"9","author":[{"family":"Gassmann","given":"Matthias"}],"accessed":{"date-parts":[["2026",2,18]]},"issued":{"date-parts":[["2021",7,29]]}}}],"schema":"https://github.com/citation-style-language/schema/raw/master/csl-citation.json"} </w:instrText>
      </w:r>
      <w:r w:rsidR="00015DA9">
        <w:rPr>
          <w:rFonts w:ascii="Times New Roman" w:hAnsi="Times New Roman" w:cs="Times New Roman"/>
        </w:rPr>
        <w:fldChar w:fldCharType="separate"/>
      </w:r>
      <w:r w:rsidR="00691FE4" w:rsidRPr="00691FE4">
        <w:rPr>
          <w:rFonts w:ascii="Times New Roman" w:hAnsi="Times New Roman" w:cs="Times New Roman"/>
        </w:rPr>
        <w:t>(11,25)</w:t>
      </w:r>
      <w:r w:rsidR="00015DA9">
        <w:rPr>
          <w:rFonts w:ascii="Times New Roman" w:hAnsi="Times New Roman" w:cs="Times New Roman"/>
        </w:rPr>
        <w:fldChar w:fldCharType="end"/>
      </w:r>
      <w:r w:rsidRPr="00DD4E5D">
        <w:rPr>
          <w:rFonts w:ascii="Times New Roman" w:hAnsi="Times New Roman" w:cs="Times New Roman"/>
        </w:rPr>
        <w:t>.</w:t>
      </w:r>
    </w:p>
    <w:p w14:paraId="45CCBC0B" w14:textId="77777777" w:rsidR="00DD4E5D" w:rsidRPr="00DD4E5D" w:rsidRDefault="00DD4E5D" w:rsidP="00DD4E5D">
      <w:pPr>
        <w:rPr>
          <w:rFonts w:ascii="Times New Roman" w:hAnsi="Times New Roman" w:cs="Times New Roman"/>
        </w:rPr>
      </w:pPr>
      <w:r w:rsidRPr="00DD4E5D">
        <w:rPr>
          <w:rFonts w:ascii="Times New Roman" w:hAnsi="Times New Roman" w:cs="Times New Roman"/>
        </w:rPr>
        <w:t xml:space="preserve">However, their application to human exposure assessment has limitations. These models are data-intensive, requiring detailed input information that may not be available at large spatial scales. Parameter uncertainty can propagate through simulations, and outputs are sensitive to assumptions about chemical application timing and rates. As summarized in </w:t>
      </w:r>
      <w:r w:rsidRPr="00DD4E5D">
        <w:rPr>
          <w:rFonts w:ascii="Times New Roman" w:hAnsi="Times New Roman" w:cs="Times New Roman"/>
          <w:b/>
          <w:bCs/>
        </w:rPr>
        <w:t>Table 1</w:t>
      </w:r>
      <w:r w:rsidRPr="00DD4E5D">
        <w:rPr>
          <w:rFonts w:ascii="Times New Roman" w:hAnsi="Times New Roman" w:cs="Times New Roman"/>
        </w:rPr>
        <w:t xml:space="preserve">, fate and </w:t>
      </w:r>
      <w:r w:rsidRPr="00DD4E5D">
        <w:rPr>
          <w:rFonts w:ascii="Times New Roman" w:hAnsi="Times New Roman" w:cs="Times New Roman"/>
        </w:rPr>
        <w:lastRenderedPageBreak/>
        <w:t>transport models are most effective for scenario analysis and mechanistic understanding, but less suited for direct linkage to individual-level epidemiologic data without additional modeling layers.</w:t>
      </w:r>
    </w:p>
    <w:p w14:paraId="5A56DC65" w14:textId="77777777" w:rsidR="00DD4E5D" w:rsidRPr="00DD4E5D" w:rsidRDefault="00DD4E5D" w:rsidP="00DD4E5D">
      <w:pPr>
        <w:rPr>
          <w:rFonts w:ascii="Times New Roman" w:hAnsi="Times New Roman" w:cs="Times New Roman"/>
          <w:b/>
          <w:bCs/>
        </w:rPr>
      </w:pPr>
      <w:r w:rsidRPr="00DD4E5D">
        <w:rPr>
          <w:rFonts w:ascii="Times New Roman" w:hAnsi="Times New Roman" w:cs="Times New Roman"/>
          <w:b/>
          <w:bCs/>
        </w:rPr>
        <w:t>4.2 Spatial and Geospatial Modeling Approaches</w:t>
      </w:r>
    </w:p>
    <w:p w14:paraId="5151E5D5" w14:textId="77777777" w:rsidR="00DD4E5D" w:rsidRPr="00DD4E5D" w:rsidRDefault="00DD4E5D" w:rsidP="00DD4E5D">
      <w:pPr>
        <w:rPr>
          <w:rFonts w:ascii="Times New Roman" w:hAnsi="Times New Roman" w:cs="Times New Roman"/>
        </w:rPr>
      </w:pPr>
      <w:r w:rsidRPr="00DD4E5D">
        <w:rPr>
          <w:rFonts w:ascii="Times New Roman" w:hAnsi="Times New Roman" w:cs="Times New Roman"/>
        </w:rPr>
        <w:t>Spatial modeling approaches translate environmental and land-use data into geographically explicit estimates of drinking water contamination. Geographic information systems (GIS) are commonly used to integrate data on crop distribution, agrochemical application intensity, soil characteristics, hydrology, and water sources. These data are combined to generate exposure surfaces that estimate contaminant concentrations or relative exposure levels across space</w:t>
      </w:r>
      <w:r w:rsidR="00015DA9">
        <w:rPr>
          <w:rFonts w:ascii="Times New Roman" w:hAnsi="Times New Roman" w:cs="Times New Roman"/>
        </w:rPr>
        <w:fldChar w:fldCharType="begin"/>
      </w:r>
      <w:r w:rsidR="00691FE4">
        <w:rPr>
          <w:rFonts w:ascii="Times New Roman" w:hAnsi="Times New Roman" w:cs="Times New Roman"/>
        </w:rPr>
        <w:instrText xml:space="preserve"> ADDIN ZOTERO_ITEM CSL_CITATION {"citationID":"EgT79kDH","properties":{"formattedCitation":"(9)","plainCitation":"(9)","noteIndex":0},"citationItems":[{"id":14912,"uris":["http://zotero.org/users/16652950/items/KYC6MF6H"],"itemData":{"id":14912,"type":"article-journal","abstract":"Diffuse agricultural pollution is a leading contributor to surface water degradation, particularly in regions undergoing rapid land use change and agr...","container-title":"Sustainability","DOI":"10.3390/su17094130","ISSN":"2071-1050","issue":"9","language":"en","license":"http://creativecommons.org/licenses/by/3.0/","note":"Company: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publisher","source":"www.mdpi.com","title":"Integrating AHP and GIS for Sustainable Surface Water Planning: Identifying Vulnerability to Agricultural Diffuse Pollution in the Guachal River Watershed","title-short":"Integrating AHP and GIS for Sustainable Surface Water Planning","URL":"https://www.mdpi.com/2071-1050/17/9/4130","volume":"17","author":[{"family":"Terán-Gómez","given":"Víctor Felipe"},{"family":"Buitrago-Ramírez","given":"Ana María"},{"family":"Echeverri-Sánchez","given":"Andrés Fernando"},{"family":"Figueroa-Casas","given":"Apolinar"},{"family":"Benavides-Bolaños","given":"Jhony Armando"}],"accessed":{"date-parts":[["2026",2,18]]},"issued":{"date-parts":[["2025",5,1]]}}}],"schema":"https://github.com/citation-style-language/schema/raw/master/csl-citation.json"} </w:instrText>
      </w:r>
      <w:r w:rsidR="00015DA9">
        <w:rPr>
          <w:rFonts w:ascii="Times New Roman" w:hAnsi="Times New Roman" w:cs="Times New Roman"/>
        </w:rPr>
        <w:fldChar w:fldCharType="separate"/>
      </w:r>
      <w:r w:rsidR="00691FE4" w:rsidRPr="00691FE4">
        <w:rPr>
          <w:rFonts w:ascii="Times New Roman" w:hAnsi="Times New Roman" w:cs="Times New Roman"/>
        </w:rPr>
        <w:t>(9)</w:t>
      </w:r>
      <w:r w:rsidR="00015DA9">
        <w:rPr>
          <w:rFonts w:ascii="Times New Roman" w:hAnsi="Times New Roman" w:cs="Times New Roman"/>
        </w:rPr>
        <w:fldChar w:fldCharType="end"/>
      </w:r>
      <w:r w:rsidRPr="00DD4E5D">
        <w:rPr>
          <w:rFonts w:ascii="Times New Roman" w:hAnsi="Times New Roman" w:cs="Times New Roman"/>
        </w:rPr>
        <w:t>.</w:t>
      </w:r>
    </w:p>
    <w:p w14:paraId="4DEAFFBC" w14:textId="77777777" w:rsidR="00DD4E5D" w:rsidRPr="00DD4E5D" w:rsidRDefault="00DD4E5D" w:rsidP="00DD4E5D">
      <w:pPr>
        <w:rPr>
          <w:rFonts w:ascii="Times New Roman" w:hAnsi="Times New Roman" w:cs="Times New Roman"/>
        </w:rPr>
      </w:pPr>
      <w:r w:rsidRPr="00DD4E5D">
        <w:rPr>
          <w:rFonts w:ascii="Times New Roman" w:hAnsi="Times New Roman" w:cs="Times New Roman"/>
        </w:rPr>
        <w:t xml:space="preserve">Land-use regression (LUR) models represent a widely used statistical approach within this category. LUR models relate measured contaminant concentrations in water to surrounding land-use characteristics, agricultural activity, and environmental predictors. Once calibrated, they can be applied to unmonitored locations to estimate exposure. As shown in </w:t>
      </w:r>
      <w:r w:rsidRPr="00DD4E5D">
        <w:rPr>
          <w:rFonts w:ascii="Times New Roman" w:hAnsi="Times New Roman" w:cs="Times New Roman"/>
          <w:b/>
          <w:bCs/>
        </w:rPr>
        <w:t>Table 1</w:t>
      </w:r>
      <w:r w:rsidRPr="00DD4E5D">
        <w:rPr>
          <w:rFonts w:ascii="Times New Roman" w:hAnsi="Times New Roman" w:cs="Times New Roman"/>
        </w:rPr>
        <w:t>, these models balance interpretability and scalability, making them particularly useful in large population-based studies.</w:t>
      </w:r>
    </w:p>
    <w:p w14:paraId="4B61A397" w14:textId="77777777" w:rsidR="00DD4E5D" w:rsidRPr="00DD4E5D" w:rsidRDefault="00DD4E5D" w:rsidP="00DD4E5D">
      <w:pPr>
        <w:rPr>
          <w:rFonts w:ascii="Times New Roman" w:hAnsi="Times New Roman" w:cs="Times New Roman"/>
        </w:rPr>
      </w:pPr>
      <w:r w:rsidRPr="00DD4E5D">
        <w:rPr>
          <w:rFonts w:ascii="Times New Roman" w:hAnsi="Times New Roman" w:cs="Times New Roman"/>
        </w:rPr>
        <w:t>Remote sensing data increasingly complement GIS-based models by providing high-resolution information on crop type, vegetation cover, and irrigation patterns. Satellite-derived indicators can improve temporal alignment between agrochemical application and environmental conditions, enhancing model performance. Nonetheless, spatial models may oversimplify subsurface processes and are limited by the quality and representativeness of available monitoring data used for calibration</w:t>
      </w:r>
      <w:r w:rsidR="009E7ECE">
        <w:rPr>
          <w:rFonts w:ascii="Times New Roman" w:hAnsi="Times New Roman" w:cs="Times New Roman"/>
        </w:rPr>
        <w:fldChar w:fldCharType="begin"/>
      </w:r>
      <w:r w:rsidR="00691FE4">
        <w:rPr>
          <w:rFonts w:ascii="Times New Roman" w:hAnsi="Times New Roman" w:cs="Times New Roman"/>
        </w:rPr>
        <w:instrText xml:space="preserve"> ADDIN ZOTERO_ITEM CSL_CITATION {"citationID":"oQpQV0oI","properties":{"formattedCitation":"(26)","plainCitation":"(26)","noteIndex":0},"citationItems":[{"id":14953,"uris":["http://zotero.org/users/16652950/items/TSWV2ETI"],"itemData":{"id":14953,"type":"article-journal","abstract":"Estimating pollutant concentrations at a local and regional scale is essential in environmental and health policy decision making. Here we present a novel land use regression (LUR) modelling methodology that exploits the high temporal resolution of fixed-site monitoring (FSM) to produce a national-scale air quality model for the key pollutant NO2. The methodology partitions concentration time series from a national FSM network into wind-dependent sectors or “wedges”. A LUR model is derived using predictor variables calculated within the directional wind sectors, and compared against the long-term average concentrations within each sector. Validation results, based on 15 FSM training sites, show that the model captured 78% of the spatial variability in NO2 across the Republic of Ireland. This compares favourably to traditional LUR models based on purpose-designed monitoring campaigns despite using approximately half the number of monitoring points. Results also demonstrate the value of incorporating the relative position of emission source and receptor into the empirical LUR model structure. We applied the model at a high-resolution across the Republic of Ireland to enable applications such as the study of environmental exposure and human health, assessing representativeness of air quality monitoring networks and informing environmental management and policy makers. While the study focuses on Ireland, the methodology also has potential applicability for other criteria pollutants where appropriate FSM and meteorological networks exist.","container-title":"Science of The Total Environment","DOI":"10.1016/j.scitotenv.2018.02.317","ISSN":"0048-9697","journalAbbreviation":"Science of The Total Environment","page":"1324-1334","source":"ScienceDirect","title":"A land use regression model for explaining spatial variation in air pollution levels using a wind sector based approach","volume":"630","author":[{"family":"Naughton","given":"O."},{"family":"Donnelly","given":"A."},{"family":"Nolan","given":"P."},{"family":"Pilla","given":"F."},{"family":"Misstear","given":"B. D."},{"family":"Broderick","given":"B."}],"issued":{"date-parts":[["2018",7,15]]}}}],"schema":"https://github.com/citation-style-language/schema/raw/master/csl-citation.json"} </w:instrText>
      </w:r>
      <w:r w:rsidR="009E7ECE">
        <w:rPr>
          <w:rFonts w:ascii="Times New Roman" w:hAnsi="Times New Roman" w:cs="Times New Roman"/>
        </w:rPr>
        <w:fldChar w:fldCharType="separate"/>
      </w:r>
      <w:r w:rsidR="00691FE4" w:rsidRPr="00691FE4">
        <w:rPr>
          <w:rFonts w:ascii="Times New Roman" w:hAnsi="Times New Roman" w:cs="Times New Roman"/>
        </w:rPr>
        <w:t>(26)</w:t>
      </w:r>
      <w:r w:rsidR="009E7ECE">
        <w:rPr>
          <w:rFonts w:ascii="Times New Roman" w:hAnsi="Times New Roman" w:cs="Times New Roman"/>
        </w:rPr>
        <w:fldChar w:fldCharType="end"/>
      </w:r>
      <w:r w:rsidRPr="00DD4E5D">
        <w:rPr>
          <w:rFonts w:ascii="Times New Roman" w:hAnsi="Times New Roman" w:cs="Times New Roman"/>
        </w:rPr>
        <w:t>.</w:t>
      </w:r>
    </w:p>
    <w:p w14:paraId="7BCDBEF4" w14:textId="77777777" w:rsidR="00DD4E5D" w:rsidRPr="00DD4E5D" w:rsidRDefault="00DD4E5D" w:rsidP="00DD4E5D">
      <w:pPr>
        <w:rPr>
          <w:rFonts w:ascii="Times New Roman" w:hAnsi="Times New Roman" w:cs="Times New Roman"/>
          <w:b/>
          <w:bCs/>
        </w:rPr>
      </w:pPr>
      <w:r w:rsidRPr="00DD4E5D">
        <w:rPr>
          <w:rFonts w:ascii="Times New Roman" w:hAnsi="Times New Roman" w:cs="Times New Roman"/>
          <w:b/>
          <w:bCs/>
        </w:rPr>
        <w:t>4.3 Temporal Modeling and Cumulative Exposure</w:t>
      </w:r>
    </w:p>
    <w:p w14:paraId="1F239473" w14:textId="77777777" w:rsidR="00DD4E5D" w:rsidRPr="00DD4E5D" w:rsidRDefault="00DD4E5D" w:rsidP="00DD4E5D">
      <w:pPr>
        <w:rPr>
          <w:rFonts w:ascii="Times New Roman" w:hAnsi="Times New Roman" w:cs="Times New Roman"/>
        </w:rPr>
      </w:pPr>
      <w:r w:rsidRPr="00DD4E5D">
        <w:rPr>
          <w:rFonts w:ascii="Times New Roman" w:hAnsi="Times New Roman" w:cs="Times New Roman"/>
        </w:rPr>
        <w:t>Chronic disease risk is shaped by long-term and cumulative exposure, necessitating modeling approaches that extend beyond static or cross-sectional estimates. Temporal modeling frameworks reconstruct historical exposure trajectories by integrating time-varying data on agrochemical use, land management, and hydrological conditions. These models allow estimation of cumulative exposure metrics, such as time-weighted averages or cumulative dose indices, which are more biologically relevant for chronic outcomes</w:t>
      </w:r>
      <w:r w:rsidR="009E7ECE">
        <w:rPr>
          <w:rFonts w:ascii="Times New Roman" w:hAnsi="Times New Roman" w:cs="Times New Roman"/>
        </w:rPr>
        <w:fldChar w:fldCharType="begin"/>
      </w:r>
      <w:r w:rsidR="00691FE4">
        <w:rPr>
          <w:rFonts w:ascii="Times New Roman" w:hAnsi="Times New Roman" w:cs="Times New Roman"/>
        </w:rPr>
        <w:instrText xml:space="preserve"> ADDIN ZOTERO_ITEM CSL_CITATION {"citationID":"4Y5nVYOI","properties":{"formattedCitation":"(27)","plainCitation":"(27)","noteIndex":0},"citationItems":[{"id":14956,"uris":["http://zotero.org/users/16652950/items/QR7HH7VX"],"itemData":{"id":14956,"type":"article-journal","abstract":"The human exposome (the cumulative measure of environmental exposures across the life course) offers a critical complement to genomics in deciphering the multifactorial origins of complex diseases. Exposome-wide association studies (ExWAS) represent an emerging class of high-dimensional epidemiological analyses designed to systematically assess associations between diverse environmental exposures and health outcomes. However, ExWAS requires advanced computational standards and tools capable of handling exposure complexity, temporal variability, co-exposure correlation, and multi-omics data integration. This review synthesizes current computational methodologies and platforms for ExWAS, highlighting recent advances in statistical modeling, exposure quantification, and bioinformatics tools. We conducted a PRISMA-ScR-guided scoping review across PubMed, Scopus, and Web of Science (2010–2025), with dual-reviewer screening in Rayyan, standardized data charting, and SWiM-aligned narrative synthesis. We explore multivariable and mixture modeling approaches (e.g., weighted quantile sum regression, Bayesian kernel machine regression), integration of external and internal exposome domains, and the application of longitudinal designs and environmental risk scoring. Key platforms such as the rexposome suite, exposomeShiny, and the integrative INTEGRA framework are examined for their role in operationalizing exposomic analyses at population scale. We also discuss the importance of data standardization, including exposure ontologies, harmonization protocols, and federated data infrastructure supporting cross-cohort analyses. Moreover, we discuss how computational exposomics can elucidate mechanistic pathways linking environmental exposures to disease, particularly when integrated with transcriptomic and metabolomic data. Finally, we outline future directions for the field, including genome–exposome integration, AI-driven causal inference, and translational pipelines for regulatory and clinical implementation. Beyond listing methods, we assess computational maturity and reproducibility (open licensing, containerization, federation readiness) and connect standards + tools to ExWAS workflows and translation. Computationally mature and mechanistically anchored, ExWAS are poised to become central tools in precision environmental health, enhancing the interpretability of genome–environment interactions and the predictive power of integrated omics frameworks.","container-title":"Environment International","DOI":"10.1016/j.envint.2026.110117","ISSN":"0160-4120","journalAbbreviation":"Environment International","page":"110117","source":"ScienceDirect","title":"Computational standards and tools for exposome-wide association studies linking the human exposome with health outcomes","volume":"208","author":[{"family":"Sarigiannis","given":"Dimosthenis"},{"family":"Anesti","given":"Ourania"},{"family":"Papaioannou","given":"Nafsika"},{"family":"Karakoltzidis","given":"Achilleas"},{"family":"Karakitsios","given":"Spyros"}],"issued":{"date-parts":[["2026",2,1]]}}}],"schema":"https://github.com/citation-style-language/schema/raw/master/csl-citation.json"} </w:instrText>
      </w:r>
      <w:r w:rsidR="009E7ECE">
        <w:rPr>
          <w:rFonts w:ascii="Times New Roman" w:hAnsi="Times New Roman" w:cs="Times New Roman"/>
        </w:rPr>
        <w:fldChar w:fldCharType="separate"/>
      </w:r>
      <w:r w:rsidR="00691FE4" w:rsidRPr="00691FE4">
        <w:rPr>
          <w:rFonts w:ascii="Times New Roman" w:hAnsi="Times New Roman" w:cs="Times New Roman"/>
        </w:rPr>
        <w:t>(27)</w:t>
      </w:r>
      <w:r w:rsidR="009E7ECE">
        <w:rPr>
          <w:rFonts w:ascii="Times New Roman" w:hAnsi="Times New Roman" w:cs="Times New Roman"/>
        </w:rPr>
        <w:fldChar w:fldCharType="end"/>
      </w:r>
      <w:r w:rsidRPr="00DD4E5D">
        <w:rPr>
          <w:rFonts w:ascii="Times New Roman" w:hAnsi="Times New Roman" w:cs="Times New Roman"/>
        </w:rPr>
        <w:t>.</w:t>
      </w:r>
    </w:p>
    <w:p w14:paraId="3302B25B" w14:textId="77777777" w:rsidR="00DD4E5D" w:rsidRPr="00DD4E5D" w:rsidRDefault="00DD4E5D" w:rsidP="00DD4E5D">
      <w:pPr>
        <w:rPr>
          <w:rFonts w:ascii="Times New Roman" w:hAnsi="Times New Roman" w:cs="Times New Roman"/>
        </w:rPr>
      </w:pPr>
      <w:r w:rsidRPr="00DD4E5D">
        <w:rPr>
          <w:rFonts w:ascii="Times New Roman" w:hAnsi="Times New Roman" w:cs="Times New Roman"/>
        </w:rPr>
        <w:t>Lag structures are commonly incorporated to account for latency periods between exposure and disease onset. For example, exposures occurring decades prior may be most relevant for cancer development, while shorter lags may apply to endocrine or metabolic effects. Temporal models also enable identification of critical exposure windows, such as early adulthood or periods of peak agricultural activity</w:t>
      </w:r>
      <w:r w:rsidR="00AD5C89">
        <w:rPr>
          <w:rFonts w:ascii="Times New Roman" w:hAnsi="Times New Roman" w:cs="Times New Roman"/>
        </w:rPr>
        <w:fldChar w:fldCharType="begin"/>
      </w:r>
      <w:r w:rsidR="00691FE4">
        <w:rPr>
          <w:rFonts w:ascii="Times New Roman" w:hAnsi="Times New Roman" w:cs="Times New Roman"/>
        </w:rPr>
        <w:instrText xml:space="preserve"> ADDIN ZOTERO_ITEM CSL_CITATION {"citationID":"utiYbcwv","properties":{"formattedCitation":"(28)","plainCitation":"(28)","noteIndex":0},"citationItems":[{"id":14959,"uris":["http://zotero.org/users/16652950/items/JCQ8Y8PY"],"itemData":{"id":14959,"type":"article-journal","abstract":"PURPOSE: With the increasing utilization of medications worldwide, coupled with the increasing availability of long-term data, there is a growing opportunity and need for robust studies evaluating drug-cancer associations. One methodology of importance in such studies is the application of lag times.\nMETHODS: In this narrative review, we discuss the main reasons for using lag times.\nRESULTS: Namely, we discuss the typically long latency period of cancer concerning both tumor promoter and initiator effects and outline why cancer latency is a key consideration when choosing a lag time. We also discuss how the use of lag times can help reduce protopathic and detection bias. Finally, we present practical advice for implementing lag periods.\nCONCLUSIONS: In general, we recommend that researchers consider the information that generated the hypothesis as well as clinical and biological knowledge to inform lag period selection. In addition, given that latency periods are usually unknown, we also advocate that researchers examine multiple lag periods in sensitivity analyses as well as duration analyses and flexible modeling approaches.","container-title":"Annals of Epidemiology","DOI":"10.1016/j.annepidem.2023.05.004","ISSN":"1873-2585","journalAbbreviation":"Ann Epidemiol","language":"eng","note":"PMID: 37169040","page":"25-32","source":"PubMed","title":"The application of lag times in cancer pharmacoepidemiology: a narrative review","title-short":"The application of lag times in cancer pharmacoepidemiology","volume":"84","author":[{"family":"Hicks","given":"Blánaid"},{"family":"Kaye","given":"James A."},{"family":"Azoulay","given":"Laurent"},{"family":"Kristensen","given":"Kasper Bruun"},{"family":"Habel","given":"Laurel A."},{"family":"Pottegård","given":"Anton"}],"issued":{"date-parts":[["2023",8]]}}}],"schema":"https://github.com/citation-style-language/schema/raw/master/csl-citation.json"} </w:instrText>
      </w:r>
      <w:r w:rsidR="00AD5C89">
        <w:rPr>
          <w:rFonts w:ascii="Times New Roman" w:hAnsi="Times New Roman" w:cs="Times New Roman"/>
        </w:rPr>
        <w:fldChar w:fldCharType="separate"/>
      </w:r>
      <w:r w:rsidR="00691FE4" w:rsidRPr="00691FE4">
        <w:rPr>
          <w:rFonts w:ascii="Times New Roman" w:hAnsi="Times New Roman" w:cs="Times New Roman"/>
        </w:rPr>
        <w:t>(28)</w:t>
      </w:r>
      <w:r w:rsidR="00AD5C89">
        <w:rPr>
          <w:rFonts w:ascii="Times New Roman" w:hAnsi="Times New Roman" w:cs="Times New Roman"/>
        </w:rPr>
        <w:fldChar w:fldCharType="end"/>
      </w:r>
      <w:r w:rsidRPr="00DD4E5D">
        <w:rPr>
          <w:rFonts w:ascii="Times New Roman" w:hAnsi="Times New Roman" w:cs="Times New Roman"/>
        </w:rPr>
        <w:t>.</w:t>
      </w:r>
    </w:p>
    <w:p w14:paraId="098117D7" w14:textId="77777777" w:rsidR="00DD4E5D" w:rsidRPr="00DD4E5D" w:rsidRDefault="00DD4E5D" w:rsidP="00DD4E5D">
      <w:pPr>
        <w:rPr>
          <w:rFonts w:ascii="Times New Roman" w:hAnsi="Times New Roman" w:cs="Times New Roman"/>
        </w:rPr>
      </w:pPr>
      <w:r w:rsidRPr="00DD4E5D">
        <w:rPr>
          <w:rFonts w:ascii="Times New Roman" w:hAnsi="Times New Roman" w:cs="Times New Roman"/>
        </w:rPr>
        <w:t xml:space="preserve">Despite their importance, temporal models are constrained by data availability. Historical records of agrochemical application and water quality are often incomplete, requiring assumptions or imputation. As indicated in </w:t>
      </w:r>
      <w:r w:rsidRPr="00DD4E5D">
        <w:rPr>
          <w:rFonts w:ascii="Times New Roman" w:hAnsi="Times New Roman" w:cs="Times New Roman"/>
          <w:b/>
          <w:bCs/>
        </w:rPr>
        <w:t>Table 1</w:t>
      </w:r>
      <w:r w:rsidRPr="00DD4E5D">
        <w:rPr>
          <w:rFonts w:ascii="Times New Roman" w:hAnsi="Times New Roman" w:cs="Times New Roman"/>
        </w:rPr>
        <w:t xml:space="preserve">, temporal reconstruction improves etiologic relevance but </w:t>
      </w:r>
      <w:r w:rsidRPr="00DD4E5D">
        <w:rPr>
          <w:rFonts w:ascii="Times New Roman" w:hAnsi="Times New Roman" w:cs="Times New Roman"/>
        </w:rPr>
        <w:lastRenderedPageBreak/>
        <w:t>increases uncertainty, underscoring the need for sensitivity analyses in epidemiologic applications.</w:t>
      </w:r>
    </w:p>
    <w:p w14:paraId="387C5139" w14:textId="77777777" w:rsidR="00DD4E5D" w:rsidRPr="00DD4E5D" w:rsidRDefault="00DD4E5D" w:rsidP="00DD4E5D">
      <w:pPr>
        <w:rPr>
          <w:rFonts w:ascii="Times New Roman" w:hAnsi="Times New Roman" w:cs="Times New Roman"/>
          <w:b/>
          <w:bCs/>
        </w:rPr>
      </w:pPr>
      <w:r w:rsidRPr="00DD4E5D">
        <w:rPr>
          <w:rFonts w:ascii="Times New Roman" w:hAnsi="Times New Roman" w:cs="Times New Roman"/>
          <w:b/>
          <w:bCs/>
        </w:rPr>
        <w:t>4.4 Multi-Chemical and Mixture Modeling</w:t>
      </w:r>
    </w:p>
    <w:p w14:paraId="1444C171" w14:textId="77777777" w:rsidR="00DD4E5D" w:rsidRPr="00DD4E5D" w:rsidRDefault="00DD4E5D" w:rsidP="00DD4E5D">
      <w:pPr>
        <w:rPr>
          <w:rFonts w:ascii="Times New Roman" w:hAnsi="Times New Roman" w:cs="Times New Roman"/>
        </w:rPr>
      </w:pPr>
      <w:r w:rsidRPr="00DD4E5D">
        <w:rPr>
          <w:rFonts w:ascii="Times New Roman" w:hAnsi="Times New Roman" w:cs="Times New Roman"/>
        </w:rPr>
        <w:t>Agricultural drinking water contamination rarely involves single compounds; rather, it reflects complex mixtures of pesticides, nutrients, and degradation products. Mixture modeling approaches seek to address this reality by estimating combined exposure and joint health effects. Additive frameworks, such as cumulative exposure indices, assume independent effects that sum across chemicals, while interactive models allow for synergistic or antagonistic interactions</w:t>
      </w:r>
      <w:r w:rsidR="00192732">
        <w:rPr>
          <w:rFonts w:ascii="Times New Roman" w:hAnsi="Times New Roman" w:cs="Times New Roman"/>
        </w:rPr>
        <w:fldChar w:fldCharType="begin"/>
      </w:r>
      <w:r w:rsidR="00691FE4">
        <w:rPr>
          <w:rFonts w:ascii="Times New Roman" w:hAnsi="Times New Roman" w:cs="Times New Roman"/>
        </w:rPr>
        <w:instrText xml:space="preserve"> ADDIN ZOTERO_ITEM CSL_CITATION {"citationID":"eSFKxsHP","properties":{"formattedCitation":"(29)","plainCitation":"(29)","noteIndex":0},"citationItems":[{"id":14962,"uris":["http://zotero.org/users/16652950/items/USE8XPXJ"],"itemData":{"id":14962,"type":"article-journal","abstract":"Emerging contaminants (ECs), such as pharmaceuticals, personal care products, per- and polyfluoroalkyl substances (PFAS), microplastics, and nanomaterials, are increasingly detected in water, soil, and air, raising serious environmental and public health concerns. These pollutants originate from industrial discharge, agricultural runoff, and wastewater effluents, often escaping conventional treatment methods. Their persistence, bioaccumulative nature, and potential toxicity highlight the urgent need for effective monitoring and management strategies. This review aims to provide a comprehensive understanding of the occurrence, detection, and environmental impacts of ECs while evaluating current treatment technologies and regulatory frameworks. It explores the latest advancements in analytical techniques that enhance EC detection, discusses the challenges of their removal through conventional wastewater treatment plants (WWTPs), and examines alternative remediation methods such as advanced oxidation processes, membrane filtration, adsorption, and bioremediation. Additionally, this study assesses existing regulatory efforts, identifying key gaps that hinder effective pollution control. Tackling the risks posed by ECs requires a multidisciplinary approach that integrates scientific research, technological innovation, and policy reform. Strengthening global regulations, improving wastewater treatment strategies, and increasing public awareness are essential steps toward mitigating ECs. Future research should focus on practical applicability of sustainable remediation technologies, long-term ecological risk assessments, and standardized monitoring guidelines to ensure water security and protect both ecosystems and human health.","container-title":"Journal of Hazardous Materials Advances","DOI":"10.1016/j.hazadv.2025.100755","ISSN":"2772-4166","journalAbbreviation":"Journal of Hazardous Materials Advances","page":"100755","source":"ScienceDirect","title":"Understanding emerging contaminants in water and wastewater: A comprehensive review on detection, impacts, and solutions","title-short":"Understanding emerging contaminants in water and wastewater","volume":"18","author":[{"family":"Nishmitha","given":"P. S."},{"family":"Akhilghosh","given":"Kochuparambil Ajayaghosh"},{"family":"Aiswriya","given":"Vijayalekshmi Padmachandran"},{"family":"Ramesh","given":"Athira"},{"family":"Muthuchamy","given":"Muthukumar"},{"family":"Muthukumar","given":"Anbazhagi"}],"issued":{"date-parts":[["2025",5,1]]}}}],"schema":"https://github.com/citation-style-language/schema/raw/master/csl-citation.json"} </w:instrText>
      </w:r>
      <w:r w:rsidR="00192732">
        <w:rPr>
          <w:rFonts w:ascii="Times New Roman" w:hAnsi="Times New Roman" w:cs="Times New Roman"/>
        </w:rPr>
        <w:fldChar w:fldCharType="separate"/>
      </w:r>
      <w:r w:rsidR="00691FE4" w:rsidRPr="00691FE4">
        <w:rPr>
          <w:rFonts w:ascii="Times New Roman" w:hAnsi="Times New Roman" w:cs="Times New Roman"/>
        </w:rPr>
        <w:t>(29)</w:t>
      </w:r>
      <w:r w:rsidR="00192732">
        <w:rPr>
          <w:rFonts w:ascii="Times New Roman" w:hAnsi="Times New Roman" w:cs="Times New Roman"/>
        </w:rPr>
        <w:fldChar w:fldCharType="end"/>
      </w:r>
      <w:r w:rsidRPr="00DD4E5D">
        <w:rPr>
          <w:rFonts w:ascii="Times New Roman" w:hAnsi="Times New Roman" w:cs="Times New Roman"/>
        </w:rPr>
        <w:t>.</w:t>
      </w:r>
    </w:p>
    <w:p w14:paraId="2CBDB556" w14:textId="77777777" w:rsidR="00DD4E5D" w:rsidRPr="00DD4E5D" w:rsidRDefault="00DD4E5D" w:rsidP="00DD4E5D">
      <w:pPr>
        <w:rPr>
          <w:rFonts w:ascii="Times New Roman" w:hAnsi="Times New Roman" w:cs="Times New Roman"/>
        </w:rPr>
      </w:pPr>
      <w:r w:rsidRPr="00DD4E5D">
        <w:rPr>
          <w:rFonts w:ascii="Times New Roman" w:hAnsi="Times New Roman" w:cs="Times New Roman"/>
        </w:rPr>
        <w:t xml:space="preserve">Statistical challenges arise due to correlated agrochemical use, as chemicals are often applied together or sequentially within the same cropping systems. Collinearity complicates attribution of effects to individual compounds and can destabilize model estimates. Advanced approaches, including dimension-reduction techniques and Bayesian hierarchical models, have been used to address these challenges, as summarized in </w:t>
      </w:r>
      <w:r w:rsidRPr="00DD4E5D">
        <w:rPr>
          <w:rFonts w:ascii="Times New Roman" w:hAnsi="Times New Roman" w:cs="Times New Roman"/>
          <w:b/>
          <w:bCs/>
        </w:rPr>
        <w:t>Table 1</w:t>
      </w:r>
      <w:r w:rsidRPr="00DD4E5D">
        <w:rPr>
          <w:rFonts w:ascii="Times New Roman" w:hAnsi="Times New Roman" w:cs="Times New Roman"/>
        </w:rPr>
        <w:t>.</w:t>
      </w:r>
    </w:p>
    <w:p w14:paraId="04E2814F" w14:textId="77777777" w:rsidR="00DD4E5D" w:rsidRPr="00DD4E5D" w:rsidRDefault="00DD4E5D" w:rsidP="00DD4E5D">
      <w:pPr>
        <w:rPr>
          <w:rFonts w:ascii="Times New Roman" w:hAnsi="Times New Roman" w:cs="Times New Roman"/>
        </w:rPr>
      </w:pPr>
      <w:r w:rsidRPr="00DD4E5D">
        <w:rPr>
          <w:rFonts w:ascii="Times New Roman" w:hAnsi="Times New Roman" w:cs="Times New Roman"/>
        </w:rPr>
        <w:t>Mixture modeling remains an evolving area, but it is critical for avoiding underestimation of risk in real-world agricultural settings. Incorporating mixture frameworks into exposure modeling strengthens the relevance of drinking water contamination assessments for chronic disease research.</w:t>
      </w:r>
    </w:p>
    <w:p w14:paraId="008757BE" w14:textId="77777777" w:rsidR="00DD4E5D" w:rsidRPr="00DD4E5D" w:rsidRDefault="00DD4E5D" w:rsidP="00DD4E5D">
      <w:pPr>
        <w:rPr>
          <w:rFonts w:ascii="Times New Roman" w:hAnsi="Times New Roman" w:cs="Times New Roman"/>
          <w:b/>
          <w:bCs/>
        </w:rPr>
      </w:pPr>
      <w:r w:rsidRPr="00DD4E5D">
        <w:rPr>
          <w:rFonts w:ascii="Times New Roman" w:hAnsi="Times New Roman" w:cs="Times New Roman"/>
          <w:b/>
          <w:bCs/>
        </w:rPr>
        <w:t>Table 1. Major Modeling Approaches Used to Estimate Agrochemical Contamination in Drinking Water</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77"/>
        <w:gridCol w:w="1990"/>
        <w:gridCol w:w="2106"/>
        <w:gridCol w:w="1801"/>
        <w:gridCol w:w="1686"/>
      </w:tblGrid>
      <w:tr w:rsidR="00DD4E5D" w:rsidRPr="00DD4E5D" w14:paraId="212AFAD9" w14:textId="77777777" w:rsidTr="00DD4E5D">
        <w:trPr>
          <w:tblHeader/>
          <w:tblCellSpacing w:w="15" w:type="dxa"/>
        </w:trPr>
        <w:tc>
          <w:tcPr>
            <w:tcW w:w="0" w:type="auto"/>
            <w:vAlign w:val="center"/>
            <w:hideMark/>
          </w:tcPr>
          <w:p w14:paraId="633DD5A9" w14:textId="77777777" w:rsidR="00DD4E5D" w:rsidRPr="00DD4E5D" w:rsidRDefault="00DD4E5D" w:rsidP="00DD4E5D">
            <w:pPr>
              <w:rPr>
                <w:rFonts w:ascii="Times New Roman" w:hAnsi="Times New Roman" w:cs="Times New Roman"/>
                <w:b/>
                <w:bCs/>
              </w:rPr>
            </w:pPr>
            <w:r w:rsidRPr="00DD4E5D">
              <w:rPr>
                <w:rFonts w:ascii="Times New Roman" w:hAnsi="Times New Roman" w:cs="Times New Roman"/>
                <w:b/>
                <w:bCs/>
              </w:rPr>
              <w:t>Modeling Approach</w:t>
            </w:r>
          </w:p>
        </w:tc>
        <w:tc>
          <w:tcPr>
            <w:tcW w:w="0" w:type="auto"/>
            <w:vAlign w:val="center"/>
            <w:hideMark/>
          </w:tcPr>
          <w:p w14:paraId="563A92BB" w14:textId="77777777" w:rsidR="00DD4E5D" w:rsidRPr="00DD4E5D" w:rsidRDefault="00DD4E5D" w:rsidP="00DD4E5D">
            <w:pPr>
              <w:rPr>
                <w:rFonts w:ascii="Times New Roman" w:hAnsi="Times New Roman" w:cs="Times New Roman"/>
                <w:b/>
                <w:bCs/>
              </w:rPr>
            </w:pPr>
            <w:r w:rsidRPr="00DD4E5D">
              <w:rPr>
                <w:rFonts w:ascii="Times New Roman" w:hAnsi="Times New Roman" w:cs="Times New Roman"/>
                <w:b/>
                <w:bCs/>
              </w:rPr>
              <w:t>Core Features</w:t>
            </w:r>
          </w:p>
        </w:tc>
        <w:tc>
          <w:tcPr>
            <w:tcW w:w="0" w:type="auto"/>
            <w:vAlign w:val="center"/>
            <w:hideMark/>
          </w:tcPr>
          <w:p w14:paraId="201BE92D" w14:textId="77777777" w:rsidR="00DD4E5D" w:rsidRPr="00DD4E5D" w:rsidRDefault="00DD4E5D" w:rsidP="00DD4E5D">
            <w:pPr>
              <w:rPr>
                <w:rFonts w:ascii="Times New Roman" w:hAnsi="Times New Roman" w:cs="Times New Roman"/>
                <w:b/>
                <w:bCs/>
              </w:rPr>
            </w:pPr>
            <w:r w:rsidRPr="00DD4E5D">
              <w:rPr>
                <w:rFonts w:ascii="Times New Roman" w:hAnsi="Times New Roman" w:cs="Times New Roman"/>
                <w:b/>
                <w:bCs/>
              </w:rPr>
              <w:t>Typical Data Inputs</w:t>
            </w:r>
          </w:p>
        </w:tc>
        <w:tc>
          <w:tcPr>
            <w:tcW w:w="0" w:type="auto"/>
            <w:vAlign w:val="center"/>
            <w:hideMark/>
          </w:tcPr>
          <w:p w14:paraId="69CD23A2" w14:textId="77777777" w:rsidR="00DD4E5D" w:rsidRPr="00DD4E5D" w:rsidRDefault="00DD4E5D" w:rsidP="00DD4E5D">
            <w:pPr>
              <w:rPr>
                <w:rFonts w:ascii="Times New Roman" w:hAnsi="Times New Roman" w:cs="Times New Roman"/>
                <w:b/>
                <w:bCs/>
              </w:rPr>
            </w:pPr>
            <w:r w:rsidRPr="00DD4E5D">
              <w:rPr>
                <w:rFonts w:ascii="Times New Roman" w:hAnsi="Times New Roman" w:cs="Times New Roman"/>
                <w:b/>
                <w:bCs/>
              </w:rPr>
              <w:t>Strengths</w:t>
            </w:r>
          </w:p>
        </w:tc>
        <w:tc>
          <w:tcPr>
            <w:tcW w:w="0" w:type="auto"/>
            <w:vAlign w:val="center"/>
            <w:hideMark/>
          </w:tcPr>
          <w:p w14:paraId="7DDCF835" w14:textId="77777777" w:rsidR="00DD4E5D" w:rsidRPr="00DD4E5D" w:rsidRDefault="00DD4E5D" w:rsidP="00DD4E5D">
            <w:pPr>
              <w:rPr>
                <w:rFonts w:ascii="Times New Roman" w:hAnsi="Times New Roman" w:cs="Times New Roman"/>
                <w:b/>
                <w:bCs/>
              </w:rPr>
            </w:pPr>
            <w:r w:rsidRPr="00DD4E5D">
              <w:rPr>
                <w:rFonts w:ascii="Times New Roman" w:hAnsi="Times New Roman" w:cs="Times New Roman"/>
                <w:b/>
                <w:bCs/>
              </w:rPr>
              <w:t>Key Limitations</w:t>
            </w:r>
          </w:p>
        </w:tc>
      </w:tr>
      <w:tr w:rsidR="00DD4E5D" w:rsidRPr="00DD4E5D" w14:paraId="33F71072" w14:textId="77777777" w:rsidTr="00DD4E5D">
        <w:trPr>
          <w:tblCellSpacing w:w="15" w:type="dxa"/>
        </w:trPr>
        <w:tc>
          <w:tcPr>
            <w:tcW w:w="0" w:type="auto"/>
            <w:vAlign w:val="center"/>
            <w:hideMark/>
          </w:tcPr>
          <w:p w14:paraId="08E61866" w14:textId="77777777" w:rsidR="00DD4E5D" w:rsidRPr="00DD4E5D" w:rsidRDefault="00DD4E5D" w:rsidP="00DD4E5D">
            <w:pPr>
              <w:rPr>
                <w:rFonts w:ascii="Times New Roman" w:hAnsi="Times New Roman" w:cs="Times New Roman"/>
              </w:rPr>
            </w:pPr>
            <w:r w:rsidRPr="00DD4E5D">
              <w:rPr>
                <w:rFonts w:ascii="Times New Roman" w:hAnsi="Times New Roman" w:cs="Times New Roman"/>
              </w:rPr>
              <w:t>Environmental fate and transport models</w:t>
            </w:r>
          </w:p>
        </w:tc>
        <w:tc>
          <w:tcPr>
            <w:tcW w:w="0" w:type="auto"/>
            <w:vAlign w:val="center"/>
            <w:hideMark/>
          </w:tcPr>
          <w:p w14:paraId="7E42B20E" w14:textId="77777777" w:rsidR="00DD4E5D" w:rsidRPr="00DD4E5D" w:rsidRDefault="00DD4E5D" w:rsidP="00DD4E5D">
            <w:pPr>
              <w:rPr>
                <w:rFonts w:ascii="Times New Roman" w:hAnsi="Times New Roman" w:cs="Times New Roman"/>
              </w:rPr>
            </w:pPr>
            <w:r w:rsidRPr="00DD4E5D">
              <w:rPr>
                <w:rFonts w:ascii="Times New Roman" w:hAnsi="Times New Roman" w:cs="Times New Roman"/>
              </w:rPr>
              <w:t>Process-based simulation of chemical movement and degradation</w:t>
            </w:r>
          </w:p>
        </w:tc>
        <w:tc>
          <w:tcPr>
            <w:tcW w:w="0" w:type="auto"/>
            <w:vAlign w:val="center"/>
            <w:hideMark/>
          </w:tcPr>
          <w:p w14:paraId="5FB5BB58" w14:textId="77777777" w:rsidR="00DD4E5D" w:rsidRPr="00DD4E5D" w:rsidRDefault="00DD4E5D" w:rsidP="00DD4E5D">
            <w:pPr>
              <w:rPr>
                <w:rFonts w:ascii="Times New Roman" w:hAnsi="Times New Roman" w:cs="Times New Roman"/>
              </w:rPr>
            </w:pPr>
            <w:r w:rsidRPr="00DD4E5D">
              <w:rPr>
                <w:rFonts w:ascii="Times New Roman" w:hAnsi="Times New Roman" w:cs="Times New Roman"/>
              </w:rPr>
              <w:t xml:space="preserve">Soil properties, hydrology, climate, chemical properties, </w:t>
            </w:r>
            <w:r w:rsidR="00D46D6A">
              <w:rPr>
                <w:rFonts w:ascii="Times New Roman" w:hAnsi="Times New Roman" w:cs="Times New Roman"/>
              </w:rPr>
              <w:t xml:space="preserve">and </w:t>
            </w:r>
            <w:r w:rsidRPr="00DD4E5D">
              <w:rPr>
                <w:rFonts w:ascii="Times New Roman" w:hAnsi="Times New Roman" w:cs="Times New Roman"/>
              </w:rPr>
              <w:t>application data</w:t>
            </w:r>
          </w:p>
        </w:tc>
        <w:tc>
          <w:tcPr>
            <w:tcW w:w="0" w:type="auto"/>
            <w:vAlign w:val="center"/>
            <w:hideMark/>
          </w:tcPr>
          <w:p w14:paraId="59E10D56" w14:textId="77777777" w:rsidR="00DD4E5D" w:rsidRPr="00DD4E5D" w:rsidRDefault="00DD4E5D" w:rsidP="00DD4E5D">
            <w:pPr>
              <w:rPr>
                <w:rFonts w:ascii="Times New Roman" w:hAnsi="Times New Roman" w:cs="Times New Roman"/>
              </w:rPr>
            </w:pPr>
            <w:r w:rsidRPr="00DD4E5D">
              <w:rPr>
                <w:rFonts w:ascii="Times New Roman" w:hAnsi="Times New Roman" w:cs="Times New Roman"/>
              </w:rPr>
              <w:t>Mechanistic insight; scenario analysis</w:t>
            </w:r>
          </w:p>
        </w:tc>
        <w:tc>
          <w:tcPr>
            <w:tcW w:w="0" w:type="auto"/>
            <w:vAlign w:val="center"/>
            <w:hideMark/>
          </w:tcPr>
          <w:p w14:paraId="29C98B70" w14:textId="77777777" w:rsidR="00DD4E5D" w:rsidRPr="00DD4E5D" w:rsidRDefault="00DD4E5D" w:rsidP="00DD4E5D">
            <w:pPr>
              <w:rPr>
                <w:rFonts w:ascii="Times New Roman" w:hAnsi="Times New Roman" w:cs="Times New Roman"/>
              </w:rPr>
            </w:pPr>
            <w:r w:rsidRPr="00DD4E5D">
              <w:rPr>
                <w:rFonts w:ascii="Times New Roman" w:hAnsi="Times New Roman" w:cs="Times New Roman"/>
              </w:rPr>
              <w:t>Data-intensive; parameter uncertainty</w:t>
            </w:r>
          </w:p>
        </w:tc>
      </w:tr>
      <w:tr w:rsidR="00DD4E5D" w:rsidRPr="00DD4E5D" w14:paraId="6ADDBB15" w14:textId="77777777" w:rsidTr="00DD4E5D">
        <w:trPr>
          <w:tblCellSpacing w:w="15" w:type="dxa"/>
        </w:trPr>
        <w:tc>
          <w:tcPr>
            <w:tcW w:w="0" w:type="auto"/>
            <w:vAlign w:val="center"/>
            <w:hideMark/>
          </w:tcPr>
          <w:p w14:paraId="283EA734" w14:textId="77777777" w:rsidR="00DD4E5D" w:rsidRPr="00DD4E5D" w:rsidRDefault="00DD4E5D" w:rsidP="00DD4E5D">
            <w:pPr>
              <w:rPr>
                <w:rFonts w:ascii="Times New Roman" w:hAnsi="Times New Roman" w:cs="Times New Roman"/>
              </w:rPr>
            </w:pPr>
            <w:r w:rsidRPr="00DD4E5D">
              <w:rPr>
                <w:rFonts w:ascii="Times New Roman" w:hAnsi="Times New Roman" w:cs="Times New Roman"/>
              </w:rPr>
              <w:t>GIS-based spatial models</w:t>
            </w:r>
          </w:p>
        </w:tc>
        <w:tc>
          <w:tcPr>
            <w:tcW w:w="0" w:type="auto"/>
            <w:vAlign w:val="center"/>
            <w:hideMark/>
          </w:tcPr>
          <w:p w14:paraId="06A13BCD" w14:textId="77777777" w:rsidR="00DD4E5D" w:rsidRPr="00DD4E5D" w:rsidRDefault="00DD4E5D" w:rsidP="00DD4E5D">
            <w:pPr>
              <w:rPr>
                <w:rFonts w:ascii="Times New Roman" w:hAnsi="Times New Roman" w:cs="Times New Roman"/>
              </w:rPr>
            </w:pPr>
            <w:r w:rsidRPr="00DD4E5D">
              <w:rPr>
                <w:rFonts w:ascii="Times New Roman" w:hAnsi="Times New Roman" w:cs="Times New Roman"/>
              </w:rPr>
              <w:t>Spatial integration of land use and environmental data</w:t>
            </w:r>
          </w:p>
        </w:tc>
        <w:tc>
          <w:tcPr>
            <w:tcW w:w="0" w:type="auto"/>
            <w:vAlign w:val="center"/>
            <w:hideMark/>
          </w:tcPr>
          <w:p w14:paraId="727FED01" w14:textId="77777777" w:rsidR="00DD4E5D" w:rsidRPr="00DD4E5D" w:rsidRDefault="00DD4E5D" w:rsidP="00DD4E5D">
            <w:pPr>
              <w:rPr>
                <w:rFonts w:ascii="Times New Roman" w:hAnsi="Times New Roman" w:cs="Times New Roman"/>
              </w:rPr>
            </w:pPr>
            <w:r w:rsidRPr="00DD4E5D">
              <w:rPr>
                <w:rFonts w:ascii="Times New Roman" w:hAnsi="Times New Roman" w:cs="Times New Roman"/>
              </w:rPr>
              <w:t>Crop maps, agrochemical use, soils, water sources</w:t>
            </w:r>
          </w:p>
        </w:tc>
        <w:tc>
          <w:tcPr>
            <w:tcW w:w="0" w:type="auto"/>
            <w:vAlign w:val="center"/>
            <w:hideMark/>
          </w:tcPr>
          <w:p w14:paraId="30B42EC8" w14:textId="77777777" w:rsidR="00DD4E5D" w:rsidRPr="00DD4E5D" w:rsidRDefault="00DD4E5D" w:rsidP="00DD4E5D">
            <w:pPr>
              <w:rPr>
                <w:rFonts w:ascii="Times New Roman" w:hAnsi="Times New Roman" w:cs="Times New Roman"/>
              </w:rPr>
            </w:pPr>
            <w:r w:rsidRPr="00DD4E5D">
              <w:rPr>
                <w:rFonts w:ascii="Times New Roman" w:hAnsi="Times New Roman" w:cs="Times New Roman"/>
              </w:rPr>
              <w:t>Scalable; geographically explicit</w:t>
            </w:r>
          </w:p>
        </w:tc>
        <w:tc>
          <w:tcPr>
            <w:tcW w:w="0" w:type="auto"/>
            <w:vAlign w:val="center"/>
            <w:hideMark/>
          </w:tcPr>
          <w:p w14:paraId="0B738C65" w14:textId="77777777" w:rsidR="00DD4E5D" w:rsidRPr="00DD4E5D" w:rsidRDefault="00DD4E5D" w:rsidP="00DD4E5D">
            <w:pPr>
              <w:rPr>
                <w:rFonts w:ascii="Times New Roman" w:hAnsi="Times New Roman" w:cs="Times New Roman"/>
              </w:rPr>
            </w:pPr>
            <w:r w:rsidRPr="00DD4E5D">
              <w:rPr>
                <w:rFonts w:ascii="Times New Roman" w:hAnsi="Times New Roman" w:cs="Times New Roman"/>
              </w:rPr>
              <w:t>Limited subsurface representation</w:t>
            </w:r>
          </w:p>
        </w:tc>
      </w:tr>
      <w:tr w:rsidR="00DD4E5D" w:rsidRPr="00DD4E5D" w14:paraId="4DD98858" w14:textId="77777777" w:rsidTr="00DD4E5D">
        <w:trPr>
          <w:tblCellSpacing w:w="15" w:type="dxa"/>
        </w:trPr>
        <w:tc>
          <w:tcPr>
            <w:tcW w:w="0" w:type="auto"/>
            <w:vAlign w:val="center"/>
            <w:hideMark/>
          </w:tcPr>
          <w:p w14:paraId="575EFDE7" w14:textId="77777777" w:rsidR="00DD4E5D" w:rsidRPr="00DD4E5D" w:rsidRDefault="00DD4E5D" w:rsidP="00DD4E5D">
            <w:pPr>
              <w:rPr>
                <w:rFonts w:ascii="Times New Roman" w:hAnsi="Times New Roman" w:cs="Times New Roman"/>
              </w:rPr>
            </w:pPr>
            <w:r w:rsidRPr="00DD4E5D">
              <w:rPr>
                <w:rFonts w:ascii="Times New Roman" w:hAnsi="Times New Roman" w:cs="Times New Roman"/>
              </w:rPr>
              <w:t>Land-use regression models</w:t>
            </w:r>
          </w:p>
        </w:tc>
        <w:tc>
          <w:tcPr>
            <w:tcW w:w="0" w:type="auto"/>
            <w:vAlign w:val="center"/>
            <w:hideMark/>
          </w:tcPr>
          <w:p w14:paraId="723F68B2" w14:textId="77777777" w:rsidR="00DD4E5D" w:rsidRPr="00DD4E5D" w:rsidRDefault="00DD4E5D" w:rsidP="00DD4E5D">
            <w:pPr>
              <w:rPr>
                <w:rFonts w:ascii="Times New Roman" w:hAnsi="Times New Roman" w:cs="Times New Roman"/>
              </w:rPr>
            </w:pPr>
            <w:r w:rsidRPr="00DD4E5D">
              <w:rPr>
                <w:rFonts w:ascii="Times New Roman" w:hAnsi="Times New Roman" w:cs="Times New Roman"/>
              </w:rPr>
              <w:t>Statistical prediction based on land-use predictors</w:t>
            </w:r>
          </w:p>
        </w:tc>
        <w:tc>
          <w:tcPr>
            <w:tcW w:w="0" w:type="auto"/>
            <w:vAlign w:val="center"/>
            <w:hideMark/>
          </w:tcPr>
          <w:p w14:paraId="05A07672" w14:textId="77777777" w:rsidR="00DD4E5D" w:rsidRPr="00DD4E5D" w:rsidRDefault="00DD4E5D" w:rsidP="00DD4E5D">
            <w:pPr>
              <w:rPr>
                <w:rFonts w:ascii="Times New Roman" w:hAnsi="Times New Roman" w:cs="Times New Roman"/>
              </w:rPr>
            </w:pPr>
            <w:r w:rsidRPr="00DD4E5D">
              <w:rPr>
                <w:rFonts w:ascii="Times New Roman" w:hAnsi="Times New Roman" w:cs="Times New Roman"/>
              </w:rPr>
              <w:t>Water monitoring data, land-use variables</w:t>
            </w:r>
          </w:p>
        </w:tc>
        <w:tc>
          <w:tcPr>
            <w:tcW w:w="0" w:type="auto"/>
            <w:vAlign w:val="center"/>
            <w:hideMark/>
          </w:tcPr>
          <w:p w14:paraId="77EC979A" w14:textId="77777777" w:rsidR="00DD4E5D" w:rsidRPr="00DD4E5D" w:rsidRDefault="00DD4E5D" w:rsidP="00DD4E5D">
            <w:pPr>
              <w:rPr>
                <w:rFonts w:ascii="Times New Roman" w:hAnsi="Times New Roman" w:cs="Times New Roman"/>
              </w:rPr>
            </w:pPr>
            <w:r w:rsidRPr="00DD4E5D">
              <w:rPr>
                <w:rFonts w:ascii="Times New Roman" w:hAnsi="Times New Roman" w:cs="Times New Roman"/>
              </w:rPr>
              <w:t>Interpretable; suitable for epidemiology</w:t>
            </w:r>
          </w:p>
        </w:tc>
        <w:tc>
          <w:tcPr>
            <w:tcW w:w="0" w:type="auto"/>
            <w:vAlign w:val="center"/>
            <w:hideMark/>
          </w:tcPr>
          <w:p w14:paraId="4A80E4E2" w14:textId="77777777" w:rsidR="00DD4E5D" w:rsidRPr="00DD4E5D" w:rsidRDefault="00DD4E5D" w:rsidP="00DD4E5D">
            <w:pPr>
              <w:rPr>
                <w:rFonts w:ascii="Times New Roman" w:hAnsi="Times New Roman" w:cs="Times New Roman"/>
              </w:rPr>
            </w:pPr>
            <w:r w:rsidRPr="00DD4E5D">
              <w:rPr>
                <w:rFonts w:ascii="Times New Roman" w:hAnsi="Times New Roman" w:cs="Times New Roman"/>
              </w:rPr>
              <w:t>Dependent on monitoring density</w:t>
            </w:r>
          </w:p>
        </w:tc>
      </w:tr>
      <w:tr w:rsidR="00DD4E5D" w:rsidRPr="00DD4E5D" w14:paraId="3788F3AA" w14:textId="77777777" w:rsidTr="00DD4E5D">
        <w:trPr>
          <w:tblCellSpacing w:w="15" w:type="dxa"/>
        </w:trPr>
        <w:tc>
          <w:tcPr>
            <w:tcW w:w="0" w:type="auto"/>
            <w:vAlign w:val="center"/>
            <w:hideMark/>
          </w:tcPr>
          <w:p w14:paraId="2D50746F" w14:textId="77777777" w:rsidR="00DD4E5D" w:rsidRPr="00DD4E5D" w:rsidRDefault="00DD4E5D" w:rsidP="00DD4E5D">
            <w:pPr>
              <w:rPr>
                <w:rFonts w:ascii="Times New Roman" w:hAnsi="Times New Roman" w:cs="Times New Roman"/>
              </w:rPr>
            </w:pPr>
            <w:r w:rsidRPr="00DD4E5D">
              <w:rPr>
                <w:rFonts w:ascii="Times New Roman" w:hAnsi="Times New Roman" w:cs="Times New Roman"/>
              </w:rPr>
              <w:lastRenderedPageBreak/>
              <w:t>Remote sensing–enhanced models</w:t>
            </w:r>
          </w:p>
        </w:tc>
        <w:tc>
          <w:tcPr>
            <w:tcW w:w="0" w:type="auto"/>
            <w:vAlign w:val="center"/>
            <w:hideMark/>
          </w:tcPr>
          <w:p w14:paraId="028F7F59" w14:textId="77777777" w:rsidR="00DD4E5D" w:rsidRPr="00DD4E5D" w:rsidRDefault="00DD4E5D" w:rsidP="00DD4E5D">
            <w:pPr>
              <w:rPr>
                <w:rFonts w:ascii="Times New Roman" w:hAnsi="Times New Roman" w:cs="Times New Roman"/>
              </w:rPr>
            </w:pPr>
            <w:r w:rsidRPr="00DD4E5D">
              <w:rPr>
                <w:rFonts w:ascii="Times New Roman" w:hAnsi="Times New Roman" w:cs="Times New Roman"/>
              </w:rPr>
              <w:t>Use of satellite-derived land and crop data</w:t>
            </w:r>
          </w:p>
        </w:tc>
        <w:tc>
          <w:tcPr>
            <w:tcW w:w="0" w:type="auto"/>
            <w:vAlign w:val="center"/>
            <w:hideMark/>
          </w:tcPr>
          <w:p w14:paraId="56153593" w14:textId="77777777" w:rsidR="00DD4E5D" w:rsidRPr="00DD4E5D" w:rsidRDefault="00DD4E5D" w:rsidP="00DD4E5D">
            <w:pPr>
              <w:rPr>
                <w:rFonts w:ascii="Times New Roman" w:hAnsi="Times New Roman" w:cs="Times New Roman"/>
              </w:rPr>
            </w:pPr>
            <w:r w:rsidRPr="00DD4E5D">
              <w:rPr>
                <w:rFonts w:ascii="Times New Roman" w:hAnsi="Times New Roman" w:cs="Times New Roman"/>
              </w:rPr>
              <w:t>Satellite imagery, agricultural datasets</w:t>
            </w:r>
          </w:p>
        </w:tc>
        <w:tc>
          <w:tcPr>
            <w:tcW w:w="0" w:type="auto"/>
            <w:vAlign w:val="center"/>
            <w:hideMark/>
          </w:tcPr>
          <w:p w14:paraId="06B523BF" w14:textId="77777777" w:rsidR="00DD4E5D" w:rsidRPr="00DD4E5D" w:rsidRDefault="00DD4E5D" w:rsidP="00DD4E5D">
            <w:pPr>
              <w:rPr>
                <w:rFonts w:ascii="Times New Roman" w:hAnsi="Times New Roman" w:cs="Times New Roman"/>
              </w:rPr>
            </w:pPr>
            <w:r w:rsidRPr="00DD4E5D">
              <w:rPr>
                <w:rFonts w:ascii="Times New Roman" w:hAnsi="Times New Roman" w:cs="Times New Roman"/>
              </w:rPr>
              <w:t>High spatial resolution; temporal alignment</w:t>
            </w:r>
          </w:p>
        </w:tc>
        <w:tc>
          <w:tcPr>
            <w:tcW w:w="0" w:type="auto"/>
            <w:vAlign w:val="center"/>
            <w:hideMark/>
          </w:tcPr>
          <w:p w14:paraId="6E290A9C" w14:textId="77777777" w:rsidR="00DD4E5D" w:rsidRPr="00DD4E5D" w:rsidRDefault="00DD4E5D" w:rsidP="00DD4E5D">
            <w:pPr>
              <w:rPr>
                <w:rFonts w:ascii="Times New Roman" w:hAnsi="Times New Roman" w:cs="Times New Roman"/>
              </w:rPr>
            </w:pPr>
            <w:r w:rsidRPr="00DD4E5D">
              <w:rPr>
                <w:rFonts w:ascii="Times New Roman" w:hAnsi="Times New Roman" w:cs="Times New Roman"/>
              </w:rPr>
              <w:t>Indirect exposure proxies</w:t>
            </w:r>
          </w:p>
        </w:tc>
      </w:tr>
      <w:tr w:rsidR="00DD4E5D" w:rsidRPr="00DD4E5D" w14:paraId="4F75F0C4" w14:textId="77777777" w:rsidTr="00DD4E5D">
        <w:trPr>
          <w:tblCellSpacing w:w="15" w:type="dxa"/>
        </w:trPr>
        <w:tc>
          <w:tcPr>
            <w:tcW w:w="0" w:type="auto"/>
            <w:vAlign w:val="center"/>
            <w:hideMark/>
          </w:tcPr>
          <w:p w14:paraId="1BF8974D" w14:textId="77777777" w:rsidR="00DD4E5D" w:rsidRPr="00DD4E5D" w:rsidRDefault="00DD4E5D" w:rsidP="00DD4E5D">
            <w:pPr>
              <w:rPr>
                <w:rFonts w:ascii="Times New Roman" w:hAnsi="Times New Roman" w:cs="Times New Roman"/>
              </w:rPr>
            </w:pPr>
            <w:r w:rsidRPr="00DD4E5D">
              <w:rPr>
                <w:rFonts w:ascii="Times New Roman" w:hAnsi="Times New Roman" w:cs="Times New Roman"/>
              </w:rPr>
              <w:t>Temporal reconstruction models</w:t>
            </w:r>
          </w:p>
        </w:tc>
        <w:tc>
          <w:tcPr>
            <w:tcW w:w="0" w:type="auto"/>
            <w:vAlign w:val="center"/>
            <w:hideMark/>
          </w:tcPr>
          <w:p w14:paraId="2AD136F2" w14:textId="77777777" w:rsidR="00DD4E5D" w:rsidRPr="00DD4E5D" w:rsidRDefault="00DD4E5D" w:rsidP="00DD4E5D">
            <w:pPr>
              <w:rPr>
                <w:rFonts w:ascii="Times New Roman" w:hAnsi="Times New Roman" w:cs="Times New Roman"/>
              </w:rPr>
            </w:pPr>
            <w:r w:rsidRPr="00DD4E5D">
              <w:rPr>
                <w:rFonts w:ascii="Times New Roman" w:hAnsi="Times New Roman" w:cs="Times New Roman"/>
              </w:rPr>
              <w:t>Longitudinal exposure estimation</w:t>
            </w:r>
          </w:p>
        </w:tc>
        <w:tc>
          <w:tcPr>
            <w:tcW w:w="0" w:type="auto"/>
            <w:vAlign w:val="center"/>
            <w:hideMark/>
          </w:tcPr>
          <w:p w14:paraId="3735B0D0" w14:textId="77777777" w:rsidR="00DD4E5D" w:rsidRPr="00DD4E5D" w:rsidRDefault="00DD4E5D" w:rsidP="00DD4E5D">
            <w:pPr>
              <w:rPr>
                <w:rFonts w:ascii="Times New Roman" w:hAnsi="Times New Roman" w:cs="Times New Roman"/>
              </w:rPr>
            </w:pPr>
            <w:r w:rsidRPr="00DD4E5D">
              <w:rPr>
                <w:rFonts w:ascii="Times New Roman" w:hAnsi="Times New Roman" w:cs="Times New Roman"/>
              </w:rPr>
              <w:t>Historical use data, environmental records</w:t>
            </w:r>
          </w:p>
        </w:tc>
        <w:tc>
          <w:tcPr>
            <w:tcW w:w="0" w:type="auto"/>
            <w:vAlign w:val="center"/>
            <w:hideMark/>
          </w:tcPr>
          <w:p w14:paraId="21CCFFAB" w14:textId="77777777" w:rsidR="00DD4E5D" w:rsidRPr="00DD4E5D" w:rsidRDefault="00DD4E5D" w:rsidP="00DD4E5D">
            <w:pPr>
              <w:rPr>
                <w:rFonts w:ascii="Times New Roman" w:hAnsi="Times New Roman" w:cs="Times New Roman"/>
              </w:rPr>
            </w:pPr>
            <w:r w:rsidRPr="00DD4E5D">
              <w:rPr>
                <w:rFonts w:ascii="Times New Roman" w:hAnsi="Times New Roman" w:cs="Times New Roman"/>
              </w:rPr>
              <w:t>Captures cumulative exposure</w:t>
            </w:r>
          </w:p>
        </w:tc>
        <w:tc>
          <w:tcPr>
            <w:tcW w:w="0" w:type="auto"/>
            <w:vAlign w:val="center"/>
            <w:hideMark/>
          </w:tcPr>
          <w:p w14:paraId="5079105F" w14:textId="77777777" w:rsidR="00DD4E5D" w:rsidRPr="00DD4E5D" w:rsidRDefault="00DD4E5D" w:rsidP="00DD4E5D">
            <w:pPr>
              <w:rPr>
                <w:rFonts w:ascii="Times New Roman" w:hAnsi="Times New Roman" w:cs="Times New Roman"/>
              </w:rPr>
            </w:pPr>
            <w:r w:rsidRPr="00DD4E5D">
              <w:rPr>
                <w:rFonts w:ascii="Times New Roman" w:hAnsi="Times New Roman" w:cs="Times New Roman"/>
              </w:rPr>
              <w:t>Historical data gaps</w:t>
            </w:r>
          </w:p>
        </w:tc>
      </w:tr>
      <w:tr w:rsidR="00DD4E5D" w:rsidRPr="00DD4E5D" w14:paraId="7285FC94" w14:textId="77777777" w:rsidTr="00DD4E5D">
        <w:trPr>
          <w:tblCellSpacing w:w="15" w:type="dxa"/>
        </w:trPr>
        <w:tc>
          <w:tcPr>
            <w:tcW w:w="0" w:type="auto"/>
            <w:vAlign w:val="center"/>
            <w:hideMark/>
          </w:tcPr>
          <w:p w14:paraId="7AA26A63" w14:textId="77777777" w:rsidR="00DD4E5D" w:rsidRPr="00DD4E5D" w:rsidRDefault="00DD4E5D" w:rsidP="00DD4E5D">
            <w:pPr>
              <w:rPr>
                <w:rFonts w:ascii="Times New Roman" w:hAnsi="Times New Roman" w:cs="Times New Roman"/>
              </w:rPr>
            </w:pPr>
            <w:r w:rsidRPr="00DD4E5D">
              <w:rPr>
                <w:rFonts w:ascii="Times New Roman" w:hAnsi="Times New Roman" w:cs="Times New Roman"/>
              </w:rPr>
              <w:t>Mixture modeling frameworks</w:t>
            </w:r>
          </w:p>
        </w:tc>
        <w:tc>
          <w:tcPr>
            <w:tcW w:w="0" w:type="auto"/>
            <w:vAlign w:val="center"/>
            <w:hideMark/>
          </w:tcPr>
          <w:p w14:paraId="43D85A57" w14:textId="77777777" w:rsidR="00DD4E5D" w:rsidRPr="00DD4E5D" w:rsidRDefault="00DD4E5D" w:rsidP="00DD4E5D">
            <w:pPr>
              <w:rPr>
                <w:rFonts w:ascii="Times New Roman" w:hAnsi="Times New Roman" w:cs="Times New Roman"/>
              </w:rPr>
            </w:pPr>
            <w:r w:rsidRPr="00DD4E5D">
              <w:rPr>
                <w:rFonts w:ascii="Times New Roman" w:hAnsi="Times New Roman" w:cs="Times New Roman"/>
              </w:rPr>
              <w:t>Joint exposure estimation across chemicals</w:t>
            </w:r>
          </w:p>
        </w:tc>
        <w:tc>
          <w:tcPr>
            <w:tcW w:w="0" w:type="auto"/>
            <w:vAlign w:val="center"/>
            <w:hideMark/>
          </w:tcPr>
          <w:p w14:paraId="5E0E978A" w14:textId="77777777" w:rsidR="00DD4E5D" w:rsidRPr="00DD4E5D" w:rsidRDefault="00DD4E5D" w:rsidP="00DD4E5D">
            <w:pPr>
              <w:rPr>
                <w:rFonts w:ascii="Times New Roman" w:hAnsi="Times New Roman" w:cs="Times New Roman"/>
              </w:rPr>
            </w:pPr>
            <w:r w:rsidRPr="00DD4E5D">
              <w:rPr>
                <w:rFonts w:ascii="Times New Roman" w:hAnsi="Times New Roman" w:cs="Times New Roman"/>
              </w:rPr>
              <w:t>Multi-chemical exposure metrics</w:t>
            </w:r>
          </w:p>
        </w:tc>
        <w:tc>
          <w:tcPr>
            <w:tcW w:w="0" w:type="auto"/>
            <w:vAlign w:val="center"/>
            <w:hideMark/>
          </w:tcPr>
          <w:p w14:paraId="70D88476" w14:textId="77777777" w:rsidR="00DD4E5D" w:rsidRPr="00DD4E5D" w:rsidRDefault="00DD4E5D" w:rsidP="00DD4E5D">
            <w:pPr>
              <w:rPr>
                <w:rFonts w:ascii="Times New Roman" w:hAnsi="Times New Roman" w:cs="Times New Roman"/>
              </w:rPr>
            </w:pPr>
            <w:r w:rsidRPr="00DD4E5D">
              <w:rPr>
                <w:rFonts w:ascii="Times New Roman" w:hAnsi="Times New Roman" w:cs="Times New Roman"/>
              </w:rPr>
              <w:t>Reflects real-world exposure</w:t>
            </w:r>
          </w:p>
        </w:tc>
        <w:tc>
          <w:tcPr>
            <w:tcW w:w="0" w:type="auto"/>
            <w:vAlign w:val="center"/>
            <w:hideMark/>
          </w:tcPr>
          <w:p w14:paraId="3D5EA252" w14:textId="77777777" w:rsidR="00DD4E5D" w:rsidRPr="00DD4E5D" w:rsidRDefault="00DD4E5D" w:rsidP="00DD4E5D">
            <w:pPr>
              <w:rPr>
                <w:rFonts w:ascii="Times New Roman" w:hAnsi="Times New Roman" w:cs="Times New Roman"/>
              </w:rPr>
            </w:pPr>
            <w:r w:rsidRPr="00DD4E5D">
              <w:rPr>
                <w:rFonts w:ascii="Times New Roman" w:hAnsi="Times New Roman" w:cs="Times New Roman"/>
              </w:rPr>
              <w:t>Correlated exposures; complexity</w:t>
            </w:r>
          </w:p>
        </w:tc>
      </w:tr>
    </w:tbl>
    <w:p w14:paraId="19379CF9" w14:textId="77777777" w:rsidR="00DD4E5D" w:rsidRPr="00DD4E5D" w:rsidRDefault="00DD4E5D" w:rsidP="00DD4E5D">
      <w:pPr>
        <w:rPr>
          <w:rFonts w:ascii="Times New Roman" w:hAnsi="Times New Roman" w:cs="Times New Roman"/>
        </w:rPr>
      </w:pPr>
      <w:r w:rsidRPr="00DD4E5D">
        <w:rPr>
          <w:rFonts w:ascii="Times New Roman" w:hAnsi="Times New Roman" w:cs="Times New Roman"/>
        </w:rPr>
        <w:t xml:space="preserve">Together, these modeling approaches provide complementary tools for estimating agrochemical contamination in drinking water. As highlighted in </w:t>
      </w:r>
      <w:r w:rsidRPr="00DD4E5D">
        <w:rPr>
          <w:rFonts w:ascii="Times New Roman" w:hAnsi="Times New Roman" w:cs="Times New Roman"/>
          <w:b/>
          <w:bCs/>
        </w:rPr>
        <w:t>Table 1</w:t>
      </w:r>
      <w:r w:rsidRPr="00DD4E5D">
        <w:rPr>
          <w:rFonts w:ascii="Times New Roman" w:hAnsi="Times New Roman" w:cs="Times New Roman"/>
        </w:rPr>
        <w:t>, no single model is sufficient; robust exposure assessment increasingly relies on integrating multiple frameworks to balance mechanistic realism, scalability, and epidemiologic relevance.</w:t>
      </w:r>
    </w:p>
    <w:p w14:paraId="058DC2D2" w14:textId="77777777" w:rsidR="00DD4E5D" w:rsidRPr="00335136" w:rsidRDefault="00DD4E5D">
      <w:pPr>
        <w:rPr>
          <w:rFonts w:ascii="Times New Roman" w:hAnsi="Times New Roman" w:cs="Times New Roman"/>
        </w:rPr>
      </w:pPr>
    </w:p>
    <w:p w14:paraId="2A7794E8" w14:textId="77777777" w:rsidR="00EC3F80" w:rsidRPr="00EC3F80" w:rsidRDefault="00EC3F80" w:rsidP="00EC3F80">
      <w:pPr>
        <w:rPr>
          <w:rFonts w:ascii="Times New Roman" w:hAnsi="Times New Roman" w:cs="Times New Roman"/>
          <w:b/>
          <w:bCs/>
        </w:rPr>
      </w:pPr>
      <w:r w:rsidRPr="00EC3F80">
        <w:rPr>
          <w:rFonts w:ascii="Times New Roman" w:hAnsi="Times New Roman" w:cs="Times New Roman"/>
          <w:b/>
          <w:bCs/>
        </w:rPr>
        <w:t>5. Linking Modeled Exposure to Chronic Disease Risk</w:t>
      </w:r>
    </w:p>
    <w:p w14:paraId="48985EF9" w14:textId="77777777" w:rsidR="00EC3F80" w:rsidRPr="00EC3F80" w:rsidRDefault="00EC3F80" w:rsidP="00EC3F80">
      <w:pPr>
        <w:rPr>
          <w:rFonts w:ascii="Times New Roman" w:hAnsi="Times New Roman" w:cs="Times New Roman"/>
        </w:rPr>
      </w:pPr>
      <w:r w:rsidRPr="00EC3F80">
        <w:rPr>
          <w:rFonts w:ascii="Times New Roman" w:hAnsi="Times New Roman" w:cs="Times New Roman"/>
        </w:rPr>
        <w:t>Model-based estimates of agrochemical contamination in drinking water have increasingly been integrated into epidemiologic research to overcome limitations of sparse monitoring and short-term biomonitoring. By providing spatially and temporally resolved exposure metrics, these approaches enable more refined assessment of long-term environmental risks relevant to chronic disease etiology among U.S. farmers and agricultural communities</w:t>
      </w:r>
      <w:r w:rsidR="004F5F41">
        <w:rPr>
          <w:rFonts w:ascii="Times New Roman" w:hAnsi="Times New Roman" w:cs="Times New Roman"/>
        </w:rPr>
        <w:fldChar w:fldCharType="begin"/>
      </w:r>
      <w:r w:rsidR="00691FE4">
        <w:rPr>
          <w:rFonts w:ascii="Times New Roman" w:hAnsi="Times New Roman" w:cs="Times New Roman"/>
        </w:rPr>
        <w:instrText xml:space="preserve"> ADDIN ZOTERO_ITEM CSL_CITATION {"citationID":"E5fPRgT0","properties":{"formattedCitation":"(30)","plainCitation":"(30)","noteIndex":0},"citationItems":[{"id":14965,"uris":["http://zotero.org/users/16652950/items/NWQL276M"],"itemData":{"id":14965,"type":"article-journal","abstract":"Environmental DNA (eDNA) analysis has emerged as a transformative tool in environmental monitoring, enabling non-invasive detection of species and mic...","container-title":"Biosensors","DOI":"10.3390/bios15080494","ISSN":"2079-6374","issue":"8","language":"en","license":"http://creativecommons.org/licenses/by/3.0/","note":"Company: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publisher","source":"www.mdpi.com","title":"Bioinformation and Monitoring Technology for Environmental DNA Analysis: A Review","title-short":"Bioinformation and Monitoring Technology for Environmental DNA Analysis","URL":"https://www.mdpi.com/2079-6374/15/8/494","volume":"15","author":[{"family":"Yoon","given":"Hyo Jik"},{"family":"Seo","given":"Joo Hyeong"},{"family":"Shin","given":"Seung Hoon"},{"family":"Abdelhamid","given":"Mohamed A. A."},{"family":"Pack","given":"Seung Pil"}],"accessed":{"date-parts":[["2026",2,18]]},"issued":{"date-parts":[["2025",8,1]]}}}],"schema":"https://github.com/citation-style-language/schema/raw/master/csl-citation.json"} </w:instrText>
      </w:r>
      <w:r w:rsidR="004F5F41">
        <w:rPr>
          <w:rFonts w:ascii="Times New Roman" w:hAnsi="Times New Roman" w:cs="Times New Roman"/>
        </w:rPr>
        <w:fldChar w:fldCharType="separate"/>
      </w:r>
      <w:r w:rsidR="00691FE4" w:rsidRPr="00691FE4">
        <w:rPr>
          <w:rFonts w:ascii="Times New Roman" w:hAnsi="Times New Roman" w:cs="Times New Roman"/>
        </w:rPr>
        <w:t>(30)</w:t>
      </w:r>
      <w:r w:rsidR="004F5F41">
        <w:rPr>
          <w:rFonts w:ascii="Times New Roman" w:hAnsi="Times New Roman" w:cs="Times New Roman"/>
        </w:rPr>
        <w:fldChar w:fldCharType="end"/>
      </w:r>
      <w:r w:rsidRPr="00EC3F80">
        <w:rPr>
          <w:rFonts w:ascii="Times New Roman" w:hAnsi="Times New Roman" w:cs="Times New Roman"/>
        </w:rPr>
        <w:t>.</w:t>
      </w:r>
    </w:p>
    <w:p w14:paraId="1880565E" w14:textId="77777777" w:rsidR="00EC3F80" w:rsidRPr="00EC3F80" w:rsidRDefault="00EC3F80" w:rsidP="00EC3F80">
      <w:pPr>
        <w:rPr>
          <w:rFonts w:ascii="Times New Roman" w:hAnsi="Times New Roman" w:cs="Times New Roman"/>
          <w:b/>
          <w:bCs/>
        </w:rPr>
      </w:pPr>
      <w:r w:rsidRPr="00EC3F80">
        <w:rPr>
          <w:rFonts w:ascii="Times New Roman" w:hAnsi="Times New Roman" w:cs="Times New Roman"/>
          <w:b/>
          <w:bCs/>
        </w:rPr>
        <w:t>5.1 Epidemiologic Study Designs Using Modeled Exposure</w:t>
      </w:r>
    </w:p>
    <w:p w14:paraId="0E7E1ACF" w14:textId="77777777" w:rsidR="00EC3F80" w:rsidRPr="00EC3F80" w:rsidRDefault="00EC3F80" w:rsidP="00EC3F80">
      <w:pPr>
        <w:rPr>
          <w:rFonts w:ascii="Times New Roman" w:hAnsi="Times New Roman" w:cs="Times New Roman"/>
        </w:rPr>
      </w:pPr>
      <w:r w:rsidRPr="00EC3F80">
        <w:rPr>
          <w:rFonts w:ascii="Times New Roman" w:hAnsi="Times New Roman" w:cs="Times New Roman"/>
        </w:rPr>
        <w:t>Modeled exposure estimates have been applied across a range of epidemiologic study designs, including cohort, case–control, and ecological–individual hybrid studies. Prospective and retrospective cohort studies are particularly well suited to the use of modeled exposure, as they allow linkage of long-term exposure estimates with incident disease outcomes over extended follow-up periods. In these studies, exposure models are often used to assign time-varying contamination levels to residential locations, enabling reconstruction of cumulative or lagged exposure relevant to disease development</w:t>
      </w:r>
      <w:r w:rsidR="004F5F41">
        <w:rPr>
          <w:rFonts w:ascii="Times New Roman" w:hAnsi="Times New Roman" w:cs="Times New Roman"/>
        </w:rPr>
        <w:fldChar w:fldCharType="begin"/>
      </w:r>
      <w:r w:rsidR="00691FE4">
        <w:rPr>
          <w:rFonts w:ascii="Times New Roman" w:hAnsi="Times New Roman" w:cs="Times New Roman"/>
        </w:rPr>
        <w:instrText xml:space="preserve"> ADDIN ZOTERO_ITEM CSL_CITATION {"citationID":"mgPZq3e3","properties":{"formattedCitation":"(31)","plainCitation":"(31)","noteIndex":0},"citationItems":[{"id":14967,"uris":["http://zotero.org/users/16652950/items/ILIZA5UV"],"itemData":{"id":14967,"type":"chapter","abstract":"In epidemiology, researchers are interested in measuring or assessing the relationship of exposure with a disease or an outcome. As a first step, they define the hypothesis based on the research question and then decide which study design will be best suited to answer that question. How the researcher conducts the investigation is directed by the chosen study design. The study designs can be broadly classified as experimental or observational based on the approach used to assess whether exposure and an outcome are associated. In an experimental study design, researchers assign patients to intervention and control/comparison groups in an attempt to isolate the effects of the intervention. Being able to control various aspects of the experimental study design enables the researchers to identify causal links between interventions and outcomes of interest. In several instances, an experimental study design may not be feasible or suitable; observational studies are conducted in such situations. As the name indicates, observational studies involve merely observing the patients in a non-controlled environment without actually interfering or manipulating with other aspects of the study and therefore are non-experimental. The observation can be prospective, retrospective, or current, depending on the subtype of an observational study. Observational Studies Case-Control Studies Case-control studies are used to determine the degree of associations between various risk factors and outcomes. The factors that affect the risk of a disease are called exposures. Case-control studies can help identify beneficial or harmful exposures. As the name suggests, there are two groups of patient cases and controls in a case-control study. Cases are patients who have a particular disease, condition, or disability. Controls are those patients that do not have the disease. Typically, researchers identify appropriate representative controls for the cases that they are studying from the general population. Then they retrospectively look in the past for the possible exposures these patients might have had to a risk factor. Selecting the patients for the control group is a very critical component of research based on case-control studies. Due to the retrospective nature of the study design, case-control studies are subject to recall bias. Case-control studies are inexpensive, efficient, and often less time-consuming to conduct. This study design is especially suitable for rare diseases that have long latency periods. Case-Crossover Studies Case-crossover studies are helpful to study triggers within an individual. When the researcher is studying a transient exposure or risk factor, the case-crossover design is useful. This is a relatively new study design where there is a case and a control component, both of which come from the same individual. Each case is self-matched by serving as its own control. Determining the control and case components period is a critical and difficult aspect of a case-crossover study. Cohort Studies Cohort studies initially classify patients into two groups based on their exposure status. Cohorts are followed over time to see who develops the disease in the exposed and non-exposed groups. Cohort studies can be retrospective or prospective. Incidence can be directly calculated from a cohort study as you begin with exposed and unexposed patients, unlike a case-control study where you start with diseased and non-diseased patients. Relative risk is the measure of effect for a cohort study. Cohort studies are subject to very low recall bias, and multiple outcomes can be studied simultaneously. One of the disadvantages of cohort studies is that they are more prone to selection bias. Studying rare diseases and outcomes that have long follow-up periods can be very expensive and time-consuming using cohort studies. Cross-Sectional Studies Cross-sectional studies are observational in nature and give a snapshot of the characteristics of study subjects in a single point of time. Unlike cohort studies, cross-sectional studies do not have a follow-up period and therefore are relatively simple to conduct. As the exposure status/outcome of interest information is collected in a single moment in time, often by surveys, cross-sectional study design cannot provide a cause-effect relationship and is the weakest of the observational designs. This study design is generally used to assess the prevalence of a disease in a population. Ecological Studies Ecological studies are used when data at an individual level is unavailable, or large-scale comparisons are needed to study the population-level effect of exposures on a disease condition. Therefore, ecological study results are applicable only at the population level. The types of measures in ecological studies are aggregates of individual-level data. These studies, therefore, are subject to a type of confounding called an ecological fallacy, which occurs when relationships identified at group level data are assumed to be true for individuals. Ecological studies are generally used in public health research. Experimental Studies Randomized Clinical Trials Randomized clinical trials or randomized control trials (RCT) are considered the gold standard of study design. In an RCT, the researcher randomly assigns the subjects to a control group and an experimental group. Randomization in RCT avoids confounding and minimizes selection bias. This enables the researcher to have similar experimental and control groups, thereby enabling them to isolate the effect of an intervention. The experimental group gets the exposure/treatment, which can be an agent involved in causation, prevention, or treatment of a disease. The control group receives no treatment, a placebo treatment, or another standard of care treatment depending on the study's objective. The groups are then followed prospectively to see who develops the outcome of interest. RCT’s are expensive, and researchers using this study design often face issues with the integrity of randomization due to refusals, drops outs, crossovers, and non-compliance.","call-number":"NBK470342","container-title":"StatPearls","event-place":"Treasure Island (FL)","language":"eng","license":"Copyright © 2025, StatPearls Publishing LLC.","note":"PMID: 29262004","publisher":"StatPearls Publishing","publisher-place":"Treasure Island (FL)","source":"PubMed","title":"Epidemiology Of Study Design","URL":"http://www.ncbi.nlm.nih.gov/books/NBK470342/","author":[{"family":"Munnangi","given":"Swapna"},{"family":"Boktor","given":"Sameh W."}],"accessed":{"date-parts":[["2026",2,18]]},"issued":{"date-parts":[["2025"]]}}}],"schema":"https://github.com/citation-style-language/schema/raw/master/csl-citation.json"} </w:instrText>
      </w:r>
      <w:r w:rsidR="004F5F41">
        <w:rPr>
          <w:rFonts w:ascii="Times New Roman" w:hAnsi="Times New Roman" w:cs="Times New Roman"/>
        </w:rPr>
        <w:fldChar w:fldCharType="separate"/>
      </w:r>
      <w:r w:rsidR="00691FE4" w:rsidRPr="00691FE4">
        <w:rPr>
          <w:rFonts w:ascii="Times New Roman" w:hAnsi="Times New Roman" w:cs="Times New Roman"/>
        </w:rPr>
        <w:t>(31)</w:t>
      </w:r>
      <w:r w:rsidR="004F5F41">
        <w:rPr>
          <w:rFonts w:ascii="Times New Roman" w:hAnsi="Times New Roman" w:cs="Times New Roman"/>
        </w:rPr>
        <w:fldChar w:fldCharType="end"/>
      </w:r>
      <w:r w:rsidRPr="00EC3F80">
        <w:rPr>
          <w:rFonts w:ascii="Times New Roman" w:hAnsi="Times New Roman" w:cs="Times New Roman"/>
        </w:rPr>
        <w:t>.</w:t>
      </w:r>
    </w:p>
    <w:p w14:paraId="16D735B1" w14:textId="77777777" w:rsidR="00EC3F80" w:rsidRPr="00EC3F80" w:rsidRDefault="00EC3F80" w:rsidP="00EC3F80">
      <w:pPr>
        <w:rPr>
          <w:rFonts w:ascii="Times New Roman" w:hAnsi="Times New Roman" w:cs="Times New Roman"/>
        </w:rPr>
      </w:pPr>
      <w:r w:rsidRPr="00EC3F80">
        <w:rPr>
          <w:rFonts w:ascii="Times New Roman" w:hAnsi="Times New Roman" w:cs="Times New Roman"/>
        </w:rPr>
        <w:t xml:space="preserve">Case–control studies have also employed modeled exposure metrics, particularly for rare outcomes such as hematologic malignancies or neurodegenerative diseases. In this context, spatial models allow retrospective assignment of exposure based on historical residence, </w:t>
      </w:r>
      <w:r w:rsidRPr="00EC3F80">
        <w:rPr>
          <w:rFonts w:ascii="Times New Roman" w:hAnsi="Times New Roman" w:cs="Times New Roman"/>
        </w:rPr>
        <w:lastRenderedPageBreak/>
        <w:t>reducing reliance on self-reported exposure histories. Ecological–hybrid designs, which combine area-level exposure modeling with individual-level health data, have been used to leverage large administrative datasets while partially mitigating ecological bias</w:t>
      </w:r>
      <w:r w:rsidR="004F5F41">
        <w:rPr>
          <w:rFonts w:ascii="Times New Roman" w:hAnsi="Times New Roman" w:cs="Times New Roman"/>
        </w:rPr>
        <w:fldChar w:fldCharType="begin"/>
      </w:r>
      <w:r w:rsidR="00691FE4">
        <w:rPr>
          <w:rFonts w:ascii="Times New Roman" w:hAnsi="Times New Roman" w:cs="Times New Roman"/>
        </w:rPr>
        <w:instrText xml:space="preserve"> ADDIN ZOTERO_ITEM CSL_CITATION {"citationID":"AZfQGooX","properties":{"formattedCitation":"(32)","plainCitation":"(32)","noteIndex":0},"citationItems":[{"id":14970,"uris":["http://zotero.org/users/16652950/items/9IXGIWZG"],"itemData":{"id":14970,"type":"article-journal","abstract":"Despite many advances, metastatic disease remains essentially uncurable. Thus, there is an urgent need to better understand mechanisms that promote metastasis, drive tumor evolution, and underlie innate and acquired drug resistance. Sophisticated preclinical models that recapitulate the complex tumor ecosystem are key to this process. We begin with syngeneic and patient-derived mouse models that are the backbone of most preclinical studies. Second, we present some unique advantages of fish and fly models. Third, we consider the strengths of 3D culture models for resolving remaining knowledge gaps. Finally, we provide vignettes on multiplexed technologies to advance our understanding of metastatic disease.","container-title":"Cell","DOI":"10.1016/j.cell.2023.02.026","ISSN":"0092-8674","issue":"8","journalAbbreviation":"Cell","page":"1792-1813","source":"ScienceDirect","title":"Preclinical models for drug discovery for metastatic disease","volume":"186","author":[{"family":"Wakefield","given":"Lalage"},{"family":"Agarwal","given":"Seema"},{"family":"Tanner","given":"Kandice"}],"issued":{"date-parts":[["2023",4,13]]}}}],"schema":"https://github.com/citation-style-language/schema/raw/master/csl-citation.json"} </w:instrText>
      </w:r>
      <w:r w:rsidR="004F5F41">
        <w:rPr>
          <w:rFonts w:ascii="Times New Roman" w:hAnsi="Times New Roman" w:cs="Times New Roman"/>
        </w:rPr>
        <w:fldChar w:fldCharType="separate"/>
      </w:r>
      <w:r w:rsidR="00691FE4" w:rsidRPr="00691FE4">
        <w:rPr>
          <w:rFonts w:ascii="Times New Roman" w:hAnsi="Times New Roman" w:cs="Times New Roman"/>
        </w:rPr>
        <w:t>(32)</w:t>
      </w:r>
      <w:r w:rsidR="004F5F41">
        <w:rPr>
          <w:rFonts w:ascii="Times New Roman" w:hAnsi="Times New Roman" w:cs="Times New Roman"/>
        </w:rPr>
        <w:fldChar w:fldCharType="end"/>
      </w:r>
      <w:r w:rsidRPr="00EC3F80">
        <w:rPr>
          <w:rFonts w:ascii="Times New Roman" w:hAnsi="Times New Roman" w:cs="Times New Roman"/>
        </w:rPr>
        <w:t>.</w:t>
      </w:r>
    </w:p>
    <w:p w14:paraId="59338D82" w14:textId="77777777" w:rsidR="00EC3F80" w:rsidRPr="00EC3F80" w:rsidRDefault="00EC3F80" w:rsidP="00EC3F80">
      <w:pPr>
        <w:rPr>
          <w:rFonts w:ascii="Times New Roman" w:hAnsi="Times New Roman" w:cs="Times New Roman"/>
        </w:rPr>
      </w:pPr>
      <w:r w:rsidRPr="00EC3F80">
        <w:rPr>
          <w:rFonts w:ascii="Times New Roman" w:hAnsi="Times New Roman" w:cs="Times New Roman"/>
        </w:rPr>
        <w:t>A key strength of modeled exposure metrics is their ability to capture chronic, low-dose exposure through drinking water</w:t>
      </w:r>
      <w:r w:rsidR="00D46D6A">
        <w:rPr>
          <w:rFonts w:ascii="Times New Roman" w:hAnsi="Times New Roman" w:cs="Times New Roman"/>
        </w:rPr>
        <w:t>,</w:t>
      </w:r>
      <w:r w:rsidR="009E37F5" w:rsidRPr="00335136">
        <w:rPr>
          <w:rFonts w:ascii="Times New Roman" w:hAnsi="Times New Roman" w:cs="Times New Roman"/>
        </w:rPr>
        <w:t xml:space="preserve"> </w:t>
      </w:r>
      <w:r w:rsidRPr="00EC3F80">
        <w:rPr>
          <w:rFonts w:ascii="Times New Roman" w:hAnsi="Times New Roman" w:cs="Times New Roman"/>
        </w:rPr>
        <w:t>an exposure pathway that is poorly characterized by occupational records or short-term biomonitoring. Modeled estimates can incorporate variability in agrochemical use, environmental transport, and water sourcing, thereby reducing non-differential exposure misclassification. Additionally, these approaches facilitate evaluation of exposure gradients and dose–response relationships, strengthening causal inference when consistent patterns are observed across models and populations</w:t>
      </w:r>
      <w:r w:rsidR="004F5F41">
        <w:rPr>
          <w:rFonts w:ascii="Times New Roman" w:hAnsi="Times New Roman" w:cs="Times New Roman"/>
        </w:rPr>
        <w:fldChar w:fldCharType="begin"/>
      </w:r>
      <w:r w:rsidR="00691FE4">
        <w:rPr>
          <w:rFonts w:ascii="Times New Roman" w:hAnsi="Times New Roman" w:cs="Times New Roman"/>
        </w:rPr>
        <w:instrText xml:space="preserve"> ADDIN ZOTERO_ITEM CSL_CITATION {"citationID":"bhFKdBNk","properties":{"formattedCitation":"(33)","plainCitation":"(33)","noteIndex":0},"citationItems":[{"id":14973,"uris":["http://zotero.org/users/16652950/items/EY6H45SI"],"itemData":{"id":14973,"type":"article-journal","abstract":"The increasing production and use of chemicals leads to a higher number of contaminants in (drinking) water sources, which poses significant challenges to those responsible for water quality. An important task for water companies and regulators is to ensure that (drinking) water quality does not compromise public health and confidence in water safety. A key component of this effort is toxicological risk assessment, which evaluates the safety of chemicals that may be present in water systems. Although there has been considerable progress in risk assessment methods, there is currently a lack of a clear approach to the risk assessment of chemicals in (drinking) water for which concentrations vary over time. In the current study, methods for the assessment of less than lifetime exposure (LTL) are presented that are particularly applicable for substances with time-varying concentrations in (drinking) water. The presented framework is a decision tree that helps experts to decide whether a measured or predicted LTL exposure to a chemical can lead to adverse health effects. To develop these methods, we used existing knowledge and incorporated new developments in toxicological risk assessment. A case study illustrates the application of the proposed approaches in a realistic scenario. The method can be used by risk assessors as a tool to improve the understanding of human exposure to contaminants in (drinking) water and to inform risk-based monitoring. In addition, it enables customised investigations and responses that lead to a more nuanced view of water quality and its impact on public health.","container-title":"Archives of Toxicology","DOI":"10.1007/s00204-025-04061-9","ISSN":"1432-0738","issue":"8","journalAbbreviation":"Arch Toxicol","language":"en","page":"3147-3168","source":"Springer Link","title":"A framework for evaluating less-than-lifetime exposures: advancing toxicological risk assessment for drinking water quality","title-short":"A framework for evaluating less-than-lifetime exposures","volume":"99","author":[{"family":"Majid","given":"Sanah"},{"family":"Reus","given":"Astrid"},{"family":"Hoondert","given":"Renske"},{"family":"Blokker","given":"Mirjam"},{"family":"Dash","given":"Amitosh"},{"family":"Houtman","given":"Corine"},{"family":"Schriks","given":"Merijn"},{"family":"Dingemans","given":"Milou M. L."}],"issued":{"date-parts":[["2025",8,1]]}}}],"schema":"https://github.com/citation-style-language/schema/raw/master/csl-citation.json"} </w:instrText>
      </w:r>
      <w:r w:rsidR="004F5F41">
        <w:rPr>
          <w:rFonts w:ascii="Times New Roman" w:hAnsi="Times New Roman" w:cs="Times New Roman"/>
        </w:rPr>
        <w:fldChar w:fldCharType="separate"/>
      </w:r>
      <w:r w:rsidR="00691FE4" w:rsidRPr="00691FE4">
        <w:rPr>
          <w:rFonts w:ascii="Times New Roman" w:hAnsi="Times New Roman" w:cs="Times New Roman"/>
        </w:rPr>
        <w:t>(33)</w:t>
      </w:r>
      <w:r w:rsidR="004F5F41">
        <w:rPr>
          <w:rFonts w:ascii="Times New Roman" w:hAnsi="Times New Roman" w:cs="Times New Roman"/>
        </w:rPr>
        <w:fldChar w:fldCharType="end"/>
      </w:r>
      <w:r w:rsidRPr="00EC3F80">
        <w:rPr>
          <w:rFonts w:ascii="Times New Roman" w:hAnsi="Times New Roman" w:cs="Times New Roman"/>
        </w:rPr>
        <w:t>.</w:t>
      </w:r>
    </w:p>
    <w:p w14:paraId="29C895A3" w14:textId="77777777" w:rsidR="00EC3F80" w:rsidRPr="00EC3F80" w:rsidRDefault="00EC3F80" w:rsidP="00EC3F80">
      <w:pPr>
        <w:rPr>
          <w:rFonts w:ascii="Times New Roman" w:hAnsi="Times New Roman" w:cs="Times New Roman"/>
          <w:b/>
          <w:bCs/>
        </w:rPr>
      </w:pPr>
      <w:r w:rsidRPr="00EC3F80">
        <w:rPr>
          <w:rFonts w:ascii="Times New Roman" w:hAnsi="Times New Roman" w:cs="Times New Roman"/>
          <w:b/>
          <w:bCs/>
        </w:rPr>
        <w:t>5.2 Chronic Disease Outcomes Reviewed</w:t>
      </w:r>
    </w:p>
    <w:p w14:paraId="0F2146CA" w14:textId="77777777" w:rsidR="00EC3F80" w:rsidRPr="00EC3F80" w:rsidRDefault="00EC3F80" w:rsidP="00EC3F80">
      <w:pPr>
        <w:rPr>
          <w:rFonts w:ascii="Times New Roman" w:hAnsi="Times New Roman" w:cs="Times New Roman"/>
        </w:rPr>
      </w:pPr>
      <w:r w:rsidRPr="00EC3F80">
        <w:rPr>
          <w:rFonts w:ascii="Times New Roman" w:hAnsi="Times New Roman" w:cs="Times New Roman"/>
        </w:rPr>
        <w:t>A substantial body of epidemiologic research has linked modeled drinking water contamination to cancer outcomes in agricultural populations. Hematologic cancers, including non-Hodgkin lymphoma and leukemia, have been among the most frequently studied, reflecting both biologic plausibility and historical concerns related to pesticide exposure. Associations have also been reported for prostate and breast cancer, particularly in regions with intensive herbicide and nitrate contamination, although findings vary by study design and exposure metric</w:t>
      </w:r>
      <w:r w:rsidR="004F5F41">
        <w:rPr>
          <w:rFonts w:ascii="Times New Roman" w:hAnsi="Times New Roman" w:cs="Times New Roman"/>
        </w:rPr>
        <w:fldChar w:fldCharType="begin"/>
      </w:r>
      <w:r w:rsidR="00691FE4">
        <w:rPr>
          <w:rFonts w:ascii="Times New Roman" w:hAnsi="Times New Roman" w:cs="Times New Roman"/>
        </w:rPr>
        <w:instrText xml:space="preserve"> ADDIN ZOTERO_ITEM CSL_CITATION {"citationID":"bzfAkBJO","properties":{"formattedCitation":"(34)","plainCitation":"(34)","noteIndex":0},"citationItems":[{"id":14976,"uris":["http://zotero.org/users/16652950/items/NIFTELKC"],"itemData":{"id":14976,"type":"article-journal","abstract":"Although cancer biology has advanced considerably, the impact of environmental toxins on carcinogenesis remains underrecognized and scattered across d...","container-title":"Journal of Xenobiotics","DOI":"10.3390/jox16010002","ISSN":"2039-4713","issue":"1","language":"en","license":"http://creativecommons.org/licenses/by/3.0/","note":"Company: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publisher","source":"www.mdpi.com","title":"Cancer and Environmental Xenobiotics: Mechanisms, Controversies, and Innovations","title-short":"Cancer and Environmental Xenobiotics","URL":"https://www.mdpi.com/2039-4713/16/1/2","volume":"16","author":[{"family":"Mafe","given":"Alice N."},{"family":"Büsselberg","given":"Dietrich"}],"accessed":{"date-parts":[["2026",2,18]]},"issued":{"date-parts":[["2025",12,19]]}}}],"schema":"https://github.com/citation-style-language/schema/raw/master/csl-citation.json"} </w:instrText>
      </w:r>
      <w:r w:rsidR="004F5F41">
        <w:rPr>
          <w:rFonts w:ascii="Times New Roman" w:hAnsi="Times New Roman" w:cs="Times New Roman"/>
        </w:rPr>
        <w:fldChar w:fldCharType="separate"/>
      </w:r>
      <w:r w:rsidR="00691FE4" w:rsidRPr="00691FE4">
        <w:rPr>
          <w:rFonts w:ascii="Times New Roman" w:hAnsi="Times New Roman" w:cs="Times New Roman"/>
        </w:rPr>
        <w:t>(34)</w:t>
      </w:r>
      <w:r w:rsidR="004F5F41">
        <w:rPr>
          <w:rFonts w:ascii="Times New Roman" w:hAnsi="Times New Roman" w:cs="Times New Roman"/>
        </w:rPr>
        <w:fldChar w:fldCharType="end"/>
      </w:r>
      <w:r w:rsidRPr="00EC3F80">
        <w:rPr>
          <w:rFonts w:ascii="Times New Roman" w:hAnsi="Times New Roman" w:cs="Times New Roman"/>
        </w:rPr>
        <w:t>.</w:t>
      </w:r>
    </w:p>
    <w:p w14:paraId="0AA56C2F" w14:textId="77777777" w:rsidR="00EC3F80" w:rsidRPr="00EC3F80" w:rsidRDefault="00EC3F80" w:rsidP="00EC3F80">
      <w:pPr>
        <w:rPr>
          <w:rFonts w:ascii="Times New Roman" w:hAnsi="Times New Roman" w:cs="Times New Roman"/>
        </w:rPr>
      </w:pPr>
      <w:r w:rsidRPr="00EC3F80">
        <w:rPr>
          <w:rFonts w:ascii="Times New Roman" w:hAnsi="Times New Roman" w:cs="Times New Roman"/>
        </w:rPr>
        <w:t>Neurologic outcomes represent another area of growing concern. Modeled exposure to pesticides in drinking water has been associated with increased risk of Parkinson’s disease, consistent with mechanistic evidence of dopaminergic neurotoxicity. Emerging studies have also explored cognitive decline and other neurobehavioral outcomes, though evidence remains less consistent, reflecting challenges in outcome ascertainment and long latency periods</w:t>
      </w:r>
      <w:r w:rsidR="004F5F41">
        <w:rPr>
          <w:rFonts w:ascii="Times New Roman" w:hAnsi="Times New Roman" w:cs="Times New Roman"/>
        </w:rPr>
        <w:fldChar w:fldCharType="begin"/>
      </w:r>
      <w:r w:rsidR="00691FE4">
        <w:rPr>
          <w:rFonts w:ascii="Times New Roman" w:hAnsi="Times New Roman" w:cs="Times New Roman"/>
        </w:rPr>
        <w:instrText xml:space="preserve"> ADDIN ZOTERO_ITEM CSL_CITATION {"citationID":"NkziaJWE","properties":{"formattedCitation":"(35)","plainCitation":"(35)","noteIndex":0},"citationItems":[{"id":14978,"uris":["http://zotero.org/users/16652950/items/IZVRS6AV"],"itemData":{"id":14978,"type":"article-journal","abstract":"Arsenic in drinking water has been recognized as carcinogenic to humans and can cause solid cancers of lung, urinary bladder, and skin. Positive associations have also been reported between arsenic ingestion and cancers of kidney, liver and prostate. Nevertheless, arsenic trioxide has been used successfully in the treatment of acute promyelocytic leukemia. Therefore, arsenic might play different roles in the carcinogenesis of solid cancers and hematologic malignancies. The relationship between arsenic in drinking water and the incidences of hematologic malignancies has not been fully investigated. We established a cohort of Taiwanese population and assorted 319 townships of Taiwan into two exposure categories using 0.05 mg/L as the cutoff. Then, we linked these data to the Taiwan Cancer Registry and computed standardized incidence ratios (SIRs) of lymphoma and leukemia by sex, exposure category and time period. The trend of changes in the SIRs over time was assessed, from 1981‒1990 to 1991‒2000 and then to 2001‒2010. We found that in both lymphoma and leukemia, the higher exposure category was associated with lower SIRs in both men and women. In terms of time trends, the SIRs in both lymphoma and leukemia showed decreasing trends in both sexes, while exposure to arsenic in drinking water also decreased over time. The arsenic level in drinking water was negatively associated with the incidences of lymphoma and leukemia in both men and women. This study supports the dual effects of arsenic on carcinogenesis, with a potential protective effect against hematologic malignancies.","container-title":"Frontiers in Public Health","DOI":"10.3389/fpubh.2022.863882","ISSN":"2296-2565","journalAbbreviation":"Front. Public Health","language":"English","note":"publisher: Frontiers","source":"Frontiers","title":"Arsenic in Drinking Water and Incidences of Leukemia and Lymphoma: Implication for Its Dual Effects in Carcinogenicity","title-short":"Arsenic in Drinking Water and Incidences of Leukemia and Lymphoma","URL":"https://www.frontiersin.org/journals/public-health/articles/10.3389/fpubh.2022.863882/full","volume":"10","author":[{"family":"Lin","given":"Ming-Hsien"},{"family":"Li","given":"Chung-Yi"},{"family":"Cheng","given":"Ya-Yun"},{"family":"Guo","given":"How-Ran"}],"accessed":{"date-parts":[["2026",2,18]]},"issued":{"date-parts":[["2022",4,29]]}}}],"schema":"https://github.com/citation-style-language/schema/raw/master/csl-citation.json"} </w:instrText>
      </w:r>
      <w:r w:rsidR="004F5F41">
        <w:rPr>
          <w:rFonts w:ascii="Times New Roman" w:hAnsi="Times New Roman" w:cs="Times New Roman"/>
        </w:rPr>
        <w:fldChar w:fldCharType="separate"/>
      </w:r>
      <w:r w:rsidR="00691FE4" w:rsidRPr="00691FE4">
        <w:rPr>
          <w:rFonts w:ascii="Times New Roman" w:hAnsi="Times New Roman" w:cs="Times New Roman"/>
        </w:rPr>
        <w:t>(35)</w:t>
      </w:r>
      <w:r w:rsidR="004F5F41">
        <w:rPr>
          <w:rFonts w:ascii="Times New Roman" w:hAnsi="Times New Roman" w:cs="Times New Roman"/>
        </w:rPr>
        <w:fldChar w:fldCharType="end"/>
      </w:r>
      <w:r w:rsidRPr="00EC3F80">
        <w:rPr>
          <w:rFonts w:ascii="Times New Roman" w:hAnsi="Times New Roman" w:cs="Times New Roman"/>
        </w:rPr>
        <w:t>.</w:t>
      </w:r>
    </w:p>
    <w:p w14:paraId="0733EE6A" w14:textId="77777777" w:rsidR="00EC3F80" w:rsidRPr="00EC3F80" w:rsidRDefault="00EC3F80" w:rsidP="00EC3F80">
      <w:pPr>
        <w:rPr>
          <w:rFonts w:ascii="Times New Roman" w:hAnsi="Times New Roman" w:cs="Times New Roman"/>
        </w:rPr>
      </w:pPr>
      <w:r w:rsidRPr="00EC3F80">
        <w:rPr>
          <w:rFonts w:ascii="Times New Roman" w:hAnsi="Times New Roman" w:cs="Times New Roman"/>
        </w:rPr>
        <w:t>Endocrine and metabolic diseases, including thyroid dysfunction, diabetes, and obesity-related outcomes, have been examined in relation to agrochemical-contaminated drinking water. Compounds with endocrine-disrupting properties, such as atrazine and certain organophosphates, are of particular interest. While associations have been reported, especially for nitrate exposure and metabolic outcomes, heterogeneity in exposure assessment and confounder control complicates interpretation</w:t>
      </w:r>
      <w:r w:rsidR="004F5F41">
        <w:rPr>
          <w:rFonts w:ascii="Times New Roman" w:hAnsi="Times New Roman" w:cs="Times New Roman"/>
        </w:rPr>
        <w:fldChar w:fldCharType="begin"/>
      </w:r>
      <w:r w:rsidR="00691FE4">
        <w:rPr>
          <w:rFonts w:ascii="Times New Roman" w:hAnsi="Times New Roman" w:cs="Times New Roman"/>
        </w:rPr>
        <w:instrText xml:space="preserve"> ADDIN ZOTERO_ITEM CSL_CITATION {"citationID":"kUnHCg7s","properties":{"formattedCitation":"(36)","plainCitation":"(36)","noteIndex":0},"citationItems":[{"id":14981,"uris":["http://zotero.org/users/16652950/items/VF6JL9IA"],"itemData":{"id":14981,"type":"article-journal","abstract":"Endocrine-disrupting compounds (EDCs) as emerging contaminants have accumulated in the aquatic environment at concentration levels that have been dete...","container-title":"Water","DOI":"10.3390/w13101347","ISSN":"2073-4441","issue":"10","language":"en","license":"http://creativecommons.org/licenses/by/3.0/","note":"Company: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publisher","source":"www.mdpi.com","title":"Endocrine-Disrupting Compounds: An Overview on Their Occurrence in the Aquatic Environment and Human Exposure","title-short":"Endocrine-Disrupting Compounds","URL":"https://www.mdpi.com/2073-4441/13/10/1347","volume":"13","author":[{"family":"Pironti","given":"Concetta"},{"family":"Ricciardi","given":"Maria"},{"family":"Proto","given":"Antonio"},{"family":"Bianco","given":"Pietro Massimiliano"},{"family":"Montano","given":"Luigi"},{"family":"Motta","given":"Oriana"}],"accessed":{"date-parts":[["2026",2,18]]},"issued":{"date-parts":[["2021",5,11]]}}}],"schema":"https://github.com/citation-style-language/schema/raw/master/csl-citation.json"} </w:instrText>
      </w:r>
      <w:r w:rsidR="004F5F41">
        <w:rPr>
          <w:rFonts w:ascii="Times New Roman" w:hAnsi="Times New Roman" w:cs="Times New Roman"/>
        </w:rPr>
        <w:fldChar w:fldCharType="separate"/>
      </w:r>
      <w:r w:rsidR="00691FE4" w:rsidRPr="00691FE4">
        <w:rPr>
          <w:rFonts w:ascii="Times New Roman" w:hAnsi="Times New Roman" w:cs="Times New Roman"/>
        </w:rPr>
        <w:t>(36)</w:t>
      </w:r>
      <w:r w:rsidR="004F5F41">
        <w:rPr>
          <w:rFonts w:ascii="Times New Roman" w:hAnsi="Times New Roman" w:cs="Times New Roman"/>
        </w:rPr>
        <w:fldChar w:fldCharType="end"/>
      </w:r>
      <w:r w:rsidRPr="00EC3F80">
        <w:rPr>
          <w:rFonts w:ascii="Times New Roman" w:hAnsi="Times New Roman" w:cs="Times New Roman"/>
        </w:rPr>
        <w:t>.</w:t>
      </w:r>
    </w:p>
    <w:p w14:paraId="6E4E19D8" w14:textId="77777777" w:rsidR="00EC3F80" w:rsidRPr="00EC3F80" w:rsidRDefault="00EC3F80" w:rsidP="00EC3F80">
      <w:pPr>
        <w:rPr>
          <w:rFonts w:ascii="Times New Roman" w:hAnsi="Times New Roman" w:cs="Times New Roman"/>
        </w:rPr>
      </w:pPr>
      <w:r w:rsidRPr="00EC3F80">
        <w:rPr>
          <w:rFonts w:ascii="Times New Roman" w:hAnsi="Times New Roman" w:cs="Times New Roman"/>
        </w:rPr>
        <w:t>Renal outcomes, including chronic kidney disease, have received comparatively less attention but are increasingly recognized as relevant in agricultural settings. Drinking water contamination with nitrates and pesticide mixtures may contribute to cumulative nephrotoxic effects, particularly in populations with long-term exposure and limited access to preventive healthcare.</w:t>
      </w:r>
    </w:p>
    <w:p w14:paraId="45425C4B" w14:textId="77777777" w:rsidR="00EC3F80" w:rsidRPr="00EC3F80" w:rsidRDefault="00EC3F80" w:rsidP="00EC3F80">
      <w:pPr>
        <w:rPr>
          <w:rFonts w:ascii="Times New Roman" w:hAnsi="Times New Roman" w:cs="Times New Roman"/>
          <w:b/>
          <w:bCs/>
        </w:rPr>
      </w:pPr>
      <w:r w:rsidRPr="00EC3F80">
        <w:rPr>
          <w:rFonts w:ascii="Times New Roman" w:hAnsi="Times New Roman" w:cs="Times New Roman"/>
          <w:b/>
          <w:bCs/>
        </w:rPr>
        <w:t>5.3 Evidence Synthesis</w:t>
      </w:r>
    </w:p>
    <w:p w14:paraId="1DDB8795" w14:textId="77777777" w:rsidR="00EC3F80" w:rsidRPr="00EC3F80" w:rsidRDefault="00EC3F80" w:rsidP="00EC3F80">
      <w:pPr>
        <w:rPr>
          <w:rFonts w:ascii="Times New Roman" w:hAnsi="Times New Roman" w:cs="Times New Roman"/>
        </w:rPr>
      </w:pPr>
      <w:r w:rsidRPr="00EC3F80">
        <w:rPr>
          <w:rFonts w:ascii="Times New Roman" w:hAnsi="Times New Roman" w:cs="Times New Roman"/>
        </w:rPr>
        <w:t xml:space="preserve">Across disease categories, the epidemiologic evidence linking modeled drinking water exposure to chronic disease risk shows both consistency and variability. Stronger and more consistent associations tend to emerge in studies that incorporate long-term exposure reconstruction, </w:t>
      </w:r>
      <w:r w:rsidRPr="00EC3F80">
        <w:rPr>
          <w:rFonts w:ascii="Times New Roman" w:hAnsi="Times New Roman" w:cs="Times New Roman"/>
        </w:rPr>
        <w:lastRenderedPageBreak/>
        <w:t>account for latency, and focus on populations with sustained reliance on private wells. In contrast, studies using short exposure windows or coarse spatial resolution often report weaker or null findings, likely reflecting exposure misclassification.</w:t>
      </w:r>
    </w:p>
    <w:p w14:paraId="09ED2CE8" w14:textId="77777777" w:rsidR="00EC3F80" w:rsidRPr="00EC3F80" w:rsidRDefault="00EC3F80" w:rsidP="00EC3F80">
      <w:pPr>
        <w:rPr>
          <w:rFonts w:ascii="Times New Roman" w:hAnsi="Times New Roman" w:cs="Times New Roman"/>
        </w:rPr>
      </w:pPr>
      <w:r w:rsidRPr="00EC3F80">
        <w:rPr>
          <w:rFonts w:ascii="Times New Roman" w:hAnsi="Times New Roman" w:cs="Times New Roman"/>
        </w:rPr>
        <w:t>Exposure–response patterns provide important insights into potential causal relationships. Several studies have reported monotonic increases in disease risk across modeled exposure categories, particularly for nitrates and select herbicides. These gradients are more apparent when cumulative exposure metrics are used, underscoring the importance of duration and intensity in shaping chronic disease risk</w:t>
      </w:r>
      <w:r w:rsidR="00BC0F58">
        <w:rPr>
          <w:rFonts w:ascii="Times New Roman" w:hAnsi="Times New Roman" w:cs="Times New Roman"/>
        </w:rPr>
        <w:fldChar w:fldCharType="begin"/>
      </w:r>
      <w:r w:rsidR="00691FE4">
        <w:rPr>
          <w:rFonts w:ascii="Times New Roman" w:hAnsi="Times New Roman" w:cs="Times New Roman"/>
        </w:rPr>
        <w:instrText xml:space="preserve"> ADDIN ZOTERO_ITEM CSL_CITATION {"citationID":"9Lpacrxa","properties":{"formattedCitation":"(37)","plainCitation":"(37)","noteIndex":0},"citationItems":[{"id":14983,"uris":["http://zotero.org/users/16652950/items/9EJELLY9"],"itemData":{"id":14983,"type":"article-journal","abstract":"Pesticides are widely used to control pests, but their widespread use raises concerns regarding potential health risks for humans. There are several routes through which pesticides can be ingested, inhaled, and absorbed, resulting in acute and long-term health consequences. This systematic review synthesizes the available evidence regarding the health risks and long-term effects of pesticide exposure, with a particular focus on epidemiological and toxicological studies. A systematic review was conducted by searching scientific databases i.e. Scopus, and Web of Science for peer-reviewed articles published between 2000 and 2024. Studies were selected based on their focus on pesticide exposure, health risks, and long-term effects. Meta-analysis was conducted where sufficient homogeneity of outcomes allowed. This review identified consistent associations between chronic pesticide exposure and non-communicable diseases, including cancer, neurological disorders, and endocrine disruptions. An increased incidence of respiratory issues and neurodegenerative diseases was often associated with occupational exposure to pesticides. People exposed for a prolonged or high intensity time period, particularly agricultural workers, were more likely to experience long-term health effects. There are a number of factors that influences the ability to draw definitive conclusions, including variations in pesticide types, exposure levels, and health outcomes. Chronic exposure to pesticides presents significant health risks, particularly for individuals in high-exposure environments like agriculture. While evidence indicates strong associations with several long-term health conditions, additional research is necessary to elucidate dose-response relationships and mechanisms of action. This review underscores the necessity for enhanced regulatory measures and improved safety protocols to mitigate pesticide-related health risks., •Pesticide exposure raises health risks, including cancer and neurological issues.•Occupational exposure raises health risks due to prolonged pesticide contact.•Long-term pesticide effects from low-dose exposure through inhalation and ingestion.•Regulations and safety protocols are key to reducing health risks from pesticides.","container-title":"Toxicology Reports","DOI":"10.1016/j.toxrep.2024.101840","ISSN":"2214-7500","journalAbbreviation":"Toxicol Rep","note":"PMID: 39717852\nPMCID: PMC11664077","page":"101840","source":"PubMed Central","title":"A systematic review of pesticide exposure, associated risks, and long-term human health impacts","volume":"13","author":[{"family":"Shekhar","given":"Chander"},{"family":"Khosya","given":"Reetu"},{"family":"Thakur","given":"Kushal"},{"family":"Mahajan","given":"Danish"},{"family":"Kumar","given":"Rakesh"},{"family":"Kumar","given":"Sunil"},{"family":"Sharma","given":"Amit Kumar"}],"issued":{"date-parts":[["2024",11,30]]}}}],"schema":"https://github.com/citation-style-language/schema/raw/master/csl-citation.json"} </w:instrText>
      </w:r>
      <w:r w:rsidR="00BC0F58">
        <w:rPr>
          <w:rFonts w:ascii="Times New Roman" w:hAnsi="Times New Roman" w:cs="Times New Roman"/>
        </w:rPr>
        <w:fldChar w:fldCharType="separate"/>
      </w:r>
      <w:r w:rsidR="00691FE4" w:rsidRPr="00691FE4">
        <w:rPr>
          <w:rFonts w:ascii="Times New Roman" w:hAnsi="Times New Roman" w:cs="Times New Roman"/>
        </w:rPr>
        <w:t>(37)</w:t>
      </w:r>
      <w:r w:rsidR="00BC0F58">
        <w:rPr>
          <w:rFonts w:ascii="Times New Roman" w:hAnsi="Times New Roman" w:cs="Times New Roman"/>
        </w:rPr>
        <w:fldChar w:fldCharType="end"/>
      </w:r>
      <w:r w:rsidRPr="00EC3F80">
        <w:rPr>
          <w:rFonts w:ascii="Times New Roman" w:hAnsi="Times New Roman" w:cs="Times New Roman"/>
        </w:rPr>
        <w:t>.</w:t>
      </w:r>
    </w:p>
    <w:p w14:paraId="6AE08896" w14:textId="77777777" w:rsidR="00EC3F80" w:rsidRPr="00EC3F80" w:rsidRDefault="00EC3F80" w:rsidP="00EC3F80">
      <w:pPr>
        <w:rPr>
          <w:rFonts w:ascii="Times New Roman" w:hAnsi="Times New Roman" w:cs="Times New Roman"/>
        </w:rPr>
      </w:pPr>
      <w:r w:rsidRPr="00EC3F80">
        <w:rPr>
          <w:rFonts w:ascii="Times New Roman" w:hAnsi="Times New Roman" w:cs="Times New Roman"/>
        </w:rPr>
        <w:t xml:space="preserve">Conflicting findings across studies often reflect methodological differences rather than </w:t>
      </w:r>
      <w:r w:rsidR="00D46D6A">
        <w:rPr>
          <w:rFonts w:ascii="Times New Roman" w:hAnsi="Times New Roman" w:cs="Times New Roman"/>
        </w:rPr>
        <w:t xml:space="preserve">the </w:t>
      </w:r>
      <w:r w:rsidRPr="00EC3F80">
        <w:rPr>
          <w:rFonts w:ascii="Times New Roman" w:hAnsi="Times New Roman" w:cs="Times New Roman"/>
        </w:rPr>
        <w:t>true absence of effect. Variability in modeling approaches, outcome definitions, and confounder adjustment complicates direct comparison. Nevertheless, the overall pattern of evidence suggests that long-term, low-level drinking water contamination contributes meaningfully to chronic disease risk in farming populations, particularly when exposure is sustained over decades</w:t>
      </w:r>
      <w:r w:rsidR="002D4A85">
        <w:rPr>
          <w:rFonts w:ascii="Times New Roman" w:hAnsi="Times New Roman" w:cs="Times New Roman"/>
        </w:rPr>
        <w:fldChar w:fldCharType="begin"/>
      </w:r>
      <w:r w:rsidR="00691FE4">
        <w:rPr>
          <w:rFonts w:ascii="Times New Roman" w:hAnsi="Times New Roman" w:cs="Times New Roman"/>
        </w:rPr>
        <w:instrText xml:space="preserve"> ADDIN ZOTERO_ITEM CSL_CITATION {"citationID":"P4n1sNJJ","properties":{"formattedCitation":"(38)","plainCitation":"(38)","noteIndex":0},"citationItems":[{"id":14986,"uris":["http://zotero.org/users/16652950/items/BV47LAP2"],"itemData":{"id":14986,"type":"article-journal","abstract":"Purpose\nConfounding adjustment is required to estimate the effect of an exposure on an outcome in observational studies. However, variable selection and unmeasured confounding are particularly challenging when analyzing large healthcare data. Machine learning methods may help address these challenges. The objective was to evaluate the capacity of such methods to select confounders and reduce unmeasured confounding bias.\n\nMethods\nA simulation study with known true effects was conducted. Completely synthetic and partially synthetic data incorporating real large healthcare data were generated. We compared Bayesian adjustment for confounding (BAC), generalized Bayesian causal effect estimation (GBCEE), Group Lasso and Doubly robust estimation, high‐dimensional propensity score (hdPS), and scalable collaborative targeted maximum likelihood algorithms. For the hdPS, two adjustment approaches targeting the effect in the whole population were considered: Full matching and inverse probability weighting.\n\nResults\nIn scenarios without hidden confounders, most methods were essentially unbiased. The bias and variance of the hdPS varied considerably according to the number of variables selected by the algorithm. In scenarios with hidden confounders, substantial bias reduction was achieved by using machine‐learning methods to identify proxies as compared to adjusting only by observed confounders. hdPS and Group Lasso performed poorly in the partially synthetic simulation. BAC, GBCEE, and scalable collaborative‐targeted maximum likelihood algorithms performed particularly well.\n\nConclusions\nMachine learning can help to identify measured confounders in large healthcare databases. They can also capitalize on proxies of unmeasured confounders to substantially reduce residual confounding bias.","container-title":"Pharmacoepidemiology and Drug Safety","DOI":"10.1002/pds.5403","ISSN":"1053-8569","issue":"4","journalAbbreviation":"Pharmacoepidemiol Drug Saf","note":"PMID: 34953160\nPMCID: PMC9304306","page":"424-433","source":"PubMed Central","title":"A comparison of confounder selection and adjustment methods for estimating causal effects using large healthcare databases","volume":"31","author":[{"family":"Benasseur","given":"Imane"},{"family":"Talbot","given":"Denis"},{"family":"Durand","given":"Madeleine"},{"family":"Holbrook","given":"Anne"},{"family":"Matteau","given":"Alexis"},{"family":"Potter","given":"Brian J."},{"family":"Renoux","given":"Christel"},{"family":"Schnitzer","given":"Mireille E."},{"family":"Tarride","given":"Jean‐Éric"},{"family":"Guertin","given":"Jason R."}],"issued":{"date-parts":[["2022",4]]}}}],"schema":"https://github.com/citation-style-language/schema/raw/master/csl-citation.json"} </w:instrText>
      </w:r>
      <w:r w:rsidR="002D4A85">
        <w:rPr>
          <w:rFonts w:ascii="Times New Roman" w:hAnsi="Times New Roman" w:cs="Times New Roman"/>
        </w:rPr>
        <w:fldChar w:fldCharType="separate"/>
      </w:r>
      <w:r w:rsidR="00691FE4" w:rsidRPr="00691FE4">
        <w:rPr>
          <w:rFonts w:ascii="Times New Roman" w:hAnsi="Times New Roman" w:cs="Times New Roman"/>
        </w:rPr>
        <w:t>(38)</w:t>
      </w:r>
      <w:r w:rsidR="002D4A85">
        <w:rPr>
          <w:rFonts w:ascii="Times New Roman" w:hAnsi="Times New Roman" w:cs="Times New Roman"/>
        </w:rPr>
        <w:fldChar w:fldCharType="end"/>
      </w:r>
      <w:r w:rsidRPr="00EC3F80">
        <w:rPr>
          <w:rFonts w:ascii="Times New Roman" w:hAnsi="Times New Roman" w:cs="Times New Roman"/>
        </w:rPr>
        <w:t>.</w:t>
      </w:r>
      <w:r w:rsidRPr="00335136">
        <w:rPr>
          <w:rFonts w:ascii="Times New Roman" w:hAnsi="Times New Roman" w:cs="Times New Roman"/>
        </w:rPr>
        <w:t xml:space="preserve"> T</w:t>
      </w:r>
      <w:r w:rsidRPr="00EC3F80">
        <w:rPr>
          <w:rFonts w:ascii="Times New Roman" w:hAnsi="Times New Roman" w:cs="Times New Roman"/>
          <w:i/>
          <w:iCs/>
        </w:rPr>
        <w:t>o clarify how exposure modeling is operationalized in epidemiologic research, Figure 2 schematically depicts the pathways linking environmental contamination models to chronic disease outcomes.</w:t>
      </w:r>
    </w:p>
    <w:p w14:paraId="42E4C732" w14:textId="77777777" w:rsidR="00EC3F80" w:rsidRPr="00335136" w:rsidRDefault="00EC3F80">
      <w:pPr>
        <w:rPr>
          <w:rFonts w:ascii="Times New Roman" w:hAnsi="Times New Roman" w:cs="Times New Roman"/>
        </w:rPr>
      </w:pPr>
    </w:p>
    <w:p w14:paraId="5DBAA7CC" w14:textId="77777777" w:rsidR="00EA54A4" w:rsidRPr="00EA54A4" w:rsidRDefault="00EA54A4" w:rsidP="00EA54A4">
      <w:pPr>
        <w:rPr>
          <w:rFonts w:ascii="Times New Roman" w:hAnsi="Times New Roman" w:cs="Times New Roman"/>
          <w:b/>
          <w:bCs/>
        </w:rPr>
      </w:pPr>
      <w:r w:rsidRPr="00335136">
        <w:rPr>
          <w:rFonts w:ascii="Times New Roman" w:hAnsi="Times New Roman" w:cs="Times New Roman"/>
          <w:noProof/>
        </w:rPr>
        <w:drawing>
          <wp:inline distT="0" distB="0" distL="0" distR="0" wp14:anchorId="5D75395F" wp14:editId="7526CD39">
            <wp:extent cx="5943600" cy="3962400"/>
            <wp:effectExtent l="0" t="0" r="0" b="0"/>
            <wp:docPr id="1226638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638362" name="Picture 122663836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Pr="00335136">
        <w:rPr>
          <w:rFonts w:ascii="Times New Roman" w:hAnsi="Times New Roman" w:cs="Times New Roman"/>
          <w:b/>
          <w:bCs/>
        </w:rPr>
        <w:t xml:space="preserve">Figure 2. Linking Modeled Drinking Water Agrochemical Exposure to Chronic Disease Risk. </w:t>
      </w:r>
      <w:r w:rsidRPr="00EA54A4">
        <w:rPr>
          <w:rFonts w:ascii="Times New Roman" w:hAnsi="Times New Roman" w:cs="Times New Roman"/>
        </w:rPr>
        <w:t xml:space="preserve"> Conceptual overview of how modeled agrochemical contamination in drinking water is </w:t>
      </w:r>
      <w:r w:rsidRPr="00EA54A4">
        <w:rPr>
          <w:rFonts w:ascii="Times New Roman" w:hAnsi="Times New Roman" w:cs="Times New Roman"/>
        </w:rPr>
        <w:lastRenderedPageBreak/>
        <w:t>translated into epidemiologic exposure metrics and linked to chronic disease outcomes. Environmental fate, spatial, and temporal models generate estimates of long-term drinking water contamination, which are assigned to residential locations and incorporated into cohort and case–control analyses to estimate risks of cancer, neurologic, endocrine, metabolic, renal, and cardiometabolic diseases.</w:t>
      </w:r>
    </w:p>
    <w:p w14:paraId="5CC426C2" w14:textId="77777777" w:rsidR="00EA54A4" w:rsidRPr="00335136" w:rsidRDefault="00EA54A4">
      <w:pPr>
        <w:rPr>
          <w:rFonts w:ascii="Times New Roman" w:hAnsi="Times New Roman" w:cs="Times New Roman"/>
        </w:rPr>
      </w:pPr>
    </w:p>
    <w:p w14:paraId="6C0FBEA9" w14:textId="77777777" w:rsidR="00D332EB" w:rsidRPr="00D332EB" w:rsidRDefault="00D332EB" w:rsidP="00D332EB">
      <w:pPr>
        <w:rPr>
          <w:rFonts w:ascii="Times New Roman" w:hAnsi="Times New Roman" w:cs="Times New Roman"/>
          <w:b/>
          <w:bCs/>
        </w:rPr>
      </w:pPr>
      <w:r w:rsidRPr="00D332EB">
        <w:rPr>
          <w:rFonts w:ascii="Times New Roman" w:hAnsi="Times New Roman" w:cs="Times New Roman"/>
          <w:b/>
          <w:bCs/>
        </w:rPr>
        <w:t>6. Methodological Challenges and Sources of Uncertainty</w:t>
      </w:r>
    </w:p>
    <w:p w14:paraId="33123F99" w14:textId="77777777" w:rsidR="00D332EB" w:rsidRPr="00D332EB" w:rsidRDefault="00D332EB" w:rsidP="00D332EB">
      <w:pPr>
        <w:rPr>
          <w:rFonts w:ascii="Times New Roman" w:hAnsi="Times New Roman" w:cs="Times New Roman"/>
        </w:rPr>
      </w:pPr>
      <w:r w:rsidRPr="00D332EB">
        <w:rPr>
          <w:rFonts w:ascii="Times New Roman" w:hAnsi="Times New Roman" w:cs="Times New Roman"/>
        </w:rPr>
        <w:t>Despite advances in modeling agrochemical contamination of drinking water, important methodological challenges and sources of uncertainty remain. These limitations influence the precision of exposure estimates, the validity of epidemiologic associations, and the extent to which findings can inform policy and public health interventions.</w:t>
      </w:r>
    </w:p>
    <w:p w14:paraId="5E1EA121" w14:textId="77777777" w:rsidR="00D332EB" w:rsidRPr="00D332EB" w:rsidRDefault="00D332EB" w:rsidP="00D332EB">
      <w:pPr>
        <w:rPr>
          <w:rFonts w:ascii="Times New Roman" w:hAnsi="Times New Roman" w:cs="Times New Roman"/>
          <w:b/>
          <w:bCs/>
        </w:rPr>
      </w:pPr>
      <w:r w:rsidRPr="00D332EB">
        <w:rPr>
          <w:rFonts w:ascii="Times New Roman" w:hAnsi="Times New Roman" w:cs="Times New Roman"/>
          <w:b/>
          <w:bCs/>
        </w:rPr>
        <w:t>6.1 Exposure Misclassification</w:t>
      </w:r>
    </w:p>
    <w:p w14:paraId="581852F1" w14:textId="77777777" w:rsidR="00D332EB" w:rsidRPr="00D332EB" w:rsidRDefault="00D332EB" w:rsidP="00D332EB">
      <w:pPr>
        <w:rPr>
          <w:rFonts w:ascii="Times New Roman" w:hAnsi="Times New Roman" w:cs="Times New Roman"/>
        </w:rPr>
      </w:pPr>
      <w:r w:rsidRPr="00D332EB">
        <w:rPr>
          <w:rFonts w:ascii="Times New Roman" w:hAnsi="Times New Roman" w:cs="Times New Roman"/>
        </w:rPr>
        <w:t>Exposure misclassification is a central challenge in studies relying on modeled drinking water contamination. Substantial variability exists among private wells in terms of depth, construction, maintenance, and source aquifers, yet many models assign uniform exposure estimates within geographic units. This can obscure localized contamination patterns and lead to non-differential misclassification, particularly when monitoring data are sparse or absent. Additionally, episodic contamination events</w:t>
      </w:r>
      <w:r w:rsidR="001151DF">
        <w:rPr>
          <w:rFonts w:ascii="Times New Roman" w:hAnsi="Times New Roman" w:cs="Times New Roman"/>
        </w:rPr>
        <w:t xml:space="preserve"> </w:t>
      </w:r>
      <w:r w:rsidRPr="00D332EB">
        <w:rPr>
          <w:rFonts w:ascii="Times New Roman" w:hAnsi="Times New Roman" w:cs="Times New Roman"/>
        </w:rPr>
        <w:t>such as spikes following heavy rainfall or application periods</w:t>
      </w:r>
      <w:r w:rsidR="001151DF">
        <w:rPr>
          <w:rFonts w:ascii="Times New Roman" w:hAnsi="Times New Roman" w:cs="Times New Roman"/>
        </w:rPr>
        <w:t xml:space="preserve"> </w:t>
      </w:r>
      <w:r w:rsidRPr="00D332EB">
        <w:rPr>
          <w:rFonts w:ascii="Times New Roman" w:hAnsi="Times New Roman" w:cs="Times New Roman"/>
        </w:rPr>
        <w:t>may not be captured by models that emphasize long-term averages</w:t>
      </w:r>
      <w:r w:rsidR="001151DF">
        <w:rPr>
          <w:rFonts w:ascii="Times New Roman" w:hAnsi="Times New Roman" w:cs="Times New Roman"/>
        </w:rPr>
        <w:fldChar w:fldCharType="begin"/>
      </w:r>
      <w:r w:rsidR="00691FE4">
        <w:rPr>
          <w:rFonts w:ascii="Times New Roman" w:hAnsi="Times New Roman" w:cs="Times New Roman"/>
        </w:rPr>
        <w:instrText xml:space="preserve"> ADDIN ZOTERO_ITEM CSL_CITATION {"citationID":"b7ZYXDOK","properties":{"formattedCitation":"(39,40)","plainCitation":"(39,40)","noteIndex":0},"citationItems":[{"id":14989,"uris":["http://zotero.org/users/16652950/items/779YNVMH"],"itemData":{"id":14989,"type":"article-journal","abstract":"Background\nAdvances in drinking water infrastructure and treatment throughout the 20th and early 21st century dramatically improved water reliability and quality in the United States (US) and other parts of the world. However, numerous chemical contaminants from a range of anthropogenic and natural sources continue to pose chronic health concerns, even in countries with established drinking water regulations, such as the US.\n\nObjective/Methods\nIn this review, we summarize exposure risk profiles and health effects for seven legacy and emerging drinking water contaminants or contaminant groups: arsenic, disinfection by-products, fracking-related substances, lead, nitrate, per- and polyfluorinated alkyl substances (PFAS) and uranium. We begin with an overview of US public water systems, and US and global drinking water regulation. We end with a summary of cross-cutting challenges that burden US drinking water systems: aging and deteriorated water infrastructure, vulnerabilities for children in school and childcare facilities, climate change, disparities in access to safe and reliable drinking water, uneven enforcement of drinking water standards, inadequate health assessments, large numbers of chemicals within a class, a preponderance of small water systems, and issues facing US Indigenous communities.\n\nResults\nResearch and data on US drinking water contamination show that exposure profiles, health risks, and water quality reliability issues vary widely across populations, geographically and by contaminant. Factors include water source, local and regional features, aging water infrastructure, industrial or commercial activities, and social determinants. Understanding the risk profiles of different drinking water contaminants is necessary for anticipating local and general problems, ascertaining the state of drinking water resources, and developing mitigation strategies.\n\nImpact statement\nDrinking water contamination is widespread, even in the US. Exposure risk profiles vary by contaminant. Understanding the risk profiles of different drinking water contaminants is necessary for anticipating local and general public health problems, ascertaining the state of drinking water resources, and developing mitigation strategies.","container-title":"Journal of Exposure Science &amp; Environmental Epidemiology","DOI":"10.1038/s41370-023-00597-z","ISSN":"1559-0631","issue":"1","journalAbbreviation":"J Expo Sci Environ Epidemiol","note":"PMID: 37739995\nPMCID: PMC10907308","page":"3-22","source":"PubMed Central","title":"US drinking water quality: exposure risk profiles for seven legacy and emerging contaminants","title-short":"US drinking water quality","volume":"34","author":[{"family":"Levin","given":"Ronnie"},{"family":"Villanueva","given":"Cristina M."},{"family":"Beene","given":"Daniel"},{"family":"Cradock","given":"Angie L."},{"family":"Donat-Vargas","given":"Carolina"},{"family":"Lewis","given":"Johnnye"},{"family":"Martinez-Morata","given":"Irene"},{"family":"Minovi","given":"Darya"},{"family":"Nigra","given":"Anne E."},{"family":"Olson","given":"Erik D."},{"family":"Schaider","given":"Laurel A."},{"family":"Ward","given":"Mary H."},{"family":"Deziel","given":"Nicole C."}],"issued":{"date-parts":[["2024"]]}}},{"id":13680,"uris":["http://zotero.org/users/16652950/items/A6J6WYUL"],"itemData":{"id":13680,"type":"article-journal","abstract":"Geospatial methods are common in environmental exposure assessments and increasingly integrated with health data to generate comprehensive models of environmental impacts on public health.","container-title":"Journal of Exposure Science &amp; Environmental Epidemiology","DOI":"10.1038/s41370-024-00712-8","ISSN":"1559-064X","issue":"2","journalAbbreviation":"J Expo Sci Environ Epidemiol","language":"en","license":"2024 This is a U.S. Government work and not under copyright protection in the US; foreign copyright protection may apply","note":"publisher: Nature Publishing Group","page":"131-148","source":"www.nature.com","title":"A review of geospatial exposure models and approaches for health data integration","volume":"35","author":[{"family":"Clark","given":"Lara P."},{"family":"Zilber","given":"Daniel"},{"family":"Schmitt","given":"Charles"},{"family":"Fargo","given":"David C."},{"family":"Reif","given":"David M."},{"family":"Motsinger-Reif","given":"Alison A."},{"family":"Messier","given":"Kyle P."}],"issued":{"date-parts":[["2025",4]]}}}],"schema":"https://github.com/citation-style-language/schema/raw/master/csl-citation.json"} </w:instrText>
      </w:r>
      <w:r w:rsidR="001151DF">
        <w:rPr>
          <w:rFonts w:ascii="Times New Roman" w:hAnsi="Times New Roman" w:cs="Times New Roman"/>
        </w:rPr>
        <w:fldChar w:fldCharType="separate"/>
      </w:r>
      <w:r w:rsidR="00691FE4" w:rsidRPr="00691FE4">
        <w:rPr>
          <w:rFonts w:ascii="Times New Roman" w:hAnsi="Times New Roman" w:cs="Times New Roman"/>
        </w:rPr>
        <w:t>(39,40)</w:t>
      </w:r>
      <w:r w:rsidR="001151DF">
        <w:rPr>
          <w:rFonts w:ascii="Times New Roman" w:hAnsi="Times New Roman" w:cs="Times New Roman"/>
        </w:rPr>
        <w:fldChar w:fldCharType="end"/>
      </w:r>
      <w:r w:rsidRPr="00D332EB">
        <w:rPr>
          <w:rFonts w:ascii="Times New Roman" w:hAnsi="Times New Roman" w:cs="Times New Roman"/>
        </w:rPr>
        <w:t>.</w:t>
      </w:r>
    </w:p>
    <w:p w14:paraId="3832CD3B" w14:textId="77777777" w:rsidR="00D332EB" w:rsidRPr="00D332EB" w:rsidRDefault="00D332EB" w:rsidP="00D332EB">
      <w:pPr>
        <w:rPr>
          <w:rFonts w:ascii="Times New Roman" w:hAnsi="Times New Roman" w:cs="Times New Roman"/>
        </w:rPr>
      </w:pPr>
      <w:r w:rsidRPr="00D332EB">
        <w:rPr>
          <w:rFonts w:ascii="Times New Roman" w:hAnsi="Times New Roman" w:cs="Times New Roman"/>
        </w:rPr>
        <w:t>Unmeasured contaminants further contribute to uncertainty. Monitoring programs typically focus on a limited set of regulated agrochemicals, leaving metabolites, formulation additives, and emerging compounds underrepresented. As a result, modeled exposure may reflect only a subset of the true chemical burden. Assumptions embedded in modeling inputs</w:t>
      </w:r>
      <w:r w:rsidR="001D0F1C">
        <w:rPr>
          <w:rFonts w:ascii="Times New Roman" w:hAnsi="Times New Roman" w:cs="Times New Roman"/>
        </w:rPr>
        <w:t xml:space="preserve"> </w:t>
      </w:r>
      <w:r w:rsidRPr="00D332EB">
        <w:rPr>
          <w:rFonts w:ascii="Times New Roman" w:hAnsi="Times New Roman" w:cs="Times New Roman"/>
        </w:rPr>
        <w:t>such as application rates, degradation kinetics, and hydrologic parameters</w:t>
      </w:r>
      <w:r w:rsidR="001D0F1C">
        <w:rPr>
          <w:rFonts w:ascii="Times New Roman" w:hAnsi="Times New Roman" w:cs="Times New Roman"/>
        </w:rPr>
        <w:t xml:space="preserve"> </w:t>
      </w:r>
      <w:r w:rsidRPr="00D332EB">
        <w:rPr>
          <w:rFonts w:ascii="Times New Roman" w:hAnsi="Times New Roman" w:cs="Times New Roman"/>
        </w:rPr>
        <w:t>can also introduce error. While sensitivity analyses can partially address these uncertainties, exposure misclassification remains a persistent limitation that may attenuate observed exposure–disease associations</w:t>
      </w:r>
      <w:r w:rsidR="001D0F1C">
        <w:rPr>
          <w:rFonts w:ascii="Times New Roman" w:hAnsi="Times New Roman" w:cs="Times New Roman"/>
        </w:rPr>
        <w:fldChar w:fldCharType="begin"/>
      </w:r>
      <w:r w:rsidR="00691FE4">
        <w:rPr>
          <w:rFonts w:ascii="Times New Roman" w:hAnsi="Times New Roman" w:cs="Times New Roman"/>
        </w:rPr>
        <w:instrText xml:space="preserve"> ADDIN ZOTERO_ITEM CSL_CITATION {"citationID":"4Jp6lXeY","properties":{"formattedCitation":"(41)","plainCitation":"(41)","noteIndex":0},"citationItems":[{"id":14992,"uris":["http://zotero.org/users/16652950/items/Z4XNREWN"],"itemData":{"id":14992,"type":"article-journal","abstract":"Pesticides are either natural or chemically synthesized compounds that are used to control a variety of pests. These chemical compounds are used in a variety of sectors like food, forestry, agriculture and aquaculture. Pesticides shows their toxicity into the living systems. The World Health Organization (WHO) categorises them based on their detrimental effects, emphasising the relevance of public health. The usage can be minimised to a least level by using them sparingly with a complete grasp of their categorization, which is beneficial to both human health and the environment. In this review, we have discussed pesticides with respect to their global scenarios, such as worldwide distribution and environmental impacts. Major literature focused on potential uses of pesticides, classification according to their properties and toxicity and their adverse effect on natural system (soil and aquatic), water, plants (growth, metabolism, genotypic and phenotypic changes and impact on plants defense system), human health (genetic alteration, cancer, allergies, and asthma), and preserve food products. We have also described eco-friendly management strategies for pesticides as a green solution, including bacterial degradation, myco-remediation, phytoremediation, and microalgae based bioremediation. The microbes, using catabolic enzymes for degradation of pesticides and clean-up from the environment. This review shows the importance of finding potent microbes, novel genes, and biotechnological applications for pesticide waste management to create a sustainable environment.","container-title":"Frontiers in Microbiology","DOI":"10.3389/fmicb.2022.962619","ISSN":"1664-302X","journalAbbreviation":"Front. Microbiol.","language":"English","note":"publisher: Frontiers","source":"Frontiers","title":"Current status of pesticide effects on environment, human health and it’s eco-friendly management as bioremediation: A comprehensive review","title-short":"Current status of pesticide effects on environment, human health and it’s eco-friendly management as bioremediation","URL":"https://www.frontiersin.org/journals/microbiology/articles/10.3389/fmicb.2022.962619/full","volume":"13","author":[{"family":"Pathak","given":"Vinay Mohan"},{"family":"Verma","given":"Vijay K."},{"family":"Rawat","given":"Balwant Singh"},{"family":"Kaur","given":"Baljinder"},{"family":"Babu","given":"Neelesh"},{"family":"Sharma","given":"Akansha"},{"family":"Dewali","given":"Seeta"},{"family":"Yadav","given":"Monika"},{"family":"Kumari","given":"Reshma"},{"family":"Singh","given":"Sevaram"},{"family":"Mohapatra","given":"Asutosh"},{"family":"Pandey","given":"Varsha"},{"family":"Rana","given":"Nitika"},{"family":"Cunill","given":"Jose Maria"}],"accessed":{"date-parts":[["2026",2,18]]},"issued":{"date-parts":[["2022",8,17]]}}}],"schema":"https://github.com/citation-style-language/schema/raw/master/csl-citation.json"} </w:instrText>
      </w:r>
      <w:r w:rsidR="001D0F1C">
        <w:rPr>
          <w:rFonts w:ascii="Times New Roman" w:hAnsi="Times New Roman" w:cs="Times New Roman"/>
        </w:rPr>
        <w:fldChar w:fldCharType="separate"/>
      </w:r>
      <w:r w:rsidR="00691FE4" w:rsidRPr="00691FE4">
        <w:rPr>
          <w:rFonts w:ascii="Times New Roman" w:hAnsi="Times New Roman" w:cs="Times New Roman"/>
        </w:rPr>
        <w:t>(41)</w:t>
      </w:r>
      <w:r w:rsidR="001D0F1C">
        <w:rPr>
          <w:rFonts w:ascii="Times New Roman" w:hAnsi="Times New Roman" w:cs="Times New Roman"/>
        </w:rPr>
        <w:fldChar w:fldCharType="end"/>
      </w:r>
      <w:r w:rsidRPr="00D332EB">
        <w:rPr>
          <w:rFonts w:ascii="Times New Roman" w:hAnsi="Times New Roman" w:cs="Times New Roman"/>
        </w:rPr>
        <w:t>.</w:t>
      </w:r>
    </w:p>
    <w:p w14:paraId="0FF81692" w14:textId="77777777" w:rsidR="00D332EB" w:rsidRPr="00D332EB" w:rsidRDefault="00D332EB" w:rsidP="00D332EB">
      <w:pPr>
        <w:rPr>
          <w:rFonts w:ascii="Times New Roman" w:hAnsi="Times New Roman" w:cs="Times New Roman"/>
          <w:b/>
          <w:bCs/>
        </w:rPr>
      </w:pPr>
      <w:r w:rsidRPr="00D332EB">
        <w:rPr>
          <w:rFonts w:ascii="Times New Roman" w:hAnsi="Times New Roman" w:cs="Times New Roman"/>
          <w:b/>
          <w:bCs/>
        </w:rPr>
        <w:t>6.2 Confounding and Bias</w:t>
      </w:r>
    </w:p>
    <w:p w14:paraId="3B86931D" w14:textId="77777777" w:rsidR="00D332EB" w:rsidRPr="00D332EB" w:rsidRDefault="00D332EB" w:rsidP="00D332EB">
      <w:pPr>
        <w:rPr>
          <w:rFonts w:ascii="Times New Roman" w:hAnsi="Times New Roman" w:cs="Times New Roman"/>
        </w:rPr>
      </w:pPr>
      <w:r w:rsidRPr="00D332EB">
        <w:rPr>
          <w:rFonts w:ascii="Times New Roman" w:hAnsi="Times New Roman" w:cs="Times New Roman"/>
        </w:rPr>
        <w:t>Confounding poses a significant challenge in linking modeled drinking water exposure to chronic disease outcomes. Farmers are often exposed to agrochemicals through multiple pathways, including direct occupational handling, inhalation, and dermal contact, which may correlate with drinking water contamination. Disentangling the independent contribution of drinking water exposure from occupational exposure is difficult, particularly when detailed work histories are unavailable</w:t>
      </w:r>
      <w:r w:rsidR="001D0F1C">
        <w:rPr>
          <w:rFonts w:ascii="Times New Roman" w:hAnsi="Times New Roman" w:cs="Times New Roman"/>
        </w:rPr>
        <w:fldChar w:fldCharType="begin"/>
      </w:r>
      <w:r w:rsidR="00691FE4">
        <w:rPr>
          <w:rFonts w:ascii="Times New Roman" w:hAnsi="Times New Roman" w:cs="Times New Roman"/>
        </w:rPr>
        <w:instrText xml:space="preserve"> ADDIN ZOTERO_ITEM CSL_CITATION {"citationID":"gKGaKibI","properties":{"formattedCitation":"(42)","plainCitation":"(42)","noteIndex":0},"citationItems":[{"id":14994,"uris":["http://zotero.org/users/16652950/items/IWU9NJNF"],"itemData":{"id":14994,"type":"article-journal","abstract":"Water resources are crucial in developing any area as they serve as a major source of potable, agricultural, and industrial water. Water contamination...","container-title":"Water","DOI":"10.3390/w15142532","ISSN":"2073-4441","issue":"14","language":"en","license":"http://creativecommons.org/licenses/by/3.0/","note":"Company: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publisher","source":"www.mdpi.com","title":"Human Health Risks due to Exposure to Water Pollution: A Review","title-short":"Human Health Risks due to Exposure to Water Pollution","URL":"https://www.mdpi.com/2073-4441/15/14/2532","volume":"15","author":[{"family":"Babuji","given":"Preethi"},{"family":"Thirumalaisamy","given":"Subramani"},{"family":"Duraisamy","given":"Karunanidhi"},{"family":"Periyasamy","given":"Gopinathan"}],"accessed":{"date-parts":[["2026",2,18]]},"issued":{"date-parts":[["2023",7,10]]}}}],"schema":"https://github.com/citation-style-language/schema/raw/master/csl-citation.json"} </w:instrText>
      </w:r>
      <w:r w:rsidR="001D0F1C">
        <w:rPr>
          <w:rFonts w:ascii="Times New Roman" w:hAnsi="Times New Roman" w:cs="Times New Roman"/>
        </w:rPr>
        <w:fldChar w:fldCharType="separate"/>
      </w:r>
      <w:r w:rsidR="00691FE4" w:rsidRPr="00691FE4">
        <w:rPr>
          <w:rFonts w:ascii="Times New Roman" w:hAnsi="Times New Roman" w:cs="Times New Roman"/>
        </w:rPr>
        <w:t>(42)</w:t>
      </w:r>
      <w:r w:rsidR="001D0F1C">
        <w:rPr>
          <w:rFonts w:ascii="Times New Roman" w:hAnsi="Times New Roman" w:cs="Times New Roman"/>
        </w:rPr>
        <w:fldChar w:fldCharType="end"/>
      </w:r>
      <w:r w:rsidRPr="00D332EB">
        <w:rPr>
          <w:rFonts w:ascii="Times New Roman" w:hAnsi="Times New Roman" w:cs="Times New Roman"/>
        </w:rPr>
        <w:t>.</w:t>
      </w:r>
    </w:p>
    <w:p w14:paraId="34C6A297" w14:textId="77777777" w:rsidR="00D332EB" w:rsidRPr="00D332EB" w:rsidRDefault="00D332EB" w:rsidP="00D332EB">
      <w:pPr>
        <w:rPr>
          <w:rFonts w:ascii="Times New Roman" w:hAnsi="Times New Roman" w:cs="Times New Roman"/>
        </w:rPr>
      </w:pPr>
      <w:r w:rsidRPr="00D332EB">
        <w:rPr>
          <w:rFonts w:ascii="Times New Roman" w:hAnsi="Times New Roman" w:cs="Times New Roman"/>
        </w:rPr>
        <w:t xml:space="preserve">Lifestyle and socioeconomic factors further complicate interpretation. Smoking, diet, physical activity, and healthcare access vary across farming populations and may correlate with both exposure and disease risk. Rural residence itself is associated with structural determinants of </w:t>
      </w:r>
      <w:r w:rsidRPr="00D332EB">
        <w:rPr>
          <w:rFonts w:ascii="Times New Roman" w:hAnsi="Times New Roman" w:cs="Times New Roman"/>
        </w:rPr>
        <w:lastRenderedPageBreak/>
        <w:t>health, including limited access to preventive care and diagnostic services, which can bias outcome ascertainment. Inadequate control for these factors may result in residual confounding or differential misclassification, particularly in studies relying on administrative health data</w:t>
      </w:r>
      <w:r w:rsidR="00AF3805">
        <w:rPr>
          <w:rFonts w:ascii="Times New Roman" w:hAnsi="Times New Roman" w:cs="Times New Roman"/>
        </w:rPr>
        <w:fldChar w:fldCharType="begin"/>
      </w:r>
      <w:r w:rsidR="00691FE4">
        <w:rPr>
          <w:rFonts w:ascii="Times New Roman" w:hAnsi="Times New Roman" w:cs="Times New Roman"/>
        </w:rPr>
        <w:instrText xml:space="preserve"> ADDIN ZOTERO_ITEM CSL_CITATION {"citationID":"VvZtVuxb","properties":{"formattedCitation":"(43)","plainCitation":"(43)","noteIndex":0},"citationItems":[{"id":14996,"uris":["http://zotero.org/users/16652950/items/BZGXCMKV"],"itemData":{"id":14996,"type":"article-journal","abstract":"Poultry farming is one of the most efficient animal husbandry methods and it provides nutritional security to a significant number of the world population. Using modern intensive farming techniques, global production has reached 133.4 mil. t in 2020, with a steady growth each year. Such intensive growth methods however lead to a significant environmental footprint. Waste materials such as poultry litter and manure can pose a serious threat to environmental and human health, and need to be managed properly. Poultry production and waste by-products are linked to NH3, N2O and CH4 emissions, and have an impact on global greenhouse gas emissions, as well as animal and human health. Litter and manure can contain pesticide residues, microorganisms, pathogens, pharmaceuticals (antibiotics), hormones, metals, macronutrients (at improper ratios) and other pollutants which can lead to air, soil and water contamination as well as formation of antimicrobial/multidrug resistant strains of pathogens. Dust emitted from intensive poultry production operations contains feather and skin fragments, faeces, feed particles, microorganisms and other pollutants, which can adversely impact poultry health as well as the health of farm workers and nearby inhabitants. Fastidious odours are another problem that can have an adverse impact on health and quality of life of workers and surrounding population. This study discusses the current knowledge on the impact of intensive poultry farming on environmental and human health, as well as taking a look at solutions for a sustainable future.","container-title":"Science of The Total Environment","DOI":"10.1016/j.scitotenv.2022.160014","ISSN":"0048-9697","journalAbbreviation":"Science of The Total Environment","page":"160014","source":"ScienceDirect","title":"Intensive poultry farming: A review of the impact on the environment and human health","title-short":"Intensive poultry farming","volume":"858","author":[{"family":"Gržinić","given":"Goran"},{"family":"Piotrowicz-Cieślak","given":"Agnieszka"},{"family":"Klimkowicz-Pawlas","given":"Agnieszka"},{"family":"Górny","given":"Rafał L."},{"family":"Ławniczek-Wałczyk","given":"Anna"},{"family":"Piechowicz","given":"Lidia"},{"family":"Olkowska","given":"Ewa"},{"family":"Potrykus","given":"Marta"},{"family":"Tankiewicz","given":"Maciej"},{"family":"Krupka","given":"Magdalena"},{"family":"Siebielec","given":"Grzegorz"},{"family":"Wolska","given":"Lidia"}],"issued":{"date-parts":[["2023",2,1]]}}}],"schema":"https://github.com/citation-style-language/schema/raw/master/csl-citation.json"} </w:instrText>
      </w:r>
      <w:r w:rsidR="00AF3805">
        <w:rPr>
          <w:rFonts w:ascii="Times New Roman" w:hAnsi="Times New Roman" w:cs="Times New Roman"/>
        </w:rPr>
        <w:fldChar w:fldCharType="separate"/>
      </w:r>
      <w:r w:rsidR="00691FE4" w:rsidRPr="00691FE4">
        <w:rPr>
          <w:rFonts w:ascii="Times New Roman" w:hAnsi="Times New Roman" w:cs="Times New Roman"/>
        </w:rPr>
        <w:t>(43)</w:t>
      </w:r>
      <w:r w:rsidR="00AF3805">
        <w:rPr>
          <w:rFonts w:ascii="Times New Roman" w:hAnsi="Times New Roman" w:cs="Times New Roman"/>
        </w:rPr>
        <w:fldChar w:fldCharType="end"/>
      </w:r>
      <w:r w:rsidRPr="00D332EB">
        <w:rPr>
          <w:rFonts w:ascii="Times New Roman" w:hAnsi="Times New Roman" w:cs="Times New Roman"/>
        </w:rPr>
        <w:t>.</w:t>
      </w:r>
    </w:p>
    <w:p w14:paraId="435859A4" w14:textId="77777777" w:rsidR="00D332EB" w:rsidRPr="00D332EB" w:rsidRDefault="00D332EB" w:rsidP="00D332EB">
      <w:pPr>
        <w:rPr>
          <w:rFonts w:ascii="Times New Roman" w:hAnsi="Times New Roman" w:cs="Times New Roman"/>
          <w:b/>
          <w:bCs/>
        </w:rPr>
      </w:pPr>
      <w:r w:rsidRPr="00D332EB">
        <w:rPr>
          <w:rFonts w:ascii="Times New Roman" w:hAnsi="Times New Roman" w:cs="Times New Roman"/>
          <w:b/>
          <w:bCs/>
        </w:rPr>
        <w:t>6.3 Generalizability and Equity Considerations</w:t>
      </w:r>
    </w:p>
    <w:p w14:paraId="2F73B9CD" w14:textId="77777777" w:rsidR="00D332EB" w:rsidRPr="00D332EB" w:rsidRDefault="00D332EB" w:rsidP="00D332EB">
      <w:pPr>
        <w:rPr>
          <w:rFonts w:ascii="Times New Roman" w:hAnsi="Times New Roman" w:cs="Times New Roman"/>
        </w:rPr>
      </w:pPr>
      <w:r w:rsidRPr="00D332EB">
        <w:rPr>
          <w:rFonts w:ascii="Times New Roman" w:hAnsi="Times New Roman" w:cs="Times New Roman"/>
        </w:rPr>
        <w:t>The generalizability of findings from exposure modeling studies is shaped by regional heterogeneity in agricultural practices, climate, hydrology, and regulatory environments. Models developed for specific crops or regions may not perform equivalently elsewhere, limiting extrapolation across diverse agricultural contexts. Additionally, national datasets may mask localized hotspots of exposure and risk.</w:t>
      </w:r>
    </w:p>
    <w:p w14:paraId="05ABC36B" w14:textId="77777777" w:rsidR="00D332EB" w:rsidRPr="00D332EB" w:rsidRDefault="00D332EB" w:rsidP="00D332EB">
      <w:pPr>
        <w:rPr>
          <w:rFonts w:ascii="Times New Roman" w:hAnsi="Times New Roman" w:cs="Times New Roman"/>
        </w:rPr>
      </w:pPr>
      <w:r w:rsidRPr="00D332EB">
        <w:rPr>
          <w:rFonts w:ascii="Times New Roman" w:hAnsi="Times New Roman" w:cs="Times New Roman"/>
        </w:rPr>
        <w:t xml:space="preserve">Equity considerations are increasingly recognized but remain </w:t>
      </w:r>
      <w:proofErr w:type="spellStart"/>
      <w:r w:rsidRPr="00D332EB">
        <w:rPr>
          <w:rFonts w:ascii="Times New Roman" w:hAnsi="Times New Roman" w:cs="Times New Roman"/>
        </w:rPr>
        <w:t>underaddressed</w:t>
      </w:r>
      <w:proofErr w:type="spellEnd"/>
      <w:r w:rsidRPr="00D332EB">
        <w:rPr>
          <w:rFonts w:ascii="Times New Roman" w:hAnsi="Times New Roman" w:cs="Times New Roman"/>
        </w:rPr>
        <w:t>. Small-scale, migrant, and minority farmers are often underrepresented in epidemiologic studies due to data limitations, mobility, and exclusion from formal surveillance systems. These populations may face heightened exposure due to reliance on older wells, limited testing, and financial barriers to remediation. Addressing these gaps is essential for ensuring that exposure modeling and risk assessment efforts do not reinforce existing inequities in environmental health research and policy</w:t>
      </w:r>
      <w:r w:rsidR="00381DDE">
        <w:rPr>
          <w:rFonts w:ascii="Times New Roman" w:hAnsi="Times New Roman" w:cs="Times New Roman"/>
        </w:rPr>
        <w:fldChar w:fldCharType="begin"/>
      </w:r>
      <w:r w:rsidR="00691FE4">
        <w:rPr>
          <w:rFonts w:ascii="Times New Roman" w:hAnsi="Times New Roman" w:cs="Times New Roman"/>
        </w:rPr>
        <w:instrText xml:space="preserve"> ADDIN ZOTERO_ITEM CSL_CITATION {"citationID":"st7jGLEW","properties":{"formattedCitation":"(44)","plainCitation":"(44)","noteIndex":0},"citationItems":[{"id":14999,"uris":["http://zotero.org/users/16652950/items/Z2SUI2BQ"],"itemData":{"id":14999,"type":"article-journal","abstract":"In 2015, the United Nations (UN) introduced the Sustainable Development Goals (SDGs) as a comprehensive global framework to address interconnected challenges related to public health, social inequalities, climate change, environmental sustainability, and urban governance. In parallel, for several decades, the Healthy Cities paradigm has evolved as a holistic and context-sensitive approach to enhancing urban health and quality of life (QOL) through integrated planning, participatory governance, and cross-sectoral action. This study conducts a PRISMA-guided systematic review of the co-benefits and trade-offs associated with the dimensions and solutions of healthy cities in relation to the SDGs. In this process, 91 peer-reviewed articles published between 2016 and 2025 were retrieved from major international databases and analysed using a structured qualitative content analysis to identify dominant patterns, co-benefits, and trade-offs. The findings indicate that existing research primarily focuses on SDGs 3 and 11, while also revealing meaningful linkages with SDGs 2, 6, 9, 13, 16, and 17. Healthy city interventions, including green and blue infrastructure, active mobility systems, inclusive governance mechanisms, and evidence-informed policymaking, demonstrate substantial potential to generate co-benefits across environmental, socio-spatial, and institutional dimensions. Nevertheless, the literature highlights persistent challenges and trade-offs, such as digital exclusion, institutional fragmentation, and spatial and social inequalities in access to health-enabling environments, which continue to hinder progress toward these goals. The results show that the identified co-benefits and trade-offs are strongly place-dependent. Local culture and social norms, urban morphology and density patterns, urban microclimate conditions, mobility and accessibility structures, and institutional and financial capacities play a decisive role in shaping how healthy city strategies interact with the SDGs across different regions and cities worldwide. Accordingly, the effective integration of the Healthy Cities paradigm within the SDG framework requires translating global objectives into locally implementable planning actions and designing neighbourhood-scale, context-sensitive monitoring indicators. To achieve sustainable and equitable outcomes, urban policies should prioritise reducing socio-spatial inequalities, strengthening inclusive civic participation, and mainstreaming health considerations across all dimensions of urban development. The study underscores the need to advance place-based empirical research, context-responsive innovations, and interdisciplinary collaboration to fully realise the potential of healthy cities in shaping sustainable, resilient, and health-oriented urban futures.","container-title":"Progress in Planning","DOI":"10.1016/j.progress.2025.101032","ISSN":"0305-9006","journalAbbreviation":"Progress in Planning","page":"101032","source":"ScienceDirect","title":"Healthy cities as catalysts for sustainable development: A systematic review of co-benefits, trade-offs, and solutions to the SDGs","title-short":"Healthy cities as catalysts for sustainable development","author":[{"family":"Ahmadi Dehrashid","given":"Parsa"},{"family":"Mansourian","given":"Hossein"},{"family":"Sharifi","given":"Ayyoob"}],"issued":{"date-parts":[["2026",1,9]]}}}],"schema":"https://github.com/citation-style-language/schema/raw/master/csl-citation.json"} </w:instrText>
      </w:r>
      <w:r w:rsidR="00381DDE">
        <w:rPr>
          <w:rFonts w:ascii="Times New Roman" w:hAnsi="Times New Roman" w:cs="Times New Roman"/>
        </w:rPr>
        <w:fldChar w:fldCharType="separate"/>
      </w:r>
      <w:r w:rsidR="00691FE4" w:rsidRPr="00691FE4">
        <w:rPr>
          <w:rFonts w:ascii="Times New Roman" w:hAnsi="Times New Roman" w:cs="Times New Roman"/>
        </w:rPr>
        <w:t>(44)</w:t>
      </w:r>
      <w:r w:rsidR="00381DDE">
        <w:rPr>
          <w:rFonts w:ascii="Times New Roman" w:hAnsi="Times New Roman" w:cs="Times New Roman"/>
        </w:rPr>
        <w:fldChar w:fldCharType="end"/>
      </w:r>
      <w:r w:rsidRPr="00D332EB">
        <w:rPr>
          <w:rFonts w:ascii="Times New Roman" w:hAnsi="Times New Roman" w:cs="Times New Roman"/>
        </w:rPr>
        <w:t>.</w:t>
      </w:r>
    </w:p>
    <w:p w14:paraId="2974A076" w14:textId="77777777" w:rsidR="00F92B79" w:rsidRPr="00335136" w:rsidRDefault="00F92B79">
      <w:pPr>
        <w:rPr>
          <w:rFonts w:ascii="Times New Roman" w:hAnsi="Times New Roman" w:cs="Times New Roman"/>
        </w:rPr>
      </w:pPr>
    </w:p>
    <w:p w14:paraId="7A3C985E" w14:textId="77777777" w:rsidR="00F92B79" w:rsidRPr="00F92B79" w:rsidRDefault="00F92B79" w:rsidP="00F92B79">
      <w:pPr>
        <w:rPr>
          <w:rFonts w:ascii="Times New Roman" w:hAnsi="Times New Roman" w:cs="Times New Roman"/>
          <w:b/>
          <w:bCs/>
        </w:rPr>
      </w:pPr>
      <w:r w:rsidRPr="00F92B79">
        <w:rPr>
          <w:rFonts w:ascii="Times New Roman" w:hAnsi="Times New Roman" w:cs="Times New Roman"/>
          <w:b/>
          <w:bCs/>
        </w:rPr>
        <w:t>7. Implications for Policy, Surveillance, and Risk Assessment</w:t>
      </w:r>
    </w:p>
    <w:p w14:paraId="01AE559F" w14:textId="77777777" w:rsidR="00F92B79" w:rsidRPr="00F92B79" w:rsidRDefault="00F92B79" w:rsidP="00F92B79">
      <w:pPr>
        <w:rPr>
          <w:rFonts w:ascii="Times New Roman" w:hAnsi="Times New Roman" w:cs="Times New Roman"/>
        </w:rPr>
      </w:pPr>
      <w:r w:rsidRPr="00F92B79">
        <w:rPr>
          <w:rFonts w:ascii="Times New Roman" w:hAnsi="Times New Roman" w:cs="Times New Roman"/>
        </w:rPr>
        <w:t>The growing body of evidence linking modeled agrochemical contamination in drinking water to chronic disease risk among U.S. farmers has important implications for environmental regulation, public health surveillance, and risk assessment frameworks. Current policies governing drinking water safety are primarily designed around public water systems, leaving private wells</w:t>
      </w:r>
      <w:r w:rsidR="00381DDE">
        <w:rPr>
          <w:rFonts w:ascii="Times New Roman" w:hAnsi="Times New Roman" w:cs="Times New Roman"/>
        </w:rPr>
        <w:t xml:space="preserve"> </w:t>
      </w:r>
      <w:r w:rsidRPr="00F92B79">
        <w:rPr>
          <w:rFonts w:ascii="Times New Roman" w:hAnsi="Times New Roman" w:cs="Times New Roman"/>
        </w:rPr>
        <w:t>which serve a substantial proportion of agricultural households</w:t>
      </w:r>
      <w:r w:rsidR="00381DDE">
        <w:rPr>
          <w:rFonts w:ascii="Times New Roman" w:hAnsi="Times New Roman" w:cs="Times New Roman"/>
        </w:rPr>
        <w:t xml:space="preserve"> </w:t>
      </w:r>
      <w:r w:rsidRPr="00F92B79">
        <w:rPr>
          <w:rFonts w:ascii="Times New Roman" w:hAnsi="Times New Roman" w:cs="Times New Roman"/>
        </w:rPr>
        <w:t>largely unregulated. This regulatory blind spot limits early detection of contamination, delays intervention, and places the burden of testing and remediation on individual households. Given the demonstrated vulnerability of shallow aquifers in agricultural regions, reliance on voluntary testing is insufficient to protect long-term health</w:t>
      </w:r>
      <w:r w:rsidR="00381DDE">
        <w:rPr>
          <w:rFonts w:ascii="Times New Roman" w:hAnsi="Times New Roman" w:cs="Times New Roman"/>
        </w:rPr>
        <w:fldChar w:fldCharType="begin"/>
      </w:r>
      <w:r w:rsidR="00691FE4">
        <w:rPr>
          <w:rFonts w:ascii="Times New Roman" w:hAnsi="Times New Roman" w:cs="Times New Roman"/>
        </w:rPr>
        <w:instrText xml:space="preserve"> ADDIN ZOTERO_ITEM CSL_CITATION {"citationID":"WfcYbqei","properties":{"formattedCitation":"(45)","plainCitation":"(45)","noteIndex":0},"citationItems":[{"id":15001,"uris":["http://zotero.org/users/16652950/items/ZYET7WS4"],"itemData":{"id":15001,"type":"article-journal","abstract":"Pesticides are chemical constituents used to prevent or control pests, including insects, rodents, fungi, weeds, and other unwanted organisms. Despite their advantages in crop production and disease management, the use of pesticides poses significant hazards to the environment and public health. Pesticide elements have now perpetually entered our atmosphere and subsequently contaminated water, food, and soil, leading to health threats ranging from acute to chronic toxicities. Pesticides can cause acute toxicity if a high dose is inhaled, ingested, or comes into contact with the skin or eyes, while prolonged or recurrent exposure to pesticides leads to chronic toxicity. Pesticides produce different types of toxicity, for instance, neurotoxicity, mutagenicity, carcinogenicity, teratogenicity, and endocrine disruption. The toxicity of a pesticide formulation may depend on the specific active ingredient and the presence of synergistic or inert compounds that can enhance or modify its toxicity. Safety concerns are the need of the hour to control contemporary pesticide-induced health hazards. The effectiveness and implementation of the current legislature in providing ample protection for human health and the environment are key concerns. This review explored a comprehensive summary of pesticides regarding their updated impacts on human health and advanced safety concerns with legislation. Implementing regulations, proper training, and education can help mitigate the negative impacts of pesticide use and promote safer and more sustainable agricultural practices.","container-title":"Heliyon","DOI":"10.1016/j.heliyon.2024.e29128","ISSN":"2405-8440","issue":"7","journalAbbreviation":"Heliyon","page":"e29128","source":"ScienceDirect","title":"Pesticides impacts on human health and the environment with their mechanisms of action and possible countermeasures","volume":"10","author":[{"family":"Ahmad","given":"Md Faruque"},{"family":"Ahmad","given":"Fakhruddin Ali"},{"family":"Alsayegh","given":"Abdulrahman A."},{"family":"Zeyaullah","given":"Md."},{"family":"AlShahrani","given":"Abdullah M."},{"family":"Muzammil","given":"Khursheed"},{"family":"Saati","given":"Abdullah Ali"},{"family":"Wahab","given":"Shadma"},{"family":"Elbendary","given":"Ehab Y."},{"family":"Kambal","given":"Nahla"},{"family":"Abdelrahman","given":"Mohamed H."},{"family":"Hussain","given":"Sohail"}],"issued":{"date-parts":[["2024",4,15]]}}}],"schema":"https://github.com/citation-style-language/schema/raw/master/csl-citation.json"} </w:instrText>
      </w:r>
      <w:r w:rsidR="00381DDE">
        <w:rPr>
          <w:rFonts w:ascii="Times New Roman" w:hAnsi="Times New Roman" w:cs="Times New Roman"/>
        </w:rPr>
        <w:fldChar w:fldCharType="separate"/>
      </w:r>
      <w:r w:rsidR="00691FE4" w:rsidRPr="00691FE4">
        <w:rPr>
          <w:rFonts w:ascii="Times New Roman" w:hAnsi="Times New Roman" w:cs="Times New Roman"/>
        </w:rPr>
        <w:t>(45)</w:t>
      </w:r>
      <w:r w:rsidR="00381DDE">
        <w:rPr>
          <w:rFonts w:ascii="Times New Roman" w:hAnsi="Times New Roman" w:cs="Times New Roman"/>
        </w:rPr>
        <w:fldChar w:fldCharType="end"/>
      </w:r>
      <w:r w:rsidRPr="00F92B79">
        <w:rPr>
          <w:rFonts w:ascii="Times New Roman" w:hAnsi="Times New Roman" w:cs="Times New Roman"/>
        </w:rPr>
        <w:t>.</w:t>
      </w:r>
    </w:p>
    <w:p w14:paraId="181777D3" w14:textId="77777777" w:rsidR="00F92B79" w:rsidRPr="00F92B79" w:rsidRDefault="00F92B79" w:rsidP="00F92B79">
      <w:pPr>
        <w:rPr>
          <w:rFonts w:ascii="Times New Roman" w:hAnsi="Times New Roman" w:cs="Times New Roman"/>
        </w:rPr>
      </w:pPr>
      <w:r w:rsidRPr="00F92B79">
        <w:rPr>
          <w:rFonts w:ascii="Times New Roman" w:hAnsi="Times New Roman" w:cs="Times New Roman"/>
        </w:rPr>
        <w:t>Exposure modeling offers a powerful tool for preventive public health by identifying high-risk regions and populations before clinical disease manifests. Models can be used to prioritize monitoring resources, guide targeted well-testing initiatives, and support early-warning systems for contamination linked to agricultural practices or climatic extremes</w:t>
      </w:r>
      <w:r w:rsidR="00381DDE">
        <w:rPr>
          <w:rFonts w:ascii="Times New Roman" w:hAnsi="Times New Roman" w:cs="Times New Roman"/>
        </w:rPr>
        <w:fldChar w:fldCharType="begin"/>
      </w:r>
      <w:r w:rsidR="001046AA">
        <w:rPr>
          <w:rFonts w:ascii="Times New Roman" w:hAnsi="Times New Roman" w:cs="Times New Roman"/>
        </w:rPr>
        <w:instrText xml:space="preserve"> ADDIN ZOTERO_ITEM CSL_CITATION {"citationID":"wwPVLa3C","properties":{"formattedCitation":"(46,47)","plainCitation":"(46,47)","noteIndex":0},"citationItems":[{"id":15002,"uris":["http://zotero.org/users/16652950/items/8BNLN26E"],"itemData":{"id":15002,"type":"article-journal","abstract":"This paper introduces the exposome framework as a transformative approach to improving Chemical, Biological, Radiological, Nuclear, and Explosive (CBRNe) risk assessments. Historically, CBRNe evaluations have concentrated on acute exposures and immediate health effects, often overlooking long-term and cumulative risks. By incorporating the exposome—defined as the totality of exposures experienced throughout an individual’s life—this paper advocates for a more holistic understanding of health consequences posed by CBRNe agents. The exposome framework enhances the ability to account for low-dose, chronic exposures, residual contamination, and their synergistic interactions with other environmental and physiological factors. It is vital for assessing the health risks faced by vulnerable populations, such as first responders and communities living near CBRNe events. This paper explores emerging technological advances in biological and personal monitoring, omics technologies (genomics, proteomics, and metabolomics), and artificial intelligence (AI)-based modeling, which facilitate precise health outcome predictions. The policy implications of integrating the exposome perspective into CBRNe preparedness are also discussed, emphasizing the importance of proactive strategies that address immediate and long-term health effects of CBRNe agents.","container-title":"The European Physical Journal Plus","DOI":"10.1140/epjp/s13360-025-07030-4","ISSN":"2190-5444","issue":"11","journalAbbreviation":"Eur. Phys. J.  Plus","language":"en","page":"1103","source":"Springer Link","title":"Integrating the exposome framework in CBRNe risk assessment: a holistic approach to chemical, biological, radiological, nuclear, and explosive threats","title-short":"Integrating the exposome framework in CBRNe risk assessment","volume":"140","author":[{"family":"Malizia","given":"Andrea"},{"family":"McGovern","given":"Joanne"},{"family":"Sarigiannis","given":"Dimosthenis"},{"family":"Karakitsios","given":"Spyros"},{"family":"Anastas","given":"Paul T."},{"family":"Ludovici","given":"Gian Marco"},{"family":"Manenti","given":"Guglielmo"},{"family":"Vasiliou","given":"Vasilis"}],"issued":{"date-parts":[["2025",11,15]]}}},{"id":8689,"uris":["http://zotero.org/users/16652950/items/5WLYPCUW"],"itemData":{"id":8689,"type":"article-journal","abstract":"Hospital-acquired infections (HAIs) continue to be one of the biggest problems for modern healthcare systems, and the problem is getting worse because antimicrobial resistance (AMR) is on the rise. Antibiotics that used to work are quickly losing their effectiveness, which is giving rise to highly adaptable bacteria in clinical settings and turning routine procedures into high-risk situations. This publication examines the intersection of healthcare-associated infections (HAIs) and antimicrobial resistance (AMR) within the framework of smart surveillance—digital, data-driven systems engineered to identify, predict, and disrupt the spread of infections in real time. We examine the historical development of infection surveillance, analyze the epidemiological burden and resistance mechanisms contributing to a covert pandemic, and assess emerging technologies such as electronic health record integration, machine-learning analytics, genomic sequencing, and Internet of Things (IoT) sensor networks. These new ideas give us new ways to prevent infections before they happen, but they also bring up difficult moral, legal, and social problems about privacy, fairness, and governance. We contend that intelligent surveillance should be integrated into comprehensive infection prevention frameworks and antimicrobial stewardship initiatives to establish resilient hospitals. By combining predictive analytics with basic IPC procedures, ethical monitoring, and giving workers more autonomy, healthcare organizations may turn passive surveillance into active defense. In the end, winning the war against HAIs will depend not just on cutting-edge technology, but also on how it is used with care, honesty, and openness.","container-title":"Australian Journal of Biomedical Research","DOI":"10.63946/aubiomed/16759","ISSN":"3083-4708","issue":"1","language":"english","note":"publisher: Australasia Publishing Group","page":"aubm002","source":"www.aubiomed.org","title":"Hospital-Acquired Infections in the Age of Antimicrobial Resistance and Smart Surveillance","volume":"1","author":[{"family":"Lawal","given":"Olabisi"},{"family":"Orenolu","given":"Idris Olumide"},{"family":"Ajobiewe","given":"Morayo Anne"},{"family":"Forson","given":"Kwesi Akonu Adom Mensah"},{"family":"Agu","given":"Ujunwa Favour"},{"family":"Fidelix","given":"Moses Emmanuel"},{"family":"Madugba","given":"Frances Chinaechekwa"},{"family":"Obi","given":"Lenin Ifeanyi"}],"issued":{"date-parts":[["2025",8,16]]}}}],"schema":"https://github.com/citation-style-language/schema/raw/master/csl-citation.json"} </w:instrText>
      </w:r>
      <w:r w:rsidR="00381DDE">
        <w:rPr>
          <w:rFonts w:ascii="Times New Roman" w:hAnsi="Times New Roman" w:cs="Times New Roman"/>
        </w:rPr>
        <w:fldChar w:fldCharType="separate"/>
      </w:r>
      <w:r w:rsidR="001046AA" w:rsidRPr="001046AA">
        <w:rPr>
          <w:rFonts w:ascii="Times New Roman" w:hAnsi="Times New Roman" w:cs="Times New Roman"/>
        </w:rPr>
        <w:t>(46,47)</w:t>
      </w:r>
      <w:r w:rsidR="00381DDE">
        <w:rPr>
          <w:rFonts w:ascii="Times New Roman" w:hAnsi="Times New Roman" w:cs="Times New Roman"/>
        </w:rPr>
        <w:fldChar w:fldCharType="end"/>
      </w:r>
      <w:r w:rsidRPr="00F92B79">
        <w:rPr>
          <w:rFonts w:ascii="Times New Roman" w:hAnsi="Times New Roman" w:cs="Times New Roman"/>
        </w:rPr>
        <w:t>. By integrating environmental, agricultural, and hydrologic data, modeling approaches enable risk-based surveillance that moves beyond reactive responses to contamination events.</w:t>
      </w:r>
    </w:p>
    <w:p w14:paraId="575CA2EF" w14:textId="77777777" w:rsidR="00F92B79" w:rsidRPr="00F92B79" w:rsidRDefault="00F92B79" w:rsidP="00F92B79">
      <w:pPr>
        <w:rPr>
          <w:rFonts w:ascii="Times New Roman" w:hAnsi="Times New Roman" w:cs="Times New Roman"/>
        </w:rPr>
      </w:pPr>
      <w:r w:rsidRPr="00F92B79">
        <w:rPr>
          <w:rFonts w:ascii="Times New Roman" w:hAnsi="Times New Roman" w:cs="Times New Roman"/>
        </w:rPr>
        <w:t xml:space="preserve">From a regulatory perspective, modeled exposure estimates can inform the development and revision of health-based standards. Traditional risk assessments often rely on limited monitoring data and assume uniform exposure, potentially underestimating chronic, low-level risks in </w:t>
      </w:r>
      <w:r w:rsidRPr="00F92B79">
        <w:rPr>
          <w:rFonts w:ascii="Times New Roman" w:hAnsi="Times New Roman" w:cs="Times New Roman"/>
        </w:rPr>
        <w:lastRenderedPageBreak/>
        <w:t>agricultural settings. Incorporating modeled cumulative and mixture exposures into risk assessment frameworks would improve relevance for farming populations and better reflect real-world conditions. These approaches also provide an evidence base for evaluating the health implications of agricultural policies, including pesticide approval, fertilizer management, and land-use planning</w:t>
      </w:r>
      <w:r w:rsidR="002935B9">
        <w:rPr>
          <w:rFonts w:ascii="Times New Roman" w:hAnsi="Times New Roman" w:cs="Times New Roman"/>
        </w:rPr>
        <w:fldChar w:fldCharType="begin"/>
      </w:r>
      <w:r w:rsidR="001046AA">
        <w:rPr>
          <w:rFonts w:ascii="Times New Roman" w:hAnsi="Times New Roman" w:cs="Times New Roman"/>
        </w:rPr>
        <w:instrText xml:space="preserve"> ADDIN ZOTERO_ITEM CSL_CITATION {"citationID":"Nkmk3y2V","properties":{"formattedCitation":"(48)","plainCitation":"(48)","noteIndex":0},"citationItems":[{"id":13255,"uris":["http://zotero.org/users/16652950/items/3IUUVX7L"],"itemData":{"id":13255,"type":"article-journal","abstract":"Background\nUnderstanding, characterizing, and quantifying human exposures to environmental chemicals is critical to protect public health. Exposure assessments are key to determining risks to the general population and for specific subpopulations given that exposures differ between groups. Exposure data are also important for understanding where interventions, including public policies, should be targeted and the extent to which interventions have been successful. In this review, we aim to show how inadequacies in exposure assessments conducted by polluting industries or regulatory agencies have led to downplaying or disregarding exposure concerns raised by communities; that underestimates of exposure can lead regulatory agencies to conclude that unacceptable risks are, instead, acceptable, allowing pollutants to go unregulated; and that researchers, risk assessors, and policy makers need to better understand the issues that have affected exposure assessments and how appropriate use of exposure data can contribute to health-protective decisions.\n\nMethods\nWe describe current approaches used by regulatory agencies to estimate human exposures to environmental chemicals, including approaches to address limitations in exposure data. We then illustrate how some exposure assessments have been used to reach flawed conclusions about environmental chemicals and make recommendations for improvements.\n\nResults\nExposure data are important for communities, public health advocates, scientists, policy makers, and other groups to understand the extent of environmental exposures in diverse populations. We identify four areas where exposure assessments need to be improved due to systemic sources of error or uncertainty in exposure assessments and illustrate these areas with examples. These include: (1) an inability of regulatory agencies to keep pace with the increasing number of chemicals registered for use or assess their exposures, as well as complications added by use of ‘confidential business information’ which reduce available exposure data; (2) the failure to keep assessments up-to-date; (3) how inadequate assumptions about human behaviors and co-exposures contribute to underestimates of exposure; and (4) that insufficient models of toxicokinetics similarly affect exposure estimates.\n\nConclusion\nWe identified key issues that impact capacity to conduct scientifically robust exposure assessments. These issues must be addressed with scientific or policy approaches to improve estimates of exposure and protect public health.","container-title":"Environmental Health","DOI":"10.1186/s12940-022-00917-0","ISSN":"1476-069X","issue":"Suppl 1","journalAbbreviation":"Environ Health","note":"PMID: 36635700\nPMCID: PMC9835264","page":"121","source":"PubMed Central","title":"Addressing systemic problems with exposure assessments to protect the public’s health","volume":"21","author":[{"family":"Vandenberg","given":"Laura N."},{"family":"Rayasam","given":"Swati D. G."},{"family":"Axelrad","given":"Daniel A."},{"family":"Bennett","given":"Deborah H."},{"family":"Brown","given":"Phil"},{"family":"Carignan","given":"Courtney C."},{"family":"Chartres","given":"Nicholas"},{"family":"Diamond","given":"Miriam L."},{"family":"Joglekar","given":"Rashmi"},{"family":"Shamasunder","given":"Bhavna"},{"family":"Shrader-Frechette","given":"Kristin"},{"family":"Subra","given":"Wilma A."},{"family":"Zarker","given":"Ken"},{"family":"Woodruff","given":"Tracey J."}],"issued":{"date-parts":[["2023",1,12]]}}}],"schema":"https://github.com/citation-style-language/schema/raw/master/csl-citation.json"} </w:instrText>
      </w:r>
      <w:r w:rsidR="002935B9">
        <w:rPr>
          <w:rFonts w:ascii="Times New Roman" w:hAnsi="Times New Roman" w:cs="Times New Roman"/>
        </w:rPr>
        <w:fldChar w:fldCharType="separate"/>
      </w:r>
      <w:r w:rsidR="001046AA" w:rsidRPr="001046AA">
        <w:rPr>
          <w:rFonts w:ascii="Times New Roman" w:hAnsi="Times New Roman" w:cs="Times New Roman"/>
        </w:rPr>
        <w:t>(48)</w:t>
      </w:r>
      <w:r w:rsidR="002935B9">
        <w:rPr>
          <w:rFonts w:ascii="Times New Roman" w:hAnsi="Times New Roman" w:cs="Times New Roman"/>
        </w:rPr>
        <w:fldChar w:fldCharType="end"/>
      </w:r>
      <w:r w:rsidRPr="00F92B79">
        <w:rPr>
          <w:rFonts w:ascii="Times New Roman" w:hAnsi="Times New Roman" w:cs="Times New Roman"/>
        </w:rPr>
        <w:t>.</w:t>
      </w:r>
    </w:p>
    <w:p w14:paraId="348ADFC5" w14:textId="77777777" w:rsidR="005E6E04" w:rsidRDefault="00F92B79" w:rsidP="00F92B79">
      <w:pPr>
        <w:rPr>
          <w:rFonts w:ascii="Times New Roman" w:hAnsi="Times New Roman" w:cs="Times New Roman"/>
        </w:rPr>
      </w:pPr>
      <w:r w:rsidRPr="00F92B79">
        <w:rPr>
          <w:rFonts w:ascii="Times New Roman" w:hAnsi="Times New Roman" w:cs="Times New Roman"/>
        </w:rPr>
        <w:t>Effective integration of exposure modeling into agricultural and environmental policy requires cross-sector collaboration. Data-sharing between agricultural agencies, environmental regulators, and public health institutions is essential to support comprehensive exposure assessment. Additionally, translating model outputs into actionable policy requires clear communication of uncertainty and risk to stakeholders, including farmers, local health departments, and policymakers. Strengthening these linkages can help ensure that scientific advances in exposure modeling translate into meaningful reductions in disease risk and improved health equity in agricultural communities</w:t>
      </w:r>
      <w:r w:rsidR="002935B9">
        <w:rPr>
          <w:rFonts w:ascii="Times New Roman" w:hAnsi="Times New Roman" w:cs="Times New Roman"/>
        </w:rPr>
        <w:fldChar w:fldCharType="begin"/>
      </w:r>
      <w:r w:rsidR="001046AA">
        <w:rPr>
          <w:rFonts w:ascii="Times New Roman" w:hAnsi="Times New Roman" w:cs="Times New Roman"/>
        </w:rPr>
        <w:instrText xml:space="preserve"> ADDIN ZOTERO_ITEM CSL_CITATION {"citationID":"sT63TuHI","properties":{"formattedCitation":"(49)","plainCitation":"(49)","noteIndex":0},"citationItems":[{"id":15004,"uris":["http://zotero.org/users/16652950/items/CQ27C92U"],"itemData":{"id":15004,"type":"article-journal","abstract":"The utility of integrated models for informing policy has been criticised due to limited stakeholder engagement, model opaqueness, inadequate transparency in assumptions, lack of model flexibility and lack of communication of uncertainty that, together, lead to a lack of trust in model outputs. We address these criticisms by presenting the ERAMMP Integrated Modelling Platform (IMP), developed to support the design of new “business-critical” policies focused on agriculture, land-use and natural resource management. We demonstrate how the long-term (&gt;5 years), iterative, two-way and continuously evolving participatory process led to the co-creation of the IMP with government, building trust and understanding in a complex integrated model. This is supported by a customisable modelling framework that is sufficiently flexible to adapt to changing policy needs in near real-time. We discuss how these attributes have facilitated cultural change within the Welsh Government where the IMP is being actively used to explore, test and iterate policy ideas prior to final policy design and implementation.","container-title":"Environmental Modelling &amp; Software","DOI":"10.1016/j.envsoft.2023.105821","ISSN":"1364-8152","journalAbbreviation":"Environmental Modelling &amp; Software","page":"105821","source":"ScienceDirect","title":"An adaptable integrated modelling platform to support rapidly evolving agricultural and environmental policy","volume":"169","author":[{"family":"Harrison","given":"Paula A."},{"family":"Beauchamp","given":"Kate"},{"family":"Cooper","given":"Joe"},{"family":"Dickie","given":"Ian"},{"family":"Fitch","given":"Alice"},{"family":"Gooday","given":"Richard"},{"family":"Hollaway","given":"Michael"},{"family":"Holman","given":"Ian P."},{"family":"Hunt","given":"Merryn"},{"family":"Jones","given":"Laurence"},{"family":"Mondain-Monval","given":"Thomas"},{"family":"Sandars","given":"Daniel"},{"family":"Siriwardena","given":"Gavin"},{"family":"Seaton","given":"Fiona"},{"family":"Smart","given":"Simon"},{"family":"Thomas","given":"Amy"},{"family":"West","given":"Bede"},{"family":"Whittaker","given":"Freya"},{"family":"Carnell","given":"Ed"},{"family":"Matthews","given":"Robert W."},{"family":"Neupauer","given":"Sophie"},{"family":"Saraev","given":"Vadim"},{"family":"Scheffler","given":"Janice"},{"family":"Trembath","given":"Philip"},{"family":"Vieno","given":"Massimo"},{"family":"Williams","given":"Adrian C."},{"family":"Dunford","given":"Robert W."}],"issued":{"date-parts":[["2023",11,1]]}}}],"schema":"https://github.com/citation-style-language/schema/raw/master/csl-citation.json"} </w:instrText>
      </w:r>
      <w:r w:rsidR="002935B9">
        <w:rPr>
          <w:rFonts w:ascii="Times New Roman" w:hAnsi="Times New Roman" w:cs="Times New Roman"/>
        </w:rPr>
        <w:fldChar w:fldCharType="separate"/>
      </w:r>
      <w:r w:rsidR="001046AA" w:rsidRPr="001046AA">
        <w:rPr>
          <w:rFonts w:ascii="Times New Roman" w:hAnsi="Times New Roman" w:cs="Times New Roman"/>
        </w:rPr>
        <w:t>(49)</w:t>
      </w:r>
      <w:r w:rsidR="002935B9">
        <w:rPr>
          <w:rFonts w:ascii="Times New Roman" w:hAnsi="Times New Roman" w:cs="Times New Roman"/>
        </w:rPr>
        <w:fldChar w:fldCharType="end"/>
      </w:r>
      <w:r w:rsidRPr="00F92B79">
        <w:rPr>
          <w:rFonts w:ascii="Times New Roman" w:hAnsi="Times New Roman" w:cs="Times New Roman"/>
        </w:rPr>
        <w:t>.</w:t>
      </w:r>
    </w:p>
    <w:p w14:paraId="0FCC8F44" w14:textId="63E3C85F" w:rsidR="00F92B79" w:rsidRPr="005E6E04" w:rsidRDefault="00F92B79" w:rsidP="00F92B79">
      <w:pPr>
        <w:rPr>
          <w:rFonts w:ascii="Times New Roman" w:hAnsi="Times New Roman" w:cs="Times New Roman"/>
        </w:rPr>
      </w:pPr>
      <w:r w:rsidRPr="00F92B79">
        <w:rPr>
          <w:rFonts w:ascii="Times New Roman" w:hAnsi="Times New Roman" w:cs="Times New Roman"/>
          <w:b/>
          <w:bCs/>
        </w:rPr>
        <w:t>Policy and Public Health Recommendations for Protecting U.S. Farmers from Drinking Water Agrochemical Exposure</w:t>
      </w:r>
    </w:p>
    <w:p w14:paraId="35A0ECAF" w14:textId="77777777" w:rsidR="00F92B79" w:rsidRPr="00F92B79" w:rsidRDefault="00F92B79" w:rsidP="00F92B79">
      <w:pPr>
        <w:numPr>
          <w:ilvl w:val="0"/>
          <w:numId w:val="2"/>
        </w:numPr>
        <w:rPr>
          <w:rFonts w:ascii="Times New Roman" w:hAnsi="Times New Roman" w:cs="Times New Roman"/>
        </w:rPr>
      </w:pPr>
      <w:r w:rsidRPr="00F92B79">
        <w:rPr>
          <w:rFonts w:ascii="Times New Roman" w:hAnsi="Times New Roman" w:cs="Times New Roman"/>
        </w:rPr>
        <w:t>Expand subsidized or mandatory testing programs for private wells in agricultural regions</w:t>
      </w:r>
    </w:p>
    <w:p w14:paraId="79A4CC43" w14:textId="77777777" w:rsidR="00F92B79" w:rsidRPr="00F92B79" w:rsidRDefault="00F92B79" w:rsidP="00F92B79">
      <w:pPr>
        <w:numPr>
          <w:ilvl w:val="0"/>
          <w:numId w:val="2"/>
        </w:numPr>
        <w:rPr>
          <w:rFonts w:ascii="Times New Roman" w:hAnsi="Times New Roman" w:cs="Times New Roman"/>
        </w:rPr>
      </w:pPr>
      <w:r w:rsidRPr="00F92B79">
        <w:rPr>
          <w:rFonts w:ascii="Times New Roman" w:hAnsi="Times New Roman" w:cs="Times New Roman"/>
        </w:rPr>
        <w:t>Integrate exposure modeling into national and state-level water quality surveillance</w:t>
      </w:r>
    </w:p>
    <w:p w14:paraId="423D2C9D" w14:textId="77777777" w:rsidR="00F92B79" w:rsidRPr="00F92B79" w:rsidRDefault="00F92B79" w:rsidP="00F92B79">
      <w:pPr>
        <w:numPr>
          <w:ilvl w:val="0"/>
          <w:numId w:val="2"/>
        </w:numPr>
        <w:rPr>
          <w:rFonts w:ascii="Times New Roman" w:hAnsi="Times New Roman" w:cs="Times New Roman"/>
        </w:rPr>
      </w:pPr>
      <w:r w:rsidRPr="00F92B79">
        <w:rPr>
          <w:rFonts w:ascii="Times New Roman" w:hAnsi="Times New Roman" w:cs="Times New Roman"/>
        </w:rPr>
        <w:t>Incorporate cumulative and mixture exposure metrics into regulatory risk assessments</w:t>
      </w:r>
    </w:p>
    <w:p w14:paraId="3FE549B1" w14:textId="77777777" w:rsidR="00F92B79" w:rsidRPr="00F92B79" w:rsidRDefault="00F92B79" w:rsidP="00F92B79">
      <w:pPr>
        <w:numPr>
          <w:ilvl w:val="0"/>
          <w:numId w:val="2"/>
        </w:numPr>
        <w:rPr>
          <w:rFonts w:ascii="Times New Roman" w:hAnsi="Times New Roman" w:cs="Times New Roman"/>
        </w:rPr>
      </w:pPr>
      <w:r w:rsidRPr="00F92B79">
        <w:rPr>
          <w:rFonts w:ascii="Times New Roman" w:hAnsi="Times New Roman" w:cs="Times New Roman"/>
        </w:rPr>
        <w:t>Strengthen data integration across agricultural, environmental, and health sectors</w:t>
      </w:r>
    </w:p>
    <w:p w14:paraId="5A48F027" w14:textId="77777777" w:rsidR="00F92B79" w:rsidRPr="00335136" w:rsidRDefault="00F92B79" w:rsidP="00F92B79">
      <w:pPr>
        <w:numPr>
          <w:ilvl w:val="0"/>
          <w:numId w:val="2"/>
        </w:numPr>
        <w:rPr>
          <w:rFonts w:ascii="Times New Roman" w:hAnsi="Times New Roman" w:cs="Times New Roman"/>
        </w:rPr>
      </w:pPr>
      <w:r w:rsidRPr="00F92B79">
        <w:rPr>
          <w:rFonts w:ascii="Times New Roman" w:hAnsi="Times New Roman" w:cs="Times New Roman"/>
        </w:rPr>
        <w:t>Support targeted remediation and education initiatives for high-risk farming communities</w:t>
      </w:r>
      <w:r w:rsidR="006E63A1">
        <w:rPr>
          <w:rFonts w:ascii="Times New Roman" w:hAnsi="Times New Roman" w:cs="Times New Roman"/>
        </w:rPr>
        <w:fldChar w:fldCharType="begin"/>
      </w:r>
      <w:r w:rsidR="001046AA">
        <w:rPr>
          <w:rFonts w:ascii="Times New Roman" w:hAnsi="Times New Roman" w:cs="Times New Roman"/>
        </w:rPr>
        <w:instrText xml:space="preserve"> ADDIN ZOTERO_ITEM CSL_CITATION {"citationID":"jtO2kiJD","properties":{"formattedCitation":"(50)","plainCitation":"(50)","noteIndex":0},"citationItems":[{"id":11285,"uris":["http://zotero.org/users/16652950/items/CUK8F6VT"],"itemData":{"id":11285,"type":"article-journal","abstract":"Antimicrobial resistance (AMR) poses a critical threat to global health, undermining the efficacy of modern medicine. The escalating global epidemic of AMR jeopardizes the efficacy of contemporary medicine and undermines health systems globally. The swift, precise, and scalable identification of resistance determinants is essential for containment and stewardship initiatives; yet, existing surveillance techniques are constrained by time, expense, and accessibility. Recent advancements in biosensor technology and artificial intelligence (AI) provide a revolutionary approach to decentralized, intelligent AMR monitoring. This review consolidates recent advancements in biosensor platforms-encompassing electrochemical, optical, piezoelectric, paper-based, and nanomaterial-based modalities-and their incorporation with AI and machine learning techniques for improved detection, signal interpretation, and predictive analytics. This study investigates the utilization of hybrid systems in clinical, veterinary, and environmental settings under the One Health surveillance framework. The research also examines the integration of AI-enabled biosensors within digital and Internet of Things (IoT) frameworks, emphasizing its capacity to produce real-time, data-intensive insights for public health decision-making. Critical analysis is conducted on key problems, including sensor repeatability, data scarcity, algorithmic transparency, and regulatory adaptation, in conjunction with socioeconomic and ethical considerations. The report delineates prospective avenues for research, policy, and implementation, highlighting open data standards, equitable access, and interdisciplinary collaboration. These breakthroughs collectively indicate the emergence of AI-driven biosensing networks, which provide predictive, adaptive, and globally coordinated AMR surveillance.","container-title":"Cureus","DOI":"10.7759/cureus.98098","ISSN":"2168-8184","language":"en","note":"publisher: Cureus","source":"www.cureus.com","title":"Artificial Intelligence-Integrated Biosensors for Antimicrobial Resistance Detection and Surveillance: A Review and Future Perspectives for Global Biosecurity","title-short":"Artificial Intelligence-Integrated Biosensors for Antimicrobial Resistance Detection and Surveillance","URL":"https://cureus.com/articles/433730-artificial-intelligence-integrated-biosensors-for-antimicrobial-resistance-detection-and-surveillance-a-review-and-future-perspectives-for-global-biosecurity","volume":"17","author":[{"family":"Lawal","given":"Olabisi P."},{"family":"Opara","given":"Innocent J."},{"family":"Ayo-ige","given":"Ayodele"},{"family":"Eboh","given":"Ndidi A."},{"family":"Cos-Ibe","given":"Uchechukwu"},{"family":"Forson","given":"Kwesi Akonu Adom Mensah"},{"family":"Mensah","given":"Elijah Kordieh"},{"family":"Olaitan","given":"Ololade F."},{"family":"Nii-Okai","given":"Enoch"},{"family":"Yeboah","given":"Alfred"},{"family":"Gabriels","given":"Nazeem"},{"family":"Olaniyi","given":"Aliyu O."},{"family":"Lawal","given":"Olabisi P."},{"family":"Opara","given":"Innocent J."},{"family":"Ayo-ige","given":"Ayodele"},{"family":"Eboh","given":"Firstname A."},{"family":"Cos-Ibe","given":"Uchechukwu"},{"family":"Forson","given":"Kwesi"},{"family":"Mensah","given":"Elijah Kordieh"},{"family":"Olaitan","given":"Ololade F."},{"family":"Nii-Okai","given":"Enoch"},{"family":"Yeboah","given":"Alfred"},{"family":"Gabriels","given":"Nazeem"},{"family":"Olaniyi","given":"Aliyu O."}],"accessed":{"date-parts":[["2025",12,3]]},"issued":{"date-parts":[["2025",11,29]]}}}],"schema":"https://github.com/citation-style-language/schema/raw/master/csl-citation.json"} </w:instrText>
      </w:r>
      <w:r w:rsidR="006E63A1">
        <w:rPr>
          <w:rFonts w:ascii="Times New Roman" w:hAnsi="Times New Roman" w:cs="Times New Roman"/>
        </w:rPr>
        <w:fldChar w:fldCharType="separate"/>
      </w:r>
      <w:r w:rsidR="001046AA" w:rsidRPr="001046AA">
        <w:rPr>
          <w:rFonts w:ascii="Times New Roman" w:hAnsi="Times New Roman" w:cs="Times New Roman"/>
        </w:rPr>
        <w:t>(50)</w:t>
      </w:r>
      <w:r w:rsidR="006E63A1">
        <w:rPr>
          <w:rFonts w:ascii="Times New Roman" w:hAnsi="Times New Roman" w:cs="Times New Roman"/>
        </w:rPr>
        <w:fldChar w:fldCharType="end"/>
      </w:r>
    </w:p>
    <w:p w14:paraId="3B31F4BD" w14:textId="77777777" w:rsidR="00B41D3E" w:rsidRPr="00335136" w:rsidRDefault="00B41D3E" w:rsidP="00B41D3E">
      <w:pPr>
        <w:rPr>
          <w:rFonts w:ascii="Times New Roman" w:hAnsi="Times New Roman" w:cs="Times New Roman"/>
        </w:rPr>
      </w:pPr>
    </w:p>
    <w:p w14:paraId="0686D812" w14:textId="77777777" w:rsidR="00B41D3E" w:rsidRPr="00B41D3E" w:rsidRDefault="00B41D3E" w:rsidP="00B41D3E">
      <w:pPr>
        <w:rPr>
          <w:rFonts w:ascii="Times New Roman" w:hAnsi="Times New Roman" w:cs="Times New Roman"/>
          <w:b/>
          <w:bCs/>
        </w:rPr>
      </w:pPr>
      <w:r w:rsidRPr="00B41D3E">
        <w:rPr>
          <w:rFonts w:ascii="Times New Roman" w:hAnsi="Times New Roman" w:cs="Times New Roman"/>
          <w:b/>
          <w:bCs/>
        </w:rPr>
        <w:t>8. Future Directions and Research Priorities</w:t>
      </w:r>
    </w:p>
    <w:p w14:paraId="7E1BE31B" w14:textId="77777777" w:rsidR="00B41D3E" w:rsidRPr="00B41D3E" w:rsidRDefault="00B41D3E" w:rsidP="00B41D3E">
      <w:pPr>
        <w:rPr>
          <w:rFonts w:ascii="Times New Roman" w:hAnsi="Times New Roman" w:cs="Times New Roman"/>
        </w:rPr>
      </w:pPr>
      <w:r w:rsidRPr="00B41D3E">
        <w:rPr>
          <w:rFonts w:ascii="Times New Roman" w:hAnsi="Times New Roman" w:cs="Times New Roman"/>
        </w:rPr>
        <w:t>Advancing understanding of agrochemical contamination in drinking water and its implications for chronic disease risk among U.S. farmers will require methodological innovation, improved data integration, and closer alignment between research and policy. Several priority directions emerge from the current evidence base.</w:t>
      </w:r>
    </w:p>
    <w:p w14:paraId="0EE48856" w14:textId="77777777" w:rsidR="00B41D3E" w:rsidRPr="00B41D3E" w:rsidRDefault="00B41D3E" w:rsidP="00B41D3E">
      <w:pPr>
        <w:rPr>
          <w:rFonts w:ascii="Times New Roman" w:hAnsi="Times New Roman" w:cs="Times New Roman"/>
        </w:rPr>
      </w:pPr>
      <w:r w:rsidRPr="00B41D3E">
        <w:rPr>
          <w:rFonts w:ascii="Times New Roman" w:hAnsi="Times New Roman" w:cs="Times New Roman"/>
        </w:rPr>
        <w:t>Hybrid frameworks that integrate exposure modeling with biomonitoring represent a critical next step. While modeling approaches are essential for reconstructing long-term and spatially heterogeneous exposure, biomonitoring provides direct evidence of internal dose and biological relevance. Combining these approaches can improve validation of modeled estimates, reduce exposure misclassification, and clarify dose–response relationships, particularly for mixtures of agrochemicals and their metabolites</w:t>
      </w:r>
      <w:r w:rsidR="00887CC0">
        <w:rPr>
          <w:rFonts w:ascii="Times New Roman" w:hAnsi="Times New Roman" w:cs="Times New Roman"/>
        </w:rPr>
        <w:fldChar w:fldCharType="begin"/>
      </w:r>
      <w:r w:rsidR="00691FE4">
        <w:rPr>
          <w:rFonts w:ascii="Times New Roman" w:hAnsi="Times New Roman" w:cs="Times New Roman"/>
        </w:rPr>
        <w:instrText xml:space="preserve"> ADDIN ZOTERO_ITEM CSL_CITATION {"citationID":"8dcrvswn","properties":{"formattedCitation":"(27)","plainCitation":"(27)","noteIndex":0},"citationItems":[{"id":14956,"uris":["http://zotero.org/users/16652950/items/QR7HH7VX"],"itemData":{"id":14956,"type":"article-journal","abstract":"The human exposome (the cumulative measure of environmental exposures across the life course) offers a critical complement to genomics in deciphering the multifactorial origins of complex diseases. Exposome-wide association studies (ExWAS) represent an emerging class of high-dimensional epidemiological analyses designed to systematically assess associations between diverse environmental exposures and health outcomes. However, ExWAS requires advanced computational standards and tools capable of handling exposure complexity, temporal variability, co-exposure correlation, and multi-omics data integration. This review synthesizes current computational methodologies and platforms for ExWAS, highlighting recent advances in statistical modeling, exposure quantification, and bioinformatics tools. We conducted a PRISMA-ScR-guided scoping review across PubMed, Scopus, and Web of Science (2010–2025), with dual-reviewer screening in Rayyan, standardized data charting, and SWiM-aligned narrative synthesis. We explore multivariable and mixture modeling approaches (e.g., weighted quantile sum regression, Bayesian kernel machine regression), integration of external and internal exposome domains, and the application of longitudinal designs and environmental risk scoring. Key platforms such as the rexposome suite, exposomeShiny, and the integrative INTEGRA framework are examined for their role in operationalizing exposomic analyses at population scale. We also discuss the importance of data standardization, including exposure ontologies, harmonization protocols, and federated data infrastructure supporting cross-cohort analyses. Moreover, we discuss how computational exposomics can elucidate mechanistic pathways linking environmental exposures to disease, particularly when integrated with transcriptomic and metabolomic data. Finally, we outline future directions for the field, including genome–exposome integration, AI-driven causal inference, and translational pipelines for regulatory and clinical implementation. Beyond listing methods, we assess computational maturity and reproducibility (open licensing, containerization, federation readiness) and connect standards + tools to ExWAS workflows and translation. Computationally mature and mechanistically anchored, ExWAS are poised to become central tools in precision environmental health, enhancing the interpretability of genome–environment interactions and the predictive power of integrated omics frameworks.","container-title":"Environment International","DOI":"10.1016/j.envint.2026.110117","ISSN":"0160-4120","journalAbbreviation":"Environment International","page":"110117","source":"ScienceDirect","title":"Computational standards and tools for exposome-wide association studies linking the human exposome with health outcomes","volume":"208","author":[{"family":"Sarigiannis","given":"Dimosthenis"},{"family":"Anesti","given":"Ourania"},{"family":"Papaioannou","given":"Nafsika"},{"family":"Karakoltzidis","given":"Achilleas"},{"family":"Karakitsios","given":"Spyros"}],"issued":{"date-parts":[["2026",2,1]]}}}],"schema":"https://github.com/citation-style-language/schema/raw/master/csl-citation.json"} </w:instrText>
      </w:r>
      <w:r w:rsidR="00887CC0">
        <w:rPr>
          <w:rFonts w:ascii="Times New Roman" w:hAnsi="Times New Roman" w:cs="Times New Roman"/>
        </w:rPr>
        <w:fldChar w:fldCharType="separate"/>
      </w:r>
      <w:r w:rsidR="00691FE4" w:rsidRPr="00691FE4">
        <w:rPr>
          <w:rFonts w:ascii="Times New Roman" w:hAnsi="Times New Roman" w:cs="Times New Roman"/>
        </w:rPr>
        <w:t>(27)</w:t>
      </w:r>
      <w:r w:rsidR="00887CC0">
        <w:rPr>
          <w:rFonts w:ascii="Times New Roman" w:hAnsi="Times New Roman" w:cs="Times New Roman"/>
        </w:rPr>
        <w:fldChar w:fldCharType="end"/>
      </w:r>
      <w:r w:rsidRPr="00B41D3E">
        <w:rPr>
          <w:rFonts w:ascii="Times New Roman" w:hAnsi="Times New Roman" w:cs="Times New Roman"/>
        </w:rPr>
        <w:t>.</w:t>
      </w:r>
    </w:p>
    <w:p w14:paraId="704EF2BA" w14:textId="77777777" w:rsidR="00B41D3E" w:rsidRPr="00B41D3E" w:rsidRDefault="00B41D3E" w:rsidP="00B41D3E">
      <w:pPr>
        <w:rPr>
          <w:rFonts w:ascii="Times New Roman" w:hAnsi="Times New Roman" w:cs="Times New Roman"/>
        </w:rPr>
      </w:pPr>
      <w:r w:rsidRPr="00B41D3E">
        <w:rPr>
          <w:rFonts w:ascii="Times New Roman" w:hAnsi="Times New Roman" w:cs="Times New Roman"/>
        </w:rPr>
        <w:lastRenderedPageBreak/>
        <w:t>Machine learning and high-resolution exposure modeling offer additional opportunities to enhance precision and scalability. Advances in computational methods enable integration of large, complex datasets, including remote sensing, climate records, and agricultural management data, to generate fine-scale exposure estimates. Machine learning techniques may improve predictive performance and uncover non-linear relationships, though their application must be accompanied by careful attention to interpretability and uncertainty to ensure utility for epidemiologic inference and policy decision-making</w:t>
      </w:r>
      <w:r w:rsidR="00887CC0">
        <w:rPr>
          <w:rFonts w:ascii="Times New Roman" w:hAnsi="Times New Roman" w:cs="Times New Roman"/>
        </w:rPr>
        <w:fldChar w:fldCharType="begin"/>
      </w:r>
      <w:r w:rsidR="001046AA">
        <w:rPr>
          <w:rFonts w:ascii="Times New Roman" w:hAnsi="Times New Roman" w:cs="Times New Roman"/>
        </w:rPr>
        <w:instrText xml:space="preserve"> ADDIN ZOTERO_ITEM CSL_CITATION {"citationID":"I4GmNH4X","properties":{"formattedCitation":"(51)","plainCitation":"(51)","noteIndex":0},"citationItems":[{"id":3122,"uris":["http://zotero.org/users/16652950/items/3RZR4GGY"],"itemData":{"id":3122,"type":"article-journal","abstract":"The field of infectious disease prediction and public health response is changing due to the integration of real-time data with machine learning (ML).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 The potential of key machine learning models, such as reinforcement learning, deep learning, and supervised learning, to improve forecasting accuracy and facilitate dynamic decision-making is investigated. There is a critical discussion of issues such as algorithmic opacity, privacy problems, data inconsistencies, and a lack of standards. The COVID-19 pandemic case study demonstrates how these tools have already aided in resource allocation and policy planning. A forward-looking outlook on developments in data collecting, explainable Artificial Intelligence, and the necessity of global cooperation is presented in the manuscript's conclusion. When taken as a whole, these elements emphasize how crucial it is to combine technology and international collaboration to fortify public health systems and better prepare for future epidemics.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options.","container-title":"Asian Journal of Microbiology and Biotechnology","DOI":"10.56557/ajmab/2025/v10i19371","issue":"1","page":"147-163","source":"HAL Archives Ouvertes","title":"Integrating Real-Time Data and Machine Learning in Predicting Infectious Disease Outbreaks: Enhancing Response Strategies in Sub-Saharan Africa","title-short":"Integrating Real-Time Data and Machine Learning in Predicting Infectious Disease Outbreaks","volume":"10","author":[{"family":"Lawal","given":"Olabisi Promise"},{"family":"Igwe","given":"Ejikeme Peter"},{"family":"Olosunde","given":"Adedapo"},{"family":"Chisom","given":"Ezeamii Patra"},{"family":"Okeh","given":"Debra Ukamaka"},{"family":"Olowookere","given":"Adepeju Kafayat"},{"family":"Adedayo","given":"Olufemi Adesola"},{"family":"Agu","given":"Chiamaka Pamela"},{"family":"Mustapha","given":"Fatimah Adeola"},{"family":"Odubo","given":"Favour"},{"family":"Orobator","given":"Enibokun Theresa"}],"issued":{"date-parts":[["2025",5]]}}}],"schema":"https://github.com/citation-style-language/schema/raw/master/csl-citation.json"} </w:instrText>
      </w:r>
      <w:r w:rsidR="00887CC0">
        <w:rPr>
          <w:rFonts w:ascii="Times New Roman" w:hAnsi="Times New Roman" w:cs="Times New Roman"/>
        </w:rPr>
        <w:fldChar w:fldCharType="separate"/>
      </w:r>
      <w:r w:rsidR="001046AA" w:rsidRPr="001046AA">
        <w:rPr>
          <w:rFonts w:ascii="Times New Roman" w:hAnsi="Times New Roman" w:cs="Times New Roman"/>
        </w:rPr>
        <w:t>(51)</w:t>
      </w:r>
      <w:r w:rsidR="00887CC0">
        <w:rPr>
          <w:rFonts w:ascii="Times New Roman" w:hAnsi="Times New Roman" w:cs="Times New Roman"/>
        </w:rPr>
        <w:fldChar w:fldCharType="end"/>
      </w:r>
      <w:r w:rsidRPr="00B41D3E">
        <w:rPr>
          <w:rFonts w:ascii="Times New Roman" w:hAnsi="Times New Roman" w:cs="Times New Roman"/>
        </w:rPr>
        <w:t>.</w:t>
      </w:r>
    </w:p>
    <w:p w14:paraId="1FC2BF36" w14:textId="77777777" w:rsidR="00B41D3E" w:rsidRPr="00B41D3E" w:rsidRDefault="00B41D3E" w:rsidP="00B41D3E">
      <w:pPr>
        <w:rPr>
          <w:rFonts w:ascii="Times New Roman" w:hAnsi="Times New Roman" w:cs="Times New Roman"/>
        </w:rPr>
      </w:pPr>
      <w:r w:rsidRPr="00B41D3E">
        <w:rPr>
          <w:rFonts w:ascii="Times New Roman" w:hAnsi="Times New Roman" w:cs="Times New Roman"/>
        </w:rPr>
        <w:t>Longitudinal farmer cohorts are essential for addressing latency, cumulative exposure, and life-course vulnerability. Existing cohorts should be expanded to incorporate detailed residential histories, water source information, and modeled exposure metrics. New cohorts designed explicitly around environmental exposure assessment could strengthen causal inference and allow examination of susceptible subgroups, including aging farmers and underrepresented populations</w:t>
      </w:r>
      <w:r w:rsidR="00887CC0">
        <w:rPr>
          <w:rFonts w:ascii="Times New Roman" w:hAnsi="Times New Roman" w:cs="Times New Roman"/>
        </w:rPr>
        <w:fldChar w:fldCharType="begin"/>
      </w:r>
      <w:r w:rsidR="001046AA">
        <w:rPr>
          <w:rFonts w:ascii="Times New Roman" w:hAnsi="Times New Roman" w:cs="Times New Roman"/>
        </w:rPr>
        <w:instrText xml:space="preserve"> ADDIN ZOTERO_ITEM CSL_CITATION {"citationID":"0JCSzwLC","properties":{"formattedCitation":"(52)","plainCitation":"(52)","noteIndex":0},"citationItems":[{"id":15007,"uris":["http://zotero.org/users/16652950/items/JH5T6TNV"],"itemData":{"id":15007,"type":"article-journal","abstract":"Recent Findings\nResearch on the drivers of health across the life course would ideally be based in diverse longitudinal cohorts that repeatedly collect detailed assessments of risk factors over the full life span. However, few extant data sources in the US possess these ideal features. A “longitudinal synthetic cohort”—a dataset created by stacking or linking multiple individual cohorts spanning different but overlapping periods of the life course—can overcome some of these challenges, leveraging the strengths of each component study. This type of synthetic cohort is especially useful for aging research; it enables description of the long-term natural history of disease and novel investigations of earlier-life factors and mechanisms shaping health outcomes that typically manifest in older age, such as Alzheimer’s disease and related dementias (ADRD).\n\nPurpose of Review\nWe review current understanding of synthetic cohorts for life course research. We first discuss chief advantages of longitudinal synthetic cohorts, focusing on their utility for aging/ADRD research to concretize the discussion. We then summarize the conditions needed for valid inference in a synthetic cohort, depending on research goals. We end by highlighting key challenges to creating longitudinal synthetic cohorts and conducting life course research within them.\n\nSummary\nThe idea of combining multiple data sources to investigate research questions that are not feasible to answer using a single cohort is gaining popularity in epidemiology. The use of longitudinal synthetic cohorts in applied research—and especially in ADRD research—has been limited, however, likely due to methodologic complexity. In particular, little guidance and few examples exist for the creation of a longitudinal synthetic cohort for causal research goals. While building synthetic cohorts requires much thought and care, it offers tremendous opportunity to address novel and critical scientific questions that could not be examined in a single study.","container-title":"Current Epidemiology Reports","DOI":"10.1007/s40471-024-00355-1","ISSN":"2196-2995","issue":"1","journalAbbreviation":"Curr Epidemiol Rep","note":"PMID: 40756777\nPMCID: PMC12316055","page":"2","source":"PubMed Central","title":"An Introduction to Longitudinal Synthetic Cohorts for Studying the Life Course Drivers of Health Outcomes and Inequalities in Older Age","volume":"12","author":[{"family":"Kezios","given":"Katrina L."},{"family":"Glymour","given":"M. Maria"},{"family":"Zeki Al Hazzouri","given":"Adina"}],"issued":{"date-parts":[["2025"]]}}}],"schema":"https://github.com/citation-style-language/schema/raw/master/csl-citation.json"} </w:instrText>
      </w:r>
      <w:r w:rsidR="00887CC0">
        <w:rPr>
          <w:rFonts w:ascii="Times New Roman" w:hAnsi="Times New Roman" w:cs="Times New Roman"/>
        </w:rPr>
        <w:fldChar w:fldCharType="separate"/>
      </w:r>
      <w:r w:rsidR="001046AA" w:rsidRPr="001046AA">
        <w:rPr>
          <w:rFonts w:ascii="Times New Roman" w:hAnsi="Times New Roman" w:cs="Times New Roman"/>
        </w:rPr>
        <w:t>(52)</w:t>
      </w:r>
      <w:r w:rsidR="00887CC0">
        <w:rPr>
          <w:rFonts w:ascii="Times New Roman" w:hAnsi="Times New Roman" w:cs="Times New Roman"/>
        </w:rPr>
        <w:fldChar w:fldCharType="end"/>
      </w:r>
      <w:r w:rsidRPr="00B41D3E">
        <w:rPr>
          <w:rFonts w:ascii="Times New Roman" w:hAnsi="Times New Roman" w:cs="Times New Roman"/>
        </w:rPr>
        <w:t>.</w:t>
      </w:r>
    </w:p>
    <w:p w14:paraId="0D2E34FD" w14:textId="77777777" w:rsidR="00B41D3E" w:rsidRPr="00B41D3E" w:rsidRDefault="00B41D3E" w:rsidP="00B41D3E">
      <w:pPr>
        <w:rPr>
          <w:rFonts w:ascii="Times New Roman" w:hAnsi="Times New Roman" w:cs="Times New Roman"/>
        </w:rPr>
      </w:pPr>
      <w:r w:rsidRPr="00B41D3E">
        <w:rPr>
          <w:rFonts w:ascii="Times New Roman" w:hAnsi="Times New Roman" w:cs="Times New Roman"/>
        </w:rPr>
        <w:t>Finally, translating research findings into enforceable standards remains a central challenge. Modeled evidence of chronic, low-level exposure should inform revision of drinking water guidelines, particularly for private wells that fall outside regulatory oversight. Bridging the gap between scientific modeling and regulatory action will require collaboration among researchers, regulators, and agricultural stakeholders to ensure that exposure limits and mitigation strategies reflect real-world conditions and protect long-term health in farming communities.</w:t>
      </w:r>
    </w:p>
    <w:p w14:paraId="40B3947E" w14:textId="77777777" w:rsidR="00B41D3E" w:rsidRPr="00335136" w:rsidRDefault="00B41D3E" w:rsidP="00B41D3E">
      <w:pPr>
        <w:rPr>
          <w:rFonts w:ascii="Times New Roman" w:hAnsi="Times New Roman" w:cs="Times New Roman"/>
        </w:rPr>
      </w:pPr>
    </w:p>
    <w:p w14:paraId="445483A9" w14:textId="77777777" w:rsidR="0060268C" w:rsidRPr="0060268C" w:rsidRDefault="0060268C" w:rsidP="0060268C">
      <w:pPr>
        <w:rPr>
          <w:rFonts w:ascii="Times New Roman" w:hAnsi="Times New Roman" w:cs="Times New Roman"/>
          <w:b/>
          <w:bCs/>
        </w:rPr>
      </w:pPr>
      <w:r w:rsidRPr="0060268C">
        <w:rPr>
          <w:rFonts w:ascii="Times New Roman" w:hAnsi="Times New Roman" w:cs="Times New Roman"/>
          <w:b/>
          <w:bCs/>
        </w:rPr>
        <w:t>9. Conclusion</w:t>
      </w:r>
    </w:p>
    <w:p w14:paraId="794BB4B8" w14:textId="77777777" w:rsidR="0060268C" w:rsidRPr="0060268C" w:rsidRDefault="0060268C" w:rsidP="0060268C">
      <w:pPr>
        <w:rPr>
          <w:rFonts w:ascii="Times New Roman" w:hAnsi="Times New Roman" w:cs="Times New Roman"/>
        </w:rPr>
      </w:pPr>
      <w:r w:rsidRPr="0060268C">
        <w:rPr>
          <w:rFonts w:ascii="Times New Roman" w:hAnsi="Times New Roman" w:cs="Times New Roman"/>
        </w:rPr>
        <w:t>Agrochemical contamination of drinking water represents a persistent and underrecognized pathway linking agricultural practices to chronic disease risk among U.S. farmers. Because direct monitoring and biomonitoring alone are insufficient to capture long-term, low-level exposure</w:t>
      </w:r>
      <w:r w:rsidR="00D46D6A">
        <w:rPr>
          <w:rFonts w:ascii="Times New Roman" w:hAnsi="Times New Roman" w:cs="Times New Roman"/>
        </w:rPr>
        <w:t>,</w:t>
      </w:r>
      <w:r w:rsidRPr="00335136">
        <w:rPr>
          <w:rFonts w:ascii="Times New Roman" w:hAnsi="Times New Roman" w:cs="Times New Roman"/>
        </w:rPr>
        <w:t xml:space="preserve"> </w:t>
      </w:r>
      <w:r w:rsidRPr="0060268C">
        <w:rPr>
          <w:rFonts w:ascii="Times New Roman" w:hAnsi="Times New Roman" w:cs="Times New Roman"/>
        </w:rPr>
        <w:t>particularly in private well–dependent communities</w:t>
      </w:r>
      <w:r w:rsidR="00D46D6A">
        <w:rPr>
          <w:rFonts w:ascii="Times New Roman" w:hAnsi="Times New Roman" w:cs="Times New Roman"/>
        </w:rPr>
        <w:t>,</w:t>
      </w:r>
      <w:r w:rsidRPr="00335136">
        <w:rPr>
          <w:rFonts w:ascii="Times New Roman" w:hAnsi="Times New Roman" w:cs="Times New Roman"/>
        </w:rPr>
        <w:t xml:space="preserve"> </w:t>
      </w:r>
      <w:r w:rsidRPr="0060268C">
        <w:rPr>
          <w:rFonts w:ascii="Times New Roman" w:hAnsi="Times New Roman" w:cs="Times New Roman"/>
        </w:rPr>
        <w:t>modeling approaches have emerged as a critical bridge between environmental contamination and human health outcomes. By integrating data on agrochemical use, environmental transport, and water sourcing, exposure models enable reconstruction of cumulative exposure patterns that are central to chronic disease etiology.</w:t>
      </w:r>
    </w:p>
    <w:p w14:paraId="6860FE3D" w14:textId="77777777" w:rsidR="0060268C" w:rsidRPr="0060268C" w:rsidRDefault="0060268C" w:rsidP="0060268C">
      <w:pPr>
        <w:rPr>
          <w:rFonts w:ascii="Times New Roman" w:hAnsi="Times New Roman" w:cs="Times New Roman"/>
        </w:rPr>
      </w:pPr>
      <w:r w:rsidRPr="0060268C">
        <w:rPr>
          <w:rFonts w:ascii="Times New Roman" w:hAnsi="Times New Roman" w:cs="Times New Roman"/>
        </w:rPr>
        <w:t>The evidence synthesized in this review highlights the relevance of drinking water contamination for a range of chronic conditions, including cancer, neurologic, endocrine, metabolic, and renal diseases. Importantly, reliance on private wells, long-term residence in agricultural environments, and regulatory gaps place many farmers at heightened risk, raising concerns about health equity. Exposure modeling provides a means to identify vulnerable populations, guide targeted surveillance, and inform preventive interventions before disease burden becomes irreversible.</w:t>
      </w:r>
    </w:p>
    <w:p w14:paraId="6C064CB0" w14:textId="77777777" w:rsidR="0060268C" w:rsidRDefault="0060268C" w:rsidP="0060268C">
      <w:pPr>
        <w:rPr>
          <w:rFonts w:ascii="Times New Roman" w:hAnsi="Times New Roman" w:cs="Times New Roman"/>
        </w:rPr>
      </w:pPr>
      <w:r w:rsidRPr="0060268C">
        <w:rPr>
          <w:rFonts w:ascii="Times New Roman" w:hAnsi="Times New Roman" w:cs="Times New Roman"/>
        </w:rPr>
        <w:t xml:space="preserve">Moving forward, protecting farmer health will require integrated environmental–occupational health strategies that align agricultural policy, water regulation, and public health surveillance. </w:t>
      </w:r>
      <w:r w:rsidRPr="0060268C">
        <w:rPr>
          <w:rFonts w:ascii="Times New Roman" w:hAnsi="Times New Roman" w:cs="Times New Roman"/>
        </w:rPr>
        <w:lastRenderedPageBreak/>
        <w:t>Incorporating modeled exposure into risk assessment and regulatory frameworks can help close existing protection gaps and ensure that standards reflect real-world conditions. Ultimately, advancing and applying these modeling approaches is essential for reducing preventable chronic disease and promoting sustainable, health-conscious agricultural systems.</w:t>
      </w:r>
    </w:p>
    <w:p w14:paraId="7F9545CB" w14:textId="77777777" w:rsidR="00697E32" w:rsidRDefault="00697E32" w:rsidP="0060268C">
      <w:pPr>
        <w:rPr>
          <w:rFonts w:ascii="Times New Roman" w:hAnsi="Times New Roman" w:cs="Times New Roman"/>
        </w:rPr>
      </w:pPr>
    </w:p>
    <w:p w14:paraId="0C563CF6" w14:textId="77777777" w:rsidR="00697E32" w:rsidRPr="00697E32" w:rsidRDefault="00697E32" w:rsidP="00697E32">
      <w:pPr>
        <w:rPr>
          <w:rFonts w:ascii="Times New Roman" w:hAnsi="Times New Roman" w:cs="Times New Roman"/>
        </w:rPr>
      </w:pPr>
      <w:r w:rsidRPr="00697E32">
        <w:rPr>
          <w:rFonts w:ascii="Times New Roman" w:hAnsi="Times New Roman" w:cs="Times New Roman"/>
        </w:rPr>
        <w:t>COMPETING INTERESTS DISCLAIMER:</w:t>
      </w:r>
    </w:p>
    <w:p w14:paraId="4595F844" w14:textId="636D6070" w:rsidR="00697E32" w:rsidRPr="00335136" w:rsidRDefault="00697E32" w:rsidP="00697E32">
      <w:pPr>
        <w:rPr>
          <w:rFonts w:ascii="Times New Roman" w:hAnsi="Times New Roman" w:cs="Times New Roman"/>
        </w:rPr>
      </w:pPr>
      <w:r w:rsidRPr="00697E32">
        <w:rPr>
          <w:rFonts w:ascii="Times New Roman" w:hAnsi="Times New Roman" w:cs="Times New Roman"/>
        </w:rPr>
        <w:t>Authors have declared that they have no known competing financial interests OR non-financial interests OR personal relationships that could have appeared to influence the work reported in this paper.</w:t>
      </w:r>
    </w:p>
    <w:p w14:paraId="48B8F6AB" w14:textId="77777777" w:rsidR="00736DB6" w:rsidRDefault="00736DB6" w:rsidP="0060268C">
      <w:pPr>
        <w:rPr>
          <w:rFonts w:ascii="Times New Roman" w:hAnsi="Times New Roman" w:cs="Times New Roman"/>
        </w:rPr>
      </w:pPr>
    </w:p>
    <w:p w14:paraId="7ADBEC56" w14:textId="77777777" w:rsidR="00402998" w:rsidRPr="0060268C" w:rsidRDefault="00402998" w:rsidP="0060268C">
      <w:pPr>
        <w:rPr>
          <w:rFonts w:ascii="Times New Roman" w:hAnsi="Times New Roman" w:cs="Times New Roman"/>
          <w:b/>
          <w:bCs/>
        </w:rPr>
      </w:pPr>
      <w:r w:rsidRPr="00402998">
        <w:rPr>
          <w:rFonts w:ascii="Times New Roman" w:hAnsi="Times New Roman" w:cs="Times New Roman"/>
          <w:b/>
          <w:bCs/>
        </w:rPr>
        <w:t>REFERENCES</w:t>
      </w:r>
    </w:p>
    <w:p w14:paraId="6206A6DC" w14:textId="77777777" w:rsidR="001046AA" w:rsidRDefault="00402998" w:rsidP="001046AA">
      <w:pPr>
        <w:pStyle w:val="Bibliography"/>
      </w:pPr>
      <w:r>
        <w:fldChar w:fldCharType="begin"/>
      </w:r>
      <w:r>
        <w:instrText xml:space="preserve"> ADDIN ZOTERO_BIBL {"uncited":[],"omitted":[],"custom":[]} CSL_BIBLIOGRAPHY </w:instrText>
      </w:r>
      <w:r>
        <w:fldChar w:fldCharType="separate"/>
      </w:r>
      <w:r w:rsidR="001046AA">
        <w:t>1.</w:t>
      </w:r>
      <w:r w:rsidR="001046AA">
        <w:tab/>
        <w:t>Devi PI, Manjula M, Bhavani RV. Agrochemicals, Environment, and Human Health. Annu Rev Environ Resour. 2022 Oct 17;47(1):399–421. doi:10.1146/annurev-environ-120920-111015</w:t>
      </w:r>
    </w:p>
    <w:p w14:paraId="343C3D6F" w14:textId="77777777" w:rsidR="001046AA" w:rsidRDefault="001046AA" w:rsidP="001046AA">
      <w:pPr>
        <w:pStyle w:val="Bibliography"/>
      </w:pPr>
      <w:r>
        <w:t>2.</w:t>
      </w:r>
      <w:r>
        <w:tab/>
        <w:t>Zhou W, Li M, Achal V. A comprehensive review on environmental and human health impacts of chemical pesticide usage. Emerging Contaminants. 2025 Mar 1;11(1):100410. doi:10.1016/j.emcon.2024.100410</w:t>
      </w:r>
    </w:p>
    <w:p w14:paraId="060D9A4D" w14:textId="77777777" w:rsidR="001046AA" w:rsidRDefault="001046AA" w:rsidP="001046AA">
      <w:pPr>
        <w:pStyle w:val="Bibliography"/>
      </w:pPr>
      <w:r>
        <w:t>3.</w:t>
      </w:r>
      <w:r>
        <w:tab/>
        <w:t>Rajan S, Parween M, Raju NJ. Pesticides in the hydrogeo-environment: a review of contaminant prevalence, source and mobilisation in India. Environ Geochem Health. 2023 May 15;1–33. doi:10.1007/s10653-023-01608-6 PubMed PMID: 37183216; PubMed Central PMCID: PMC10183316.</w:t>
      </w:r>
    </w:p>
    <w:p w14:paraId="52E540AE" w14:textId="77777777" w:rsidR="001046AA" w:rsidRDefault="001046AA" w:rsidP="001046AA">
      <w:pPr>
        <w:pStyle w:val="Bibliography"/>
      </w:pPr>
      <w:r>
        <w:t>4.</w:t>
      </w:r>
      <w:r>
        <w:tab/>
        <w:t>Tudi M, Li H, Li H, Wang L, Lyu J, Yang L, et al. Exposure Routes and Health Risks Associated with Pesticide Application. Toxics. 2022 Jun 19;10(6):335. doi:10.3390/toxics10060335 PubMed PMID: 35736943; PubMed Central PMCID: PMC9231402.</w:t>
      </w:r>
    </w:p>
    <w:p w14:paraId="3FEF42B4" w14:textId="77777777" w:rsidR="001046AA" w:rsidRDefault="001046AA" w:rsidP="001046AA">
      <w:pPr>
        <w:pStyle w:val="Bibliography"/>
      </w:pPr>
      <w:r>
        <w:t>5.</w:t>
      </w:r>
      <w:r>
        <w:tab/>
        <w:t>Baissa OT, Abdela F, Tadesse F, Damie A, Sori M, Hailu W, et al. Occupational, Lifestyle, and Medical Risk Factors for Non-Hodgkin Lymphoma: A Case–Control Study in Ethiopia. Cancers. 2025 Nov 23;17(23). doi:10.3390/cancers17233745</w:t>
      </w:r>
    </w:p>
    <w:p w14:paraId="58DED805" w14:textId="77777777" w:rsidR="001046AA" w:rsidRDefault="001046AA" w:rsidP="001046AA">
      <w:pPr>
        <w:pStyle w:val="Bibliography"/>
      </w:pPr>
      <w:r>
        <w:t>6.</w:t>
      </w:r>
      <w:r>
        <w:tab/>
        <w:t>Moreira A, Silva MV da. Pesticide Application as a Risk Factor/Behaviour for Workers’ Health: A Systematic Review. Environments. 2023 Sep 13;10(9). doi:10.3390/environments10090160</w:t>
      </w:r>
    </w:p>
    <w:p w14:paraId="78120F7B" w14:textId="77777777" w:rsidR="001046AA" w:rsidRDefault="001046AA" w:rsidP="001046AA">
      <w:pPr>
        <w:pStyle w:val="Bibliography"/>
      </w:pPr>
      <w:r>
        <w:t>7.</w:t>
      </w:r>
      <w:r>
        <w:tab/>
        <w:t>Folorunsho S, Ajayi V, Sanmori M. Household income and obesity among older adults: the moderating role of race in a longitudinal analysis. BMC Public Health. 2025 Oct 2;25:3306. doi:10.1186/s12889-025-22910-1 PubMed PMID: 41039415; PubMed Central PMCID: PMC12492692.</w:t>
      </w:r>
    </w:p>
    <w:p w14:paraId="67E8CF74" w14:textId="77777777" w:rsidR="001046AA" w:rsidRDefault="001046AA" w:rsidP="001046AA">
      <w:pPr>
        <w:pStyle w:val="Bibliography"/>
      </w:pPr>
      <w:r>
        <w:lastRenderedPageBreak/>
        <w:t>8.</w:t>
      </w:r>
      <w:r>
        <w:tab/>
        <w:t>Aviña-Hermosillo AL, Morán-Salazar RG, Peregrina-Lucano AA, Reynaga-Delgado E, Badillo-Camacho J, Ramos-Rivera CA, et al. Pesticide contamination and human exposure risk in municipal and commercially purified water from an urban zone in Mexico. Environ Sci Pollut Res Int. 2025 Sep;32(45):25689–705. doi:10.1007/s11356-025-37140-6 PubMed PMID: 41203892.</w:t>
      </w:r>
    </w:p>
    <w:p w14:paraId="696B7306" w14:textId="77777777" w:rsidR="001046AA" w:rsidRDefault="001046AA" w:rsidP="001046AA">
      <w:pPr>
        <w:pStyle w:val="Bibliography"/>
      </w:pPr>
      <w:r>
        <w:t>9.</w:t>
      </w:r>
      <w:r>
        <w:tab/>
        <w:t>Terán-Gómez VF, Buitrago-Ramírez AM, Echeverri-Sánchez AF, Figueroa-Casas A, Benavides-Bolaños JA. Integrating AHP and GIS for Sustainable Surface Water Planning: Identifying Vulnerability to Agricultural Diffuse Pollution in the Guachal River Watershed. Sustainability. 2025 May 1;17(9). doi:10.3390/su17094130</w:t>
      </w:r>
    </w:p>
    <w:p w14:paraId="5A289DDF" w14:textId="77777777" w:rsidR="001046AA" w:rsidRDefault="001046AA" w:rsidP="001046AA">
      <w:pPr>
        <w:pStyle w:val="Bibliography"/>
      </w:pPr>
      <w:r>
        <w:t>10.</w:t>
      </w:r>
      <w:r>
        <w:tab/>
        <w:t>NnanyelugoEgbuchiem A, Egbubine L, Ugorji HO, Njemanze EC. Agrochemical Exposure and Chronic Disease Risk among U.S. Farmers Using Spatial Modeling: A Review of GIS-Based Epidemiological Approaches. Journal of Disease and Global Health. 2026 Jan 27;19(1):79–93. doi:10.56557/jodagh/2026/v19i110200</w:t>
      </w:r>
    </w:p>
    <w:p w14:paraId="633D550B" w14:textId="77777777" w:rsidR="001046AA" w:rsidRDefault="001046AA" w:rsidP="001046AA">
      <w:pPr>
        <w:pStyle w:val="Bibliography"/>
      </w:pPr>
      <w:r>
        <w:t>11.</w:t>
      </w:r>
      <w:r>
        <w:tab/>
        <w:t>Wendell AK, Guse B, Bieger K, Wagner PD, Kiesel J, Ulrich U, et al. A spatio-temporal analysis of environmental fate and transport processes of pesticides and their transformation products in agricultural landscapes dominated by subsurface drainage with SWAT+. Science of The Total Environment. 2024 Oct 1;945:173629. doi:10.1016/j.scitotenv.2024.173629</w:t>
      </w:r>
    </w:p>
    <w:p w14:paraId="42F46974" w14:textId="77777777" w:rsidR="001046AA" w:rsidRDefault="001046AA" w:rsidP="001046AA">
      <w:pPr>
        <w:pStyle w:val="Bibliography"/>
      </w:pPr>
      <w:r>
        <w:t>12.</w:t>
      </w:r>
      <w:r>
        <w:tab/>
        <w:t>Yasir M, Hossain A, Pratap-Singh A, Yasir M, Hossain A, Pratap-Singh A. Pesticide Degradation: Impacts on Soil Fertility and Nutrient Cycling. Environments. 2025 Aug 6;12(8). doi:10.3390/environments12080272</w:t>
      </w:r>
    </w:p>
    <w:p w14:paraId="357E548B" w14:textId="77777777" w:rsidR="001046AA" w:rsidRDefault="001046AA" w:rsidP="001046AA">
      <w:pPr>
        <w:pStyle w:val="Bibliography"/>
      </w:pPr>
      <w:r>
        <w:t>13.</w:t>
      </w:r>
      <w:r>
        <w:tab/>
        <w:t>Nuruzzaman M, Bahar MM, Naidu R. Diffuse soil pollution from agriculture: Impacts and remediation. Science of The Total Environment. 2025 Jan 25;962:178398. doi:10.1016/j.scitotenv.2025.178398</w:t>
      </w:r>
    </w:p>
    <w:p w14:paraId="4A7E2453" w14:textId="77777777" w:rsidR="001046AA" w:rsidRDefault="001046AA" w:rsidP="001046AA">
      <w:pPr>
        <w:pStyle w:val="Bibliography"/>
      </w:pPr>
      <w:r>
        <w:t>14.</w:t>
      </w:r>
      <w:r>
        <w:tab/>
        <w:t>Bradley PM, Romanok KM, Smalling KL, Gordon SE, Huffman BJ, Friedman KP, et al. Private, public, and bottled drinking water: Shared contaminant-mixture exposures and effects challenge. Environ Int. 2025 Jan;195:109220. doi:10.1016/j.envint.2024.109220 PubMed PMID: 39736175; PubMed Central PMCID: PMC12086739.</w:t>
      </w:r>
    </w:p>
    <w:p w14:paraId="64445719" w14:textId="77777777" w:rsidR="001046AA" w:rsidRDefault="001046AA" w:rsidP="001046AA">
      <w:pPr>
        <w:pStyle w:val="Bibliography"/>
      </w:pPr>
      <w:r>
        <w:t>15.</w:t>
      </w:r>
      <w:r>
        <w:tab/>
        <w:t>Kruć-Fijałkowska R, Dragon K, Drożdżyński D, Górski J. Seasonal variation of pesticides in surface water and drinking water wells in the annual cycle in western Poland, and potential health risk assessment. Sci Rep. 2022 Feb 28;12:3317. doi:10.1038/s41598-022-07385-z PubMed PMID: 35228621; PubMed Central PMCID: PMC8885637.</w:t>
      </w:r>
    </w:p>
    <w:p w14:paraId="2CCE36D8" w14:textId="77777777" w:rsidR="001046AA" w:rsidRDefault="001046AA" w:rsidP="001046AA">
      <w:pPr>
        <w:pStyle w:val="Bibliography"/>
      </w:pPr>
      <w:r>
        <w:t>16.</w:t>
      </w:r>
      <w:r>
        <w:tab/>
        <w:t>Curl CL, Hyland C, Spivak M, Sheppard L, Lanphear B, Antoniou MN, et al. The Effect of Pesticide Spray Season and Residential Proximity to Agriculture on Glyphosate Exposure among Pregnant People in Southern Idaho, 2021. Environ Health Perspect. 2023 Dec 6;131(12):127001. doi:10.1289/EHP12768 PubMed PMID: 38054699; PubMed Central PMCID: PMC10699167.</w:t>
      </w:r>
    </w:p>
    <w:p w14:paraId="7E1AD15C" w14:textId="77777777" w:rsidR="001046AA" w:rsidRDefault="001046AA" w:rsidP="001046AA">
      <w:pPr>
        <w:pStyle w:val="Bibliography"/>
      </w:pPr>
      <w:r>
        <w:lastRenderedPageBreak/>
        <w:t>17.</w:t>
      </w:r>
      <w:r>
        <w:tab/>
        <w:t>Manley CK, Spaur M, Madrigal JM, Fisher JA, Jones RR, Parks CG, et al. Drinking water sources and water quality in a prospective agricultural cohort. Environ Epidemiol. 2022 May 25;6(3):e210. doi:10.1097/EE9.0000000000000210 PubMed PMID: 35702502; PubMed Central PMCID: PMC9187174.</w:t>
      </w:r>
    </w:p>
    <w:p w14:paraId="65DEAEE8" w14:textId="77777777" w:rsidR="001046AA" w:rsidRDefault="001046AA" w:rsidP="001046AA">
      <w:pPr>
        <w:pStyle w:val="Bibliography"/>
      </w:pPr>
      <w:r>
        <w:t>18.</w:t>
      </w:r>
      <w:r>
        <w:tab/>
        <w:t>Baćmaga M, Wyszkowska J, Kucharski J. Environmental Implication of Herbicide Use. Molecules. 2024 Dec 17;29(24). doi:10.3390/molecules29245965</w:t>
      </w:r>
    </w:p>
    <w:p w14:paraId="2AE8D71E" w14:textId="77777777" w:rsidR="001046AA" w:rsidRDefault="001046AA" w:rsidP="001046AA">
      <w:pPr>
        <w:pStyle w:val="Bibliography"/>
      </w:pPr>
      <w:r>
        <w:t>19.</w:t>
      </w:r>
      <w:r>
        <w:tab/>
        <w:t>Costas-Ferreira C, Durán R, Faro LRF. Toxic Effects of Glyphosate on the Nervous System: A Systematic Review. Int J Mol Sci. 2022 Apr 21;23(9):4605. doi:10.3390/ijms23094605 PubMed PMID: 35562999; PubMed Central PMCID: PMC9101768.</w:t>
      </w:r>
    </w:p>
    <w:p w14:paraId="419175C3" w14:textId="77777777" w:rsidR="001046AA" w:rsidRDefault="001046AA" w:rsidP="001046AA">
      <w:pPr>
        <w:pStyle w:val="Bibliography"/>
      </w:pPr>
      <w:r>
        <w:t>20.</w:t>
      </w:r>
      <w:r>
        <w:tab/>
        <w:t>Neylon J, Fuller JN, Poel C van der, Church JE, Dworkin S. Organophosphate Insecticide Toxicity in Neural Development, Cognition, Behaviour and Degeneration: Insights from Zebrafish. Journal of Developmental Biology. 2022 Nov 20;10(4). doi:10.3390/jdb10040049</w:t>
      </w:r>
    </w:p>
    <w:p w14:paraId="045F87D8" w14:textId="77777777" w:rsidR="001046AA" w:rsidRDefault="001046AA" w:rsidP="001046AA">
      <w:pPr>
        <w:pStyle w:val="Bibliography"/>
      </w:pPr>
      <w:r>
        <w:t>21.</w:t>
      </w:r>
      <w:r>
        <w:tab/>
        <w:t>Pazhuparambil Jayarajan SK, Kuriachan L. Exposure and health risk assessment of nitrate contamination in groundwater in Coimbatore and Tirupur districts in Tamil Nadu, South India. Environ Sci Pollut Res Int. 2021;28(8):10248–61. doi:10.1007/s11356-020-11552-y PubMed PMID: 33170463; PubMed Central PMCID: PMC8528785.</w:t>
      </w:r>
    </w:p>
    <w:p w14:paraId="5FEB2051" w14:textId="77777777" w:rsidR="001046AA" w:rsidRDefault="001046AA" w:rsidP="001046AA">
      <w:pPr>
        <w:pStyle w:val="Bibliography"/>
      </w:pPr>
      <w:r>
        <w:t>22.</w:t>
      </w:r>
      <w:r>
        <w:tab/>
        <w:t>Parvizishad M, Dalvand A, Mahvi AH, Goodarzi F. A Review of Adverse Effects and Benefits of Nitrate and Nitrite in Drinking Water and Food on Human Health [Review Article] [Internet]. Health Scope; 2016 Jul [cited 2026 Feb 18]. p. e14164. Report No.: 6. Available from: https://brieflands.com/journals/healthscope/articles/14164#abstract</w:t>
      </w:r>
    </w:p>
    <w:p w14:paraId="5A439BC4" w14:textId="77777777" w:rsidR="001046AA" w:rsidRDefault="001046AA" w:rsidP="001046AA">
      <w:pPr>
        <w:pStyle w:val="Bibliography"/>
      </w:pPr>
      <w:r>
        <w:t>23.</w:t>
      </w:r>
      <w:r>
        <w:tab/>
        <w:t>ACS Publications [Internet]. 2011 [cited 2026 Feb 18]. Recent Advances in Environmental Risk Assessment of Transformation Products. Available from: https://pubs.acs.org/doi/abs/10.1021/es1030799</w:t>
      </w:r>
    </w:p>
    <w:p w14:paraId="6EBB8DF5" w14:textId="77777777" w:rsidR="001046AA" w:rsidRDefault="001046AA" w:rsidP="001046AA">
      <w:pPr>
        <w:pStyle w:val="Bibliography"/>
      </w:pPr>
      <w:r>
        <w:t>24.</w:t>
      </w:r>
      <w:r>
        <w:tab/>
        <w:t>Lawal OP, Okeh DU, Ezeamii PC, Olowookere AK, Muhammed I, Ugwu CV, et al. Reimagining Mathematical Modeling for a Responsive and Integrated Future in Infectious Disease Epidemiology. Global Journal of Epidemiology and Infectious Disease. 2025 Dec 22;43–53.</w:t>
      </w:r>
    </w:p>
    <w:p w14:paraId="2C41F574" w14:textId="77777777" w:rsidR="001046AA" w:rsidRDefault="001046AA" w:rsidP="001046AA">
      <w:pPr>
        <w:pStyle w:val="Bibliography"/>
      </w:pPr>
      <w:r>
        <w:t>25.</w:t>
      </w:r>
      <w:r>
        <w:tab/>
        <w:t>Gassmann M. Modelling the Fate of Pesticide Transformation Products From Plot to Catchment Scale—State of Knowledge and Future Challenges. Front Environ Sci. 2021 Jul 29;9. doi:10.3389/fenvs.2021.717738</w:t>
      </w:r>
    </w:p>
    <w:p w14:paraId="797229F2" w14:textId="77777777" w:rsidR="001046AA" w:rsidRDefault="001046AA" w:rsidP="001046AA">
      <w:pPr>
        <w:pStyle w:val="Bibliography"/>
      </w:pPr>
      <w:r>
        <w:t>26.</w:t>
      </w:r>
      <w:r>
        <w:tab/>
        <w:t>Naughton O, Donnelly A, Nolan P, Pilla F, Misstear BD, Broderick B. A land use regression model for explaining spatial variation in air pollution levels using a wind sector based approach. Science of The Total Environment. 2018 Jul 15;630:1324–34. doi:10.1016/j.scitotenv.2018.02.317</w:t>
      </w:r>
    </w:p>
    <w:p w14:paraId="2BC01BB5" w14:textId="77777777" w:rsidR="001046AA" w:rsidRDefault="001046AA" w:rsidP="001046AA">
      <w:pPr>
        <w:pStyle w:val="Bibliography"/>
      </w:pPr>
      <w:r>
        <w:t>27.</w:t>
      </w:r>
      <w:r>
        <w:tab/>
        <w:t xml:space="preserve">Sarigiannis D, Anesti O, Papaioannou N, Karakoltzidis A, Karakitsios S. Computational standards and tools for exposome-wide association studies linking the human exposome </w:t>
      </w:r>
      <w:r>
        <w:lastRenderedPageBreak/>
        <w:t>with health outcomes. Environment International. 2026 Feb 1;208:110117. doi:10.1016/j.envint.2026.110117</w:t>
      </w:r>
    </w:p>
    <w:p w14:paraId="03F3ACB9" w14:textId="77777777" w:rsidR="001046AA" w:rsidRDefault="001046AA" w:rsidP="001046AA">
      <w:pPr>
        <w:pStyle w:val="Bibliography"/>
      </w:pPr>
      <w:r>
        <w:t>28.</w:t>
      </w:r>
      <w:r>
        <w:tab/>
        <w:t>Hicks B, Kaye JA, Azoulay L, Kristensen KB, Habel LA, Pottegård A. The application of lag times in cancer pharmacoepidemiology: a narrative review. Ann Epidemiol. 2023 Aug;84:25–32. doi:10.1016/j.annepidem.2023.05.004 PubMed PMID: 37169040.</w:t>
      </w:r>
    </w:p>
    <w:p w14:paraId="3635F100" w14:textId="77777777" w:rsidR="001046AA" w:rsidRDefault="001046AA" w:rsidP="001046AA">
      <w:pPr>
        <w:pStyle w:val="Bibliography"/>
      </w:pPr>
      <w:r>
        <w:t>29.</w:t>
      </w:r>
      <w:r>
        <w:tab/>
        <w:t>Nishmitha PS, Akhilghosh KA, Aiswriya VP, Ramesh A, Muthuchamy M, Muthukumar A. Understanding emerging contaminants in water and wastewater: A comprehensive review on detection, impacts, and solutions. Journal of Hazardous Materials Advances. 2025 May 1;18:100755. doi:10.1016/j.hazadv.2025.100755</w:t>
      </w:r>
    </w:p>
    <w:p w14:paraId="4E6B64E4" w14:textId="77777777" w:rsidR="001046AA" w:rsidRDefault="001046AA" w:rsidP="001046AA">
      <w:pPr>
        <w:pStyle w:val="Bibliography"/>
      </w:pPr>
      <w:r>
        <w:t>30.</w:t>
      </w:r>
      <w:r>
        <w:tab/>
        <w:t>Yoon HJ, Seo JH, Shin SH, Abdelhamid MAA, Pack SP. Bioinformation and Monitoring Technology for Environmental DNA Analysis: A Review. Biosensors. 2025 Aug 1;15(8). doi:10.3390/bios15080494</w:t>
      </w:r>
    </w:p>
    <w:p w14:paraId="090A5B25" w14:textId="77777777" w:rsidR="001046AA" w:rsidRDefault="001046AA" w:rsidP="001046AA">
      <w:pPr>
        <w:pStyle w:val="Bibliography"/>
      </w:pPr>
      <w:r>
        <w:t>31.</w:t>
      </w:r>
      <w:r>
        <w:tab/>
        <w:t>Munnangi S, Boktor SW. Epidemiology Of Study Design. In: StatPearls [Internet]. Treasure Island (FL): StatPearls Publishing; 2025 [cited 2026 Feb 18]. Available from: http://www.ncbi.nlm.nih.gov/books/NBK470342/ PubMed PMID: 29262004.</w:t>
      </w:r>
    </w:p>
    <w:p w14:paraId="6D574586" w14:textId="77777777" w:rsidR="001046AA" w:rsidRDefault="001046AA" w:rsidP="001046AA">
      <w:pPr>
        <w:pStyle w:val="Bibliography"/>
      </w:pPr>
      <w:r>
        <w:t>32.</w:t>
      </w:r>
      <w:r>
        <w:tab/>
        <w:t>Wakefield L, Agarwal S, Tanner K. Preclinical models for drug discovery for metastatic disease. Cell. 2023 Apr 13;186(8):1792–813. doi:10.1016/j.cell.2023.02.026</w:t>
      </w:r>
    </w:p>
    <w:p w14:paraId="48131087" w14:textId="77777777" w:rsidR="001046AA" w:rsidRDefault="001046AA" w:rsidP="001046AA">
      <w:pPr>
        <w:pStyle w:val="Bibliography"/>
      </w:pPr>
      <w:r>
        <w:t>33.</w:t>
      </w:r>
      <w:r>
        <w:tab/>
        <w:t>Majid S, Reus A, Hoondert R, Blokker M, Dash A, Houtman C, et al. A framework for evaluating less-than-lifetime exposures: advancing toxicological risk assessment for drinking water quality. Arch Toxicol. 2025 Aug 1;99(8):3147–68. doi:10.1007/s00204-025-04061-9</w:t>
      </w:r>
    </w:p>
    <w:p w14:paraId="1E6DE5C9" w14:textId="77777777" w:rsidR="001046AA" w:rsidRDefault="001046AA" w:rsidP="001046AA">
      <w:pPr>
        <w:pStyle w:val="Bibliography"/>
      </w:pPr>
      <w:r>
        <w:t>34.</w:t>
      </w:r>
      <w:r>
        <w:tab/>
        <w:t>Mafe AN, Büsselberg D. Cancer and Environmental Xenobiotics: Mechanisms, Controversies, and Innovations. Journal of Xenobiotics. 2025 Dec 19;16(1). doi:10.3390/jox16010002</w:t>
      </w:r>
    </w:p>
    <w:p w14:paraId="79150238" w14:textId="77777777" w:rsidR="001046AA" w:rsidRDefault="001046AA" w:rsidP="001046AA">
      <w:pPr>
        <w:pStyle w:val="Bibliography"/>
      </w:pPr>
      <w:r>
        <w:t>35.</w:t>
      </w:r>
      <w:r>
        <w:tab/>
        <w:t>Lin MH, Li CY, Cheng YY, Guo HR. Arsenic in Drinking Water and Incidences of Leukemia and Lymphoma: Implication for Its Dual Effects in Carcinogenicity. Front Public Health. 2022 Apr 29;10. doi:10.3389/fpubh.2022.863882</w:t>
      </w:r>
    </w:p>
    <w:p w14:paraId="36031302" w14:textId="77777777" w:rsidR="001046AA" w:rsidRDefault="001046AA" w:rsidP="001046AA">
      <w:pPr>
        <w:pStyle w:val="Bibliography"/>
      </w:pPr>
      <w:r>
        <w:t>36.</w:t>
      </w:r>
      <w:r>
        <w:tab/>
        <w:t>Pironti C, Ricciardi M, Proto A, Bianco PM, Montano L, Motta O. Endocrine-Disrupting Compounds: An Overview on Their Occurrence in the Aquatic Environment and Human Exposure. Water. 2021 May 11;13(10). doi:10.3390/w13101347</w:t>
      </w:r>
    </w:p>
    <w:p w14:paraId="2EFD0686" w14:textId="77777777" w:rsidR="001046AA" w:rsidRDefault="001046AA" w:rsidP="001046AA">
      <w:pPr>
        <w:pStyle w:val="Bibliography"/>
      </w:pPr>
      <w:r>
        <w:t>37.</w:t>
      </w:r>
      <w:r>
        <w:tab/>
        <w:t>Shekhar C, Khosya R, Thakur K, Mahajan D, Kumar R, Kumar S, et al. A systematic review of pesticide exposure, associated risks, and long-term human health impacts. Toxicol Rep. 2024 Nov 30;13:101840. doi:10.1016/j.toxrep.2024.101840 PubMed PMID: 39717852; PubMed Central PMCID: PMC11664077.</w:t>
      </w:r>
    </w:p>
    <w:p w14:paraId="3BF01181" w14:textId="77777777" w:rsidR="001046AA" w:rsidRDefault="001046AA" w:rsidP="001046AA">
      <w:pPr>
        <w:pStyle w:val="Bibliography"/>
      </w:pPr>
      <w:r>
        <w:t>38.</w:t>
      </w:r>
      <w:r>
        <w:tab/>
        <w:t xml:space="preserve">Benasseur I, Talbot D, Durand M, Holbrook A, Matteau A, Potter BJ, et al. A comparison of confounder selection and adjustment methods for estimating causal effects using large </w:t>
      </w:r>
      <w:r>
        <w:lastRenderedPageBreak/>
        <w:t>healthcare databases. Pharmacoepidemiol Drug Saf. 2022 Apr;31(4):424–33. doi:10.1002/pds.5403 PubMed PMID: 34953160; PubMed Central PMCID: PMC9304306.</w:t>
      </w:r>
    </w:p>
    <w:p w14:paraId="03DC5F01" w14:textId="77777777" w:rsidR="001046AA" w:rsidRDefault="001046AA" w:rsidP="001046AA">
      <w:pPr>
        <w:pStyle w:val="Bibliography"/>
      </w:pPr>
      <w:r>
        <w:t>39.</w:t>
      </w:r>
      <w:r>
        <w:tab/>
        <w:t>Levin R, Villanueva CM, Beene D, Cradock AL, Donat-Vargas C, Lewis J, et al. US drinking water quality: exposure risk profiles for seven legacy and emerging contaminants. J Expo Sci Environ Epidemiol. 2024;34(1):3–22. doi:10.1038/s41370-023-00597-z PubMed PMID: 37739995; PubMed Central PMCID: PMC10907308.</w:t>
      </w:r>
    </w:p>
    <w:p w14:paraId="3835545F" w14:textId="77777777" w:rsidR="001046AA" w:rsidRDefault="001046AA" w:rsidP="001046AA">
      <w:pPr>
        <w:pStyle w:val="Bibliography"/>
      </w:pPr>
      <w:r>
        <w:t>40.</w:t>
      </w:r>
      <w:r>
        <w:tab/>
        <w:t>Clark LP, Zilber D, Schmitt C, Fargo DC, Reif DM, Motsinger-Reif AA, et al. A review of geospatial exposure models and approaches for health data integration. J Expo Sci Environ Epidemiol. 2025 Apr;35(2):131–48. doi:10.1038/s41370-024-00712-8</w:t>
      </w:r>
    </w:p>
    <w:p w14:paraId="70F2A463" w14:textId="77777777" w:rsidR="001046AA" w:rsidRDefault="001046AA" w:rsidP="001046AA">
      <w:pPr>
        <w:pStyle w:val="Bibliography"/>
      </w:pPr>
      <w:r>
        <w:t>41.</w:t>
      </w:r>
      <w:r>
        <w:tab/>
        <w:t>Pathak VM, Verma VK, Rawat BS, Kaur B, Babu N, Sharma A, et al. Current status of pesticide effects on environment, human health and it’s eco-friendly management as bioremediation: A comprehensive review. Front Microbiol. 2022 Aug 17;13. doi:10.3389/fmicb.2022.962619</w:t>
      </w:r>
    </w:p>
    <w:p w14:paraId="27996F0A" w14:textId="77777777" w:rsidR="001046AA" w:rsidRDefault="001046AA" w:rsidP="001046AA">
      <w:pPr>
        <w:pStyle w:val="Bibliography"/>
      </w:pPr>
      <w:r>
        <w:t>42.</w:t>
      </w:r>
      <w:r>
        <w:tab/>
        <w:t>Babuji P, Thirumalaisamy S, Duraisamy K, Periyasamy G. Human Health Risks due to Exposure to Water Pollution: A Review. Water. 2023 Jul 10;15(14). doi:10.3390/w15142532</w:t>
      </w:r>
    </w:p>
    <w:p w14:paraId="44459CE3" w14:textId="77777777" w:rsidR="001046AA" w:rsidRDefault="001046AA" w:rsidP="001046AA">
      <w:pPr>
        <w:pStyle w:val="Bibliography"/>
      </w:pPr>
      <w:r>
        <w:t>43.</w:t>
      </w:r>
      <w:r>
        <w:tab/>
        <w:t>Gržinić G, Piotrowicz-Cieślak A, Klimkowicz-Pawlas A, Górny RL, Ławniczek-Wałczyk A, Piechowicz L, et al. Intensive poultry farming: A review of the impact on the environment and human health. Science of The Total Environment. 2023 Feb 1;858:160014. doi:10.1016/j.scitotenv.2022.160014</w:t>
      </w:r>
    </w:p>
    <w:p w14:paraId="3DA08A87" w14:textId="77777777" w:rsidR="001046AA" w:rsidRDefault="001046AA" w:rsidP="001046AA">
      <w:pPr>
        <w:pStyle w:val="Bibliography"/>
      </w:pPr>
      <w:r>
        <w:t>44.</w:t>
      </w:r>
      <w:r>
        <w:tab/>
        <w:t>Ahmadi Dehrashid P, Mansourian H, Sharifi A. Healthy cities as catalysts for sustainable development: A systematic review of co-benefits, trade-offs, and solutions to the SDGs. Progress in Planning. 2026 Jan 9;101032. doi:10.1016/j.progress.2025.101032</w:t>
      </w:r>
    </w:p>
    <w:p w14:paraId="52EF439E" w14:textId="77777777" w:rsidR="001046AA" w:rsidRDefault="001046AA" w:rsidP="001046AA">
      <w:pPr>
        <w:pStyle w:val="Bibliography"/>
      </w:pPr>
      <w:r>
        <w:t>45.</w:t>
      </w:r>
      <w:r>
        <w:tab/>
        <w:t>Ahmad MF, Ahmad FA, Alsayegh AA, Zeyaullah Md, AlShahrani AM, Muzammil K, et al. Pesticides impacts on human health and the environment with their mechanisms of action and possible countermeasures. Heliyon. 2024 Apr 15;10(7):e29128. doi:10.1016/j.heliyon.2024.e29128</w:t>
      </w:r>
    </w:p>
    <w:p w14:paraId="4001F7CA" w14:textId="77777777" w:rsidR="001046AA" w:rsidRDefault="001046AA" w:rsidP="001046AA">
      <w:pPr>
        <w:pStyle w:val="Bibliography"/>
      </w:pPr>
      <w:r>
        <w:t>46.</w:t>
      </w:r>
      <w:r>
        <w:tab/>
        <w:t>Malizia A, McGovern J, Sarigiannis D, Karakitsios S, Anastas PT, Ludovici GM, et al. Integrating the exposome framework in CBRNe risk assessment: a holistic approach to chemical, biological, radiological, nuclear, and explosive threats. Eur Phys J  Plus. 2025 Nov 15;140(11):1103. doi:10.1140/epjp/s13360-025-07030-4</w:t>
      </w:r>
    </w:p>
    <w:p w14:paraId="268BCFBC" w14:textId="77777777" w:rsidR="001046AA" w:rsidRDefault="001046AA" w:rsidP="001046AA">
      <w:pPr>
        <w:pStyle w:val="Bibliography"/>
      </w:pPr>
      <w:r>
        <w:t>47.</w:t>
      </w:r>
      <w:r>
        <w:tab/>
        <w:t>Lawal O, Orenolu IO, Ajobiewe MA, Forson KAAM, Agu UF, Fidelix ME, et al. Hospital-Acquired Infections in the Age of Antimicrobial Resistance and Smart Surveillance. Australian Journal of Biomedical Research. 2025 Aug 16;1(1):aubm002. doi:10.63946/aubiomed/16759</w:t>
      </w:r>
    </w:p>
    <w:p w14:paraId="5CAD207C" w14:textId="77777777" w:rsidR="001046AA" w:rsidRDefault="001046AA" w:rsidP="001046AA">
      <w:pPr>
        <w:pStyle w:val="Bibliography"/>
      </w:pPr>
      <w:r>
        <w:t>48.</w:t>
      </w:r>
      <w:r>
        <w:tab/>
        <w:t xml:space="preserve">Vandenberg LN, Rayasam SDG, Axelrad DA, Bennett DH, Brown P, Carignan CC, et al. Addressing systemic problems with exposure assessments to protect the public’s health. </w:t>
      </w:r>
      <w:r>
        <w:lastRenderedPageBreak/>
        <w:t>Environ Health. 2023 Jan 12;21(Suppl 1):121. doi:10.1186/s12940-022-00917-0 PubMed PMID: 36635700; PubMed Central PMCID: PMC9835264.</w:t>
      </w:r>
    </w:p>
    <w:p w14:paraId="78C40FEF" w14:textId="77777777" w:rsidR="001046AA" w:rsidRDefault="001046AA" w:rsidP="001046AA">
      <w:pPr>
        <w:pStyle w:val="Bibliography"/>
      </w:pPr>
      <w:r>
        <w:t>49.</w:t>
      </w:r>
      <w:r>
        <w:tab/>
        <w:t>Harrison PA, Beauchamp K, Cooper J, Dickie I, Fitch A, Gooday R, et al. An adaptable integrated modelling platform to support rapidly evolving agricultural and environmental policy. Environmental Modelling &amp; Software. 2023 Nov 1;169:105821. doi:10.1016/j.envsoft.2023.105821</w:t>
      </w:r>
    </w:p>
    <w:p w14:paraId="14A42A54" w14:textId="77777777" w:rsidR="001046AA" w:rsidRDefault="001046AA" w:rsidP="001046AA">
      <w:pPr>
        <w:pStyle w:val="Bibliography"/>
      </w:pPr>
      <w:r>
        <w:t>50.</w:t>
      </w:r>
      <w:r>
        <w:tab/>
        <w:t>Lawal OP, Opara IJ, Ayo-ige A, Eboh NA, Cos-Ibe U, Forson KAAM, et al. Artificial Intelligence-Integrated Biosensors for Antimicrobial Resistance Detection and Surveillance: A Review and Future Perspectives for Global Biosecurity. Cureus. 2025 Nov 29;17. doi:10.7759/cureus.98098</w:t>
      </w:r>
    </w:p>
    <w:p w14:paraId="78F89E92" w14:textId="77777777" w:rsidR="001046AA" w:rsidRDefault="001046AA" w:rsidP="001046AA">
      <w:pPr>
        <w:pStyle w:val="Bibliography"/>
      </w:pPr>
      <w:r>
        <w:t>51.</w:t>
      </w:r>
      <w:r>
        <w:tab/>
        <w:t>Lawal OP, Igwe EP, Olosunde A, Chisom EP, Okeh DU, Olowookere AK, et al. Integrating Real-Time Data and Machine Learning in Predicting Infectious Disease Outbreaks: Enhancing Response Strategies in Sub-Saharan Africa. Asian Journal of Microbiology and Biotechnology. 2025 May;10(1):147–63. doi:10.56557/ajmab/2025/v10i19371</w:t>
      </w:r>
    </w:p>
    <w:p w14:paraId="74E840DF" w14:textId="77777777" w:rsidR="001046AA" w:rsidRDefault="001046AA" w:rsidP="001046AA">
      <w:pPr>
        <w:pStyle w:val="Bibliography"/>
      </w:pPr>
      <w:r>
        <w:t>52.</w:t>
      </w:r>
      <w:r>
        <w:tab/>
        <w:t>Kezios KL, Glymour MM, Zeki Al Hazzouri A. An Introduction to Longitudinal Synthetic Cohorts for Studying the Life Course Drivers of Health Outcomes and Inequalities in Older Age. Curr Epidemiol Rep. 2025;12(1):2. doi:10.1007/s40471-024-00355-1 PubMed PMID: 40756777; PubMed Central PMCID: PMC12316055.</w:t>
      </w:r>
    </w:p>
    <w:p w14:paraId="0D0D9257" w14:textId="77777777" w:rsidR="0060268C" w:rsidRPr="00F92B79" w:rsidRDefault="00402998" w:rsidP="00B41D3E">
      <w:pPr>
        <w:rPr>
          <w:rFonts w:ascii="Times New Roman" w:hAnsi="Times New Roman" w:cs="Times New Roman"/>
        </w:rPr>
      </w:pPr>
      <w:r>
        <w:rPr>
          <w:rFonts w:ascii="Times New Roman" w:hAnsi="Times New Roman" w:cs="Times New Roman"/>
        </w:rPr>
        <w:fldChar w:fldCharType="end"/>
      </w:r>
    </w:p>
    <w:p w14:paraId="5CB3D9A9" w14:textId="77777777" w:rsidR="00F92B79" w:rsidRPr="00335136" w:rsidRDefault="00F92B79">
      <w:pPr>
        <w:rPr>
          <w:rFonts w:ascii="Times New Roman" w:hAnsi="Times New Roman" w:cs="Times New Roman"/>
        </w:rPr>
      </w:pPr>
    </w:p>
    <w:sectPr w:rsidR="00F92B79" w:rsidRPr="00335136">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146D66" w14:textId="77777777" w:rsidR="00F97089" w:rsidRDefault="00F97089" w:rsidP="00667EC4">
      <w:pPr>
        <w:spacing w:after="0" w:line="240" w:lineRule="auto"/>
      </w:pPr>
      <w:r>
        <w:separator/>
      </w:r>
    </w:p>
  </w:endnote>
  <w:endnote w:type="continuationSeparator" w:id="0">
    <w:p w14:paraId="6CFEF3FC" w14:textId="77777777" w:rsidR="00F97089" w:rsidRDefault="00F97089" w:rsidP="00667E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20400" w14:textId="77777777" w:rsidR="00667EC4" w:rsidRDefault="00667E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4C064" w14:textId="77777777" w:rsidR="00667EC4" w:rsidRDefault="00667E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60F7A" w14:textId="77777777" w:rsidR="00667EC4" w:rsidRDefault="00667E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808C8A" w14:textId="77777777" w:rsidR="00F97089" w:rsidRDefault="00F97089" w:rsidP="00667EC4">
      <w:pPr>
        <w:spacing w:after="0" w:line="240" w:lineRule="auto"/>
      </w:pPr>
      <w:r>
        <w:separator/>
      </w:r>
    </w:p>
  </w:footnote>
  <w:footnote w:type="continuationSeparator" w:id="0">
    <w:p w14:paraId="2A9DC835" w14:textId="77777777" w:rsidR="00F97089" w:rsidRDefault="00F97089" w:rsidP="00667E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7950E" w14:textId="2028661E" w:rsidR="00667EC4" w:rsidRDefault="00667EC4">
    <w:pPr>
      <w:pStyle w:val="Header"/>
    </w:pPr>
    <w:r>
      <w:rPr>
        <w:noProof/>
      </w:rPr>
      <w:pict w14:anchorId="1B68D7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40814" w14:textId="14489C0F" w:rsidR="00667EC4" w:rsidRDefault="00667EC4">
    <w:pPr>
      <w:pStyle w:val="Header"/>
    </w:pPr>
    <w:r>
      <w:rPr>
        <w:noProof/>
      </w:rPr>
      <w:pict w14:anchorId="0233B2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FFA5E" w14:textId="4965E510" w:rsidR="00667EC4" w:rsidRDefault="00667EC4">
    <w:pPr>
      <w:pStyle w:val="Header"/>
    </w:pPr>
    <w:r>
      <w:rPr>
        <w:noProof/>
      </w:rPr>
      <w:pict w14:anchorId="77105A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6D0BE5"/>
    <w:multiLevelType w:val="multilevel"/>
    <w:tmpl w:val="12D62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7C20C6"/>
    <w:multiLevelType w:val="hybridMultilevel"/>
    <w:tmpl w:val="90F8F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16D57B1"/>
    <w:multiLevelType w:val="multilevel"/>
    <w:tmpl w:val="EE8C2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3B7"/>
    <w:rsid w:val="00015DA9"/>
    <w:rsid w:val="0004444D"/>
    <w:rsid w:val="00076A14"/>
    <w:rsid w:val="000F7CED"/>
    <w:rsid w:val="001046AA"/>
    <w:rsid w:val="00106FA8"/>
    <w:rsid w:val="001151DF"/>
    <w:rsid w:val="00156B6F"/>
    <w:rsid w:val="00161525"/>
    <w:rsid w:val="00167EBA"/>
    <w:rsid w:val="00192732"/>
    <w:rsid w:val="001B530B"/>
    <w:rsid w:val="001D0F1C"/>
    <w:rsid w:val="001D224A"/>
    <w:rsid w:val="002065D6"/>
    <w:rsid w:val="00266BBB"/>
    <w:rsid w:val="002935B9"/>
    <w:rsid w:val="002D4A85"/>
    <w:rsid w:val="002F6694"/>
    <w:rsid w:val="00335136"/>
    <w:rsid w:val="00381DDE"/>
    <w:rsid w:val="00401F54"/>
    <w:rsid w:val="00402998"/>
    <w:rsid w:val="0042622A"/>
    <w:rsid w:val="004B7820"/>
    <w:rsid w:val="004F5F41"/>
    <w:rsid w:val="00574018"/>
    <w:rsid w:val="00591DA1"/>
    <w:rsid w:val="005A58F1"/>
    <w:rsid w:val="005C72A4"/>
    <w:rsid w:val="005D0BDC"/>
    <w:rsid w:val="005E6E04"/>
    <w:rsid w:val="0060268C"/>
    <w:rsid w:val="006306B9"/>
    <w:rsid w:val="00667EC4"/>
    <w:rsid w:val="00671223"/>
    <w:rsid w:val="00691FE4"/>
    <w:rsid w:val="00697E32"/>
    <w:rsid w:val="006E63A1"/>
    <w:rsid w:val="006F6260"/>
    <w:rsid w:val="00733C2D"/>
    <w:rsid w:val="00736DB6"/>
    <w:rsid w:val="00787E22"/>
    <w:rsid w:val="0080156C"/>
    <w:rsid w:val="00887CC0"/>
    <w:rsid w:val="008B49B5"/>
    <w:rsid w:val="009965D8"/>
    <w:rsid w:val="009A7D5B"/>
    <w:rsid w:val="009E37F5"/>
    <w:rsid w:val="009E7ECE"/>
    <w:rsid w:val="00A23D60"/>
    <w:rsid w:val="00A56DFC"/>
    <w:rsid w:val="00AD5C89"/>
    <w:rsid w:val="00AD780F"/>
    <w:rsid w:val="00AF3805"/>
    <w:rsid w:val="00B41D3E"/>
    <w:rsid w:val="00BC0F58"/>
    <w:rsid w:val="00BC2B19"/>
    <w:rsid w:val="00BE5D57"/>
    <w:rsid w:val="00C016CA"/>
    <w:rsid w:val="00C20A17"/>
    <w:rsid w:val="00C2594F"/>
    <w:rsid w:val="00C35E77"/>
    <w:rsid w:val="00C973B7"/>
    <w:rsid w:val="00CE3A50"/>
    <w:rsid w:val="00D15391"/>
    <w:rsid w:val="00D332EB"/>
    <w:rsid w:val="00D4192E"/>
    <w:rsid w:val="00D46D6A"/>
    <w:rsid w:val="00D73BA4"/>
    <w:rsid w:val="00DC06DB"/>
    <w:rsid w:val="00DD4E5D"/>
    <w:rsid w:val="00E81637"/>
    <w:rsid w:val="00E95A10"/>
    <w:rsid w:val="00E976ED"/>
    <w:rsid w:val="00EA54A4"/>
    <w:rsid w:val="00EC3F80"/>
    <w:rsid w:val="00EE4476"/>
    <w:rsid w:val="00EF5238"/>
    <w:rsid w:val="00F711F4"/>
    <w:rsid w:val="00F92B79"/>
    <w:rsid w:val="00F97089"/>
    <w:rsid w:val="00FF40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D0FDB28"/>
  <w15:chartTrackingRefBased/>
  <w15:docId w15:val="{21B6445E-D500-4154-959D-3B45A80CC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73B7"/>
  </w:style>
  <w:style w:type="paragraph" w:styleId="Heading1">
    <w:name w:val="heading 1"/>
    <w:basedOn w:val="Normal"/>
    <w:next w:val="Normal"/>
    <w:link w:val="Heading1Char"/>
    <w:uiPriority w:val="9"/>
    <w:qFormat/>
    <w:rsid w:val="00C973B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973B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973B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973B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973B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973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73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73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73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73B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973B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973B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973B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973B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973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73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73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73B7"/>
    <w:rPr>
      <w:rFonts w:eastAsiaTheme="majorEastAsia" w:cstheme="majorBidi"/>
      <w:color w:val="272727" w:themeColor="text1" w:themeTint="D8"/>
    </w:rPr>
  </w:style>
  <w:style w:type="paragraph" w:styleId="Title">
    <w:name w:val="Title"/>
    <w:basedOn w:val="Normal"/>
    <w:next w:val="Normal"/>
    <w:link w:val="TitleChar"/>
    <w:uiPriority w:val="10"/>
    <w:qFormat/>
    <w:rsid w:val="00C973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73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73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73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73B7"/>
    <w:pPr>
      <w:spacing w:before="160"/>
      <w:jc w:val="center"/>
    </w:pPr>
    <w:rPr>
      <w:i/>
      <w:iCs/>
      <w:color w:val="404040" w:themeColor="text1" w:themeTint="BF"/>
    </w:rPr>
  </w:style>
  <w:style w:type="character" w:customStyle="1" w:styleId="QuoteChar">
    <w:name w:val="Quote Char"/>
    <w:basedOn w:val="DefaultParagraphFont"/>
    <w:link w:val="Quote"/>
    <w:uiPriority w:val="29"/>
    <w:rsid w:val="00C973B7"/>
    <w:rPr>
      <w:i/>
      <w:iCs/>
      <w:color w:val="404040" w:themeColor="text1" w:themeTint="BF"/>
    </w:rPr>
  </w:style>
  <w:style w:type="paragraph" w:styleId="ListParagraph">
    <w:name w:val="List Paragraph"/>
    <w:basedOn w:val="Normal"/>
    <w:uiPriority w:val="34"/>
    <w:qFormat/>
    <w:rsid w:val="00C973B7"/>
    <w:pPr>
      <w:ind w:left="720"/>
      <w:contextualSpacing/>
    </w:pPr>
  </w:style>
  <w:style w:type="character" w:styleId="IntenseEmphasis">
    <w:name w:val="Intense Emphasis"/>
    <w:basedOn w:val="DefaultParagraphFont"/>
    <w:uiPriority w:val="21"/>
    <w:qFormat/>
    <w:rsid w:val="00C973B7"/>
    <w:rPr>
      <w:i/>
      <w:iCs/>
      <w:color w:val="2F5496" w:themeColor="accent1" w:themeShade="BF"/>
    </w:rPr>
  </w:style>
  <w:style w:type="paragraph" w:styleId="IntenseQuote">
    <w:name w:val="Intense Quote"/>
    <w:basedOn w:val="Normal"/>
    <w:next w:val="Normal"/>
    <w:link w:val="IntenseQuoteChar"/>
    <w:uiPriority w:val="30"/>
    <w:qFormat/>
    <w:rsid w:val="00C973B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973B7"/>
    <w:rPr>
      <w:i/>
      <w:iCs/>
      <w:color w:val="2F5496" w:themeColor="accent1" w:themeShade="BF"/>
    </w:rPr>
  </w:style>
  <w:style w:type="character" w:styleId="IntenseReference">
    <w:name w:val="Intense Reference"/>
    <w:basedOn w:val="DefaultParagraphFont"/>
    <w:uiPriority w:val="32"/>
    <w:qFormat/>
    <w:rsid w:val="00C973B7"/>
    <w:rPr>
      <w:b/>
      <w:bCs/>
      <w:smallCaps/>
      <w:color w:val="2F5496" w:themeColor="accent1" w:themeShade="BF"/>
      <w:spacing w:val="5"/>
    </w:rPr>
  </w:style>
  <w:style w:type="paragraph" w:styleId="Bibliography">
    <w:name w:val="Bibliography"/>
    <w:basedOn w:val="Normal"/>
    <w:next w:val="Normal"/>
    <w:uiPriority w:val="37"/>
    <w:unhideWhenUsed/>
    <w:rsid w:val="00402998"/>
    <w:pPr>
      <w:tabs>
        <w:tab w:val="left" w:pos="384"/>
      </w:tabs>
      <w:spacing w:after="240" w:line="240" w:lineRule="auto"/>
      <w:ind w:left="384" w:hanging="384"/>
    </w:pPr>
  </w:style>
  <w:style w:type="character" w:styleId="Hyperlink">
    <w:name w:val="Hyperlink"/>
    <w:basedOn w:val="DefaultParagraphFont"/>
    <w:uiPriority w:val="99"/>
    <w:unhideWhenUsed/>
    <w:rsid w:val="00A56DFC"/>
    <w:rPr>
      <w:color w:val="0563C1" w:themeColor="hyperlink"/>
      <w:u w:val="single"/>
    </w:rPr>
  </w:style>
  <w:style w:type="character" w:styleId="UnresolvedMention">
    <w:name w:val="Unresolved Mention"/>
    <w:basedOn w:val="DefaultParagraphFont"/>
    <w:uiPriority w:val="99"/>
    <w:semiHidden/>
    <w:unhideWhenUsed/>
    <w:rsid w:val="00A56DFC"/>
    <w:rPr>
      <w:color w:val="605E5C"/>
      <w:shd w:val="clear" w:color="auto" w:fill="E1DFDD"/>
    </w:rPr>
  </w:style>
  <w:style w:type="paragraph" w:styleId="Header">
    <w:name w:val="header"/>
    <w:basedOn w:val="Normal"/>
    <w:link w:val="HeaderChar"/>
    <w:uiPriority w:val="99"/>
    <w:unhideWhenUsed/>
    <w:rsid w:val="00667E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7EC4"/>
  </w:style>
  <w:style w:type="paragraph" w:styleId="Footer">
    <w:name w:val="footer"/>
    <w:basedOn w:val="Normal"/>
    <w:link w:val="FooterChar"/>
    <w:uiPriority w:val="99"/>
    <w:unhideWhenUsed/>
    <w:rsid w:val="00667E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7E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23</Pages>
  <Words>32291</Words>
  <Characters>184065</Characters>
  <Application>Microsoft Office Word</Application>
  <DocSecurity>0</DocSecurity>
  <Lines>1533</Lines>
  <Paragraphs>431</Paragraphs>
  <ScaleCrop>false</ScaleCrop>
  <Company/>
  <LinksUpToDate>false</LinksUpToDate>
  <CharactersWithSpaces>215925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SDI 1084</cp:lastModifiedBy>
  <cp:revision>108</cp:revision>
  <dcterms:created xsi:type="dcterms:W3CDTF">2026-02-18T05:20:00Z</dcterms:created>
  <dcterms:modified xsi:type="dcterms:W3CDTF">2026-02-20T10:40:00Z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75ebcf10-a2bb-4b25-9727-c8e13e94a90e</vt:lpwstr>
  </property>
  <property fmtid="{D5CDD505-2E9C-101B-9397-08002B2CF9AE}" pid="3" name="ZOTERO_PREF_1">
    <vt:lpwstr>&lt;data data-version="3" zotero-version="7.0.16"&gt;&lt;session id="688DnQZt"/&gt;&lt;style id="http://www.zotero.org/styles/nlm-citation-sequence" locale="en-US" hasBibliography="1" bibliographyStyleHasBeenSet="1"/&gt;&lt;prefs&gt;&lt;pref name="fieldType" value="Field"/&gt;&lt;/prefs&gt;</vt:lpwstr>
  </property>
  <property fmtid="{D5CDD505-2E9C-101B-9397-08002B2CF9AE}" pid="4" name="ZOTERO_PREF_2">
    <vt:lpwstr>&lt;/data&gt;</vt:lpwstr>
  </property>
</Properties>
</file>