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1FD5F" w14:textId="77777777" w:rsidR="00D1165A" w:rsidRDefault="00D1165A" w:rsidP="005213C6">
      <w:pPr>
        <w:shd w:val="clear" w:color="auto" w:fill="FFFFFF"/>
        <w:spacing w:before="480" w:after="240"/>
        <w:jc w:val="center"/>
        <w:outlineLvl w:val="2"/>
        <w:rPr>
          <w:rFonts w:eastAsia="Times New Roman" w:cstheme="minorHAnsi"/>
          <w:b/>
          <w:bCs/>
          <w:color w:val="000000" w:themeColor="text1"/>
          <w:lang w:val="en-US" w:eastAsia="fr-FR"/>
        </w:rPr>
      </w:pPr>
      <w:r w:rsidRPr="00D1165A">
        <w:rPr>
          <w:rFonts w:eastAsia="Times New Roman" w:cstheme="minorHAnsi"/>
          <w:b/>
          <w:bCs/>
          <w:color w:val="000000" w:themeColor="text1"/>
          <w:lang w:val="en-US" w:eastAsia="fr-FR"/>
        </w:rPr>
        <w:t xml:space="preserve">Original Research Article </w:t>
      </w:r>
    </w:p>
    <w:p w14:paraId="3768CADD" w14:textId="77777777" w:rsidR="00D1165A" w:rsidRDefault="00D1165A" w:rsidP="005213C6">
      <w:pPr>
        <w:shd w:val="clear" w:color="auto" w:fill="FFFFFF"/>
        <w:spacing w:before="480" w:after="240"/>
        <w:jc w:val="center"/>
        <w:outlineLvl w:val="2"/>
        <w:rPr>
          <w:rFonts w:eastAsia="Times New Roman" w:cstheme="minorHAnsi"/>
          <w:b/>
          <w:bCs/>
          <w:color w:val="000000" w:themeColor="text1"/>
          <w:lang w:val="en-US" w:eastAsia="fr-FR"/>
        </w:rPr>
      </w:pPr>
    </w:p>
    <w:p w14:paraId="3BBA94C1" w14:textId="3D81CB80" w:rsidR="005213C6" w:rsidRPr="005213C6" w:rsidRDefault="005213C6" w:rsidP="005213C6">
      <w:pPr>
        <w:shd w:val="clear" w:color="auto" w:fill="FFFFFF"/>
        <w:spacing w:before="480" w:after="240"/>
        <w:jc w:val="center"/>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 xml:space="preserve">The Added Value of 18F-FDG PET/CT in </w:t>
      </w:r>
      <w:bookmarkStart w:id="0" w:name="_Hlk222227232"/>
      <w:r w:rsidRPr="005213C6">
        <w:rPr>
          <w:rFonts w:eastAsia="Times New Roman" w:cstheme="minorHAnsi"/>
          <w:b/>
          <w:bCs/>
          <w:color w:val="000000" w:themeColor="text1"/>
          <w:lang w:val="en-US" w:eastAsia="fr-FR"/>
        </w:rPr>
        <w:t xml:space="preserve">Suspected Infective Endocarditis: </w:t>
      </w:r>
      <w:bookmarkEnd w:id="0"/>
      <w:r w:rsidRPr="005213C6">
        <w:rPr>
          <w:rFonts w:eastAsia="Times New Roman" w:cstheme="minorHAnsi"/>
          <w:b/>
          <w:bCs/>
          <w:color w:val="000000" w:themeColor="text1"/>
          <w:lang w:val="en-US" w:eastAsia="fr-FR"/>
        </w:rPr>
        <w:t>A Retrospective Analysis of 21 Cases</w:t>
      </w:r>
    </w:p>
    <w:p w14:paraId="1F4EC197" w14:textId="77777777" w:rsidR="00761CE9" w:rsidRDefault="00761CE9" w:rsidP="005213C6">
      <w:pPr>
        <w:shd w:val="clear" w:color="auto" w:fill="FFFFFF"/>
        <w:spacing w:before="480" w:after="240"/>
        <w:jc w:val="both"/>
        <w:outlineLvl w:val="2"/>
        <w:rPr>
          <w:rFonts w:eastAsia="Times New Roman" w:cstheme="minorHAnsi"/>
          <w:b/>
          <w:bCs/>
          <w:color w:val="000000" w:themeColor="text1"/>
          <w:lang w:val="en-US" w:eastAsia="fr-FR"/>
        </w:rPr>
      </w:pPr>
    </w:p>
    <w:p w14:paraId="44902279" w14:textId="2B816D6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Abstract</w:t>
      </w:r>
    </w:p>
    <w:p w14:paraId="68876574"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Background:</w:t>
      </w:r>
      <w:r w:rsidRPr="005213C6">
        <w:rPr>
          <w:rFonts w:eastAsia="Times New Roman" w:cstheme="minorHAnsi"/>
          <w:color w:val="000000" w:themeColor="text1"/>
          <w:lang w:val="en-US" w:eastAsia="fr-FR"/>
        </w:rPr>
        <w:t> The diagnosis of infective endocarditis (IE) remains complex and relies on the integration of clinical, microbiological, and imaging findings. The traditional diagnostic approach using the Duke criteria, while valuable, has significant limitations, often failing to definitively confirm or exclude infection in a substantial proportion of patients, particularly those with prosthetic valves or cardiac devices. This study aims to evaluate the contribution of 18F-Fluorodeoxyglucose Positron Emission Tomography/Computed Tomography (18F-FDG PET/CT) in patients with suspected IE and inconclusive initial evaluations.</w:t>
      </w:r>
    </w:p>
    <w:p w14:paraId="2D4C09C1"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Materials and Methods:</w:t>
      </w:r>
      <w:r w:rsidRPr="005213C6">
        <w:rPr>
          <w:rFonts w:eastAsia="Times New Roman" w:cstheme="minorHAnsi"/>
          <w:color w:val="000000" w:themeColor="text1"/>
          <w:lang w:val="en-US" w:eastAsia="fr-FR"/>
        </w:rPr>
        <w:t> We conducted a retrospective analysis of 21 18F-FDG PET/CT scans performed for suspected infective endocarditis between January 2020 and December 2025 in 18 patients initially classified as Duke ± (possible) or Duke − (rejected). The final diagnosis of IE was confirmed or refuted based on multidisciplinary consensus during follow-up. PET/CT image analysis focused on the cardiac area (native or prosthetic valves, pacemaker/defibrillator leads) and also systematically searched for distant septic embolic or infectious foci.</w:t>
      </w:r>
    </w:p>
    <w:p w14:paraId="591EF931"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Results:</w:t>
      </w:r>
      <w:r w:rsidRPr="005213C6">
        <w:rPr>
          <w:rFonts w:eastAsia="Times New Roman" w:cstheme="minorHAnsi"/>
          <w:color w:val="000000" w:themeColor="text1"/>
          <w:lang w:val="en-US" w:eastAsia="fr-FR"/>
        </w:rPr>
        <w:t> Of the 21 scans, 15 were performed in patients with prosthetic cardiac material (valve replacement or cardiac implantable electronic devices). PET/CT was positive in 9 of these 15 patients (60%), demonstrating pathological periprosthetic valvular hypermetabolism in 6 patients and hypermetabolism along cardiac device leads in 3 patients. Additionally, PET/CT identified distant infectious foci in 6 patients (40%), including pneumonia, muscular abscesses, and infection of a femoral catheter. One false-negative result was observed in a patient undergoing active antibiotic therapy at the time of imaging. In the 6 patients with suspected native valve IE, all PET/CT scans were negative, and IE was subsequently excluded.</w:t>
      </w:r>
    </w:p>
    <w:p w14:paraId="144AC2F7"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Conclusion:</w:t>
      </w:r>
      <w:r w:rsidRPr="005213C6">
        <w:rPr>
          <w:rFonts w:eastAsia="Times New Roman" w:cstheme="minorHAnsi"/>
          <w:color w:val="000000" w:themeColor="text1"/>
          <w:lang w:val="en-US" w:eastAsia="fr-FR"/>
        </w:rPr>
        <w:t> This study reinforces the significant diagnostic value of 18F-FDG PET/CT in suspected IE involving prosthetic valves or cardiac implantable electronic devices, particularly when echocardiography is inconclusive. The examination not only aids in confirming cardiac device-related infection but also provides crucial whole-body assessment by detecting peripheral septic emboli and extracardiac infectious portals of entry. While concurrent antibiotic therapy may reduce sensitivity, leading to potential false negatives, the overall diagnostic performance supports its current recommendation by the European Society of Cardiology (ESC) in the diagnostic workup of prosthetic valve and device-related endocarditis.</w:t>
      </w:r>
    </w:p>
    <w:p w14:paraId="1326425E"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lastRenderedPageBreak/>
        <w:t>Keywords:</w:t>
      </w:r>
      <w:r w:rsidRPr="005213C6">
        <w:rPr>
          <w:rFonts w:eastAsia="Times New Roman" w:cstheme="minorHAnsi"/>
          <w:color w:val="000000" w:themeColor="text1"/>
          <w:lang w:val="en-US" w:eastAsia="fr-FR"/>
        </w:rPr>
        <w:t> Infective Endocarditis; 18F-FDG PET/CT; Prosthetic Valve Endocarditis; Cardiac Implantable Electronic Device Infection; Duke Criteria; Extracardiac Septic Emboli; Case Series.</w:t>
      </w:r>
    </w:p>
    <w:p w14:paraId="3DCCD250" w14:textId="77777777" w:rsidR="005213C6" w:rsidRPr="009166AC" w:rsidRDefault="005213C6" w:rsidP="005213C6">
      <w:pPr>
        <w:shd w:val="clear" w:color="auto" w:fill="FFFFFF"/>
        <w:spacing w:before="480" w:after="480"/>
        <w:jc w:val="both"/>
        <w:rPr>
          <w:rFonts w:eastAsia="Times New Roman" w:cstheme="minorHAnsi"/>
          <w:color w:val="000000" w:themeColor="text1"/>
          <w:lang w:val="en-US" w:eastAsia="fr-FR"/>
        </w:rPr>
      </w:pPr>
    </w:p>
    <w:p w14:paraId="75AD0972" w14:textId="77777777" w:rsidR="005213C6" w:rsidRPr="009166AC" w:rsidRDefault="005213C6" w:rsidP="005213C6">
      <w:pPr>
        <w:shd w:val="clear" w:color="auto" w:fill="FFFFFF"/>
        <w:spacing w:before="480" w:after="480"/>
        <w:jc w:val="both"/>
        <w:rPr>
          <w:rFonts w:eastAsia="Times New Roman" w:cstheme="minorHAnsi"/>
          <w:color w:val="000000" w:themeColor="text1"/>
          <w:lang w:val="en-US" w:eastAsia="fr-FR"/>
        </w:rPr>
      </w:pPr>
    </w:p>
    <w:p w14:paraId="0A505813" w14:textId="77777777" w:rsidR="005213C6" w:rsidRPr="009166AC" w:rsidRDefault="005213C6" w:rsidP="005213C6">
      <w:pPr>
        <w:shd w:val="clear" w:color="auto" w:fill="FFFFFF"/>
        <w:spacing w:before="480" w:after="480"/>
        <w:jc w:val="both"/>
        <w:rPr>
          <w:rFonts w:eastAsia="Times New Roman" w:cstheme="minorHAnsi"/>
          <w:color w:val="000000" w:themeColor="text1"/>
          <w:lang w:val="en-US" w:eastAsia="fr-FR"/>
        </w:rPr>
      </w:pPr>
    </w:p>
    <w:p w14:paraId="474F758B" w14:textId="7777777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Introduction</w:t>
      </w:r>
    </w:p>
    <w:p w14:paraId="4E5D2884"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Infective endocarditis (IE) is a potentially life-threatening condition characterized by microbial infection of the endocardial surface, most commonly involving native or prosthetic heart valves, as well as cardiac implantable electronic devices (CIEDs) such as pacemakers and defibrillators [1, 2]. Despite advances in diagnostic and therapeutic strategies, IE continues to be associated with high morbidity and mortality, with in-hospital mortality rates ranging from 15% to 30% [3].</w:t>
      </w:r>
    </w:p>
    <w:p w14:paraId="66E833AE"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The diagnosis of IE has historically been challenging due to its heterogeneous clinical presentation and the variable sensitivity of available diagnostic tools. The modified Duke criteria, introduced in 1994 and subsequently updated, have long served as the cornerstone of diagnostic classification, integrating clinical, microbiological, and echocardiographic findings to categorize patients into definite, possible, or rejected IE [4, 5]. However, these criteria have well-recognized limitations. Their diagnostic sensitivity is significantly reduced in certain clinical scenarios, particularly in patients with prosthetic valves, intracardiac devices, or blood culture-negative endocarditis (BCNE), where echocardiography may be inconclusive due to acoustic shadowing or the inability to distinguish between thrombus, vegetation, and abscess [6, 7]. Consequently, a substantial proportion of patients remain in the "possible IE" category, creating diagnostic uncertainty and potentially delaying appropriate therapy.</w:t>
      </w:r>
    </w:p>
    <w:p w14:paraId="75139158"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In recent years, molecular imaging has emerged as a powerful adjunctive tool to address this diagnostic gap. 18F-Fluorodeoxyglucose Positron Emission Tomography/Computed Tomography (18F-FDG PET/CT) exploits the increased glucose metabolism of activated inflammatory cells, such as neutrophils, macrophages, and lymphocytes, which infiltrate infected tissues [8]. Its ability to provide both functional and anatomical information in a single examination offers unique advantages in the evaluation of suspected IE [9].</w:t>
      </w:r>
    </w:p>
    <w:p w14:paraId="0ABBD5D5"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The diagnostic utility of 18F-FDG PET/CT in IE has been most extensively validated in the context of prosthetic valve endocarditis (PVE) and CIED infections. In these settings, pathological FDG uptake around the prosthetic material can be visualized long before morphological changes become apparent on echocardiography [10]. Furthermore, PET/CT offers the added benefit of whole-body screening, enabling the detection of peripheral septic emboli, metastatic infectious foci, and occult portals of entry, all of which have significant prognostic and therapeutic implications [11].</w:t>
      </w:r>
    </w:p>
    <w:p w14:paraId="6306FF67"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lastRenderedPageBreak/>
        <w:t>Recognizing its growing evidence base, the 2015 and 2023 European Society of Cardiology (ESC) guidelines for the management of IE have incorporated 18F-FDG PET/CT as a major diagnostic criterion in the evaluation of suspected PVE and CIED infection when echocardiography is non-diagnostic [12, 13]. However, its precise role in native valve endocarditis (NVE) remains less well-defined, and several factors, including ongoing antibiotic therapy, can influence its diagnostic performance.</w:t>
      </w:r>
    </w:p>
    <w:p w14:paraId="1E810702"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This retrospective study aims to evaluate the real-world diagnostic contribution of 18F-FDG PET/CT in a cohort of patients with suspected IE and initially inconclusive Duke classifications, with a focus on both cardiac and extracardiac findings.</w:t>
      </w:r>
    </w:p>
    <w:p w14:paraId="56F6A37A" w14:textId="77777777" w:rsidR="00BC01AA" w:rsidRDefault="00BC01AA" w:rsidP="005213C6">
      <w:pPr>
        <w:shd w:val="clear" w:color="auto" w:fill="FFFFFF"/>
        <w:spacing w:before="480" w:after="240"/>
        <w:jc w:val="both"/>
        <w:outlineLvl w:val="2"/>
        <w:rPr>
          <w:rFonts w:eastAsia="Times New Roman" w:cstheme="minorHAnsi"/>
          <w:b/>
          <w:bCs/>
          <w:color w:val="000000" w:themeColor="text1"/>
          <w:lang w:val="en-US" w:eastAsia="fr-FR"/>
        </w:rPr>
      </w:pPr>
    </w:p>
    <w:p w14:paraId="4EEA71A9" w14:textId="7777777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Materials and Methods</w:t>
      </w:r>
    </w:p>
    <w:p w14:paraId="13174148"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Study Design and Population:</w:t>
      </w:r>
      <w:r w:rsidRPr="005213C6">
        <w:rPr>
          <w:rFonts w:eastAsia="Times New Roman" w:cstheme="minorHAnsi"/>
          <w:color w:val="000000" w:themeColor="text1"/>
          <w:lang w:val="en-US" w:eastAsia="fr-FR"/>
        </w:rPr>
        <w:br/>
        <w:t>We conducted a single-center, retrospective observational study at [Institution Name] over a six-year period from January 2020 to December 2025. All adult patients (≥18 years) who underwent an 18F-FDG PET/CT scan for suspected infective endocarditis during this period were identified through the institutional nuclear medicine database.</w:t>
      </w:r>
    </w:p>
    <w:p w14:paraId="7E30154F"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Inclusion criteria were: (1) clinical suspicion of IE based on the presence of predisposing factors, fever, or suggestive symptoms; (2) an initial diagnostic classification of "possible IE" (Duke ±) or "rejected IE" (Duke −) according to the modified Duke criteria after standard evaluation including blood cultures and transthoracic (TTE) and/or transesophageal echocardiography (TEE); and (3) performance of an 18F-FDG PET/CT scan as part of the diagnostic workup. Patients with a definitive diagnosis of IE based on initial Duke criteria were excluded, as PET/CT is not typically required in this setting.</w:t>
      </w:r>
    </w:p>
    <w:p w14:paraId="15AE73B5"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A total of 21 18F-FDG PET/CT scans performed in 18 patients met the inclusion criteria and were included in the final analysis. Three patients underwent two sequential scans during their diagnostic workup.</w:t>
      </w:r>
    </w:p>
    <w:p w14:paraId="6099B1E8"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18F-FDG PET/CT Acquisition Protocol:</w:t>
      </w:r>
      <w:r w:rsidRPr="005213C6">
        <w:rPr>
          <w:rFonts w:eastAsia="Times New Roman" w:cstheme="minorHAnsi"/>
          <w:color w:val="000000" w:themeColor="text1"/>
          <w:lang w:val="en-US" w:eastAsia="fr-FR"/>
        </w:rPr>
        <w:br/>
        <w:t>All patients were instructed to fast for at least 6 hours prior to the intravenous injection of 18F-FDG to ensure optimal image quality by minimizing physiological myocardial uptake. Blood glucose levels were measured before injection and were required to be &lt; 200 mg/dL (11 mmol/L). A standard activity of 3-5 MBq/kg of 18F-FDG was administered intravenously. To suppress physiological myocardial glucose utilization, patients were maintained on a low-carbohydrate, fat-enriched diet for 24 hours prior to the examination, followed by a prolonged fast [14].</w:t>
      </w:r>
    </w:p>
    <w:p w14:paraId="034AF23E"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 xml:space="preserve">Image acquisition was performed approximately 60 minutes post-injection using a dedicated PET/CT scanner [Specify Manufacturer and Model]. A low-dose, non-contrast CT scan was first acquired for attenuation correction and anatomical localization, followed by PET acquisition in 3D mode over the skull base to the upper thighs (typically 2-4 minutes per bed position). </w:t>
      </w:r>
      <w:r w:rsidRPr="005213C6">
        <w:rPr>
          <w:rFonts w:eastAsia="Times New Roman" w:cstheme="minorHAnsi"/>
          <w:color w:val="000000" w:themeColor="text1"/>
          <w:lang w:val="en-US" w:eastAsia="fr-FR"/>
        </w:rPr>
        <w:lastRenderedPageBreak/>
        <w:t>Images were reconstructed using iterative algorithms and reviewed on dedicated workstations.</w:t>
      </w:r>
    </w:p>
    <w:p w14:paraId="6D3BE9A5"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Image Analysis:</w:t>
      </w:r>
      <w:r w:rsidRPr="005213C6">
        <w:rPr>
          <w:rFonts w:eastAsia="Times New Roman" w:cstheme="minorHAnsi"/>
          <w:color w:val="000000" w:themeColor="text1"/>
          <w:lang w:val="en-US" w:eastAsia="fr-FR"/>
        </w:rPr>
        <w:br/>
        <w:t>All PET/CT images were interpreted qualitatively and semi-quantitatively by at least two experienced nuclear medicine physicians, blinded to the final clinical diagnosis. Discrepancies were resolved by consensus.</w:t>
      </w:r>
    </w:p>
    <w:p w14:paraId="2E7F56D5"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Analysis focused on two main areas:</w:t>
      </w:r>
    </w:p>
    <w:p w14:paraId="6632E58B" w14:textId="77777777" w:rsidR="005213C6" w:rsidRPr="005213C6" w:rsidRDefault="005213C6" w:rsidP="00BC01AA">
      <w:pPr>
        <w:shd w:val="clear" w:color="auto" w:fill="FFFFFF"/>
        <w:spacing w:before="100" w:beforeAutospacing="1"/>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Cardiac Region:</w:t>
      </w:r>
      <w:r w:rsidRPr="005213C6">
        <w:rPr>
          <w:rFonts w:eastAsia="Times New Roman" w:cstheme="minorHAnsi"/>
          <w:color w:val="000000" w:themeColor="text1"/>
          <w:lang w:val="en-US" w:eastAsia="fr-FR"/>
        </w:rPr>
        <w:t> The native valves, prosthetic valves, and any cardiac implantable electronic device leads (pacemaker or defibrillator leads, generator pocket) were systematically evaluated. Pathological uptake was defined as focal or heterogeneous FDG activity persisting on attenuation-corrected images, with intensity clearly exceeding the background blood pool activity. The pattern of uptake (e.g., periprosthetic, along leads) was noted.</w:t>
      </w:r>
    </w:p>
    <w:p w14:paraId="499D003A" w14:textId="77777777" w:rsidR="005213C6" w:rsidRPr="005213C6" w:rsidRDefault="005213C6" w:rsidP="00BC01AA">
      <w:pPr>
        <w:shd w:val="clear" w:color="auto" w:fill="FFFFFF"/>
        <w:spacing w:before="100" w:beforeAutospacing="1"/>
        <w:jc w:val="both"/>
        <w:rPr>
          <w:rFonts w:eastAsia="Times New Roman" w:cstheme="minorHAnsi"/>
          <w:color w:val="000000" w:themeColor="text1"/>
          <w:lang w:val="en-US" w:eastAsia="fr-FR"/>
        </w:rPr>
      </w:pPr>
      <w:proofErr w:type="spellStart"/>
      <w:r w:rsidRPr="005213C6">
        <w:rPr>
          <w:rFonts w:eastAsia="Times New Roman" w:cstheme="minorHAnsi"/>
          <w:b/>
          <w:bCs/>
          <w:color w:val="000000" w:themeColor="text1"/>
          <w:lang w:val="en-US" w:eastAsia="fr-FR"/>
        </w:rPr>
        <w:t>Extracardacic</w:t>
      </w:r>
      <w:proofErr w:type="spellEnd"/>
      <w:r w:rsidRPr="005213C6">
        <w:rPr>
          <w:rFonts w:eastAsia="Times New Roman" w:cstheme="minorHAnsi"/>
          <w:b/>
          <w:bCs/>
          <w:color w:val="000000" w:themeColor="text1"/>
          <w:lang w:val="en-US" w:eastAsia="fr-FR"/>
        </w:rPr>
        <w:t xml:space="preserve"> Region:</w:t>
      </w:r>
      <w:r w:rsidRPr="005213C6">
        <w:rPr>
          <w:rFonts w:eastAsia="Times New Roman" w:cstheme="minorHAnsi"/>
          <w:color w:val="000000" w:themeColor="text1"/>
          <w:lang w:val="en-US" w:eastAsia="fr-FR"/>
        </w:rPr>
        <w:t> A whole-body survey was performed to identify any potential distant septic emboli (e.g., splenic, renal, cerebral, or musculoskeletal), metastatic infectious foci, or incidental findings, as well as potential portals of entry (e.g., soft tissue infections, vascular catheter infections).</w:t>
      </w:r>
    </w:p>
    <w:p w14:paraId="271E9F24"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Reference Standard (Final Diagnosis):</w:t>
      </w:r>
      <w:r w:rsidRPr="005213C6">
        <w:rPr>
          <w:rFonts w:eastAsia="Times New Roman" w:cstheme="minorHAnsi"/>
          <w:color w:val="000000" w:themeColor="text1"/>
          <w:lang w:val="en-US" w:eastAsia="fr-FR"/>
        </w:rPr>
        <w:br/>
        <w:t>The final diagnosis of IE was established by a multidisciplinary team (including cardiologists, infectious disease specialists, cardiac surgeons, and imaging specialists) during the patient's hospitalization and follow-up, based on all available clinical, microbiological, echocardiographic, intraoperative, and histopathological data. Patients were classified as having "definite IE," "possible IE," or "rejected IE" based on this comprehensive review, which served as the reference standard for determining the true diagnostic performance of PET/CT.</w:t>
      </w:r>
    </w:p>
    <w:p w14:paraId="5CCBFB66"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Data Collection:</w:t>
      </w:r>
      <w:r w:rsidRPr="005213C6">
        <w:rPr>
          <w:rFonts w:eastAsia="Times New Roman" w:cstheme="minorHAnsi"/>
          <w:color w:val="000000" w:themeColor="text1"/>
          <w:lang w:val="en-US" w:eastAsia="fr-FR"/>
        </w:rPr>
        <w:br/>
        <w:t>Clinical data, including patient demographics, predisposing factors, type of cardiac material (native valve, prosthetic valve, CIED), microbiological findings, echocardiography results, antibiotic therapy status at the time of PET/CT, and final diagnosis, were extracted from electronic medical records.</w:t>
      </w:r>
    </w:p>
    <w:p w14:paraId="1878514C"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Ethical Considerations:</w:t>
      </w:r>
      <w:r w:rsidRPr="005213C6">
        <w:rPr>
          <w:rFonts w:eastAsia="Times New Roman" w:cstheme="minorHAnsi"/>
          <w:color w:val="000000" w:themeColor="text1"/>
          <w:lang w:val="en-US" w:eastAsia="fr-FR"/>
        </w:rPr>
        <w:br/>
        <w:t>The study was conducted in accordance with the Declaration of Helsinki and approved by the institutional review board</w:t>
      </w:r>
      <w:r w:rsidR="00B3133E">
        <w:rPr>
          <w:rFonts w:eastAsia="Times New Roman" w:cstheme="minorHAnsi"/>
          <w:color w:val="000000" w:themeColor="text1"/>
          <w:lang w:val="en-US" w:eastAsia="fr-FR"/>
        </w:rPr>
        <w:t xml:space="preserve">. </w:t>
      </w:r>
      <w:r w:rsidRPr="005213C6">
        <w:rPr>
          <w:rFonts w:eastAsia="Times New Roman" w:cstheme="minorHAnsi"/>
          <w:color w:val="000000" w:themeColor="text1"/>
          <w:lang w:val="en-US" w:eastAsia="fr-FR"/>
        </w:rPr>
        <w:t>Due to the retrospective nature of the study, the requirement for written informed consent was waived, provided that patient data were fully anonymized.</w:t>
      </w:r>
    </w:p>
    <w:p w14:paraId="5AD390E6" w14:textId="7777777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Results</w:t>
      </w:r>
    </w:p>
    <w:p w14:paraId="016A9B8E" w14:textId="77777777" w:rsidR="005213C6" w:rsidRPr="005213C6" w:rsidRDefault="005213C6" w:rsidP="00B3133E">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Patient Characteristics:</w:t>
      </w:r>
      <w:r w:rsidRPr="005213C6">
        <w:rPr>
          <w:rFonts w:eastAsia="Times New Roman" w:cstheme="minorHAnsi"/>
          <w:color w:val="000000" w:themeColor="text1"/>
          <w:lang w:val="en-US" w:eastAsia="fr-FR"/>
        </w:rPr>
        <w:br/>
        <w:t>A total of 21 18F-FDG PET/CT scans were performed in 18 patients (12 male, 6 female) with a mean age of 68 years (range: 45-86 years). The clinical characteristics of the study population are summarized in Table 1.</w:t>
      </w:r>
    </w:p>
    <w:p w14:paraId="71DE3B73" w14:textId="77777777" w:rsidR="005213C6" w:rsidRPr="00BC01AA" w:rsidRDefault="005213C6" w:rsidP="00BC01AA">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lastRenderedPageBreak/>
        <w:t>Of the 21 scans:</w:t>
      </w:r>
      <w:r w:rsidR="00BC01AA" w:rsidRPr="00BC01AA">
        <w:rPr>
          <w:rFonts w:eastAsia="Times New Roman" w:cstheme="minorHAnsi"/>
          <w:color w:val="000000" w:themeColor="text1"/>
          <w:lang w:val="en-US" w:eastAsia="fr-FR"/>
        </w:rPr>
        <w:t xml:space="preserve"> </w:t>
      </w:r>
      <w:r w:rsidRPr="005213C6">
        <w:rPr>
          <w:rFonts w:eastAsia="Times New Roman" w:cstheme="minorHAnsi"/>
          <w:b/>
          <w:bCs/>
          <w:color w:val="000000" w:themeColor="text1"/>
          <w:lang w:val="en-US" w:eastAsia="fr-FR"/>
        </w:rPr>
        <w:t>15 scans (71.4%)</w:t>
      </w:r>
      <w:r w:rsidRPr="005213C6">
        <w:rPr>
          <w:rFonts w:eastAsia="Times New Roman" w:cstheme="minorHAnsi"/>
          <w:color w:val="000000" w:themeColor="text1"/>
          <w:lang w:val="en-US" w:eastAsia="fr-FR"/>
        </w:rPr>
        <w:t> were performed in patients with prosthetic cardiac material:</w:t>
      </w:r>
      <w:r w:rsidR="00BC01AA">
        <w:rPr>
          <w:rFonts w:eastAsia="Times New Roman" w:cstheme="minorHAnsi"/>
          <w:color w:val="000000" w:themeColor="text1"/>
          <w:lang w:val="en-US" w:eastAsia="fr-FR"/>
        </w:rPr>
        <w:t xml:space="preserve"> 12 s</w:t>
      </w:r>
      <w:r w:rsidRPr="00BC01AA">
        <w:rPr>
          <w:rFonts w:eastAsia="Times New Roman" w:cstheme="minorHAnsi"/>
          <w:color w:val="000000" w:themeColor="text1"/>
          <w:lang w:val="en-US" w:eastAsia="fr-FR"/>
        </w:rPr>
        <w:t>cans in patients with prosthetic heart valves (mechanical or bioprosthetic).</w:t>
      </w:r>
      <w:r w:rsidR="00BC01AA" w:rsidRPr="00BC01AA">
        <w:rPr>
          <w:rFonts w:eastAsia="Times New Roman" w:cstheme="minorHAnsi"/>
          <w:color w:val="000000" w:themeColor="text1"/>
          <w:lang w:val="en-US" w:eastAsia="fr-FR"/>
        </w:rPr>
        <w:t xml:space="preserve"> </w:t>
      </w:r>
      <w:r w:rsidRPr="00BC01AA">
        <w:rPr>
          <w:rFonts w:eastAsia="Times New Roman" w:cstheme="minorHAnsi"/>
          <w:color w:val="000000" w:themeColor="text1"/>
          <w:lang w:val="en-US" w:eastAsia="fr-FR"/>
        </w:rPr>
        <w:t>3 scans in patients with cardiac implantable electronic devices (pacemakers or implantable cardioverter-defibrillators).</w:t>
      </w:r>
      <w:r w:rsidRPr="00BC01AA">
        <w:rPr>
          <w:rFonts w:eastAsia="Times New Roman" w:cstheme="minorHAnsi"/>
          <w:b/>
          <w:bCs/>
          <w:color w:val="000000" w:themeColor="text1"/>
          <w:lang w:val="en-US" w:eastAsia="fr-FR"/>
        </w:rPr>
        <w:t>6 scans (28.6%)</w:t>
      </w:r>
      <w:r w:rsidRPr="00BC01AA">
        <w:rPr>
          <w:rFonts w:eastAsia="Times New Roman" w:cstheme="minorHAnsi"/>
          <w:color w:val="000000" w:themeColor="text1"/>
          <w:lang w:val="en-US" w:eastAsia="fr-FR"/>
        </w:rPr>
        <w:t> were performed in patients with native valves and no intracardiac device.</w:t>
      </w:r>
    </w:p>
    <w:p w14:paraId="759B92B3"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All patients had an initial Duke classification of "possible IE" (n=16 scans) or "rejected IE" (n=5 scans) based on clinical, microbiological, and echocardiographic findings, which were inconclusive for a definitive diagnosis.</w:t>
      </w:r>
    </w:p>
    <w:p w14:paraId="6C57E65E"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PET/CT Findings:</w:t>
      </w:r>
    </w:p>
    <w:p w14:paraId="032DA268" w14:textId="77777777" w:rsidR="005213C6" w:rsidRPr="005213C6" w:rsidRDefault="005213C6" w:rsidP="00B3133E">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Patients with Prosthetic Cardiac Material (n=15 scans):</w:t>
      </w:r>
      <w:r w:rsidRPr="005213C6">
        <w:rPr>
          <w:rFonts w:eastAsia="Times New Roman" w:cstheme="minorHAnsi"/>
          <w:color w:val="000000" w:themeColor="text1"/>
          <w:lang w:val="en-US" w:eastAsia="fr-FR"/>
        </w:rPr>
        <w:br/>
        <w:t>Among the 15 scans performed in patients with prosthetic material, 9 (60%) demonstrated pathological FDG uptake consistent with infection.</w:t>
      </w:r>
    </w:p>
    <w:p w14:paraId="08BC25CF" w14:textId="77777777" w:rsidR="005213C6" w:rsidRPr="005213C6" w:rsidRDefault="005213C6" w:rsidP="00BC01AA">
      <w:pPr>
        <w:shd w:val="clear" w:color="auto" w:fill="FFFFFF"/>
        <w:spacing w:before="100" w:beforeAutospacing="1"/>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Prosthetic Valve Endocarditis (PVE):</w:t>
      </w:r>
      <w:r w:rsidRPr="005213C6">
        <w:rPr>
          <w:rFonts w:eastAsia="Times New Roman" w:cstheme="minorHAnsi"/>
          <w:color w:val="000000" w:themeColor="text1"/>
          <w:lang w:val="en-US" w:eastAsia="fr-FR"/>
        </w:rPr>
        <w:t> In 6 patients (40% of the prosthetic group), PET/CT revealed intense, focal, or heterogeneous periprosthetic FDG uptake, localized to the region of the aortic or mitral valve prosthesis (Figure 1). These findings were interpreted as highly suggestive of prosthetic valve endocarditis. In all 6 cases, the final diagnosis of definite PVE was subsequently confirmed by multidisciplinary consensus, based on a combination of positive blood cultures (Staphylococcus aureus in 3, coagulase-negative staphylococci in 2, Enterococcus faecalis in 1) and intraoperative findings in the 4 patients who underwent valve replacement surgery.</w:t>
      </w:r>
    </w:p>
    <w:p w14:paraId="35032841" w14:textId="77777777" w:rsidR="005213C6" w:rsidRPr="005213C6" w:rsidRDefault="005213C6" w:rsidP="00BC01AA">
      <w:pPr>
        <w:shd w:val="clear" w:color="auto" w:fill="FFFFFF"/>
        <w:spacing w:before="100" w:beforeAutospacing="1"/>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Cardiac Device-Related Infection:</w:t>
      </w:r>
      <w:r w:rsidRPr="005213C6">
        <w:rPr>
          <w:rFonts w:eastAsia="Times New Roman" w:cstheme="minorHAnsi"/>
          <w:color w:val="000000" w:themeColor="text1"/>
          <w:lang w:val="en-US" w:eastAsia="fr-FR"/>
        </w:rPr>
        <w:t> In 3 patients (20% of the prosthetic group), PET/CT demonstrated linear FDG uptake along the course of pacemaker or ICD leads (Figure 2). In two of these patients, additional uptake was noted in the region of the generator pocket. These findings confirmed device-related infection, leading to device extraction in all 3 cases, with subsequent clinical improvement.</w:t>
      </w:r>
    </w:p>
    <w:p w14:paraId="552C1CF8" w14:textId="77777777" w:rsidR="005213C6" w:rsidRPr="005213C6" w:rsidRDefault="005213C6" w:rsidP="00BC01AA">
      <w:pPr>
        <w:shd w:val="clear" w:color="auto" w:fill="FFFFFF"/>
        <w:spacing w:before="100" w:beforeAutospacing="1" w:after="12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Extracardiac Findings:</w:t>
      </w:r>
      <w:r w:rsidRPr="005213C6">
        <w:rPr>
          <w:rFonts w:eastAsia="Times New Roman" w:cstheme="minorHAnsi"/>
          <w:color w:val="000000" w:themeColor="text1"/>
          <w:lang w:val="en-US" w:eastAsia="fr-FR"/>
        </w:rPr>
        <w:t> Importantly, in 6 of the 15 patients (40%), PET/CT identified significant extracardiac foci of infection (Table 2):</w:t>
      </w:r>
      <w:r w:rsidR="00BC01AA">
        <w:rPr>
          <w:rFonts w:eastAsia="Times New Roman" w:cstheme="minorHAnsi"/>
          <w:color w:val="000000" w:themeColor="text1"/>
          <w:lang w:val="en-US" w:eastAsia="fr-FR"/>
        </w:rPr>
        <w:t xml:space="preserve"> p</w:t>
      </w:r>
      <w:r w:rsidRPr="005213C6">
        <w:rPr>
          <w:rFonts w:eastAsia="Times New Roman" w:cstheme="minorHAnsi"/>
          <w:color w:val="000000" w:themeColor="text1"/>
          <w:lang w:val="en-US" w:eastAsia="fr-FR"/>
        </w:rPr>
        <w:t>ulmonary infections (consolidation with FDG uptake): 2 patients</w:t>
      </w:r>
      <w:r w:rsidR="00BC01AA">
        <w:rPr>
          <w:rFonts w:eastAsia="Times New Roman" w:cstheme="minorHAnsi"/>
          <w:color w:val="000000" w:themeColor="text1"/>
          <w:lang w:val="en-US" w:eastAsia="fr-FR"/>
        </w:rPr>
        <w:t>, m</w:t>
      </w:r>
      <w:r w:rsidRPr="005213C6">
        <w:rPr>
          <w:rFonts w:eastAsia="Times New Roman" w:cstheme="minorHAnsi"/>
          <w:color w:val="000000" w:themeColor="text1"/>
          <w:lang w:val="en-US" w:eastAsia="fr-FR"/>
        </w:rPr>
        <w:t>uscular abscesses (gluteal, psoas): 2 patients</w:t>
      </w:r>
      <w:r w:rsidR="00BC01AA">
        <w:rPr>
          <w:rFonts w:eastAsia="Times New Roman" w:cstheme="minorHAnsi"/>
          <w:color w:val="000000" w:themeColor="text1"/>
          <w:lang w:val="en-US" w:eastAsia="fr-FR"/>
        </w:rPr>
        <w:t xml:space="preserve">, </w:t>
      </w:r>
      <w:proofErr w:type="spellStart"/>
      <w:r w:rsidRPr="005213C6">
        <w:rPr>
          <w:rFonts w:eastAsia="Times New Roman" w:cstheme="minorHAnsi"/>
          <w:color w:val="000000" w:themeColor="text1"/>
          <w:lang w:val="en-US" w:eastAsia="fr-FR"/>
        </w:rPr>
        <w:t>nfection</w:t>
      </w:r>
      <w:proofErr w:type="spellEnd"/>
      <w:r w:rsidRPr="005213C6">
        <w:rPr>
          <w:rFonts w:eastAsia="Times New Roman" w:cstheme="minorHAnsi"/>
          <w:color w:val="000000" w:themeColor="text1"/>
          <w:lang w:val="en-US" w:eastAsia="fr-FR"/>
        </w:rPr>
        <w:t xml:space="preserve"> of a femoral venous catheter tract: 1 patient</w:t>
      </w:r>
      <w:r w:rsidR="00BC01AA">
        <w:rPr>
          <w:rFonts w:eastAsia="Times New Roman" w:cstheme="minorHAnsi"/>
          <w:color w:val="000000" w:themeColor="text1"/>
          <w:lang w:val="en-US" w:eastAsia="fr-FR"/>
        </w:rPr>
        <w:t>, s</w:t>
      </w:r>
      <w:r w:rsidRPr="005213C6">
        <w:rPr>
          <w:rFonts w:eastAsia="Times New Roman" w:cstheme="minorHAnsi"/>
          <w:color w:val="000000" w:themeColor="text1"/>
          <w:lang w:val="en-US" w:eastAsia="fr-FR"/>
        </w:rPr>
        <w:t>plenic septic emboli: 1 patient</w:t>
      </w:r>
      <w:r w:rsidR="00BC01AA">
        <w:rPr>
          <w:rFonts w:eastAsia="Times New Roman" w:cstheme="minorHAnsi"/>
          <w:color w:val="000000" w:themeColor="text1"/>
          <w:lang w:val="en-US" w:eastAsia="fr-FR"/>
        </w:rPr>
        <w:t>.</w:t>
      </w:r>
      <w:r w:rsidRPr="005213C6">
        <w:rPr>
          <w:rFonts w:eastAsia="Times New Roman" w:cstheme="minorHAnsi"/>
          <w:color w:val="000000" w:themeColor="text1"/>
          <w:lang w:val="en-US" w:eastAsia="fr-FR"/>
        </w:rPr>
        <w:br/>
        <w:t>These findings had direct therapeutic consequences, including prolonged antibiotic therapy, percutaneous drainage of abscesses, and removal of infected catheters.</w:t>
      </w:r>
    </w:p>
    <w:p w14:paraId="18603F1C" w14:textId="77777777" w:rsidR="005213C6" w:rsidRPr="005213C6" w:rsidRDefault="005213C6" w:rsidP="00BC01AA">
      <w:pPr>
        <w:shd w:val="clear" w:color="auto" w:fill="FFFFFF"/>
        <w:spacing w:before="100" w:beforeAutospacing="1"/>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False Negative:</w:t>
      </w:r>
      <w:r w:rsidRPr="005213C6">
        <w:rPr>
          <w:rFonts w:eastAsia="Times New Roman" w:cstheme="minorHAnsi"/>
          <w:color w:val="000000" w:themeColor="text1"/>
          <w:lang w:val="en-US" w:eastAsia="fr-FR"/>
        </w:rPr>
        <w:t xml:space="preserve"> One patient with a prosthetic aortic valve and persistent fever, who had been on broad-spectrum antibiotics for 10 days prior to the PET/CT scan, showed no significant periprosthetic FDG uptake. The scan was initially interpreted as negative for PVE. However, subsequent blood cultures grew Candida </w:t>
      </w:r>
      <w:proofErr w:type="spellStart"/>
      <w:r w:rsidRPr="005213C6">
        <w:rPr>
          <w:rFonts w:eastAsia="Times New Roman" w:cstheme="minorHAnsi"/>
          <w:color w:val="000000" w:themeColor="text1"/>
          <w:lang w:val="en-US" w:eastAsia="fr-FR"/>
        </w:rPr>
        <w:t>parapsilosis</w:t>
      </w:r>
      <w:proofErr w:type="spellEnd"/>
      <w:r w:rsidRPr="005213C6">
        <w:rPr>
          <w:rFonts w:eastAsia="Times New Roman" w:cstheme="minorHAnsi"/>
          <w:color w:val="000000" w:themeColor="text1"/>
          <w:lang w:val="en-US" w:eastAsia="fr-FR"/>
        </w:rPr>
        <w:t>, and TEE revealed a small vegetation on the prosthetic valve. The final diagnosis was fungal PVE, and this case was considered a false-negative PET/CT result, likely attributable to a combination of antifungal therapy and possibly the less intense inflammatory response associated with fungal infections.</w:t>
      </w:r>
    </w:p>
    <w:p w14:paraId="3F61CB45" w14:textId="77777777" w:rsidR="005213C6" w:rsidRPr="005213C6" w:rsidRDefault="005213C6" w:rsidP="00B3133E">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Patients with Native Valves (n=6 scans):</w:t>
      </w:r>
      <w:r w:rsidRPr="005213C6">
        <w:rPr>
          <w:rFonts w:eastAsia="Times New Roman" w:cstheme="minorHAnsi"/>
          <w:color w:val="000000" w:themeColor="text1"/>
          <w:lang w:val="en-US" w:eastAsia="fr-FR"/>
        </w:rPr>
        <w:br/>
        <w:t xml:space="preserve">In all 6 patients with suspected native valve IE, 18F-FDG PET/CT showed no pathological </w:t>
      </w:r>
      <w:r w:rsidRPr="005213C6">
        <w:rPr>
          <w:rFonts w:eastAsia="Times New Roman" w:cstheme="minorHAnsi"/>
          <w:color w:val="000000" w:themeColor="text1"/>
          <w:lang w:val="en-US" w:eastAsia="fr-FR"/>
        </w:rPr>
        <w:lastRenderedPageBreak/>
        <w:t>cardiac uptake. The final diagnosis of IE was excluded in all 6 patients based on negative blood cultures, resolution of symptoms without antibiotic therapy, and alternative diagnoses established during follow-up (e.g., fever of unknown origin due to non-infectious causes, other infections). Thus, there were no false-positive or false-negative results in the native valve group in this small series.</w:t>
      </w:r>
    </w:p>
    <w:p w14:paraId="25BFF574" w14:textId="77777777" w:rsidR="005213C6" w:rsidRDefault="005213C6" w:rsidP="00B3133E">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Summary of Diagnostic Performance:</w:t>
      </w:r>
      <w:r w:rsidRPr="005213C6">
        <w:rPr>
          <w:rFonts w:eastAsia="Times New Roman" w:cstheme="minorHAnsi"/>
          <w:color w:val="000000" w:themeColor="text1"/>
          <w:lang w:val="en-US" w:eastAsia="fr-FR"/>
        </w:rPr>
        <w:br/>
        <w:t>In this cohort of patients with suspected IE on prosthetic material, 18F-FDG PET/CT demonstrated a sensitivity of 90% (9/10 true positives, 1 false negative) and a specificity of 100% (5/5 true negatives, 0 false positives) for the diagnosis of infection, based on the final multidisciplinary reference standard. The positive predictive value was 100%, and the negative predictive value was 83%.</w:t>
      </w:r>
    </w:p>
    <w:p w14:paraId="50381F62" w14:textId="77777777" w:rsidR="00BC01AA" w:rsidRPr="005213C6" w:rsidRDefault="00BC01AA" w:rsidP="00B3133E">
      <w:pPr>
        <w:shd w:val="clear" w:color="auto" w:fill="FFFFFF"/>
        <w:spacing w:before="240" w:after="240"/>
        <w:rPr>
          <w:rFonts w:eastAsia="Times New Roman" w:cstheme="minorHAnsi"/>
          <w:color w:val="000000" w:themeColor="text1"/>
          <w:lang w:val="en-US" w:eastAsia="fr-FR"/>
        </w:rPr>
      </w:pPr>
    </w:p>
    <w:p w14:paraId="1418CDF1" w14:textId="7777777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Discussion</w:t>
      </w:r>
    </w:p>
    <w:p w14:paraId="16A15A24"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This retrospective analysis of 21 18F-FDG PET/CT scans in patients with suspected IE and inconclusive initial evaluations reinforces the growing body of evidence supporting the clinical utility of this advanced imaging modality, particularly in the context of prosthetic valve and cardiac device-related infections.</w:t>
      </w:r>
    </w:p>
    <w:p w14:paraId="470BC469" w14:textId="77777777" w:rsidR="005213C6" w:rsidRPr="005213C6" w:rsidRDefault="005213C6" w:rsidP="00B3133E">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Our finding of a 60% positivity rate among patients with prosthetic material, with a subsequent confirmation of IE in all positive cases, aligns closely with published data. A landmark prospective multicenter study by Saby et al. demonstrated that incorporating 18F-FDG PET/CT findings into the modified Duke criteria increased the sensitivity of the criteria for diagnosing PVE from 70% to 97% [15]. Similarly, Pizzi et al. showed that adding abnormal FDG uptake as a major criterion significantly improved the diagnostic accuracy for both PVE and CIED infections, reclassifying a substantial proportion of patients from "possible" to "definite" IE [16].</w:t>
      </w:r>
    </w:p>
    <w:p w14:paraId="297AC5DD"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The pathophysiological basis for this high sensitivity is the intense inflammatory response elicited by infection. Activated neutrophils, macrophages, and lymphocytes within the periprosthetic tissue and vegetations exhibit markedly upregulated glycolysis, leading to avid FDG accumulation [8]. This metabolic signal often precedes the development of detectable morphological abnormalities on echocardiography, making PET/CT a particularly valuable tool in the early stages of infection [10].</w:t>
      </w:r>
    </w:p>
    <w:p w14:paraId="66058154"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One of the most compelling findings of our study is the high prevalence (40%) of extracardiac abnormalities detected by PET/CT. These findings, which included septic pulmonary emboli, muscular abscesses, and infected catheter sites, have significant clinical implications. The detection of peripheral embolic events can confirm the diagnosis of IE, as systemic embolization is a major complication and a minor Duke criterion [5, 12]. Furthermore, identifying the portal of entry (e.g., an infected femoral line) is crucial for source control and preventing relapse [17]. Whole-body PET/CT thus transforms the diagnostic workup from a focused cardiac evaluation to a comprehensive assessment of the entire infectious process, aligning with the modern concept of IE as a systemic disease [18].</w:t>
      </w:r>
    </w:p>
    <w:p w14:paraId="7C3F6FBE"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lastRenderedPageBreak/>
        <w:t>Our single false-negative case, occurring in a patient with fungal PVE on prolonged antibiotic therapy, highlights an important limitation of FDG PET/CT: the significant impact of antimicrobial treatment on diagnostic sensitivity. Antibiotics reduce the inflammatory burden by killing microorganisms and decreasing the recruitment and activation of inflammatory cells, thereby diminishing FDG signal intensity [19]. Studies have shown that the sensitivity of PET/CT is highest when performed before or shortly after (&lt; 7-10 days) the initiation of antibiotic therapy [20]. In our patient, 10 days of therapy likely suppressed the signal below the threshold of detection. This underscores the importance of performing PET/CT as early as possible in the diagnostic workup, ideally before or immediately after starting antibiotics, to maximize diagnostic yield. Fungal endocarditis, known to be less inflammatory than bacterial endocarditis, may also present a particular diagnostic challenge for FDG-based imaging [21].</w:t>
      </w:r>
      <w:r w:rsidRPr="005213C6">
        <w:rPr>
          <w:rFonts w:eastAsia="Times New Roman" w:cstheme="minorHAnsi"/>
          <w:color w:val="000000" w:themeColor="text1"/>
          <w:lang w:val="en-US" w:eastAsia="fr-FR"/>
        </w:rPr>
        <w:br/>
        <w:t>The uniformly negative PET/CT findings in our six patients with suspected native valve IE, all of whom were ultimately diagnosed with alternative conditions, are consistent with the literature. While 18F-FDG PET/CT can be positive in NVE, particularly in the setting of intense inflammation, its sensitivity is considerably lower than in PVE [22]. This is primarily due to the high and variable physiological FDG uptake by the normal myocardium, which can obscure pathological valvular uptake despite dietary preparation protocols [23]. Furthermore, vegetations in NVE are often small and highly mobile, potentially below the spatial resolution of PET. Therefore, current ESC guidelines do not recommend routine use of PET/CT for suspected NVE, reserving it for cases where there is high suspicion and echocardiography is negative, or for the detection of peripheral emboli [12, 13].</w:t>
      </w:r>
    </w:p>
    <w:p w14:paraId="28AED25F"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Limitations:</w:t>
      </w:r>
      <w:r w:rsidRPr="005213C6">
        <w:rPr>
          <w:rFonts w:eastAsia="Times New Roman" w:cstheme="minorHAnsi"/>
          <w:color w:val="000000" w:themeColor="text1"/>
          <w:lang w:val="en-US" w:eastAsia="fr-FR"/>
        </w:rPr>
        <w:br/>
        <w:t>This study has several limitations inherent to its retrospective, single-center design. The sample size is relatively small, limiting the statistical power of subgroup analyses. The interpretation of PET/CT was performed with knowledge of the clinical context, which may introduce bias, although this reflects real-world clinical practice. The reference standard (final multidisciplinary diagnosis) was not independent of the imaging results in all cases, potentially leading to incorporation bias. Finally, the study period spanned six years, during which scanner technology and image analysis protocols may have evolved.</w:t>
      </w:r>
    </w:p>
    <w:p w14:paraId="55C95436" w14:textId="77777777" w:rsidR="005213C6" w:rsidRPr="005213C6" w:rsidRDefault="005213C6" w:rsidP="005213C6">
      <w:pPr>
        <w:shd w:val="clear" w:color="auto" w:fill="FFFFFF"/>
        <w:spacing w:before="480" w:after="240"/>
        <w:jc w:val="both"/>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Conclusion</w:t>
      </w:r>
    </w:p>
    <w:p w14:paraId="27B08352"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This retrospective study provides real-world evidence supporting the significant diagnostic value of 18F-FDG PET/CT in patients with suspected infective endocarditis involving prosthetic valves or cardiac implantable electronic devices, particularly when initial echocardiography and Duke classification are inconclusive. A positive PET/CT scan, demonstrating pathological periprosthetic or lead-related FDG uptake, was highly predictive of definite infection in our cohort.</w:t>
      </w:r>
    </w:p>
    <w:p w14:paraId="39AAA340"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Crucially, our findings emphasize that the utility of PET/CT extends far beyond the cardiac region. The detection of extracardiac septic emboli and occult portals of entry in 40% of our patients provided clinically actionable information that directly influenced therapeutic management. This whole-body perspective is a unique and invaluable advantage of PET/CT over echocardiography alone.</w:t>
      </w:r>
    </w:p>
    <w:p w14:paraId="6245AC82"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lastRenderedPageBreak/>
        <w:t>Clinicians should be aware of the potential for false-negative results, particularly in patients who have received prolonged antibiotic therapy prior to imaging, and in cases of fungal endocarditis. Therefore, 18F-FDG PET/CT should be performed as early as possible in the diagnostic pathway, ideally before or within the first few days of initiating antimicrobial therapy, to maximize its diagnostic sensitivity.</w:t>
      </w:r>
    </w:p>
    <w:p w14:paraId="25F7E466" w14:textId="77777777" w:rsidR="005213C6" w:rsidRPr="005213C6" w:rsidRDefault="005213C6" w:rsidP="005213C6">
      <w:pPr>
        <w:shd w:val="clear" w:color="auto" w:fill="FFFFFF"/>
        <w:spacing w:before="240" w:after="240"/>
        <w:jc w:val="both"/>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Our results align with and reinforce the current European Society of Cardiology guideline recommendations, which advocate for the incorporation of 18F-FDG PET/CT as a major diagnostic criterion in suspected prosthetic valve and device-related endocarditis. Further prospective studies with larger patient cohorts are warranted to refine the optimal timing of imaging and to explore its role in specific subgroups, such as fungal and culture-negative endocarditis.</w:t>
      </w:r>
    </w:p>
    <w:p w14:paraId="3201E97C" w14:textId="77777777" w:rsidR="005213C6" w:rsidRPr="005213C6" w:rsidRDefault="005213C6" w:rsidP="005213C6">
      <w:pPr>
        <w:shd w:val="clear" w:color="auto" w:fill="FFFFFF"/>
        <w:spacing w:before="480" w:after="240"/>
        <w:outlineLvl w:val="2"/>
        <w:rPr>
          <w:rFonts w:eastAsia="Times New Roman" w:cstheme="minorHAnsi"/>
          <w:b/>
          <w:bCs/>
          <w:color w:val="000000" w:themeColor="text1"/>
          <w:lang w:val="en-US" w:eastAsia="fr-FR"/>
        </w:rPr>
      </w:pPr>
      <w:r w:rsidRPr="005213C6">
        <w:rPr>
          <w:rFonts w:eastAsia="Times New Roman" w:cstheme="minorHAnsi"/>
          <w:b/>
          <w:bCs/>
          <w:color w:val="000000" w:themeColor="text1"/>
          <w:lang w:val="en-US" w:eastAsia="fr-FR"/>
        </w:rPr>
        <w:t>List of Abbreviations</w:t>
      </w:r>
    </w:p>
    <w:p w14:paraId="0E66F804"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IE: Infective Endocarditis</w:t>
      </w:r>
      <w:r w:rsidRPr="005213C6">
        <w:rPr>
          <w:rFonts w:eastAsia="Times New Roman" w:cstheme="minorHAnsi"/>
          <w:color w:val="000000" w:themeColor="text1"/>
          <w:lang w:val="en-US" w:eastAsia="fr-FR"/>
        </w:rPr>
        <w:br/>
        <w:t>18F-FDG: 18F-Fluorodeoxyglucose</w:t>
      </w:r>
      <w:r w:rsidRPr="005213C6">
        <w:rPr>
          <w:rFonts w:eastAsia="Times New Roman" w:cstheme="minorHAnsi"/>
          <w:color w:val="000000" w:themeColor="text1"/>
          <w:lang w:val="en-US" w:eastAsia="fr-FR"/>
        </w:rPr>
        <w:br/>
        <w:t>PET/CT: Positron Emission Tomography/Computed Tomography</w:t>
      </w:r>
      <w:r w:rsidRPr="005213C6">
        <w:rPr>
          <w:rFonts w:eastAsia="Times New Roman" w:cstheme="minorHAnsi"/>
          <w:color w:val="000000" w:themeColor="text1"/>
          <w:lang w:val="en-US" w:eastAsia="fr-FR"/>
        </w:rPr>
        <w:br/>
        <w:t>ESC: European Society of Cardiology</w:t>
      </w:r>
      <w:r w:rsidRPr="005213C6">
        <w:rPr>
          <w:rFonts w:eastAsia="Times New Roman" w:cstheme="minorHAnsi"/>
          <w:color w:val="000000" w:themeColor="text1"/>
          <w:lang w:val="en-US" w:eastAsia="fr-FR"/>
        </w:rPr>
        <w:br/>
        <w:t>CIED: Cardiac Implantable Electronic Device</w:t>
      </w:r>
      <w:r w:rsidRPr="005213C6">
        <w:rPr>
          <w:rFonts w:eastAsia="Times New Roman" w:cstheme="minorHAnsi"/>
          <w:color w:val="000000" w:themeColor="text1"/>
          <w:lang w:val="en-US" w:eastAsia="fr-FR"/>
        </w:rPr>
        <w:br/>
        <w:t>PVE: Prosthetic Valve Endocarditis</w:t>
      </w:r>
      <w:r w:rsidRPr="005213C6">
        <w:rPr>
          <w:rFonts w:eastAsia="Times New Roman" w:cstheme="minorHAnsi"/>
          <w:color w:val="000000" w:themeColor="text1"/>
          <w:lang w:val="en-US" w:eastAsia="fr-FR"/>
        </w:rPr>
        <w:br/>
        <w:t>NVE: Native Valve Endocarditis</w:t>
      </w:r>
      <w:r w:rsidRPr="005213C6">
        <w:rPr>
          <w:rFonts w:eastAsia="Times New Roman" w:cstheme="minorHAnsi"/>
          <w:color w:val="000000" w:themeColor="text1"/>
          <w:lang w:val="en-US" w:eastAsia="fr-FR"/>
        </w:rPr>
        <w:br/>
        <w:t>BCNE: Blood Culture-Negative Endocarditis</w:t>
      </w:r>
      <w:r w:rsidRPr="005213C6">
        <w:rPr>
          <w:rFonts w:eastAsia="Times New Roman" w:cstheme="minorHAnsi"/>
          <w:color w:val="000000" w:themeColor="text1"/>
          <w:lang w:val="en-US" w:eastAsia="fr-FR"/>
        </w:rPr>
        <w:br/>
        <w:t>TTE: Transthoracic Echocardiography</w:t>
      </w:r>
      <w:r w:rsidRPr="005213C6">
        <w:rPr>
          <w:rFonts w:eastAsia="Times New Roman" w:cstheme="minorHAnsi"/>
          <w:color w:val="000000" w:themeColor="text1"/>
          <w:lang w:val="en-US" w:eastAsia="fr-FR"/>
        </w:rPr>
        <w:br/>
        <w:t>TEE: Transesophageal Echocardiography</w:t>
      </w:r>
      <w:r w:rsidRPr="005213C6">
        <w:rPr>
          <w:rFonts w:eastAsia="Times New Roman" w:cstheme="minorHAnsi"/>
          <w:color w:val="000000" w:themeColor="text1"/>
          <w:lang w:val="en-US" w:eastAsia="fr-FR"/>
        </w:rPr>
        <w:br/>
        <w:t>SUV: Standardized Uptake Value</w:t>
      </w:r>
      <w:r w:rsidRPr="005213C6">
        <w:rPr>
          <w:rFonts w:eastAsia="Times New Roman" w:cstheme="minorHAnsi"/>
          <w:color w:val="000000" w:themeColor="text1"/>
          <w:lang w:val="en-US" w:eastAsia="fr-FR"/>
        </w:rPr>
        <w:br/>
        <w:t>ICD: Implantable Cardioverter-Defibrillator</w:t>
      </w:r>
    </w:p>
    <w:p w14:paraId="1F456D40" w14:textId="77777777" w:rsidR="005213C6" w:rsidRPr="005213C6" w:rsidRDefault="005213C6" w:rsidP="005213C6">
      <w:pPr>
        <w:shd w:val="clear" w:color="auto" w:fill="FFFFFF"/>
        <w:spacing w:before="480" w:after="240"/>
        <w:outlineLvl w:val="2"/>
        <w:rPr>
          <w:rFonts w:eastAsia="Times New Roman" w:cstheme="minorHAnsi"/>
          <w:b/>
          <w:bCs/>
          <w:color w:val="000000" w:themeColor="text1"/>
          <w:lang w:eastAsia="fr-FR"/>
        </w:rPr>
      </w:pPr>
      <w:proofErr w:type="spellStart"/>
      <w:r w:rsidRPr="005213C6">
        <w:rPr>
          <w:rFonts w:eastAsia="Times New Roman" w:cstheme="minorHAnsi"/>
          <w:b/>
          <w:bCs/>
          <w:color w:val="000000" w:themeColor="text1"/>
          <w:lang w:eastAsia="fr-FR"/>
        </w:rPr>
        <w:t>Declarations</w:t>
      </w:r>
      <w:proofErr w:type="spellEnd"/>
    </w:p>
    <w:p w14:paraId="457CE1C7" w14:textId="77777777" w:rsidR="005213C6" w:rsidRPr="005213C6" w:rsidRDefault="005213C6" w:rsidP="005213C6">
      <w:pPr>
        <w:numPr>
          <w:ilvl w:val="0"/>
          <w:numId w:val="4"/>
        </w:numPr>
        <w:shd w:val="clear" w:color="auto" w:fill="FFFFFF"/>
        <w:spacing w:before="100" w:beforeAutospacing="1"/>
        <w:ind w:left="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Ethics approval and consent to participate:</w:t>
      </w:r>
      <w:r w:rsidRPr="005213C6">
        <w:rPr>
          <w:rFonts w:eastAsia="Times New Roman" w:cstheme="minorHAnsi"/>
          <w:color w:val="000000" w:themeColor="text1"/>
          <w:lang w:val="en-US" w:eastAsia="fr-FR"/>
        </w:rPr>
        <w:t xml:space="preserve"> This retrospective study was approved by the Institutional Review Board (or Ethics Committee) of </w:t>
      </w:r>
      <w:r w:rsidR="00B3133E">
        <w:rPr>
          <w:rFonts w:eastAsia="Times New Roman" w:cstheme="minorHAnsi"/>
          <w:color w:val="000000" w:themeColor="text1"/>
          <w:lang w:val="en-US" w:eastAsia="fr-FR"/>
        </w:rPr>
        <w:t>Military Hospital of Teaching Mohammed 5</w:t>
      </w:r>
      <w:r w:rsidRPr="005213C6">
        <w:rPr>
          <w:rFonts w:eastAsia="Times New Roman" w:cstheme="minorHAnsi"/>
          <w:color w:val="000000" w:themeColor="text1"/>
          <w:lang w:val="en-US" w:eastAsia="fr-FR"/>
        </w:rPr>
        <w:t>. The requirement for written informed consent was waived due to the retrospective and anonymized nature of the data.</w:t>
      </w:r>
    </w:p>
    <w:p w14:paraId="62EE6B9A" w14:textId="77777777" w:rsidR="005213C6" w:rsidRPr="005213C6" w:rsidRDefault="005213C6" w:rsidP="005213C6">
      <w:pPr>
        <w:numPr>
          <w:ilvl w:val="0"/>
          <w:numId w:val="4"/>
        </w:numPr>
        <w:shd w:val="clear" w:color="auto" w:fill="FFFFFF"/>
        <w:spacing w:before="100" w:beforeAutospacing="1"/>
        <w:ind w:left="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Consent for publication:</w:t>
      </w:r>
      <w:r w:rsidRPr="005213C6">
        <w:rPr>
          <w:rFonts w:eastAsia="Times New Roman" w:cstheme="minorHAnsi"/>
          <w:color w:val="000000" w:themeColor="text1"/>
          <w:lang w:val="en-US" w:eastAsia="fr-FR"/>
        </w:rPr>
        <w:t> Not applicable (anonymized data).</w:t>
      </w:r>
    </w:p>
    <w:p w14:paraId="6FA2EAC1" w14:textId="77777777" w:rsidR="005213C6" w:rsidRPr="005213C6" w:rsidRDefault="005213C6" w:rsidP="005213C6">
      <w:pPr>
        <w:numPr>
          <w:ilvl w:val="0"/>
          <w:numId w:val="4"/>
        </w:numPr>
        <w:shd w:val="clear" w:color="auto" w:fill="FFFFFF"/>
        <w:spacing w:before="100" w:beforeAutospacing="1"/>
        <w:ind w:left="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Availability of data and materials:</w:t>
      </w:r>
      <w:r w:rsidRPr="005213C6">
        <w:rPr>
          <w:rFonts w:eastAsia="Times New Roman" w:cstheme="minorHAnsi"/>
          <w:color w:val="000000" w:themeColor="text1"/>
          <w:lang w:val="en-US" w:eastAsia="fr-FR"/>
        </w:rPr>
        <w:t> The datasets used and/or analyzed during the current study are available from the corresponding author on reasonable request.</w:t>
      </w:r>
    </w:p>
    <w:p w14:paraId="5814D8F6" w14:textId="77777777" w:rsidR="005213C6" w:rsidRPr="005213C6" w:rsidRDefault="005213C6" w:rsidP="005213C6">
      <w:pPr>
        <w:numPr>
          <w:ilvl w:val="0"/>
          <w:numId w:val="4"/>
        </w:numPr>
        <w:shd w:val="clear" w:color="auto" w:fill="FFFFFF"/>
        <w:spacing w:before="100" w:beforeAutospacing="1"/>
        <w:ind w:left="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Competing interests:</w:t>
      </w:r>
      <w:r w:rsidRPr="005213C6">
        <w:rPr>
          <w:rFonts w:eastAsia="Times New Roman" w:cstheme="minorHAnsi"/>
          <w:color w:val="000000" w:themeColor="text1"/>
          <w:lang w:val="en-US" w:eastAsia="fr-FR"/>
        </w:rPr>
        <w:t> The authors declare that they have no competing interests.</w:t>
      </w:r>
    </w:p>
    <w:p w14:paraId="521FB52D" w14:textId="77777777" w:rsidR="005213C6" w:rsidRPr="005213C6" w:rsidRDefault="005213C6" w:rsidP="005213C6">
      <w:pPr>
        <w:shd w:val="clear" w:color="auto" w:fill="FFFFFF"/>
        <w:spacing w:before="480" w:after="240"/>
        <w:outlineLvl w:val="2"/>
        <w:rPr>
          <w:rFonts w:eastAsia="Times New Roman" w:cstheme="minorHAnsi"/>
          <w:b/>
          <w:bCs/>
          <w:color w:val="000000" w:themeColor="text1"/>
          <w:lang w:val="en-US" w:eastAsia="fr-FR"/>
        </w:rPr>
      </w:pPr>
      <w:bookmarkStart w:id="1" w:name="_GoBack"/>
      <w:bookmarkEnd w:id="1"/>
      <w:r w:rsidRPr="005213C6">
        <w:rPr>
          <w:rFonts w:eastAsia="Times New Roman" w:cstheme="minorHAnsi"/>
          <w:b/>
          <w:bCs/>
          <w:color w:val="000000" w:themeColor="text1"/>
          <w:lang w:val="en-US" w:eastAsia="fr-FR"/>
        </w:rPr>
        <w:t>References</w:t>
      </w:r>
    </w:p>
    <w:p w14:paraId="25765212" w14:textId="77777777" w:rsid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color w:val="000000" w:themeColor="text1"/>
          <w:lang w:val="en-US" w:eastAsia="fr-FR"/>
        </w:rPr>
        <w:t xml:space="preserve">[1] Cahill TJ, Prendergast BD. </w:t>
      </w:r>
      <w:proofErr w:type="spellStart"/>
      <w:r w:rsidRPr="005213C6">
        <w:rPr>
          <w:rFonts w:eastAsia="Times New Roman" w:cstheme="minorHAnsi"/>
          <w:color w:val="000000" w:themeColor="text1"/>
          <w:lang w:eastAsia="fr-FR"/>
        </w:rPr>
        <w:t>Infective</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endocarditis</w:t>
      </w:r>
      <w:proofErr w:type="spellEnd"/>
      <w:r w:rsidRPr="005213C6">
        <w:rPr>
          <w:rFonts w:eastAsia="Times New Roman" w:cstheme="minorHAnsi"/>
          <w:color w:val="000000" w:themeColor="text1"/>
          <w:lang w:eastAsia="fr-FR"/>
        </w:rPr>
        <w:t>. </w:t>
      </w:r>
      <w:r w:rsidRPr="005213C6">
        <w:rPr>
          <w:rFonts w:eastAsia="Times New Roman" w:cstheme="minorHAnsi"/>
          <w:i/>
          <w:iCs/>
          <w:color w:val="000000" w:themeColor="text1"/>
          <w:lang w:eastAsia="fr-FR"/>
        </w:rPr>
        <w:t>Lancet</w:t>
      </w:r>
      <w:r w:rsidRPr="005213C6">
        <w:rPr>
          <w:rFonts w:eastAsia="Times New Roman" w:cstheme="minorHAnsi"/>
          <w:color w:val="000000" w:themeColor="text1"/>
          <w:lang w:eastAsia="fr-FR"/>
        </w:rPr>
        <w:t xml:space="preserve">. </w:t>
      </w:r>
      <w:proofErr w:type="gramStart"/>
      <w:r w:rsidRPr="005213C6">
        <w:rPr>
          <w:rFonts w:eastAsia="Times New Roman" w:cstheme="minorHAnsi"/>
          <w:color w:val="000000" w:themeColor="text1"/>
          <w:lang w:eastAsia="fr-FR"/>
        </w:rPr>
        <w:t>2016;</w:t>
      </w:r>
      <w:proofErr w:type="gramEnd"/>
      <w:r w:rsidRPr="005213C6">
        <w:rPr>
          <w:rFonts w:eastAsia="Times New Roman" w:cstheme="minorHAnsi"/>
          <w:color w:val="000000" w:themeColor="text1"/>
          <w:lang w:eastAsia="fr-FR"/>
        </w:rPr>
        <w:t>387(10021):882-893.</w:t>
      </w:r>
      <w:r w:rsidRPr="005213C6">
        <w:rPr>
          <w:rFonts w:eastAsia="Times New Roman" w:cstheme="minorHAnsi"/>
          <w:color w:val="000000" w:themeColor="text1"/>
          <w:lang w:eastAsia="fr-FR"/>
        </w:rPr>
        <w:br/>
        <w:t xml:space="preserve">[2] Murdoch DR, Corey GR, Hoen B, et al. </w:t>
      </w:r>
      <w:r w:rsidRPr="005213C6">
        <w:rPr>
          <w:rFonts w:eastAsia="Times New Roman" w:cstheme="minorHAnsi"/>
          <w:color w:val="000000" w:themeColor="text1"/>
          <w:lang w:val="en-US" w:eastAsia="fr-FR"/>
        </w:rPr>
        <w:t>Clinical presentation, etiology, and outcome of infective endocarditis in the 21st century: the International Collaboration on Endocarditis-Prospective Cohort Study. </w:t>
      </w:r>
      <w:r w:rsidRPr="005213C6">
        <w:rPr>
          <w:rFonts w:eastAsia="Times New Roman" w:cstheme="minorHAnsi"/>
          <w:i/>
          <w:iCs/>
          <w:color w:val="000000" w:themeColor="text1"/>
          <w:lang w:val="en-US" w:eastAsia="fr-FR"/>
        </w:rPr>
        <w:t>Arch Intern Med</w:t>
      </w:r>
      <w:r w:rsidRPr="005213C6">
        <w:rPr>
          <w:rFonts w:eastAsia="Times New Roman" w:cstheme="minorHAnsi"/>
          <w:color w:val="000000" w:themeColor="text1"/>
          <w:lang w:val="en-US" w:eastAsia="fr-FR"/>
        </w:rPr>
        <w:t>. 2009;169(5):463-473.</w:t>
      </w:r>
      <w:r w:rsidRPr="005213C6">
        <w:rPr>
          <w:rFonts w:eastAsia="Times New Roman" w:cstheme="minorHAnsi"/>
          <w:color w:val="000000" w:themeColor="text1"/>
          <w:lang w:val="en-US" w:eastAsia="fr-FR"/>
        </w:rPr>
        <w:br/>
        <w:t xml:space="preserve">[3] Habib G, </w:t>
      </w:r>
      <w:proofErr w:type="spellStart"/>
      <w:r w:rsidRPr="005213C6">
        <w:rPr>
          <w:rFonts w:eastAsia="Times New Roman" w:cstheme="minorHAnsi"/>
          <w:color w:val="000000" w:themeColor="text1"/>
          <w:lang w:val="en-US" w:eastAsia="fr-FR"/>
        </w:rPr>
        <w:t>Erba</w:t>
      </w:r>
      <w:proofErr w:type="spellEnd"/>
      <w:r w:rsidRPr="005213C6">
        <w:rPr>
          <w:rFonts w:eastAsia="Times New Roman" w:cstheme="minorHAnsi"/>
          <w:color w:val="000000" w:themeColor="text1"/>
          <w:lang w:val="en-US" w:eastAsia="fr-FR"/>
        </w:rPr>
        <w:t xml:space="preserve"> PA, </w:t>
      </w:r>
      <w:proofErr w:type="spellStart"/>
      <w:r w:rsidRPr="005213C6">
        <w:rPr>
          <w:rFonts w:eastAsia="Times New Roman" w:cstheme="minorHAnsi"/>
          <w:color w:val="000000" w:themeColor="text1"/>
          <w:lang w:val="en-US" w:eastAsia="fr-FR"/>
        </w:rPr>
        <w:t>Iung</w:t>
      </w:r>
      <w:proofErr w:type="spellEnd"/>
      <w:r w:rsidRPr="005213C6">
        <w:rPr>
          <w:rFonts w:eastAsia="Times New Roman" w:cstheme="minorHAnsi"/>
          <w:color w:val="000000" w:themeColor="text1"/>
          <w:lang w:val="en-US" w:eastAsia="fr-FR"/>
        </w:rPr>
        <w:t xml:space="preserve"> B, et al. Clinical presentation, </w:t>
      </w:r>
      <w:proofErr w:type="spellStart"/>
      <w:r w:rsidRPr="005213C6">
        <w:rPr>
          <w:rFonts w:eastAsia="Times New Roman" w:cstheme="minorHAnsi"/>
          <w:color w:val="000000" w:themeColor="text1"/>
          <w:lang w:val="en-US" w:eastAsia="fr-FR"/>
        </w:rPr>
        <w:t>aetiology</w:t>
      </w:r>
      <w:proofErr w:type="spellEnd"/>
      <w:r w:rsidRPr="005213C6">
        <w:rPr>
          <w:rFonts w:eastAsia="Times New Roman" w:cstheme="minorHAnsi"/>
          <w:color w:val="000000" w:themeColor="text1"/>
          <w:lang w:val="en-US" w:eastAsia="fr-FR"/>
        </w:rPr>
        <w:t xml:space="preserve"> and outcome of infective </w:t>
      </w:r>
      <w:r w:rsidRPr="005213C6">
        <w:rPr>
          <w:rFonts w:eastAsia="Times New Roman" w:cstheme="minorHAnsi"/>
          <w:color w:val="000000" w:themeColor="text1"/>
          <w:lang w:val="en-US" w:eastAsia="fr-FR"/>
        </w:rPr>
        <w:lastRenderedPageBreak/>
        <w:t>endocarditis. Results of the ESC-EORP EURO-ENDO (European Infective Endocarditis) registry: a prospective cohort study. </w:t>
      </w:r>
      <w:r w:rsidRPr="005213C6">
        <w:rPr>
          <w:rFonts w:eastAsia="Times New Roman" w:cstheme="minorHAnsi"/>
          <w:i/>
          <w:iCs/>
          <w:color w:val="000000" w:themeColor="text1"/>
          <w:lang w:val="en-US" w:eastAsia="fr-FR"/>
        </w:rPr>
        <w:t>Eur Heart J</w:t>
      </w:r>
      <w:r w:rsidRPr="005213C6">
        <w:rPr>
          <w:rFonts w:eastAsia="Times New Roman" w:cstheme="minorHAnsi"/>
          <w:color w:val="000000" w:themeColor="text1"/>
          <w:lang w:val="en-US" w:eastAsia="fr-FR"/>
        </w:rPr>
        <w:t>. 2019;40(39):3222-3232.</w:t>
      </w:r>
      <w:r w:rsidRPr="005213C6">
        <w:rPr>
          <w:rFonts w:eastAsia="Times New Roman" w:cstheme="minorHAnsi"/>
          <w:color w:val="000000" w:themeColor="text1"/>
          <w:lang w:val="en-US" w:eastAsia="fr-FR"/>
        </w:rPr>
        <w:br/>
        <w:t>[4] Durack DT, Lukes AS, Bright DK. New criteria for diagnosis of infective endocarditis: utilization of specific echocardiographic findings. Duke Endocarditis Service. </w:t>
      </w:r>
      <w:r w:rsidRPr="005213C6">
        <w:rPr>
          <w:rFonts w:eastAsia="Times New Roman" w:cstheme="minorHAnsi"/>
          <w:i/>
          <w:iCs/>
          <w:color w:val="000000" w:themeColor="text1"/>
          <w:lang w:val="en-US" w:eastAsia="fr-FR"/>
        </w:rPr>
        <w:t>Am J Med</w:t>
      </w:r>
      <w:r w:rsidRPr="005213C6">
        <w:rPr>
          <w:rFonts w:eastAsia="Times New Roman" w:cstheme="minorHAnsi"/>
          <w:color w:val="000000" w:themeColor="text1"/>
          <w:lang w:val="en-US" w:eastAsia="fr-FR"/>
        </w:rPr>
        <w:t>. 1994;96(3):200-209.</w:t>
      </w:r>
      <w:r w:rsidRPr="005213C6">
        <w:rPr>
          <w:rFonts w:eastAsia="Times New Roman" w:cstheme="minorHAnsi"/>
          <w:color w:val="000000" w:themeColor="text1"/>
          <w:lang w:val="en-US" w:eastAsia="fr-FR"/>
        </w:rPr>
        <w:br/>
        <w:t>[5] Li JS, Sexton DJ, Mick N, et al. Proposed modifications to the Duke criteria for the diagnosis of infective endocarditis. </w:t>
      </w:r>
      <w:r w:rsidRPr="005213C6">
        <w:rPr>
          <w:rFonts w:eastAsia="Times New Roman" w:cstheme="minorHAnsi"/>
          <w:i/>
          <w:iCs/>
          <w:color w:val="000000" w:themeColor="text1"/>
          <w:lang w:val="en-US" w:eastAsia="fr-FR"/>
        </w:rPr>
        <w:t>Clin Infect Dis</w:t>
      </w:r>
      <w:r w:rsidRPr="005213C6">
        <w:rPr>
          <w:rFonts w:eastAsia="Times New Roman" w:cstheme="minorHAnsi"/>
          <w:color w:val="000000" w:themeColor="text1"/>
          <w:lang w:val="en-US" w:eastAsia="fr-FR"/>
        </w:rPr>
        <w:t>. 2000;30(4):633-638.</w:t>
      </w:r>
      <w:r w:rsidRPr="005213C6">
        <w:rPr>
          <w:rFonts w:eastAsia="Times New Roman" w:cstheme="minorHAnsi"/>
          <w:color w:val="000000" w:themeColor="text1"/>
          <w:lang w:val="en-US" w:eastAsia="fr-FR"/>
        </w:rPr>
        <w:br/>
        <w:t xml:space="preserve">[6] Vieira ML, Grinberg M, </w:t>
      </w:r>
      <w:proofErr w:type="spellStart"/>
      <w:r w:rsidRPr="005213C6">
        <w:rPr>
          <w:rFonts w:eastAsia="Times New Roman" w:cstheme="minorHAnsi"/>
          <w:color w:val="000000" w:themeColor="text1"/>
          <w:lang w:val="en-US" w:eastAsia="fr-FR"/>
        </w:rPr>
        <w:t>Pomerantzeff</w:t>
      </w:r>
      <w:proofErr w:type="spellEnd"/>
      <w:r w:rsidRPr="005213C6">
        <w:rPr>
          <w:rFonts w:eastAsia="Times New Roman" w:cstheme="minorHAnsi"/>
          <w:color w:val="000000" w:themeColor="text1"/>
          <w:lang w:val="en-US" w:eastAsia="fr-FR"/>
        </w:rPr>
        <w:t xml:space="preserve"> PM, Andrade JL, Mansur AJ. Repeated echocardiographic examinations of patients with suspected infective endocarditis. </w:t>
      </w:r>
      <w:r w:rsidRPr="005213C6">
        <w:rPr>
          <w:rFonts w:eastAsia="Times New Roman" w:cstheme="minorHAnsi"/>
          <w:i/>
          <w:iCs/>
          <w:color w:val="000000" w:themeColor="text1"/>
          <w:lang w:val="en-US" w:eastAsia="fr-FR"/>
        </w:rPr>
        <w:t>Heart</w:t>
      </w:r>
      <w:r w:rsidRPr="005213C6">
        <w:rPr>
          <w:rFonts w:eastAsia="Times New Roman" w:cstheme="minorHAnsi"/>
          <w:color w:val="000000" w:themeColor="text1"/>
          <w:lang w:val="en-US" w:eastAsia="fr-FR"/>
        </w:rPr>
        <w:t>. 2004;90(9):1020-1024.</w:t>
      </w:r>
      <w:r w:rsidRPr="005213C6">
        <w:rPr>
          <w:rFonts w:eastAsia="Times New Roman" w:cstheme="minorHAnsi"/>
          <w:color w:val="000000" w:themeColor="text1"/>
          <w:lang w:val="en-US" w:eastAsia="fr-FR"/>
        </w:rPr>
        <w:br/>
        <w:t xml:space="preserve">[7] Habib G, </w:t>
      </w:r>
      <w:proofErr w:type="spellStart"/>
      <w:r w:rsidRPr="005213C6">
        <w:rPr>
          <w:rFonts w:eastAsia="Times New Roman" w:cstheme="minorHAnsi"/>
          <w:color w:val="000000" w:themeColor="text1"/>
          <w:lang w:val="en-US" w:eastAsia="fr-FR"/>
        </w:rPr>
        <w:t>Badano</w:t>
      </w:r>
      <w:proofErr w:type="spellEnd"/>
      <w:r w:rsidRPr="005213C6">
        <w:rPr>
          <w:rFonts w:eastAsia="Times New Roman" w:cstheme="minorHAnsi"/>
          <w:color w:val="000000" w:themeColor="text1"/>
          <w:lang w:val="en-US" w:eastAsia="fr-FR"/>
        </w:rPr>
        <w:t xml:space="preserve"> L, </w:t>
      </w:r>
      <w:proofErr w:type="spellStart"/>
      <w:r w:rsidRPr="005213C6">
        <w:rPr>
          <w:rFonts w:eastAsia="Times New Roman" w:cstheme="minorHAnsi"/>
          <w:color w:val="000000" w:themeColor="text1"/>
          <w:lang w:val="en-US" w:eastAsia="fr-FR"/>
        </w:rPr>
        <w:t>Tribouilloy</w:t>
      </w:r>
      <w:proofErr w:type="spellEnd"/>
      <w:r w:rsidRPr="005213C6">
        <w:rPr>
          <w:rFonts w:eastAsia="Times New Roman" w:cstheme="minorHAnsi"/>
          <w:color w:val="000000" w:themeColor="text1"/>
          <w:lang w:val="en-US" w:eastAsia="fr-FR"/>
        </w:rPr>
        <w:t xml:space="preserve"> C, et al. Recommendations for the practice of echocardiography in infective endocarditis. </w:t>
      </w:r>
      <w:r w:rsidRPr="005213C6">
        <w:rPr>
          <w:rFonts w:eastAsia="Times New Roman" w:cstheme="minorHAnsi"/>
          <w:i/>
          <w:iCs/>
          <w:color w:val="000000" w:themeColor="text1"/>
          <w:lang w:val="en-US" w:eastAsia="fr-FR"/>
        </w:rPr>
        <w:t xml:space="preserve">Eur J </w:t>
      </w:r>
      <w:proofErr w:type="spellStart"/>
      <w:r w:rsidRPr="005213C6">
        <w:rPr>
          <w:rFonts w:eastAsia="Times New Roman" w:cstheme="minorHAnsi"/>
          <w:i/>
          <w:iCs/>
          <w:color w:val="000000" w:themeColor="text1"/>
          <w:lang w:val="en-US" w:eastAsia="fr-FR"/>
        </w:rPr>
        <w:t>Echocardiogr</w:t>
      </w:r>
      <w:proofErr w:type="spellEnd"/>
      <w:r w:rsidRPr="005213C6">
        <w:rPr>
          <w:rFonts w:eastAsia="Times New Roman" w:cstheme="minorHAnsi"/>
          <w:color w:val="000000" w:themeColor="text1"/>
          <w:lang w:val="en-US" w:eastAsia="fr-FR"/>
        </w:rPr>
        <w:t>. 2010;11(2):202-219.</w:t>
      </w:r>
      <w:r w:rsidRPr="005213C6">
        <w:rPr>
          <w:rFonts w:eastAsia="Times New Roman" w:cstheme="minorHAnsi"/>
          <w:color w:val="000000" w:themeColor="text1"/>
          <w:lang w:val="en-US" w:eastAsia="fr-FR"/>
        </w:rPr>
        <w:br/>
        <w:t>[8] Vaidyanathan S, Patel CN, Scarsbrook AF, Chowdhury FU. FDG PET/CT in infection and inflammation--current and emerging clinical applications. </w:t>
      </w:r>
      <w:r w:rsidRPr="005213C6">
        <w:rPr>
          <w:rFonts w:eastAsia="Times New Roman" w:cstheme="minorHAnsi"/>
          <w:i/>
          <w:iCs/>
          <w:color w:val="000000" w:themeColor="text1"/>
          <w:lang w:eastAsia="fr-FR"/>
        </w:rPr>
        <w:t xml:space="preserve">Clin </w:t>
      </w:r>
      <w:proofErr w:type="spellStart"/>
      <w:r w:rsidRPr="005213C6">
        <w:rPr>
          <w:rFonts w:eastAsia="Times New Roman" w:cstheme="minorHAnsi"/>
          <w:i/>
          <w:iCs/>
          <w:color w:val="000000" w:themeColor="text1"/>
          <w:lang w:eastAsia="fr-FR"/>
        </w:rPr>
        <w:t>Radiol</w:t>
      </w:r>
      <w:proofErr w:type="spellEnd"/>
      <w:r w:rsidRPr="005213C6">
        <w:rPr>
          <w:rFonts w:eastAsia="Times New Roman" w:cstheme="minorHAnsi"/>
          <w:color w:val="000000" w:themeColor="text1"/>
          <w:lang w:eastAsia="fr-FR"/>
        </w:rPr>
        <w:t xml:space="preserve">. </w:t>
      </w:r>
      <w:proofErr w:type="gramStart"/>
      <w:r w:rsidRPr="005213C6">
        <w:rPr>
          <w:rFonts w:eastAsia="Times New Roman" w:cstheme="minorHAnsi"/>
          <w:color w:val="000000" w:themeColor="text1"/>
          <w:lang w:eastAsia="fr-FR"/>
        </w:rPr>
        <w:t>2015;</w:t>
      </w:r>
      <w:proofErr w:type="gramEnd"/>
      <w:r w:rsidRPr="005213C6">
        <w:rPr>
          <w:rFonts w:eastAsia="Times New Roman" w:cstheme="minorHAnsi"/>
          <w:color w:val="000000" w:themeColor="text1"/>
          <w:lang w:eastAsia="fr-FR"/>
        </w:rPr>
        <w:t>70(7):787-800.</w:t>
      </w:r>
      <w:r w:rsidRPr="005213C6">
        <w:rPr>
          <w:rFonts w:eastAsia="Times New Roman" w:cstheme="minorHAnsi"/>
          <w:color w:val="000000" w:themeColor="text1"/>
          <w:lang w:eastAsia="fr-FR"/>
        </w:rPr>
        <w:br/>
        <w:t xml:space="preserve">[9] </w:t>
      </w:r>
      <w:proofErr w:type="spellStart"/>
      <w:r w:rsidRPr="005213C6">
        <w:rPr>
          <w:rFonts w:eastAsia="Times New Roman" w:cstheme="minorHAnsi"/>
          <w:color w:val="000000" w:themeColor="text1"/>
          <w:lang w:eastAsia="fr-FR"/>
        </w:rPr>
        <w:t>Sollini</w:t>
      </w:r>
      <w:proofErr w:type="spellEnd"/>
      <w:r w:rsidRPr="005213C6">
        <w:rPr>
          <w:rFonts w:eastAsia="Times New Roman" w:cstheme="minorHAnsi"/>
          <w:color w:val="000000" w:themeColor="text1"/>
          <w:lang w:eastAsia="fr-FR"/>
        </w:rPr>
        <w:t xml:space="preserve"> M, </w:t>
      </w:r>
      <w:proofErr w:type="spellStart"/>
      <w:r w:rsidRPr="005213C6">
        <w:rPr>
          <w:rFonts w:eastAsia="Times New Roman" w:cstheme="minorHAnsi"/>
          <w:color w:val="000000" w:themeColor="text1"/>
          <w:lang w:eastAsia="fr-FR"/>
        </w:rPr>
        <w:t>Berchiolli</w:t>
      </w:r>
      <w:proofErr w:type="spellEnd"/>
      <w:r w:rsidRPr="005213C6">
        <w:rPr>
          <w:rFonts w:eastAsia="Times New Roman" w:cstheme="minorHAnsi"/>
          <w:color w:val="000000" w:themeColor="text1"/>
          <w:lang w:eastAsia="fr-FR"/>
        </w:rPr>
        <w:t xml:space="preserve"> R, Kirienko M, et al. </w:t>
      </w:r>
      <w:r w:rsidRPr="005213C6">
        <w:rPr>
          <w:rFonts w:eastAsia="Times New Roman" w:cstheme="minorHAnsi"/>
          <w:color w:val="000000" w:themeColor="text1"/>
          <w:lang w:val="en-US" w:eastAsia="fr-FR"/>
        </w:rPr>
        <w:t>The "3M" approach to cardiovascular infections: multimodality, multidisciplinary, and multi-tracer imaging. </w:t>
      </w:r>
      <w:r w:rsidRPr="005213C6">
        <w:rPr>
          <w:rFonts w:eastAsia="Times New Roman" w:cstheme="minorHAnsi"/>
          <w:i/>
          <w:iCs/>
          <w:color w:val="000000" w:themeColor="text1"/>
          <w:lang w:eastAsia="fr-FR"/>
        </w:rPr>
        <w:t>Semin Nucl Med</w:t>
      </w:r>
      <w:r w:rsidRPr="005213C6">
        <w:rPr>
          <w:rFonts w:eastAsia="Times New Roman" w:cstheme="minorHAnsi"/>
          <w:color w:val="000000" w:themeColor="text1"/>
          <w:lang w:eastAsia="fr-FR"/>
        </w:rPr>
        <w:t xml:space="preserve">. </w:t>
      </w:r>
      <w:proofErr w:type="gramStart"/>
      <w:r w:rsidRPr="005213C6">
        <w:rPr>
          <w:rFonts w:eastAsia="Times New Roman" w:cstheme="minorHAnsi"/>
          <w:color w:val="000000" w:themeColor="text1"/>
          <w:lang w:eastAsia="fr-FR"/>
        </w:rPr>
        <w:t>2018;</w:t>
      </w:r>
      <w:proofErr w:type="gramEnd"/>
      <w:r w:rsidRPr="005213C6">
        <w:rPr>
          <w:rFonts w:eastAsia="Times New Roman" w:cstheme="minorHAnsi"/>
          <w:color w:val="000000" w:themeColor="text1"/>
          <w:lang w:eastAsia="fr-FR"/>
        </w:rPr>
        <w:t>48(3):244-258.</w:t>
      </w:r>
      <w:r w:rsidRPr="005213C6">
        <w:rPr>
          <w:rFonts w:eastAsia="Times New Roman" w:cstheme="minorHAnsi"/>
          <w:color w:val="000000" w:themeColor="text1"/>
          <w:lang w:eastAsia="fr-FR"/>
        </w:rPr>
        <w:br/>
        <w:t xml:space="preserve">[10] Erba PA, </w:t>
      </w:r>
      <w:proofErr w:type="spellStart"/>
      <w:r w:rsidRPr="005213C6">
        <w:rPr>
          <w:rFonts w:eastAsia="Times New Roman" w:cstheme="minorHAnsi"/>
          <w:color w:val="000000" w:themeColor="text1"/>
          <w:lang w:eastAsia="fr-FR"/>
        </w:rPr>
        <w:t>Sollini</w:t>
      </w:r>
      <w:proofErr w:type="spellEnd"/>
      <w:r w:rsidRPr="005213C6">
        <w:rPr>
          <w:rFonts w:eastAsia="Times New Roman" w:cstheme="minorHAnsi"/>
          <w:color w:val="000000" w:themeColor="text1"/>
          <w:lang w:eastAsia="fr-FR"/>
        </w:rPr>
        <w:t xml:space="preserve"> M, Conti U, et al. </w:t>
      </w:r>
      <w:r w:rsidRPr="005213C6">
        <w:rPr>
          <w:rFonts w:eastAsia="Times New Roman" w:cstheme="minorHAnsi"/>
          <w:color w:val="000000" w:themeColor="text1"/>
          <w:lang w:val="en-US" w:eastAsia="fr-FR"/>
        </w:rPr>
        <w:t>Added value of 18F-FDG-PET/CT in the management of infective endocarditis: comprehensive review and clinical guidance. </w:t>
      </w:r>
      <w:r w:rsidRPr="005213C6">
        <w:rPr>
          <w:rFonts w:eastAsia="Times New Roman" w:cstheme="minorHAnsi"/>
          <w:i/>
          <w:iCs/>
          <w:color w:val="000000" w:themeColor="text1"/>
          <w:lang w:val="en-US" w:eastAsia="fr-FR"/>
        </w:rPr>
        <w:t xml:space="preserve">Q J </w:t>
      </w:r>
      <w:proofErr w:type="spellStart"/>
      <w:r w:rsidRPr="005213C6">
        <w:rPr>
          <w:rFonts w:eastAsia="Times New Roman" w:cstheme="minorHAnsi"/>
          <w:i/>
          <w:iCs/>
          <w:color w:val="000000" w:themeColor="text1"/>
          <w:lang w:val="en-US" w:eastAsia="fr-FR"/>
        </w:rPr>
        <w:t>Nucl</w:t>
      </w:r>
      <w:proofErr w:type="spellEnd"/>
      <w:r w:rsidRPr="005213C6">
        <w:rPr>
          <w:rFonts w:eastAsia="Times New Roman" w:cstheme="minorHAnsi"/>
          <w:i/>
          <w:iCs/>
          <w:color w:val="000000" w:themeColor="text1"/>
          <w:lang w:val="en-US" w:eastAsia="fr-FR"/>
        </w:rPr>
        <w:t xml:space="preserve"> Med Mol Imaging</w:t>
      </w:r>
      <w:r w:rsidRPr="005213C6">
        <w:rPr>
          <w:rFonts w:eastAsia="Times New Roman" w:cstheme="minorHAnsi"/>
          <w:color w:val="000000" w:themeColor="text1"/>
          <w:lang w:val="en-US" w:eastAsia="fr-FR"/>
        </w:rPr>
        <w:t>. 2018;62(3):251-264.</w:t>
      </w:r>
      <w:r w:rsidRPr="005213C6">
        <w:rPr>
          <w:rFonts w:eastAsia="Times New Roman" w:cstheme="minorHAnsi"/>
          <w:color w:val="000000" w:themeColor="text1"/>
          <w:lang w:val="en-US" w:eastAsia="fr-FR"/>
        </w:rPr>
        <w:br/>
        <w:t>[11] Orvin K, Goldberg E, Bernstine H, et al. The role of FDG-PET/CT imaging in the diagnosis of infective endocarditis: a contemporary review. </w:t>
      </w:r>
      <w:proofErr w:type="spellStart"/>
      <w:r w:rsidRPr="005213C6">
        <w:rPr>
          <w:rFonts w:eastAsia="Times New Roman" w:cstheme="minorHAnsi"/>
          <w:i/>
          <w:iCs/>
          <w:color w:val="000000" w:themeColor="text1"/>
          <w:lang w:val="en-US" w:eastAsia="fr-FR"/>
        </w:rPr>
        <w:t>Isr</w:t>
      </w:r>
      <w:proofErr w:type="spellEnd"/>
      <w:r w:rsidRPr="005213C6">
        <w:rPr>
          <w:rFonts w:eastAsia="Times New Roman" w:cstheme="minorHAnsi"/>
          <w:i/>
          <w:iCs/>
          <w:color w:val="000000" w:themeColor="text1"/>
          <w:lang w:val="en-US" w:eastAsia="fr-FR"/>
        </w:rPr>
        <w:t xml:space="preserve"> Med Assoc J</w:t>
      </w:r>
      <w:r w:rsidRPr="005213C6">
        <w:rPr>
          <w:rFonts w:eastAsia="Times New Roman" w:cstheme="minorHAnsi"/>
          <w:color w:val="000000" w:themeColor="text1"/>
          <w:lang w:val="en-US" w:eastAsia="fr-FR"/>
        </w:rPr>
        <w:t>. 2018;20(6):381-386.</w:t>
      </w:r>
      <w:r w:rsidRPr="005213C6">
        <w:rPr>
          <w:rFonts w:eastAsia="Times New Roman" w:cstheme="minorHAnsi"/>
          <w:color w:val="000000" w:themeColor="text1"/>
          <w:lang w:val="en-US" w:eastAsia="fr-FR"/>
        </w:rPr>
        <w:br/>
        <w:t>[12] Habib G, Lancellotti P, Antunes MJ, et al. 2015 ESC Guidelines for the management of infective endocarditis: The Task Force for the Management of Infective Endocarditis of the European Society of Cardiology (ESC). </w:t>
      </w:r>
      <w:r w:rsidRPr="005213C6">
        <w:rPr>
          <w:rFonts w:eastAsia="Times New Roman" w:cstheme="minorHAnsi"/>
          <w:i/>
          <w:iCs/>
          <w:color w:val="000000" w:themeColor="text1"/>
          <w:lang w:val="en-US" w:eastAsia="fr-FR"/>
        </w:rPr>
        <w:t>Eur Heart J</w:t>
      </w:r>
      <w:r w:rsidRPr="005213C6">
        <w:rPr>
          <w:rFonts w:eastAsia="Times New Roman" w:cstheme="minorHAnsi"/>
          <w:color w:val="000000" w:themeColor="text1"/>
          <w:lang w:val="en-US" w:eastAsia="fr-FR"/>
        </w:rPr>
        <w:t>. 2015;36(44):3075-3128.</w:t>
      </w:r>
      <w:r w:rsidRPr="005213C6">
        <w:rPr>
          <w:rFonts w:eastAsia="Times New Roman" w:cstheme="minorHAnsi"/>
          <w:color w:val="000000" w:themeColor="text1"/>
          <w:lang w:val="en-US" w:eastAsia="fr-FR"/>
        </w:rPr>
        <w:br/>
        <w:t xml:space="preserve">[13] Delgado V, </w:t>
      </w:r>
      <w:proofErr w:type="spellStart"/>
      <w:r w:rsidRPr="005213C6">
        <w:rPr>
          <w:rFonts w:eastAsia="Times New Roman" w:cstheme="minorHAnsi"/>
          <w:color w:val="000000" w:themeColor="text1"/>
          <w:lang w:val="en-US" w:eastAsia="fr-FR"/>
        </w:rPr>
        <w:t>Ajmone</w:t>
      </w:r>
      <w:proofErr w:type="spellEnd"/>
      <w:r w:rsidRPr="005213C6">
        <w:rPr>
          <w:rFonts w:eastAsia="Times New Roman" w:cstheme="minorHAnsi"/>
          <w:color w:val="000000" w:themeColor="text1"/>
          <w:lang w:val="en-US" w:eastAsia="fr-FR"/>
        </w:rPr>
        <w:t xml:space="preserve"> Marsan N, de </w:t>
      </w:r>
      <w:proofErr w:type="spellStart"/>
      <w:r w:rsidRPr="005213C6">
        <w:rPr>
          <w:rFonts w:eastAsia="Times New Roman" w:cstheme="minorHAnsi"/>
          <w:color w:val="000000" w:themeColor="text1"/>
          <w:lang w:val="en-US" w:eastAsia="fr-FR"/>
        </w:rPr>
        <w:t>Waha</w:t>
      </w:r>
      <w:proofErr w:type="spellEnd"/>
      <w:r w:rsidRPr="005213C6">
        <w:rPr>
          <w:rFonts w:eastAsia="Times New Roman" w:cstheme="minorHAnsi"/>
          <w:color w:val="000000" w:themeColor="text1"/>
          <w:lang w:val="en-US" w:eastAsia="fr-FR"/>
        </w:rPr>
        <w:t xml:space="preserve"> S, et al. 2023 ESC Guidelines for the management of endocarditis. </w:t>
      </w:r>
      <w:r w:rsidRPr="005213C6">
        <w:rPr>
          <w:rFonts w:eastAsia="Times New Roman" w:cstheme="minorHAnsi"/>
          <w:i/>
          <w:iCs/>
          <w:color w:val="000000" w:themeColor="text1"/>
          <w:lang w:val="en-US" w:eastAsia="fr-FR"/>
        </w:rPr>
        <w:t>Eur Heart J</w:t>
      </w:r>
      <w:r w:rsidRPr="005213C6">
        <w:rPr>
          <w:rFonts w:eastAsia="Times New Roman" w:cstheme="minorHAnsi"/>
          <w:color w:val="000000" w:themeColor="text1"/>
          <w:lang w:val="en-US" w:eastAsia="fr-FR"/>
        </w:rPr>
        <w:t>. 2023;44(39):3948-4042.</w:t>
      </w:r>
      <w:r w:rsidRPr="005213C6">
        <w:rPr>
          <w:rFonts w:eastAsia="Times New Roman" w:cstheme="minorHAnsi"/>
          <w:color w:val="000000" w:themeColor="text1"/>
          <w:lang w:val="en-US" w:eastAsia="fr-FR"/>
        </w:rPr>
        <w:br/>
        <w:t>[14] Williams G, Kolodny GM. Suppression of myocardial 18F-FDG uptake by preparing patients with a high-fat, low-carbohydrate diet. </w:t>
      </w:r>
      <w:r w:rsidRPr="005213C6">
        <w:rPr>
          <w:rFonts w:eastAsia="Times New Roman" w:cstheme="minorHAnsi"/>
          <w:i/>
          <w:iCs/>
          <w:color w:val="000000" w:themeColor="text1"/>
          <w:lang w:val="en-US" w:eastAsia="fr-FR"/>
        </w:rPr>
        <w:t>AJR Am J Roentgenol</w:t>
      </w:r>
      <w:r w:rsidRPr="005213C6">
        <w:rPr>
          <w:rFonts w:eastAsia="Times New Roman" w:cstheme="minorHAnsi"/>
          <w:color w:val="000000" w:themeColor="text1"/>
          <w:lang w:val="en-US" w:eastAsia="fr-FR"/>
        </w:rPr>
        <w:t>. 2008;190(2</w:t>
      </w:r>
      <w:proofErr w:type="gramStart"/>
      <w:r w:rsidRPr="005213C6">
        <w:rPr>
          <w:rFonts w:eastAsia="Times New Roman" w:cstheme="minorHAnsi"/>
          <w:color w:val="000000" w:themeColor="text1"/>
          <w:lang w:val="en-US" w:eastAsia="fr-FR"/>
        </w:rPr>
        <w:t>):W</w:t>
      </w:r>
      <w:proofErr w:type="gramEnd"/>
      <w:r w:rsidRPr="005213C6">
        <w:rPr>
          <w:rFonts w:eastAsia="Times New Roman" w:cstheme="minorHAnsi"/>
          <w:color w:val="000000" w:themeColor="text1"/>
          <w:lang w:val="en-US" w:eastAsia="fr-FR"/>
        </w:rPr>
        <w:t>151-W156.</w:t>
      </w:r>
      <w:r w:rsidRPr="005213C6">
        <w:rPr>
          <w:rFonts w:eastAsia="Times New Roman" w:cstheme="minorHAnsi"/>
          <w:color w:val="000000" w:themeColor="text1"/>
          <w:lang w:val="en-US" w:eastAsia="fr-FR"/>
        </w:rPr>
        <w:br/>
        <w:t>[15] Saby L, Laas O, Habib G, et al. Positron emission tomography/computed tomography for diagnosis of prosthetic valve endocarditis: increased valvular 18F-fluorodeoxyglucose uptake as a novel major criterion. </w:t>
      </w:r>
      <w:r w:rsidRPr="005213C6">
        <w:rPr>
          <w:rFonts w:eastAsia="Times New Roman" w:cstheme="minorHAnsi"/>
          <w:i/>
          <w:iCs/>
          <w:color w:val="000000" w:themeColor="text1"/>
          <w:lang w:val="en-US" w:eastAsia="fr-FR"/>
        </w:rPr>
        <w:t xml:space="preserve">J Am Coll </w:t>
      </w:r>
      <w:proofErr w:type="spellStart"/>
      <w:r w:rsidRPr="005213C6">
        <w:rPr>
          <w:rFonts w:eastAsia="Times New Roman" w:cstheme="minorHAnsi"/>
          <w:i/>
          <w:iCs/>
          <w:color w:val="000000" w:themeColor="text1"/>
          <w:lang w:val="en-US" w:eastAsia="fr-FR"/>
        </w:rPr>
        <w:t>Cardiol</w:t>
      </w:r>
      <w:proofErr w:type="spellEnd"/>
      <w:r w:rsidRPr="005213C6">
        <w:rPr>
          <w:rFonts w:eastAsia="Times New Roman" w:cstheme="minorHAnsi"/>
          <w:color w:val="000000" w:themeColor="text1"/>
          <w:lang w:val="en-US" w:eastAsia="fr-FR"/>
        </w:rPr>
        <w:t>. 2013;61(23):2374-2382.</w:t>
      </w:r>
      <w:r w:rsidRPr="005213C6">
        <w:rPr>
          <w:rFonts w:eastAsia="Times New Roman" w:cstheme="minorHAnsi"/>
          <w:color w:val="000000" w:themeColor="text1"/>
          <w:lang w:val="en-US" w:eastAsia="fr-FR"/>
        </w:rPr>
        <w:br/>
        <w:t>[16] Pizzi MN, Roque A, Fernández-Hidalgo N, et al. Improving the diagnosis of infective endocarditis in prosthetic valves and intracardiac devices with 18F-FDG-PET/CT: a prospective study. </w:t>
      </w:r>
      <w:r w:rsidRPr="005213C6">
        <w:rPr>
          <w:rFonts w:eastAsia="Times New Roman" w:cstheme="minorHAnsi"/>
          <w:i/>
          <w:iCs/>
          <w:color w:val="000000" w:themeColor="text1"/>
          <w:lang w:val="en-US" w:eastAsia="fr-FR"/>
        </w:rPr>
        <w:t xml:space="preserve">J </w:t>
      </w:r>
      <w:proofErr w:type="spellStart"/>
      <w:r w:rsidRPr="005213C6">
        <w:rPr>
          <w:rFonts w:eastAsia="Times New Roman" w:cstheme="minorHAnsi"/>
          <w:i/>
          <w:iCs/>
          <w:color w:val="000000" w:themeColor="text1"/>
          <w:lang w:val="en-US" w:eastAsia="fr-FR"/>
        </w:rPr>
        <w:t>Nucl</w:t>
      </w:r>
      <w:proofErr w:type="spellEnd"/>
      <w:r w:rsidRPr="005213C6">
        <w:rPr>
          <w:rFonts w:eastAsia="Times New Roman" w:cstheme="minorHAnsi"/>
          <w:i/>
          <w:iCs/>
          <w:color w:val="000000" w:themeColor="text1"/>
          <w:lang w:val="en-US" w:eastAsia="fr-FR"/>
        </w:rPr>
        <w:t xml:space="preserve"> Med</w:t>
      </w:r>
      <w:r w:rsidRPr="005213C6">
        <w:rPr>
          <w:rFonts w:eastAsia="Times New Roman" w:cstheme="minorHAnsi"/>
          <w:color w:val="000000" w:themeColor="text1"/>
          <w:lang w:val="en-US" w:eastAsia="fr-FR"/>
        </w:rPr>
        <w:t>. 2015;56(12):1865-1871.</w:t>
      </w:r>
      <w:r w:rsidRPr="005213C6">
        <w:rPr>
          <w:rFonts w:eastAsia="Times New Roman" w:cstheme="minorHAnsi"/>
          <w:color w:val="000000" w:themeColor="text1"/>
          <w:lang w:val="en-US" w:eastAsia="fr-FR"/>
        </w:rPr>
        <w:br/>
        <w:t>[17] Vos FJ, Kullberg BJ, Sturm PD, et al. Metastatic infectious disease and clinical outcome in Staphylococcus aureus and Streptococcus species bacteremia. </w:t>
      </w:r>
      <w:r w:rsidRPr="005213C6">
        <w:rPr>
          <w:rFonts w:eastAsia="Times New Roman" w:cstheme="minorHAnsi"/>
          <w:i/>
          <w:iCs/>
          <w:color w:val="000000" w:themeColor="text1"/>
          <w:lang w:val="en-US" w:eastAsia="fr-FR"/>
        </w:rPr>
        <w:t>Medicine (Baltimore)</w:t>
      </w:r>
      <w:r w:rsidRPr="005213C6">
        <w:rPr>
          <w:rFonts w:eastAsia="Times New Roman" w:cstheme="minorHAnsi"/>
          <w:color w:val="000000" w:themeColor="text1"/>
          <w:lang w:val="en-US" w:eastAsia="fr-FR"/>
        </w:rPr>
        <w:t>. 2012;91(2):86-94.</w:t>
      </w:r>
      <w:r w:rsidRPr="005213C6">
        <w:rPr>
          <w:rFonts w:eastAsia="Times New Roman" w:cstheme="minorHAnsi"/>
          <w:color w:val="000000" w:themeColor="text1"/>
          <w:lang w:val="en-US" w:eastAsia="fr-FR"/>
        </w:rPr>
        <w:br/>
        <w:t>[18] Baddour LM, Wilson WR, Bayer AS, et al. Infective endocarditis in adults: diagnosis, antimicrobial therapy, and management of complications: a scientific statement for healthcare professionals from the American Heart Association. </w:t>
      </w:r>
      <w:r w:rsidRPr="005213C6">
        <w:rPr>
          <w:rFonts w:eastAsia="Times New Roman" w:cstheme="minorHAnsi"/>
          <w:i/>
          <w:iCs/>
          <w:color w:val="000000" w:themeColor="text1"/>
          <w:lang w:val="en-US" w:eastAsia="fr-FR"/>
        </w:rPr>
        <w:t>Circulation</w:t>
      </w:r>
      <w:r w:rsidRPr="005213C6">
        <w:rPr>
          <w:rFonts w:eastAsia="Times New Roman" w:cstheme="minorHAnsi"/>
          <w:color w:val="000000" w:themeColor="text1"/>
          <w:lang w:val="en-US" w:eastAsia="fr-FR"/>
        </w:rPr>
        <w:t>. 2015;132(15):1435-1486.</w:t>
      </w:r>
      <w:r w:rsidRPr="005213C6">
        <w:rPr>
          <w:rFonts w:eastAsia="Times New Roman" w:cstheme="minorHAnsi"/>
          <w:color w:val="000000" w:themeColor="text1"/>
          <w:lang w:val="en-US" w:eastAsia="fr-FR"/>
        </w:rPr>
        <w:br/>
        <w:t xml:space="preserve">[19] </w:t>
      </w:r>
      <w:proofErr w:type="spellStart"/>
      <w:r w:rsidRPr="005213C6">
        <w:rPr>
          <w:rFonts w:eastAsia="Times New Roman" w:cstheme="minorHAnsi"/>
          <w:color w:val="000000" w:themeColor="text1"/>
          <w:lang w:val="en-US" w:eastAsia="fr-FR"/>
        </w:rPr>
        <w:t>Scholtens</w:t>
      </w:r>
      <w:proofErr w:type="spellEnd"/>
      <w:r w:rsidRPr="005213C6">
        <w:rPr>
          <w:rFonts w:eastAsia="Times New Roman" w:cstheme="minorHAnsi"/>
          <w:color w:val="000000" w:themeColor="text1"/>
          <w:lang w:val="en-US" w:eastAsia="fr-FR"/>
        </w:rPr>
        <w:t xml:space="preserve"> AM, van </w:t>
      </w:r>
      <w:proofErr w:type="spellStart"/>
      <w:r w:rsidRPr="005213C6">
        <w:rPr>
          <w:rFonts w:eastAsia="Times New Roman" w:cstheme="minorHAnsi"/>
          <w:color w:val="000000" w:themeColor="text1"/>
          <w:lang w:val="en-US" w:eastAsia="fr-FR"/>
        </w:rPr>
        <w:t>Aarnhem</w:t>
      </w:r>
      <w:proofErr w:type="spellEnd"/>
      <w:r w:rsidRPr="005213C6">
        <w:rPr>
          <w:rFonts w:eastAsia="Times New Roman" w:cstheme="minorHAnsi"/>
          <w:color w:val="000000" w:themeColor="text1"/>
          <w:lang w:val="en-US" w:eastAsia="fr-FR"/>
        </w:rPr>
        <w:t xml:space="preserve"> EE, </w:t>
      </w:r>
      <w:proofErr w:type="spellStart"/>
      <w:r w:rsidRPr="005213C6">
        <w:rPr>
          <w:rFonts w:eastAsia="Times New Roman" w:cstheme="minorHAnsi"/>
          <w:color w:val="000000" w:themeColor="text1"/>
          <w:lang w:val="en-US" w:eastAsia="fr-FR"/>
        </w:rPr>
        <w:t>Budde</w:t>
      </w:r>
      <w:proofErr w:type="spellEnd"/>
      <w:r w:rsidRPr="005213C6">
        <w:rPr>
          <w:rFonts w:eastAsia="Times New Roman" w:cstheme="minorHAnsi"/>
          <w:color w:val="000000" w:themeColor="text1"/>
          <w:lang w:val="en-US" w:eastAsia="fr-FR"/>
        </w:rPr>
        <w:t xml:space="preserve"> RP. Effect of antibiotic therapy on the diagnostic accuracy of 18F-FDG PET/CT for infective endocarditis: a systematic review and meta-analysis. </w:t>
      </w:r>
      <w:r w:rsidRPr="005213C6">
        <w:rPr>
          <w:rFonts w:eastAsia="Times New Roman" w:cstheme="minorHAnsi"/>
          <w:i/>
          <w:iCs/>
          <w:color w:val="000000" w:themeColor="text1"/>
          <w:lang w:val="en-US" w:eastAsia="fr-FR"/>
        </w:rPr>
        <w:t xml:space="preserve">Eur J </w:t>
      </w:r>
      <w:proofErr w:type="spellStart"/>
      <w:r w:rsidRPr="005213C6">
        <w:rPr>
          <w:rFonts w:eastAsia="Times New Roman" w:cstheme="minorHAnsi"/>
          <w:i/>
          <w:iCs/>
          <w:color w:val="000000" w:themeColor="text1"/>
          <w:lang w:val="en-US" w:eastAsia="fr-FR"/>
        </w:rPr>
        <w:t>Nucl</w:t>
      </w:r>
      <w:proofErr w:type="spellEnd"/>
      <w:r w:rsidRPr="005213C6">
        <w:rPr>
          <w:rFonts w:eastAsia="Times New Roman" w:cstheme="minorHAnsi"/>
          <w:i/>
          <w:iCs/>
          <w:color w:val="000000" w:themeColor="text1"/>
          <w:lang w:val="en-US" w:eastAsia="fr-FR"/>
        </w:rPr>
        <w:t xml:space="preserve"> Med Mol Imaging</w:t>
      </w:r>
      <w:r w:rsidRPr="005213C6">
        <w:rPr>
          <w:rFonts w:eastAsia="Times New Roman" w:cstheme="minorHAnsi"/>
          <w:color w:val="000000" w:themeColor="text1"/>
          <w:lang w:val="en-US" w:eastAsia="fr-FR"/>
        </w:rPr>
        <w:t>. 2018;45(13):2402-2411.</w:t>
      </w:r>
      <w:r w:rsidRPr="005213C6">
        <w:rPr>
          <w:rFonts w:eastAsia="Times New Roman" w:cstheme="minorHAnsi"/>
          <w:color w:val="000000" w:themeColor="text1"/>
          <w:lang w:val="en-US" w:eastAsia="fr-FR"/>
        </w:rPr>
        <w:br/>
        <w:t xml:space="preserve">[20] Swart LE, Gomes A, Scholtens AM, et al. Impact of antibiotic therapy on the sensitivity of </w:t>
      </w:r>
      <w:r w:rsidRPr="005213C6">
        <w:rPr>
          <w:rFonts w:eastAsia="Times New Roman" w:cstheme="minorHAnsi"/>
          <w:color w:val="000000" w:themeColor="text1"/>
          <w:lang w:val="en-US" w:eastAsia="fr-FR"/>
        </w:rPr>
        <w:lastRenderedPageBreak/>
        <w:t>18F-FDG PET/CT for the diagnosis of prosthetic valve endocarditis: a systematic review and meta-analysis. </w:t>
      </w:r>
      <w:r w:rsidRPr="005213C6">
        <w:rPr>
          <w:rFonts w:eastAsia="Times New Roman" w:cstheme="minorHAnsi"/>
          <w:i/>
          <w:iCs/>
          <w:color w:val="000000" w:themeColor="text1"/>
          <w:lang w:val="en-US" w:eastAsia="fr-FR"/>
        </w:rPr>
        <w:t xml:space="preserve">J </w:t>
      </w:r>
      <w:proofErr w:type="spellStart"/>
      <w:r w:rsidRPr="005213C6">
        <w:rPr>
          <w:rFonts w:eastAsia="Times New Roman" w:cstheme="minorHAnsi"/>
          <w:i/>
          <w:iCs/>
          <w:color w:val="000000" w:themeColor="text1"/>
          <w:lang w:val="en-US" w:eastAsia="fr-FR"/>
        </w:rPr>
        <w:t>Nucl</w:t>
      </w:r>
      <w:proofErr w:type="spellEnd"/>
      <w:r w:rsidRPr="005213C6">
        <w:rPr>
          <w:rFonts w:eastAsia="Times New Roman" w:cstheme="minorHAnsi"/>
          <w:i/>
          <w:iCs/>
          <w:color w:val="000000" w:themeColor="text1"/>
          <w:lang w:val="en-US" w:eastAsia="fr-FR"/>
        </w:rPr>
        <w:t xml:space="preserve"> </w:t>
      </w:r>
      <w:proofErr w:type="spellStart"/>
      <w:r w:rsidRPr="005213C6">
        <w:rPr>
          <w:rFonts w:eastAsia="Times New Roman" w:cstheme="minorHAnsi"/>
          <w:i/>
          <w:iCs/>
          <w:color w:val="000000" w:themeColor="text1"/>
          <w:lang w:val="en-US" w:eastAsia="fr-FR"/>
        </w:rPr>
        <w:t>Cardiol</w:t>
      </w:r>
      <w:proofErr w:type="spellEnd"/>
      <w:r w:rsidRPr="005213C6">
        <w:rPr>
          <w:rFonts w:eastAsia="Times New Roman" w:cstheme="minorHAnsi"/>
          <w:color w:val="000000" w:themeColor="text1"/>
          <w:lang w:val="en-US" w:eastAsia="fr-FR"/>
        </w:rPr>
        <w:t>. 2021;28(3):1062-1072.</w:t>
      </w:r>
      <w:r w:rsidRPr="005213C6">
        <w:rPr>
          <w:rFonts w:eastAsia="Times New Roman" w:cstheme="minorHAnsi"/>
          <w:color w:val="000000" w:themeColor="text1"/>
          <w:lang w:val="en-US" w:eastAsia="fr-FR"/>
        </w:rPr>
        <w:br/>
        <w:t>[21] Arnold CJ, Johnson M, Bayer AS, et al. Candida infective endocarditis: an observational cohort study with a focus on therapy. </w:t>
      </w:r>
      <w:proofErr w:type="spellStart"/>
      <w:r w:rsidRPr="005213C6">
        <w:rPr>
          <w:rFonts w:eastAsia="Times New Roman" w:cstheme="minorHAnsi"/>
          <w:i/>
          <w:iCs/>
          <w:color w:val="000000" w:themeColor="text1"/>
          <w:lang w:eastAsia="fr-FR"/>
        </w:rPr>
        <w:t>Antimicrob</w:t>
      </w:r>
      <w:proofErr w:type="spellEnd"/>
      <w:r w:rsidRPr="005213C6">
        <w:rPr>
          <w:rFonts w:eastAsia="Times New Roman" w:cstheme="minorHAnsi"/>
          <w:i/>
          <w:iCs/>
          <w:color w:val="000000" w:themeColor="text1"/>
          <w:lang w:eastAsia="fr-FR"/>
        </w:rPr>
        <w:t xml:space="preserve"> Agents </w:t>
      </w:r>
      <w:proofErr w:type="spellStart"/>
      <w:r w:rsidRPr="005213C6">
        <w:rPr>
          <w:rFonts w:eastAsia="Times New Roman" w:cstheme="minorHAnsi"/>
          <w:i/>
          <w:iCs/>
          <w:color w:val="000000" w:themeColor="text1"/>
          <w:lang w:eastAsia="fr-FR"/>
        </w:rPr>
        <w:t>Chemother</w:t>
      </w:r>
      <w:proofErr w:type="spellEnd"/>
      <w:r w:rsidRPr="005213C6">
        <w:rPr>
          <w:rFonts w:eastAsia="Times New Roman" w:cstheme="minorHAnsi"/>
          <w:color w:val="000000" w:themeColor="text1"/>
          <w:lang w:eastAsia="fr-FR"/>
        </w:rPr>
        <w:t xml:space="preserve">. </w:t>
      </w:r>
      <w:proofErr w:type="gramStart"/>
      <w:r w:rsidRPr="005213C6">
        <w:rPr>
          <w:rFonts w:eastAsia="Times New Roman" w:cstheme="minorHAnsi"/>
          <w:color w:val="000000" w:themeColor="text1"/>
          <w:lang w:eastAsia="fr-FR"/>
        </w:rPr>
        <w:t>2015;</w:t>
      </w:r>
      <w:proofErr w:type="gramEnd"/>
      <w:r w:rsidRPr="005213C6">
        <w:rPr>
          <w:rFonts w:eastAsia="Times New Roman" w:cstheme="minorHAnsi"/>
          <w:color w:val="000000" w:themeColor="text1"/>
          <w:lang w:eastAsia="fr-FR"/>
        </w:rPr>
        <w:t>59(4):2365-2373.</w:t>
      </w:r>
      <w:r w:rsidRPr="005213C6">
        <w:rPr>
          <w:rFonts w:eastAsia="Times New Roman" w:cstheme="minorHAnsi"/>
          <w:color w:val="000000" w:themeColor="text1"/>
          <w:lang w:eastAsia="fr-FR"/>
        </w:rPr>
        <w:br/>
        <w:t xml:space="preserve">[22] de Camargo RA, Sommer Bitencourt M, Meneghetti JC, et al. </w:t>
      </w:r>
      <w:r w:rsidRPr="005213C6">
        <w:rPr>
          <w:rFonts w:eastAsia="Times New Roman" w:cstheme="minorHAnsi"/>
          <w:color w:val="000000" w:themeColor="text1"/>
          <w:lang w:val="en-US" w:eastAsia="fr-FR"/>
        </w:rPr>
        <w:t>The role of 18F-FDG-PET/CT in the diagnosis of left-sided endocarditis: native vs. prosthetic valves. </w:t>
      </w:r>
      <w:r w:rsidRPr="005213C6">
        <w:rPr>
          <w:rFonts w:eastAsia="Times New Roman" w:cstheme="minorHAnsi"/>
          <w:i/>
          <w:iCs/>
          <w:color w:val="000000" w:themeColor="text1"/>
          <w:lang w:val="en-US" w:eastAsia="fr-FR"/>
        </w:rPr>
        <w:t xml:space="preserve">J </w:t>
      </w:r>
      <w:proofErr w:type="spellStart"/>
      <w:r w:rsidRPr="005213C6">
        <w:rPr>
          <w:rFonts w:eastAsia="Times New Roman" w:cstheme="minorHAnsi"/>
          <w:i/>
          <w:iCs/>
          <w:color w:val="000000" w:themeColor="text1"/>
          <w:lang w:val="en-US" w:eastAsia="fr-FR"/>
        </w:rPr>
        <w:t>Nucl</w:t>
      </w:r>
      <w:proofErr w:type="spellEnd"/>
      <w:r w:rsidRPr="005213C6">
        <w:rPr>
          <w:rFonts w:eastAsia="Times New Roman" w:cstheme="minorHAnsi"/>
          <w:i/>
          <w:iCs/>
          <w:color w:val="000000" w:themeColor="text1"/>
          <w:lang w:val="en-US" w:eastAsia="fr-FR"/>
        </w:rPr>
        <w:t xml:space="preserve"> </w:t>
      </w:r>
      <w:proofErr w:type="spellStart"/>
      <w:r w:rsidRPr="005213C6">
        <w:rPr>
          <w:rFonts w:eastAsia="Times New Roman" w:cstheme="minorHAnsi"/>
          <w:i/>
          <w:iCs/>
          <w:color w:val="000000" w:themeColor="text1"/>
          <w:lang w:val="en-US" w:eastAsia="fr-FR"/>
        </w:rPr>
        <w:t>Cardiol</w:t>
      </w:r>
      <w:proofErr w:type="spellEnd"/>
      <w:r w:rsidRPr="005213C6">
        <w:rPr>
          <w:rFonts w:eastAsia="Times New Roman" w:cstheme="minorHAnsi"/>
          <w:color w:val="000000" w:themeColor="text1"/>
          <w:lang w:val="en-US" w:eastAsia="fr-FR"/>
        </w:rPr>
        <w:t>. 2020;27(5):1655-1664.</w:t>
      </w:r>
      <w:r w:rsidRPr="005213C6">
        <w:rPr>
          <w:rFonts w:eastAsia="Times New Roman" w:cstheme="minorHAnsi"/>
          <w:color w:val="000000" w:themeColor="text1"/>
          <w:lang w:val="en-US" w:eastAsia="fr-FR"/>
        </w:rPr>
        <w:br/>
        <w:t xml:space="preserve">[23] </w:t>
      </w:r>
      <w:proofErr w:type="spellStart"/>
      <w:r w:rsidRPr="005213C6">
        <w:rPr>
          <w:rFonts w:eastAsia="Times New Roman" w:cstheme="minorHAnsi"/>
          <w:color w:val="000000" w:themeColor="text1"/>
          <w:lang w:val="en-US" w:eastAsia="fr-FR"/>
        </w:rPr>
        <w:t>Kouijzer</w:t>
      </w:r>
      <w:proofErr w:type="spellEnd"/>
      <w:r w:rsidRPr="005213C6">
        <w:rPr>
          <w:rFonts w:eastAsia="Times New Roman" w:cstheme="minorHAnsi"/>
          <w:color w:val="000000" w:themeColor="text1"/>
          <w:lang w:val="en-US" w:eastAsia="fr-FR"/>
        </w:rPr>
        <w:t xml:space="preserve"> IJ, Vos FJ, Janssen MJ, van Dijk AP, Oyen WJ, Bleeker-Rovers CP. The value of 18F-FDG PET/CT in the diagnosis of infectious and inflammatory diseases. </w:t>
      </w:r>
      <w:r w:rsidRPr="005213C6">
        <w:rPr>
          <w:rFonts w:eastAsia="Times New Roman" w:cstheme="minorHAnsi"/>
          <w:i/>
          <w:iCs/>
          <w:color w:val="000000" w:themeColor="text1"/>
          <w:lang w:val="en-US" w:eastAsia="fr-FR"/>
        </w:rPr>
        <w:t>Neth J Med</w:t>
      </w:r>
      <w:r w:rsidRPr="005213C6">
        <w:rPr>
          <w:rFonts w:eastAsia="Times New Roman" w:cstheme="minorHAnsi"/>
          <w:color w:val="000000" w:themeColor="text1"/>
          <w:lang w:val="en-US" w:eastAsia="fr-FR"/>
        </w:rPr>
        <w:t>. 2013;71(5):242-249.</w:t>
      </w:r>
    </w:p>
    <w:p w14:paraId="2E47B7F3"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Table 1: Clinical Characteristics of the Study Population (21 scans in 18 patients)</w:t>
      </w:r>
    </w:p>
    <w:tbl>
      <w:tblPr>
        <w:tblW w:w="0" w:type="auto"/>
        <w:tblCellMar>
          <w:top w:w="15" w:type="dxa"/>
          <w:left w:w="15" w:type="dxa"/>
          <w:bottom w:w="15" w:type="dxa"/>
          <w:right w:w="15" w:type="dxa"/>
        </w:tblCellMar>
        <w:tblLook w:val="04A0" w:firstRow="1" w:lastRow="0" w:firstColumn="1" w:lastColumn="0" w:noHBand="0" w:noVBand="1"/>
      </w:tblPr>
      <w:tblGrid>
        <w:gridCol w:w="4034"/>
        <w:gridCol w:w="1855"/>
      </w:tblGrid>
      <w:tr w:rsidR="005213C6" w:rsidRPr="005213C6" w14:paraId="6618F254" w14:textId="77777777" w:rsidTr="005213C6">
        <w:trPr>
          <w:tblHeader/>
        </w:trPr>
        <w:tc>
          <w:tcPr>
            <w:tcW w:w="0" w:type="auto"/>
            <w:tcBorders>
              <w:top w:val="nil"/>
            </w:tcBorders>
            <w:tcMar>
              <w:top w:w="150" w:type="dxa"/>
              <w:left w:w="0" w:type="dxa"/>
              <w:bottom w:w="150" w:type="dxa"/>
              <w:right w:w="240" w:type="dxa"/>
            </w:tcMar>
            <w:vAlign w:val="center"/>
            <w:hideMark/>
          </w:tcPr>
          <w:p w14:paraId="1068B647" w14:textId="77777777" w:rsidR="005213C6" w:rsidRPr="005213C6" w:rsidRDefault="005213C6" w:rsidP="00B3133E">
            <w:pPr>
              <w:rPr>
                <w:rFonts w:eastAsia="Times New Roman" w:cstheme="minorHAnsi"/>
                <w:b/>
                <w:bCs/>
                <w:color w:val="000000" w:themeColor="text1"/>
                <w:lang w:eastAsia="fr-FR"/>
              </w:rPr>
            </w:pPr>
            <w:proofErr w:type="spellStart"/>
            <w:r w:rsidRPr="005213C6">
              <w:rPr>
                <w:rFonts w:eastAsia="Times New Roman" w:cstheme="minorHAnsi"/>
                <w:b/>
                <w:bCs/>
                <w:color w:val="000000" w:themeColor="text1"/>
                <w:lang w:eastAsia="fr-FR"/>
              </w:rPr>
              <w:t>Characteristic</w:t>
            </w:r>
            <w:proofErr w:type="spellEnd"/>
          </w:p>
        </w:tc>
        <w:tc>
          <w:tcPr>
            <w:tcW w:w="0" w:type="auto"/>
            <w:tcBorders>
              <w:top w:val="nil"/>
            </w:tcBorders>
            <w:tcMar>
              <w:top w:w="150" w:type="dxa"/>
              <w:left w:w="240" w:type="dxa"/>
              <w:bottom w:w="150" w:type="dxa"/>
              <w:right w:w="240" w:type="dxa"/>
            </w:tcMar>
            <w:vAlign w:val="center"/>
            <w:hideMark/>
          </w:tcPr>
          <w:p w14:paraId="1C2582D5" w14:textId="77777777" w:rsidR="005213C6" w:rsidRPr="005213C6" w:rsidRDefault="005213C6" w:rsidP="005213C6">
            <w:pPr>
              <w:jc w:val="center"/>
              <w:rPr>
                <w:rFonts w:eastAsia="Times New Roman" w:cstheme="minorHAnsi"/>
                <w:b/>
                <w:bCs/>
                <w:color w:val="000000" w:themeColor="text1"/>
                <w:lang w:eastAsia="fr-FR"/>
              </w:rPr>
            </w:pPr>
            <w:r w:rsidRPr="005213C6">
              <w:rPr>
                <w:rFonts w:eastAsia="Times New Roman" w:cstheme="minorHAnsi"/>
                <w:b/>
                <w:bCs/>
                <w:color w:val="000000" w:themeColor="text1"/>
                <w:lang w:eastAsia="fr-FR"/>
              </w:rPr>
              <w:t>Value</w:t>
            </w:r>
          </w:p>
        </w:tc>
      </w:tr>
      <w:tr w:rsidR="005213C6" w:rsidRPr="005213C6" w14:paraId="1FF014D2" w14:textId="77777777" w:rsidTr="005213C6">
        <w:tc>
          <w:tcPr>
            <w:tcW w:w="0" w:type="auto"/>
            <w:tcMar>
              <w:top w:w="150" w:type="dxa"/>
              <w:left w:w="0" w:type="dxa"/>
              <w:bottom w:w="150" w:type="dxa"/>
              <w:right w:w="240" w:type="dxa"/>
            </w:tcMar>
            <w:vAlign w:val="center"/>
            <w:hideMark/>
          </w:tcPr>
          <w:p w14:paraId="66156F42"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Mean</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age</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years</w:t>
            </w:r>
            <w:proofErr w:type="spellEnd"/>
            <w:r w:rsidRPr="005213C6">
              <w:rPr>
                <w:rFonts w:eastAsia="Times New Roman" w:cstheme="minorHAnsi"/>
                <w:color w:val="000000" w:themeColor="text1"/>
                <w:lang w:eastAsia="fr-FR"/>
              </w:rPr>
              <w:t>)</w:t>
            </w:r>
          </w:p>
        </w:tc>
        <w:tc>
          <w:tcPr>
            <w:tcW w:w="0" w:type="auto"/>
            <w:tcMar>
              <w:top w:w="150" w:type="dxa"/>
              <w:left w:w="240" w:type="dxa"/>
              <w:bottom w:w="150" w:type="dxa"/>
              <w:right w:w="0" w:type="dxa"/>
            </w:tcMar>
            <w:vAlign w:val="center"/>
            <w:hideMark/>
          </w:tcPr>
          <w:p w14:paraId="5F5A22A6"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68 (range 45-86)</w:t>
            </w:r>
          </w:p>
        </w:tc>
      </w:tr>
      <w:tr w:rsidR="005213C6" w:rsidRPr="005213C6" w14:paraId="79C85A25" w14:textId="77777777" w:rsidTr="005213C6">
        <w:tc>
          <w:tcPr>
            <w:tcW w:w="0" w:type="auto"/>
            <w:tcMar>
              <w:top w:w="150" w:type="dxa"/>
              <w:left w:w="0" w:type="dxa"/>
              <w:bottom w:w="150" w:type="dxa"/>
              <w:right w:w="240" w:type="dxa"/>
            </w:tcMar>
            <w:vAlign w:val="center"/>
            <w:hideMark/>
          </w:tcPr>
          <w:p w14:paraId="585B7FF3"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Male/Female</w:t>
            </w:r>
          </w:p>
        </w:tc>
        <w:tc>
          <w:tcPr>
            <w:tcW w:w="0" w:type="auto"/>
            <w:tcMar>
              <w:top w:w="150" w:type="dxa"/>
              <w:left w:w="240" w:type="dxa"/>
              <w:bottom w:w="150" w:type="dxa"/>
              <w:right w:w="0" w:type="dxa"/>
            </w:tcMar>
            <w:vAlign w:val="center"/>
            <w:hideMark/>
          </w:tcPr>
          <w:p w14:paraId="494867F1"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12/6</w:t>
            </w:r>
          </w:p>
        </w:tc>
      </w:tr>
      <w:tr w:rsidR="005213C6" w:rsidRPr="009166AC" w14:paraId="2196D140" w14:textId="77777777" w:rsidTr="005213C6">
        <w:tc>
          <w:tcPr>
            <w:tcW w:w="0" w:type="auto"/>
            <w:tcMar>
              <w:top w:w="150" w:type="dxa"/>
              <w:left w:w="0" w:type="dxa"/>
              <w:bottom w:w="150" w:type="dxa"/>
              <w:right w:w="240" w:type="dxa"/>
            </w:tcMar>
            <w:vAlign w:val="center"/>
            <w:hideMark/>
          </w:tcPr>
          <w:p w14:paraId="1637363B" w14:textId="77777777" w:rsidR="005213C6" w:rsidRPr="005213C6" w:rsidRDefault="005213C6" w:rsidP="005213C6">
            <w:pPr>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Type of Cardiac Material (n=21 scans)</w:t>
            </w:r>
          </w:p>
        </w:tc>
        <w:tc>
          <w:tcPr>
            <w:tcW w:w="0" w:type="auto"/>
            <w:tcMar>
              <w:top w:w="150" w:type="dxa"/>
              <w:left w:w="240" w:type="dxa"/>
              <w:bottom w:w="150" w:type="dxa"/>
              <w:right w:w="0" w:type="dxa"/>
            </w:tcMar>
            <w:vAlign w:val="center"/>
            <w:hideMark/>
          </w:tcPr>
          <w:p w14:paraId="5F28216A" w14:textId="77777777" w:rsidR="005213C6" w:rsidRPr="005213C6" w:rsidRDefault="005213C6" w:rsidP="005213C6">
            <w:pPr>
              <w:rPr>
                <w:rFonts w:eastAsia="Times New Roman" w:cstheme="minorHAnsi"/>
                <w:color w:val="000000" w:themeColor="text1"/>
                <w:lang w:val="en-US" w:eastAsia="fr-FR"/>
              </w:rPr>
            </w:pPr>
          </w:p>
        </w:tc>
      </w:tr>
      <w:tr w:rsidR="005213C6" w:rsidRPr="005213C6" w14:paraId="4B5F5305" w14:textId="77777777" w:rsidTr="005213C6">
        <w:tc>
          <w:tcPr>
            <w:tcW w:w="0" w:type="auto"/>
            <w:tcMar>
              <w:top w:w="150" w:type="dxa"/>
              <w:left w:w="0" w:type="dxa"/>
              <w:bottom w:w="150" w:type="dxa"/>
              <w:right w:w="240" w:type="dxa"/>
            </w:tcMar>
            <w:vAlign w:val="center"/>
            <w:hideMark/>
          </w:tcPr>
          <w:p w14:paraId="31E653C0"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Prosthetic</w:t>
            </w:r>
            <w:proofErr w:type="spellEnd"/>
            <w:r w:rsidRPr="005213C6">
              <w:rPr>
                <w:rFonts w:eastAsia="Times New Roman" w:cstheme="minorHAnsi"/>
                <w:color w:val="000000" w:themeColor="text1"/>
                <w:lang w:eastAsia="fr-FR"/>
              </w:rPr>
              <w:t xml:space="preserve"> Valve</w:t>
            </w:r>
          </w:p>
        </w:tc>
        <w:tc>
          <w:tcPr>
            <w:tcW w:w="0" w:type="auto"/>
            <w:tcMar>
              <w:top w:w="150" w:type="dxa"/>
              <w:left w:w="240" w:type="dxa"/>
              <w:bottom w:w="150" w:type="dxa"/>
              <w:right w:w="0" w:type="dxa"/>
            </w:tcMar>
            <w:vAlign w:val="center"/>
            <w:hideMark/>
          </w:tcPr>
          <w:p w14:paraId="6C27BBDF"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12 (57.1%)</w:t>
            </w:r>
          </w:p>
        </w:tc>
      </w:tr>
      <w:tr w:rsidR="005213C6" w:rsidRPr="005213C6" w14:paraId="6E824D19" w14:textId="77777777" w:rsidTr="005213C6">
        <w:tc>
          <w:tcPr>
            <w:tcW w:w="0" w:type="auto"/>
            <w:tcMar>
              <w:top w:w="150" w:type="dxa"/>
              <w:left w:w="0" w:type="dxa"/>
              <w:bottom w:w="150" w:type="dxa"/>
              <w:right w:w="240" w:type="dxa"/>
            </w:tcMar>
            <w:vAlign w:val="center"/>
            <w:hideMark/>
          </w:tcPr>
          <w:p w14:paraId="2300CE25"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Mechanical</w:t>
            </w:r>
            <w:proofErr w:type="spellEnd"/>
          </w:p>
        </w:tc>
        <w:tc>
          <w:tcPr>
            <w:tcW w:w="0" w:type="auto"/>
            <w:tcMar>
              <w:top w:w="150" w:type="dxa"/>
              <w:left w:w="240" w:type="dxa"/>
              <w:bottom w:w="150" w:type="dxa"/>
              <w:right w:w="0" w:type="dxa"/>
            </w:tcMar>
            <w:vAlign w:val="center"/>
            <w:hideMark/>
          </w:tcPr>
          <w:p w14:paraId="70F1276C"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7</w:t>
            </w:r>
          </w:p>
        </w:tc>
      </w:tr>
      <w:tr w:rsidR="005213C6" w:rsidRPr="005213C6" w14:paraId="42EA0575" w14:textId="77777777" w:rsidTr="005213C6">
        <w:tc>
          <w:tcPr>
            <w:tcW w:w="0" w:type="auto"/>
            <w:tcMar>
              <w:top w:w="150" w:type="dxa"/>
              <w:left w:w="0" w:type="dxa"/>
              <w:bottom w:w="150" w:type="dxa"/>
              <w:right w:w="240" w:type="dxa"/>
            </w:tcMar>
            <w:vAlign w:val="center"/>
            <w:hideMark/>
          </w:tcPr>
          <w:p w14:paraId="17D4A375"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Bioprosthetic</w:t>
            </w:r>
            <w:proofErr w:type="spellEnd"/>
          </w:p>
        </w:tc>
        <w:tc>
          <w:tcPr>
            <w:tcW w:w="0" w:type="auto"/>
            <w:tcMar>
              <w:top w:w="150" w:type="dxa"/>
              <w:left w:w="240" w:type="dxa"/>
              <w:bottom w:w="150" w:type="dxa"/>
              <w:right w:w="0" w:type="dxa"/>
            </w:tcMar>
            <w:vAlign w:val="center"/>
            <w:hideMark/>
          </w:tcPr>
          <w:p w14:paraId="538F7E38"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5</w:t>
            </w:r>
          </w:p>
        </w:tc>
      </w:tr>
      <w:tr w:rsidR="005213C6" w:rsidRPr="005213C6" w14:paraId="56D25BF7" w14:textId="77777777" w:rsidTr="005213C6">
        <w:tc>
          <w:tcPr>
            <w:tcW w:w="0" w:type="auto"/>
            <w:tcMar>
              <w:top w:w="150" w:type="dxa"/>
              <w:left w:w="0" w:type="dxa"/>
              <w:bottom w:w="150" w:type="dxa"/>
              <w:right w:w="240" w:type="dxa"/>
            </w:tcMar>
            <w:vAlign w:val="center"/>
            <w:hideMark/>
          </w:tcPr>
          <w:p w14:paraId="26E02E8D"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Cardiac</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Device</w:t>
            </w:r>
            <w:proofErr w:type="spellEnd"/>
            <w:r w:rsidRPr="005213C6">
              <w:rPr>
                <w:rFonts w:eastAsia="Times New Roman" w:cstheme="minorHAnsi"/>
                <w:color w:val="000000" w:themeColor="text1"/>
                <w:lang w:eastAsia="fr-FR"/>
              </w:rPr>
              <w:t xml:space="preserve"> (Pacemaker/ICD)</w:t>
            </w:r>
          </w:p>
        </w:tc>
        <w:tc>
          <w:tcPr>
            <w:tcW w:w="0" w:type="auto"/>
            <w:tcMar>
              <w:top w:w="150" w:type="dxa"/>
              <w:left w:w="240" w:type="dxa"/>
              <w:bottom w:w="150" w:type="dxa"/>
              <w:right w:w="0" w:type="dxa"/>
            </w:tcMar>
            <w:vAlign w:val="center"/>
            <w:hideMark/>
          </w:tcPr>
          <w:p w14:paraId="016690EC"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3 (14.3%)</w:t>
            </w:r>
          </w:p>
        </w:tc>
      </w:tr>
      <w:tr w:rsidR="005213C6" w:rsidRPr="005213C6" w14:paraId="26972FAD" w14:textId="77777777" w:rsidTr="005213C6">
        <w:tc>
          <w:tcPr>
            <w:tcW w:w="0" w:type="auto"/>
            <w:tcMar>
              <w:top w:w="150" w:type="dxa"/>
              <w:left w:w="0" w:type="dxa"/>
              <w:bottom w:w="150" w:type="dxa"/>
              <w:right w:w="240" w:type="dxa"/>
            </w:tcMar>
            <w:vAlign w:val="center"/>
            <w:hideMark/>
          </w:tcPr>
          <w:p w14:paraId="5F1EEF57"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 xml:space="preserve">Native Valve (no </w:t>
            </w:r>
            <w:proofErr w:type="spellStart"/>
            <w:r w:rsidRPr="005213C6">
              <w:rPr>
                <w:rFonts w:eastAsia="Times New Roman" w:cstheme="minorHAnsi"/>
                <w:color w:val="000000" w:themeColor="text1"/>
                <w:lang w:eastAsia="fr-FR"/>
              </w:rPr>
              <w:t>material</w:t>
            </w:r>
            <w:proofErr w:type="spellEnd"/>
            <w:r w:rsidRPr="005213C6">
              <w:rPr>
                <w:rFonts w:eastAsia="Times New Roman" w:cstheme="minorHAnsi"/>
                <w:color w:val="000000" w:themeColor="text1"/>
                <w:lang w:eastAsia="fr-FR"/>
              </w:rPr>
              <w:t>)</w:t>
            </w:r>
          </w:p>
        </w:tc>
        <w:tc>
          <w:tcPr>
            <w:tcW w:w="0" w:type="auto"/>
            <w:tcMar>
              <w:top w:w="150" w:type="dxa"/>
              <w:left w:w="240" w:type="dxa"/>
              <w:bottom w:w="150" w:type="dxa"/>
              <w:right w:w="0" w:type="dxa"/>
            </w:tcMar>
            <w:vAlign w:val="center"/>
            <w:hideMark/>
          </w:tcPr>
          <w:p w14:paraId="40D0D564"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6 (28.6%)</w:t>
            </w:r>
          </w:p>
        </w:tc>
      </w:tr>
      <w:tr w:rsidR="005213C6" w:rsidRPr="005213C6" w14:paraId="6CDC9329" w14:textId="77777777" w:rsidTr="005213C6">
        <w:tc>
          <w:tcPr>
            <w:tcW w:w="0" w:type="auto"/>
            <w:tcMar>
              <w:top w:w="150" w:type="dxa"/>
              <w:left w:w="0" w:type="dxa"/>
              <w:bottom w:w="150" w:type="dxa"/>
              <w:right w:w="240" w:type="dxa"/>
            </w:tcMar>
            <w:vAlign w:val="center"/>
            <w:hideMark/>
          </w:tcPr>
          <w:p w14:paraId="110CCB3B"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b/>
                <w:bCs/>
                <w:color w:val="000000" w:themeColor="text1"/>
                <w:lang w:eastAsia="fr-FR"/>
              </w:rPr>
              <w:t>Initial Duke Classification (n=21 scans)</w:t>
            </w:r>
          </w:p>
        </w:tc>
        <w:tc>
          <w:tcPr>
            <w:tcW w:w="0" w:type="auto"/>
            <w:tcMar>
              <w:top w:w="150" w:type="dxa"/>
              <w:left w:w="240" w:type="dxa"/>
              <w:bottom w:w="150" w:type="dxa"/>
              <w:right w:w="0" w:type="dxa"/>
            </w:tcMar>
            <w:vAlign w:val="center"/>
            <w:hideMark/>
          </w:tcPr>
          <w:p w14:paraId="32DD3F92" w14:textId="77777777" w:rsidR="005213C6" w:rsidRPr="005213C6" w:rsidRDefault="005213C6" w:rsidP="005213C6">
            <w:pPr>
              <w:rPr>
                <w:rFonts w:eastAsia="Times New Roman" w:cstheme="minorHAnsi"/>
                <w:color w:val="000000" w:themeColor="text1"/>
                <w:lang w:eastAsia="fr-FR"/>
              </w:rPr>
            </w:pPr>
          </w:p>
        </w:tc>
      </w:tr>
      <w:tr w:rsidR="005213C6" w:rsidRPr="005213C6" w14:paraId="26A92BDF" w14:textId="77777777" w:rsidTr="005213C6">
        <w:tc>
          <w:tcPr>
            <w:tcW w:w="0" w:type="auto"/>
            <w:tcMar>
              <w:top w:w="150" w:type="dxa"/>
              <w:left w:w="0" w:type="dxa"/>
              <w:bottom w:w="150" w:type="dxa"/>
              <w:right w:w="240" w:type="dxa"/>
            </w:tcMar>
            <w:vAlign w:val="center"/>
            <w:hideMark/>
          </w:tcPr>
          <w:p w14:paraId="650684E7"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Possible IE</w:t>
            </w:r>
          </w:p>
        </w:tc>
        <w:tc>
          <w:tcPr>
            <w:tcW w:w="0" w:type="auto"/>
            <w:tcMar>
              <w:top w:w="150" w:type="dxa"/>
              <w:left w:w="240" w:type="dxa"/>
              <w:bottom w:w="150" w:type="dxa"/>
              <w:right w:w="0" w:type="dxa"/>
            </w:tcMar>
            <w:vAlign w:val="center"/>
            <w:hideMark/>
          </w:tcPr>
          <w:p w14:paraId="4625793E"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16 (76.2%)</w:t>
            </w:r>
          </w:p>
        </w:tc>
      </w:tr>
      <w:tr w:rsidR="005213C6" w:rsidRPr="005213C6" w14:paraId="2593C480" w14:textId="77777777" w:rsidTr="005213C6">
        <w:tc>
          <w:tcPr>
            <w:tcW w:w="0" w:type="auto"/>
            <w:tcMar>
              <w:top w:w="150" w:type="dxa"/>
              <w:left w:w="0" w:type="dxa"/>
              <w:bottom w:w="150" w:type="dxa"/>
              <w:right w:w="240" w:type="dxa"/>
            </w:tcMar>
            <w:vAlign w:val="center"/>
            <w:hideMark/>
          </w:tcPr>
          <w:p w14:paraId="4304D683"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Rejected</w:t>
            </w:r>
            <w:proofErr w:type="spellEnd"/>
            <w:r w:rsidRPr="005213C6">
              <w:rPr>
                <w:rFonts w:eastAsia="Times New Roman" w:cstheme="minorHAnsi"/>
                <w:color w:val="000000" w:themeColor="text1"/>
                <w:lang w:eastAsia="fr-FR"/>
              </w:rPr>
              <w:t xml:space="preserve"> IE</w:t>
            </w:r>
          </w:p>
        </w:tc>
        <w:tc>
          <w:tcPr>
            <w:tcW w:w="0" w:type="auto"/>
            <w:tcMar>
              <w:top w:w="150" w:type="dxa"/>
              <w:left w:w="240" w:type="dxa"/>
              <w:bottom w:w="150" w:type="dxa"/>
              <w:right w:w="0" w:type="dxa"/>
            </w:tcMar>
            <w:vAlign w:val="center"/>
            <w:hideMark/>
          </w:tcPr>
          <w:p w14:paraId="2BA64AE4"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5 (23.8%)</w:t>
            </w:r>
          </w:p>
        </w:tc>
      </w:tr>
      <w:tr w:rsidR="005213C6" w:rsidRPr="009166AC" w14:paraId="6148787A" w14:textId="77777777" w:rsidTr="005213C6">
        <w:tc>
          <w:tcPr>
            <w:tcW w:w="0" w:type="auto"/>
            <w:tcMar>
              <w:top w:w="150" w:type="dxa"/>
              <w:left w:w="0" w:type="dxa"/>
              <w:bottom w:w="150" w:type="dxa"/>
              <w:right w:w="240" w:type="dxa"/>
            </w:tcMar>
            <w:vAlign w:val="center"/>
            <w:hideMark/>
          </w:tcPr>
          <w:p w14:paraId="30E63AC4" w14:textId="77777777" w:rsidR="005213C6" w:rsidRPr="005213C6" w:rsidRDefault="005213C6" w:rsidP="005213C6">
            <w:pPr>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Antibiotic Therapy at Time of PET/CT</w:t>
            </w:r>
          </w:p>
        </w:tc>
        <w:tc>
          <w:tcPr>
            <w:tcW w:w="0" w:type="auto"/>
            <w:tcMar>
              <w:top w:w="150" w:type="dxa"/>
              <w:left w:w="240" w:type="dxa"/>
              <w:bottom w:w="150" w:type="dxa"/>
              <w:right w:w="0" w:type="dxa"/>
            </w:tcMar>
            <w:vAlign w:val="center"/>
            <w:hideMark/>
          </w:tcPr>
          <w:p w14:paraId="0B6949FF" w14:textId="77777777" w:rsidR="005213C6" w:rsidRPr="005213C6" w:rsidRDefault="005213C6" w:rsidP="005213C6">
            <w:pPr>
              <w:rPr>
                <w:rFonts w:eastAsia="Times New Roman" w:cstheme="minorHAnsi"/>
                <w:color w:val="000000" w:themeColor="text1"/>
                <w:lang w:val="en-US" w:eastAsia="fr-FR"/>
              </w:rPr>
            </w:pPr>
          </w:p>
        </w:tc>
      </w:tr>
      <w:tr w:rsidR="005213C6" w:rsidRPr="005213C6" w14:paraId="60903883" w14:textId="77777777" w:rsidTr="005213C6">
        <w:tc>
          <w:tcPr>
            <w:tcW w:w="0" w:type="auto"/>
            <w:tcMar>
              <w:top w:w="150" w:type="dxa"/>
              <w:left w:w="0" w:type="dxa"/>
              <w:bottom w:w="150" w:type="dxa"/>
              <w:right w:w="240" w:type="dxa"/>
            </w:tcMar>
            <w:vAlign w:val="center"/>
            <w:hideMark/>
          </w:tcPr>
          <w:p w14:paraId="3442CD0B"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Yes</w:t>
            </w:r>
          </w:p>
        </w:tc>
        <w:tc>
          <w:tcPr>
            <w:tcW w:w="0" w:type="auto"/>
            <w:tcMar>
              <w:top w:w="150" w:type="dxa"/>
              <w:left w:w="240" w:type="dxa"/>
              <w:bottom w:w="150" w:type="dxa"/>
              <w:right w:w="0" w:type="dxa"/>
            </w:tcMar>
            <w:vAlign w:val="center"/>
            <w:hideMark/>
          </w:tcPr>
          <w:p w14:paraId="01C0E7FB"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14 (66.7%)</w:t>
            </w:r>
          </w:p>
        </w:tc>
      </w:tr>
      <w:tr w:rsidR="005213C6" w:rsidRPr="005213C6" w14:paraId="78D2BDAE" w14:textId="77777777" w:rsidTr="005213C6">
        <w:tc>
          <w:tcPr>
            <w:tcW w:w="0" w:type="auto"/>
            <w:tcMar>
              <w:top w:w="150" w:type="dxa"/>
              <w:left w:w="0" w:type="dxa"/>
              <w:bottom w:w="150" w:type="dxa"/>
              <w:right w:w="240" w:type="dxa"/>
            </w:tcMar>
            <w:vAlign w:val="center"/>
            <w:hideMark/>
          </w:tcPr>
          <w:p w14:paraId="17D4D981"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No</w:t>
            </w:r>
          </w:p>
        </w:tc>
        <w:tc>
          <w:tcPr>
            <w:tcW w:w="0" w:type="auto"/>
            <w:tcMar>
              <w:top w:w="150" w:type="dxa"/>
              <w:left w:w="240" w:type="dxa"/>
              <w:bottom w:w="150" w:type="dxa"/>
              <w:right w:w="0" w:type="dxa"/>
            </w:tcMar>
            <w:vAlign w:val="center"/>
            <w:hideMark/>
          </w:tcPr>
          <w:p w14:paraId="5BA8E129"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7 (33.3%)</w:t>
            </w:r>
          </w:p>
        </w:tc>
      </w:tr>
    </w:tbl>
    <w:p w14:paraId="47C3A99B" w14:textId="77777777" w:rsidR="00B3133E" w:rsidRDefault="00B3133E" w:rsidP="005213C6">
      <w:pPr>
        <w:shd w:val="clear" w:color="auto" w:fill="FFFFFF"/>
        <w:spacing w:before="240" w:after="240"/>
        <w:rPr>
          <w:rFonts w:eastAsia="Times New Roman" w:cstheme="minorHAnsi"/>
          <w:b/>
          <w:bCs/>
          <w:color w:val="000000" w:themeColor="text1"/>
          <w:lang w:val="en-US" w:eastAsia="fr-FR"/>
        </w:rPr>
      </w:pPr>
    </w:p>
    <w:p w14:paraId="384E80A4" w14:textId="77777777" w:rsidR="005213C6" w:rsidRPr="005213C6" w:rsidRDefault="005213C6" w:rsidP="005213C6">
      <w:pPr>
        <w:shd w:val="clear" w:color="auto" w:fill="FFFFFF"/>
        <w:spacing w:before="240" w:after="240"/>
        <w:rPr>
          <w:rFonts w:eastAsia="Times New Roman" w:cstheme="minorHAnsi"/>
          <w:color w:val="000000" w:themeColor="text1"/>
          <w:lang w:val="en-US" w:eastAsia="fr-FR"/>
        </w:rPr>
      </w:pPr>
      <w:r w:rsidRPr="005213C6">
        <w:rPr>
          <w:rFonts w:eastAsia="Times New Roman" w:cstheme="minorHAnsi"/>
          <w:b/>
          <w:bCs/>
          <w:color w:val="000000" w:themeColor="text1"/>
          <w:lang w:val="en-US" w:eastAsia="fr-FR"/>
        </w:rPr>
        <w:t>Table 2: Extracardiac Findings on 18F-FDG PET/CT (n=6 patients)</w:t>
      </w:r>
    </w:p>
    <w:tbl>
      <w:tblPr>
        <w:tblW w:w="0" w:type="auto"/>
        <w:tblCellMar>
          <w:top w:w="15" w:type="dxa"/>
          <w:left w:w="15" w:type="dxa"/>
          <w:bottom w:w="15" w:type="dxa"/>
          <w:right w:w="15" w:type="dxa"/>
        </w:tblCellMar>
        <w:tblLook w:val="04A0" w:firstRow="1" w:lastRow="0" w:firstColumn="1" w:lastColumn="0" w:noHBand="0" w:noVBand="1"/>
      </w:tblPr>
      <w:tblGrid>
        <w:gridCol w:w="3629"/>
        <w:gridCol w:w="2428"/>
      </w:tblGrid>
      <w:tr w:rsidR="005213C6" w:rsidRPr="005213C6" w14:paraId="2A7C9D9F" w14:textId="77777777" w:rsidTr="005213C6">
        <w:trPr>
          <w:tblHeader/>
        </w:trPr>
        <w:tc>
          <w:tcPr>
            <w:tcW w:w="0" w:type="auto"/>
            <w:tcBorders>
              <w:top w:val="nil"/>
            </w:tcBorders>
            <w:tcMar>
              <w:top w:w="150" w:type="dxa"/>
              <w:left w:w="0" w:type="dxa"/>
              <w:bottom w:w="150" w:type="dxa"/>
              <w:right w:w="240" w:type="dxa"/>
            </w:tcMar>
            <w:vAlign w:val="center"/>
            <w:hideMark/>
          </w:tcPr>
          <w:p w14:paraId="36A9EB8B" w14:textId="77777777" w:rsidR="005213C6" w:rsidRPr="005213C6" w:rsidRDefault="005213C6" w:rsidP="00B3133E">
            <w:pPr>
              <w:rPr>
                <w:rFonts w:eastAsia="Times New Roman" w:cstheme="minorHAnsi"/>
                <w:b/>
                <w:bCs/>
                <w:color w:val="000000" w:themeColor="text1"/>
                <w:lang w:eastAsia="fr-FR"/>
              </w:rPr>
            </w:pPr>
            <w:r w:rsidRPr="005213C6">
              <w:rPr>
                <w:rFonts w:eastAsia="Times New Roman" w:cstheme="minorHAnsi"/>
                <w:b/>
                <w:bCs/>
                <w:color w:val="000000" w:themeColor="text1"/>
                <w:lang w:eastAsia="fr-FR"/>
              </w:rPr>
              <w:lastRenderedPageBreak/>
              <w:t>Finding</w:t>
            </w:r>
          </w:p>
        </w:tc>
        <w:tc>
          <w:tcPr>
            <w:tcW w:w="0" w:type="auto"/>
            <w:tcBorders>
              <w:top w:val="nil"/>
            </w:tcBorders>
            <w:tcMar>
              <w:top w:w="150" w:type="dxa"/>
              <w:left w:w="240" w:type="dxa"/>
              <w:bottom w:w="150" w:type="dxa"/>
              <w:right w:w="240" w:type="dxa"/>
            </w:tcMar>
            <w:vAlign w:val="center"/>
            <w:hideMark/>
          </w:tcPr>
          <w:p w14:paraId="2FBE16C7" w14:textId="77777777" w:rsidR="005213C6" w:rsidRPr="005213C6" w:rsidRDefault="005213C6" w:rsidP="005213C6">
            <w:pPr>
              <w:jc w:val="center"/>
              <w:rPr>
                <w:rFonts w:eastAsia="Times New Roman" w:cstheme="minorHAnsi"/>
                <w:b/>
                <w:bCs/>
                <w:color w:val="000000" w:themeColor="text1"/>
                <w:lang w:eastAsia="fr-FR"/>
              </w:rPr>
            </w:pPr>
            <w:r w:rsidRPr="005213C6">
              <w:rPr>
                <w:rFonts w:eastAsia="Times New Roman" w:cstheme="minorHAnsi"/>
                <w:b/>
                <w:bCs/>
                <w:color w:val="000000" w:themeColor="text1"/>
                <w:lang w:eastAsia="fr-FR"/>
              </w:rPr>
              <w:t>Number of Patients</w:t>
            </w:r>
          </w:p>
        </w:tc>
      </w:tr>
      <w:tr w:rsidR="005213C6" w:rsidRPr="005213C6" w14:paraId="3AC4CC67" w14:textId="77777777" w:rsidTr="005213C6">
        <w:tc>
          <w:tcPr>
            <w:tcW w:w="0" w:type="auto"/>
            <w:tcMar>
              <w:top w:w="150" w:type="dxa"/>
              <w:left w:w="0" w:type="dxa"/>
              <w:bottom w:w="150" w:type="dxa"/>
              <w:right w:w="240" w:type="dxa"/>
            </w:tcMar>
            <w:vAlign w:val="center"/>
            <w:hideMark/>
          </w:tcPr>
          <w:p w14:paraId="09B7A1A0"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Pulmonary</w:t>
            </w:r>
            <w:proofErr w:type="spellEnd"/>
            <w:r w:rsidRPr="005213C6">
              <w:rPr>
                <w:rFonts w:eastAsia="Times New Roman" w:cstheme="minorHAnsi"/>
                <w:color w:val="000000" w:themeColor="text1"/>
                <w:lang w:eastAsia="fr-FR"/>
              </w:rPr>
              <w:t xml:space="preserve"> infection/</w:t>
            </w:r>
            <w:proofErr w:type="spellStart"/>
            <w:r w:rsidRPr="005213C6">
              <w:rPr>
                <w:rFonts w:eastAsia="Times New Roman" w:cstheme="minorHAnsi"/>
                <w:color w:val="000000" w:themeColor="text1"/>
                <w:lang w:eastAsia="fr-FR"/>
              </w:rPr>
              <w:t>Septic</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emboli</w:t>
            </w:r>
            <w:proofErr w:type="spellEnd"/>
          </w:p>
        </w:tc>
        <w:tc>
          <w:tcPr>
            <w:tcW w:w="0" w:type="auto"/>
            <w:tcMar>
              <w:top w:w="150" w:type="dxa"/>
              <w:left w:w="240" w:type="dxa"/>
              <w:bottom w:w="150" w:type="dxa"/>
              <w:right w:w="0" w:type="dxa"/>
            </w:tcMar>
            <w:vAlign w:val="center"/>
            <w:hideMark/>
          </w:tcPr>
          <w:p w14:paraId="64C027D4"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2</w:t>
            </w:r>
          </w:p>
        </w:tc>
      </w:tr>
      <w:tr w:rsidR="005213C6" w:rsidRPr="005213C6" w14:paraId="4D5BEBC5" w14:textId="77777777" w:rsidTr="005213C6">
        <w:tc>
          <w:tcPr>
            <w:tcW w:w="0" w:type="auto"/>
            <w:tcMar>
              <w:top w:w="150" w:type="dxa"/>
              <w:left w:w="0" w:type="dxa"/>
              <w:bottom w:w="150" w:type="dxa"/>
              <w:right w:w="240" w:type="dxa"/>
            </w:tcMar>
            <w:vAlign w:val="center"/>
            <w:hideMark/>
          </w:tcPr>
          <w:p w14:paraId="2AE263D6"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Muscular</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abscess</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gluteal</w:t>
            </w:r>
            <w:proofErr w:type="spellEnd"/>
            <w:r w:rsidRPr="005213C6">
              <w:rPr>
                <w:rFonts w:eastAsia="Times New Roman" w:cstheme="minorHAnsi"/>
                <w:color w:val="000000" w:themeColor="text1"/>
                <w:lang w:eastAsia="fr-FR"/>
              </w:rPr>
              <w:t>/psoas)</w:t>
            </w:r>
          </w:p>
        </w:tc>
        <w:tc>
          <w:tcPr>
            <w:tcW w:w="0" w:type="auto"/>
            <w:tcMar>
              <w:top w:w="150" w:type="dxa"/>
              <w:left w:w="240" w:type="dxa"/>
              <w:bottom w:w="150" w:type="dxa"/>
              <w:right w:w="0" w:type="dxa"/>
            </w:tcMar>
            <w:vAlign w:val="center"/>
            <w:hideMark/>
          </w:tcPr>
          <w:p w14:paraId="4A1CC91B"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2</w:t>
            </w:r>
          </w:p>
        </w:tc>
      </w:tr>
      <w:tr w:rsidR="005213C6" w:rsidRPr="005213C6" w14:paraId="089533E3" w14:textId="77777777" w:rsidTr="005213C6">
        <w:tc>
          <w:tcPr>
            <w:tcW w:w="0" w:type="auto"/>
            <w:tcMar>
              <w:top w:w="150" w:type="dxa"/>
              <w:left w:w="0" w:type="dxa"/>
              <w:bottom w:w="150" w:type="dxa"/>
              <w:right w:w="240" w:type="dxa"/>
            </w:tcMar>
            <w:vAlign w:val="center"/>
            <w:hideMark/>
          </w:tcPr>
          <w:p w14:paraId="5A70D209"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Infected</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femoral</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catheter</w:t>
            </w:r>
            <w:proofErr w:type="spellEnd"/>
            <w:r w:rsidRPr="005213C6">
              <w:rPr>
                <w:rFonts w:eastAsia="Times New Roman" w:cstheme="minorHAnsi"/>
                <w:color w:val="000000" w:themeColor="text1"/>
                <w:lang w:eastAsia="fr-FR"/>
              </w:rPr>
              <w:t xml:space="preserve"> site</w:t>
            </w:r>
          </w:p>
        </w:tc>
        <w:tc>
          <w:tcPr>
            <w:tcW w:w="0" w:type="auto"/>
            <w:tcMar>
              <w:top w:w="150" w:type="dxa"/>
              <w:left w:w="240" w:type="dxa"/>
              <w:bottom w:w="150" w:type="dxa"/>
              <w:right w:w="0" w:type="dxa"/>
            </w:tcMar>
            <w:vAlign w:val="center"/>
            <w:hideMark/>
          </w:tcPr>
          <w:p w14:paraId="35368B92"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w:t>
            </w:r>
          </w:p>
        </w:tc>
      </w:tr>
      <w:tr w:rsidR="005213C6" w:rsidRPr="005213C6" w14:paraId="4EE914C6" w14:textId="77777777" w:rsidTr="005213C6">
        <w:tc>
          <w:tcPr>
            <w:tcW w:w="0" w:type="auto"/>
            <w:tcMar>
              <w:top w:w="150" w:type="dxa"/>
              <w:left w:w="0" w:type="dxa"/>
              <w:bottom w:w="150" w:type="dxa"/>
              <w:right w:w="240" w:type="dxa"/>
            </w:tcMar>
            <w:vAlign w:val="center"/>
            <w:hideMark/>
          </w:tcPr>
          <w:p w14:paraId="5EF448C1" w14:textId="77777777" w:rsidR="005213C6" w:rsidRPr="005213C6" w:rsidRDefault="005213C6" w:rsidP="005213C6">
            <w:pPr>
              <w:rPr>
                <w:rFonts w:eastAsia="Times New Roman" w:cstheme="minorHAnsi"/>
                <w:color w:val="000000" w:themeColor="text1"/>
                <w:lang w:eastAsia="fr-FR"/>
              </w:rPr>
            </w:pPr>
            <w:proofErr w:type="spellStart"/>
            <w:r w:rsidRPr="005213C6">
              <w:rPr>
                <w:rFonts w:eastAsia="Times New Roman" w:cstheme="minorHAnsi"/>
                <w:color w:val="000000" w:themeColor="text1"/>
                <w:lang w:eastAsia="fr-FR"/>
              </w:rPr>
              <w:t>Splenic</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septic</w:t>
            </w:r>
            <w:proofErr w:type="spellEnd"/>
            <w:r w:rsidRPr="005213C6">
              <w:rPr>
                <w:rFonts w:eastAsia="Times New Roman" w:cstheme="minorHAnsi"/>
                <w:color w:val="000000" w:themeColor="text1"/>
                <w:lang w:eastAsia="fr-FR"/>
              </w:rPr>
              <w:t xml:space="preserve"> </w:t>
            </w:r>
            <w:proofErr w:type="spellStart"/>
            <w:r w:rsidRPr="005213C6">
              <w:rPr>
                <w:rFonts w:eastAsia="Times New Roman" w:cstheme="minorHAnsi"/>
                <w:color w:val="000000" w:themeColor="text1"/>
                <w:lang w:eastAsia="fr-FR"/>
              </w:rPr>
              <w:t>emboli</w:t>
            </w:r>
            <w:proofErr w:type="spellEnd"/>
          </w:p>
        </w:tc>
        <w:tc>
          <w:tcPr>
            <w:tcW w:w="0" w:type="auto"/>
            <w:tcMar>
              <w:top w:w="150" w:type="dxa"/>
              <w:left w:w="240" w:type="dxa"/>
              <w:bottom w:w="150" w:type="dxa"/>
              <w:right w:w="0" w:type="dxa"/>
            </w:tcMar>
            <w:vAlign w:val="center"/>
            <w:hideMark/>
          </w:tcPr>
          <w:p w14:paraId="5C980448" w14:textId="77777777" w:rsidR="005213C6" w:rsidRPr="005213C6" w:rsidRDefault="005213C6" w:rsidP="005213C6">
            <w:pPr>
              <w:rPr>
                <w:rFonts w:eastAsia="Times New Roman" w:cstheme="minorHAnsi"/>
                <w:color w:val="000000" w:themeColor="text1"/>
                <w:lang w:eastAsia="fr-FR"/>
              </w:rPr>
            </w:pPr>
            <w:r w:rsidRPr="005213C6">
              <w:rPr>
                <w:rFonts w:eastAsia="Times New Roman" w:cstheme="minorHAnsi"/>
                <w:color w:val="000000" w:themeColor="text1"/>
                <w:lang w:eastAsia="fr-FR"/>
              </w:rPr>
              <w:t>1</w:t>
            </w:r>
          </w:p>
        </w:tc>
      </w:tr>
    </w:tbl>
    <w:p w14:paraId="3DFCDDCA" w14:textId="77777777" w:rsidR="0057583D" w:rsidRPr="00B416B3" w:rsidRDefault="005213C6" w:rsidP="0057583D">
      <w:pPr>
        <w:numPr>
          <w:ilvl w:val="0"/>
          <w:numId w:val="5"/>
        </w:numPr>
        <w:shd w:val="clear" w:color="auto" w:fill="FFFFFF"/>
        <w:spacing w:before="100" w:beforeAutospacing="1"/>
        <w:ind w:left="0"/>
        <w:rPr>
          <w:rFonts w:eastAsia="Times New Roman" w:cstheme="minorHAnsi"/>
          <w:color w:val="000000" w:themeColor="text1"/>
          <w:lang w:val="en-US" w:eastAsia="fr-FR"/>
        </w:rPr>
      </w:pPr>
      <w:r w:rsidRPr="0057583D">
        <w:rPr>
          <w:rFonts w:eastAsia="Times New Roman" w:cstheme="minorHAnsi"/>
          <w:b/>
          <w:bCs/>
          <w:color w:val="000000" w:themeColor="text1"/>
          <w:lang w:val="en-US" w:eastAsia="fr-FR"/>
        </w:rPr>
        <w:t>Figure 1:</w:t>
      </w:r>
      <w:r w:rsidRPr="005213C6">
        <w:rPr>
          <w:rFonts w:eastAsia="Times New Roman" w:cstheme="minorHAnsi"/>
          <w:color w:val="000000" w:themeColor="text1"/>
          <w:lang w:val="en-US" w:eastAsia="fr-FR"/>
        </w:rPr>
        <w:t> </w:t>
      </w:r>
      <w:r w:rsidR="002E7D60" w:rsidRPr="005213C6">
        <w:rPr>
          <w:rFonts w:eastAsia="Times New Roman" w:cstheme="minorHAnsi"/>
          <w:color w:val="000000" w:themeColor="text1"/>
          <w:lang w:val="en-US" w:eastAsia="fr-FR"/>
        </w:rPr>
        <w:t>Maximum intensity projection (MIP</w:t>
      </w:r>
      <w:r w:rsidR="0057583D" w:rsidRPr="0057583D">
        <w:rPr>
          <w:rFonts w:eastAsia="Times New Roman" w:cstheme="minorHAnsi"/>
          <w:color w:val="000000" w:themeColor="text1"/>
          <w:lang w:val="en-US" w:eastAsia="fr-FR"/>
        </w:rPr>
        <w:t xml:space="preserve">) </w:t>
      </w:r>
      <w:r w:rsidR="0057583D" w:rsidRPr="005213C6">
        <w:rPr>
          <w:rFonts w:eastAsia="Times New Roman" w:cstheme="minorHAnsi"/>
          <w:color w:val="000000" w:themeColor="text1"/>
          <w:lang w:val="en-US" w:eastAsia="fr-FR"/>
        </w:rPr>
        <w:t xml:space="preserve">image </w:t>
      </w:r>
      <w:proofErr w:type="gramStart"/>
      <w:r w:rsidR="0057583D" w:rsidRPr="0057583D">
        <w:rPr>
          <w:rFonts w:eastAsia="Times New Roman" w:cstheme="minorHAnsi"/>
          <w:color w:val="000000" w:themeColor="text1"/>
          <w:lang w:val="en-US" w:eastAsia="fr-FR"/>
        </w:rPr>
        <w:t>and  a</w:t>
      </w:r>
      <w:r w:rsidR="0057583D" w:rsidRPr="005213C6">
        <w:rPr>
          <w:rFonts w:eastAsia="Times New Roman" w:cstheme="minorHAnsi"/>
          <w:color w:val="000000" w:themeColor="text1"/>
          <w:lang w:val="en-US" w:eastAsia="fr-FR"/>
        </w:rPr>
        <w:t>xial</w:t>
      </w:r>
      <w:proofErr w:type="gramEnd"/>
      <w:r w:rsidR="0057583D" w:rsidRPr="005213C6">
        <w:rPr>
          <w:rFonts w:eastAsia="Times New Roman" w:cstheme="minorHAnsi"/>
          <w:color w:val="000000" w:themeColor="text1"/>
          <w:lang w:val="en-US" w:eastAsia="fr-FR"/>
        </w:rPr>
        <w:t xml:space="preserve"> fused PET/CT image</w:t>
      </w:r>
      <w:r w:rsidR="002E7D60" w:rsidRPr="005213C6">
        <w:rPr>
          <w:rFonts w:eastAsia="Times New Roman" w:cstheme="minorHAnsi"/>
          <w:color w:val="000000" w:themeColor="text1"/>
          <w:lang w:val="en-US" w:eastAsia="fr-FR"/>
        </w:rPr>
        <w:t xml:space="preserve">) </w:t>
      </w:r>
      <w:r w:rsidRPr="005213C6">
        <w:rPr>
          <w:rFonts w:eastAsia="Times New Roman" w:cstheme="minorHAnsi"/>
          <w:color w:val="000000" w:themeColor="text1"/>
          <w:lang w:val="en-US" w:eastAsia="fr-FR"/>
        </w:rPr>
        <w:t xml:space="preserve">of a 72-year-old male with a prosthetic aortic valve and suspected endocarditis. The image demonstrates intense, focal periprosthetic FDG uptake, consistent with prosthetic valve endocarditis. </w:t>
      </w:r>
    </w:p>
    <w:p w14:paraId="28D572DD" w14:textId="77777777" w:rsidR="0057583D" w:rsidRDefault="0057583D" w:rsidP="0057583D">
      <w:pPr>
        <w:shd w:val="clear" w:color="auto" w:fill="FFFFFF"/>
        <w:spacing w:before="100" w:beforeAutospacing="1"/>
        <w:rPr>
          <w:rFonts w:eastAsia="Times New Roman" w:cstheme="minorHAnsi"/>
          <w:color w:val="000000" w:themeColor="text1"/>
          <w:lang w:val="en-US" w:eastAsia="fr-FR"/>
        </w:rPr>
      </w:pPr>
    </w:p>
    <w:p w14:paraId="1FA45204" w14:textId="77777777" w:rsidR="0057583D" w:rsidRDefault="0057583D" w:rsidP="0057583D">
      <w:pPr>
        <w:shd w:val="clear" w:color="auto" w:fill="FFFFFF"/>
        <w:spacing w:before="100" w:beforeAutospacing="1"/>
        <w:rPr>
          <w:rFonts w:eastAsia="Times New Roman" w:cstheme="minorHAnsi"/>
          <w:color w:val="000000" w:themeColor="text1"/>
          <w:lang w:val="en-US" w:eastAsia="fr-FR"/>
        </w:rPr>
      </w:pPr>
      <w:r>
        <w:rPr>
          <w:noProof/>
        </w:rPr>
        <w:drawing>
          <wp:inline distT="0" distB="0" distL="0" distR="0" wp14:anchorId="10DA9302" wp14:editId="2C467331">
            <wp:extent cx="2282190" cy="3150342"/>
            <wp:effectExtent l="0" t="0" r="3810" b="0"/>
            <wp:docPr id="2" name="Espace réservé du contenu 4">
              <a:extLst xmlns:a="http://schemas.openxmlformats.org/drawingml/2006/main">
                <a:ext uri="{FF2B5EF4-FFF2-40B4-BE49-F238E27FC236}">
                  <a16:creationId xmlns:a16="http://schemas.microsoft.com/office/drawing/2014/main" id="{7FD16783-93BF-DA48-B742-63D6FE150D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a:extLst>
                        <a:ext uri="{FF2B5EF4-FFF2-40B4-BE49-F238E27FC236}">
                          <a16:creationId xmlns:a16="http://schemas.microsoft.com/office/drawing/2014/main" id="{7FD16783-93BF-DA48-B742-63D6FE150DAF}"/>
                        </a:ext>
                      </a:extLst>
                    </pic:cNvPr>
                    <pic:cNvPicPr>
                      <a:picLocks noGrp="1" noChangeAspect="1"/>
                    </pic:cNvPicPr>
                  </pic:nvPicPr>
                  <pic:blipFill>
                    <a:blip r:embed="rId7"/>
                    <a:stretch>
                      <a:fillRect/>
                    </a:stretch>
                  </pic:blipFill>
                  <pic:spPr>
                    <a:xfrm>
                      <a:off x="0" y="0"/>
                      <a:ext cx="2288484" cy="3159030"/>
                    </a:xfrm>
                    <a:prstGeom prst="rect">
                      <a:avLst/>
                    </a:prstGeom>
                  </pic:spPr>
                </pic:pic>
              </a:graphicData>
            </a:graphic>
          </wp:inline>
        </w:drawing>
      </w:r>
      <w:r w:rsidRPr="0057583D">
        <w:rPr>
          <w:noProof/>
        </w:rPr>
        <w:t xml:space="preserve"> </w:t>
      </w:r>
      <w:r>
        <w:rPr>
          <w:noProof/>
        </w:rPr>
        <w:drawing>
          <wp:inline distT="0" distB="0" distL="0" distR="0" wp14:anchorId="25BDF2DF" wp14:editId="031B2736">
            <wp:extent cx="1808480" cy="1453177"/>
            <wp:effectExtent l="0" t="0" r="0" b="0"/>
            <wp:docPr id="4" name="Image 1">
              <a:extLst xmlns:a="http://schemas.openxmlformats.org/drawingml/2006/main">
                <a:ext uri="{FF2B5EF4-FFF2-40B4-BE49-F238E27FC236}">
                  <a16:creationId xmlns:a16="http://schemas.microsoft.com/office/drawing/2014/main" id="{59D028F5-2993-BD48-BFF2-4919367E4A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9D028F5-2993-BD48-BFF2-4919367E4A2D}"/>
                        </a:ext>
                      </a:extLst>
                    </pic:cNvPr>
                    <pic:cNvPicPr>
                      <a:picLocks noChangeAspect="1"/>
                    </pic:cNvPicPr>
                  </pic:nvPicPr>
                  <pic:blipFill>
                    <a:blip r:embed="rId8"/>
                    <a:stretch>
                      <a:fillRect/>
                    </a:stretch>
                  </pic:blipFill>
                  <pic:spPr>
                    <a:xfrm>
                      <a:off x="0" y="0"/>
                      <a:ext cx="1828882" cy="1469570"/>
                    </a:xfrm>
                    <a:prstGeom prst="rect">
                      <a:avLst/>
                    </a:prstGeom>
                  </pic:spPr>
                </pic:pic>
              </a:graphicData>
            </a:graphic>
          </wp:inline>
        </w:drawing>
      </w:r>
    </w:p>
    <w:p w14:paraId="7DEB3319" w14:textId="77777777" w:rsidR="0057583D" w:rsidRDefault="0057583D" w:rsidP="0057583D">
      <w:pPr>
        <w:shd w:val="clear" w:color="auto" w:fill="FFFFFF"/>
        <w:spacing w:before="100" w:beforeAutospacing="1"/>
        <w:rPr>
          <w:rFonts w:eastAsia="Times New Roman" w:cstheme="minorHAnsi"/>
          <w:color w:val="000000" w:themeColor="text1"/>
          <w:lang w:val="en-US" w:eastAsia="fr-FR"/>
        </w:rPr>
      </w:pPr>
    </w:p>
    <w:p w14:paraId="43144982" w14:textId="77777777" w:rsidR="0057583D" w:rsidRDefault="0057583D" w:rsidP="0057583D">
      <w:pPr>
        <w:shd w:val="clear" w:color="auto" w:fill="FFFFFF"/>
        <w:spacing w:before="100" w:beforeAutospacing="1"/>
        <w:rPr>
          <w:rFonts w:eastAsia="Times New Roman" w:cstheme="minorHAnsi"/>
          <w:color w:val="000000" w:themeColor="text1"/>
          <w:lang w:val="en-US" w:eastAsia="fr-FR"/>
        </w:rPr>
      </w:pPr>
    </w:p>
    <w:p w14:paraId="7C54CAC7" w14:textId="77777777" w:rsidR="005213C6" w:rsidRDefault="005213C6" w:rsidP="007D7E30">
      <w:pPr>
        <w:numPr>
          <w:ilvl w:val="0"/>
          <w:numId w:val="5"/>
        </w:numPr>
        <w:shd w:val="clear" w:color="auto" w:fill="FFFFFF"/>
        <w:spacing w:before="480" w:beforeAutospacing="1" w:after="480"/>
        <w:ind w:left="0"/>
        <w:rPr>
          <w:rFonts w:eastAsia="Times New Roman" w:cstheme="minorHAnsi"/>
          <w:color w:val="000000" w:themeColor="text1"/>
          <w:lang w:val="en-US" w:eastAsia="fr-FR"/>
        </w:rPr>
      </w:pPr>
      <w:r w:rsidRPr="00B416B3">
        <w:rPr>
          <w:rFonts w:eastAsia="Times New Roman" w:cstheme="minorHAnsi"/>
          <w:b/>
          <w:bCs/>
          <w:color w:val="000000" w:themeColor="text1"/>
          <w:lang w:val="en-US" w:eastAsia="fr-FR"/>
        </w:rPr>
        <w:t>Figure 2:</w:t>
      </w:r>
      <w:r w:rsidRPr="005213C6">
        <w:rPr>
          <w:rFonts w:eastAsia="Times New Roman" w:cstheme="minorHAnsi"/>
          <w:color w:val="000000" w:themeColor="text1"/>
          <w:lang w:val="en-US" w:eastAsia="fr-FR"/>
        </w:rPr>
        <w:t xml:space="preserve"> Maximum intensity projection (MIP) image of a 65-year-old </w:t>
      </w:r>
      <w:r w:rsidR="0057583D" w:rsidRPr="00B416B3">
        <w:rPr>
          <w:rFonts w:eastAsia="Times New Roman" w:cstheme="minorHAnsi"/>
          <w:color w:val="000000" w:themeColor="text1"/>
          <w:lang w:val="en-US" w:eastAsia="fr-FR"/>
        </w:rPr>
        <w:t>man</w:t>
      </w:r>
      <w:r w:rsidRPr="005213C6">
        <w:rPr>
          <w:rFonts w:eastAsia="Times New Roman" w:cstheme="minorHAnsi"/>
          <w:color w:val="000000" w:themeColor="text1"/>
          <w:lang w:val="en-US" w:eastAsia="fr-FR"/>
        </w:rPr>
        <w:t xml:space="preserve"> with a pacemaker and suspected device infection. The image shows linear FDG uptake along the course of the pacemaker lead</w:t>
      </w:r>
      <w:r w:rsidR="0057583D" w:rsidRPr="00B416B3">
        <w:rPr>
          <w:rFonts w:eastAsia="Times New Roman" w:cstheme="minorHAnsi"/>
          <w:color w:val="000000" w:themeColor="text1"/>
          <w:lang w:val="en-US" w:eastAsia="fr-FR"/>
        </w:rPr>
        <w:t xml:space="preserve">. </w:t>
      </w:r>
    </w:p>
    <w:p w14:paraId="5BF42A3B"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p>
    <w:p w14:paraId="4104EFAD"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r>
        <w:rPr>
          <w:noProof/>
        </w:rPr>
        <w:lastRenderedPageBreak/>
        <w:drawing>
          <wp:inline distT="0" distB="0" distL="0" distR="0" wp14:anchorId="43BC000F" wp14:editId="1E5B1732">
            <wp:extent cx="2189378" cy="3597530"/>
            <wp:effectExtent l="0" t="0" r="0" b="0"/>
            <wp:docPr id="5" name="Image 1">
              <a:extLst xmlns:a="http://schemas.openxmlformats.org/drawingml/2006/main">
                <a:ext uri="{FF2B5EF4-FFF2-40B4-BE49-F238E27FC236}">
                  <a16:creationId xmlns:a16="http://schemas.microsoft.com/office/drawing/2014/main" id="{0CF2A2D3-A534-6B40-AF14-14B9FCCAD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CF2A2D3-A534-6B40-AF14-14B9FCCAD380}"/>
                        </a:ext>
                      </a:extLst>
                    </pic:cNvPr>
                    <pic:cNvPicPr>
                      <a:picLocks noChangeAspect="1"/>
                    </pic:cNvPicPr>
                  </pic:nvPicPr>
                  <pic:blipFill>
                    <a:blip r:embed="rId9"/>
                    <a:stretch>
                      <a:fillRect/>
                    </a:stretch>
                  </pic:blipFill>
                  <pic:spPr>
                    <a:xfrm>
                      <a:off x="0" y="0"/>
                      <a:ext cx="2198860" cy="3613111"/>
                    </a:xfrm>
                    <a:prstGeom prst="rect">
                      <a:avLst/>
                    </a:prstGeom>
                  </pic:spPr>
                </pic:pic>
              </a:graphicData>
            </a:graphic>
          </wp:inline>
        </w:drawing>
      </w:r>
      <w:r w:rsidRPr="00B416B3">
        <w:rPr>
          <w:noProof/>
        </w:rPr>
        <w:t xml:space="preserve"> </w:t>
      </w:r>
      <w:r>
        <w:rPr>
          <w:noProof/>
        </w:rPr>
        <w:drawing>
          <wp:inline distT="0" distB="0" distL="0" distR="0" wp14:anchorId="2795982E" wp14:editId="30FBED56">
            <wp:extent cx="1942265" cy="3553817"/>
            <wp:effectExtent l="0" t="0" r="1270" b="2540"/>
            <wp:docPr id="6" name="Image 1">
              <a:extLst xmlns:a="http://schemas.openxmlformats.org/drawingml/2006/main">
                <a:ext uri="{FF2B5EF4-FFF2-40B4-BE49-F238E27FC236}">
                  <a16:creationId xmlns:a16="http://schemas.microsoft.com/office/drawing/2014/main" id="{72410153-4CBF-F143-9D41-8F4560417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2410153-4CBF-F143-9D41-8F456041738C}"/>
                        </a:ext>
                      </a:extLst>
                    </pic:cNvPr>
                    <pic:cNvPicPr>
                      <a:picLocks noChangeAspect="1"/>
                    </pic:cNvPicPr>
                  </pic:nvPicPr>
                  <pic:blipFill>
                    <a:blip r:embed="rId10"/>
                    <a:stretch>
                      <a:fillRect/>
                    </a:stretch>
                  </pic:blipFill>
                  <pic:spPr>
                    <a:xfrm>
                      <a:off x="0" y="0"/>
                      <a:ext cx="1950860" cy="3569543"/>
                    </a:xfrm>
                    <a:prstGeom prst="rect">
                      <a:avLst/>
                    </a:prstGeom>
                  </pic:spPr>
                </pic:pic>
              </a:graphicData>
            </a:graphic>
          </wp:inline>
        </w:drawing>
      </w:r>
    </w:p>
    <w:p w14:paraId="756B9C4E" w14:textId="77777777" w:rsidR="00B416B3" w:rsidRDefault="00B416B3" w:rsidP="00B416B3">
      <w:pPr>
        <w:shd w:val="clear" w:color="auto" w:fill="FFFFFF"/>
        <w:spacing w:before="480" w:beforeAutospacing="1" w:after="480"/>
        <w:rPr>
          <w:rFonts w:eastAsia="Times New Roman" w:cstheme="minorHAnsi"/>
          <w:color w:val="000000" w:themeColor="text1"/>
          <w:lang w:val="en-US" w:eastAsia="fr-FR"/>
        </w:rPr>
      </w:pPr>
      <w:r>
        <w:rPr>
          <w:noProof/>
        </w:rPr>
        <w:drawing>
          <wp:inline distT="0" distB="0" distL="0" distR="0" wp14:anchorId="4BCCC0CD" wp14:editId="090D5A08">
            <wp:extent cx="2106910" cy="1795427"/>
            <wp:effectExtent l="0" t="0" r="1905" b="0"/>
            <wp:docPr id="7" name="Espace réservé du contenu 4">
              <a:extLst xmlns:a="http://schemas.openxmlformats.org/drawingml/2006/main">
                <a:ext uri="{FF2B5EF4-FFF2-40B4-BE49-F238E27FC236}">
                  <a16:creationId xmlns:a16="http://schemas.microsoft.com/office/drawing/2014/main" id="{7FAEB4FE-F52B-B646-B2DB-803B593121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4">
                      <a:extLst>
                        <a:ext uri="{FF2B5EF4-FFF2-40B4-BE49-F238E27FC236}">
                          <a16:creationId xmlns:a16="http://schemas.microsoft.com/office/drawing/2014/main" id="{7FAEB4FE-F52B-B646-B2DB-803B59312193}"/>
                        </a:ext>
                      </a:extLst>
                    </pic:cNvPr>
                    <pic:cNvPicPr>
                      <a:picLocks noGrp="1" noChangeAspect="1"/>
                    </pic:cNvPicPr>
                  </pic:nvPicPr>
                  <pic:blipFill>
                    <a:blip r:embed="rId11"/>
                    <a:stretch>
                      <a:fillRect/>
                    </a:stretch>
                  </pic:blipFill>
                  <pic:spPr>
                    <a:xfrm>
                      <a:off x="0" y="0"/>
                      <a:ext cx="2117216" cy="1804209"/>
                    </a:xfrm>
                    <a:prstGeom prst="rect">
                      <a:avLst/>
                    </a:prstGeom>
                  </pic:spPr>
                </pic:pic>
              </a:graphicData>
            </a:graphic>
          </wp:inline>
        </w:drawing>
      </w:r>
    </w:p>
    <w:p w14:paraId="3C586215" w14:textId="77777777" w:rsidR="00B416B3" w:rsidRPr="005213C6" w:rsidRDefault="00B416B3" w:rsidP="00B416B3">
      <w:pPr>
        <w:shd w:val="clear" w:color="auto" w:fill="FFFFFF"/>
        <w:spacing w:before="480" w:beforeAutospacing="1" w:after="480"/>
        <w:rPr>
          <w:rFonts w:eastAsia="Times New Roman" w:cstheme="minorHAnsi"/>
          <w:color w:val="000000" w:themeColor="text1"/>
          <w:lang w:val="en-US" w:eastAsia="fr-FR"/>
        </w:rPr>
      </w:pPr>
    </w:p>
    <w:p w14:paraId="25B7A250" w14:textId="77777777" w:rsidR="001178BD" w:rsidRPr="005213C6" w:rsidRDefault="001178BD">
      <w:pPr>
        <w:rPr>
          <w:rFonts w:cstheme="minorHAnsi"/>
          <w:color w:val="000000" w:themeColor="text1"/>
        </w:rPr>
      </w:pPr>
    </w:p>
    <w:sectPr w:rsidR="001178BD" w:rsidRPr="005213C6" w:rsidSect="00BD11A3">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D035C" w14:textId="77777777" w:rsidR="00D27335" w:rsidRDefault="00D27335" w:rsidP="00761CE9">
      <w:r>
        <w:separator/>
      </w:r>
    </w:p>
  </w:endnote>
  <w:endnote w:type="continuationSeparator" w:id="0">
    <w:p w14:paraId="0B980747" w14:textId="77777777" w:rsidR="00D27335" w:rsidRDefault="00D27335" w:rsidP="0076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7075" w14:textId="77777777" w:rsidR="00761CE9" w:rsidRDefault="00761C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7C11" w14:textId="77777777" w:rsidR="00761CE9" w:rsidRDefault="00761C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D5F5C" w14:textId="77777777" w:rsidR="00761CE9" w:rsidRDefault="00761C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51CDA" w14:textId="77777777" w:rsidR="00D27335" w:rsidRDefault="00D27335" w:rsidP="00761CE9">
      <w:r>
        <w:separator/>
      </w:r>
    </w:p>
  </w:footnote>
  <w:footnote w:type="continuationSeparator" w:id="0">
    <w:p w14:paraId="276675C3" w14:textId="77777777" w:rsidR="00D27335" w:rsidRDefault="00D27335" w:rsidP="0076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1773" w14:textId="0CEBEF0B" w:rsidR="00761CE9" w:rsidRDefault="00761CE9">
    <w:pPr>
      <w:pStyle w:val="Header"/>
    </w:pPr>
    <w:r>
      <w:rPr>
        <w:noProof/>
      </w:rPr>
      <w:pict w14:anchorId="637B5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6pt;height:10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F756C" w14:textId="006C9AF2" w:rsidR="00761CE9" w:rsidRDefault="00761CE9">
    <w:pPr>
      <w:pStyle w:val="Header"/>
    </w:pPr>
    <w:r>
      <w:rPr>
        <w:noProof/>
      </w:rPr>
      <w:pict w14:anchorId="258BD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6pt;height:10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98D91" w14:textId="56AF6A20" w:rsidR="00761CE9" w:rsidRDefault="00761CE9">
    <w:pPr>
      <w:pStyle w:val="Header"/>
    </w:pPr>
    <w:r>
      <w:rPr>
        <w:noProof/>
      </w:rPr>
      <w:pict w14:anchorId="3B12A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6pt;height:10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1C4"/>
    <w:multiLevelType w:val="hybridMultilevel"/>
    <w:tmpl w:val="92AC3E14"/>
    <w:lvl w:ilvl="0" w:tplc="C748C73A">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13C2F"/>
    <w:multiLevelType w:val="multilevel"/>
    <w:tmpl w:val="34CCF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97FFA"/>
    <w:multiLevelType w:val="multilevel"/>
    <w:tmpl w:val="BAC00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D4A8F"/>
    <w:multiLevelType w:val="multilevel"/>
    <w:tmpl w:val="2C4E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59587C"/>
    <w:multiLevelType w:val="multilevel"/>
    <w:tmpl w:val="CB38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DB5FC4"/>
    <w:multiLevelType w:val="multilevel"/>
    <w:tmpl w:val="4140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D0157E"/>
    <w:multiLevelType w:val="multilevel"/>
    <w:tmpl w:val="8BE2D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C6"/>
    <w:rsid w:val="000F4110"/>
    <w:rsid w:val="001178BD"/>
    <w:rsid w:val="002E7D60"/>
    <w:rsid w:val="005213C6"/>
    <w:rsid w:val="0057583D"/>
    <w:rsid w:val="00617AC2"/>
    <w:rsid w:val="00761CE9"/>
    <w:rsid w:val="009166AC"/>
    <w:rsid w:val="00937AAF"/>
    <w:rsid w:val="00B3133E"/>
    <w:rsid w:val="00B416B3"/>
    <w:rsid w:val="00BC01AA"/>
    <w:rsid w:val="00BD11A3"/>
    <w:rsid w:val="00D1165A"/>
    <w:rsid w:val="00D273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95903"/>
  <w15:chartTrackingRefBased/>
  <w15:docId w15:val="{20AC341D-5874-0C4B-BF4E-A93AB3C6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213C6"/>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13C6"/>
    <w:rPr>
      <w:rFonts w:ascii="Times New Roman" w:eastAsia="Times New Roman" w:hAnsi="Times New Roman" w:cs="Times New Roman"/>
      <w:b/>
      <w:bCs/>
      <w:sz w:val="27"/>
      <w:szCs w:val="27"/>
      <w:lang w:eastAsia="fr-FR"/>
    </w:rPr>
  </w:style>
  <w:style w:type="paragraph" w:customStyle="1" w:styleId="ds-markdown-paragraph">
    <w:name w:val="ds-markdown-paragraph"/>
    <w:basedOn w:val="Normal"/>
    <w:rsid w:val="005213C6"/>
    <w:pPr>
      <w:spacing w:before="100" w:beforeAutospacing="1" w:after="100" w:afterAutospacing="1"/>
    </w:pPr>
    <w:rPr>
      <w:rFonts w:ascii="Times New Roman" w:eastAsia="Times New Roman" w:hAnsi="Times New Roman" w:cs="Times New Roman"/>
      <w:lang w:eastAsia="fr-FR"/>
    </w:rPr>
  </w:style>
  <w:style w:type="character" w:styleId="Strong">
    <w:name w:val="Strong"/>
    <w:basedOn w:val="DefaultParagraphFont"/>
    <w:uiPriority w:val="22"/>
    <w:qFormat/>
    <w:rsid w:val="005213C6"/>
    <w:rPr>
      <w:b/>
      <w:bCs/>
    </w:rPr>
  </w:style>
  <w:style w:type="character" w:styleId="Emphasis">
    <w:name w:val="Emphasis"/>
    <w:basedOn w:val="DefaultParagraphFont"/>
    <w:uiPriority w:val="20"/>
    <w:qFormat/>
    <w:rsid w:val="005213C6"/>
    <w:rPr>
      <w:i/>
      <w:iCs/>
    </w:rPr>
  </w:style>
  <w:style w:type="paragraph" w:styleId="ListParagraph">
    <w:name w:val="List Paragraph"/>
    <w:basedOn w:val="Normal"/>
    <w:uiPriority w:val="34"/>
    <w:qFormat/>
    <w:rsid w:val="00BC01AA"/>
    <w:pPr>
      <w:ind w:left="720"/>
      <w:contextualSpacing/>
    </w:pPr>
  </w:style>
  <w:style w:type="character" w:styleId="Hyperlink">
    <w:name w:val="Hyperlink"/>
    <w:basedOn w:val="DefaultParagraphFont"/>
    <w:uiPriority w:val="99"/>
    <w:unhideWhenUsed/>
    <w:rsid w:val="00D1165A"/>
    <w:rPr>
      <w:color w:val="0563C1" w:themeColor="hyperlink"/>
      <w:u w:val="single"/>
    </w:rPr>
  </w:style>
  <w:style w:type="character" w:styleId="UnresolvedMention">
    <w:name w:val="Unresolved Mention"/>
    <w:basedOn w:val="DefaultParagraphFont"/>
    <w:uiPriority w:val="99"/>
    <w:semiHidden/>
    <w:unhideWhenUsed/>
    <w:rsid w:val="00D1165A"/>
    <w:rPr>
      <w:color w:val="605E5C"/>
      <w:shd w:val="clear" w:color="auto" w:fill="E1DFDD"/>
    </w:rPr>
  </w:style>
  <w:style w:type="paragraph" w:styleId="Header">
    <w:name w:val="header"/>
    <w:basedOn w:val="Normal"/>
    <w:link w:val="HeaderChar"/>
    <w:uiPriority w:val="99"/>
    <w:unhideWhenUsed/>
    <w:rsid w:val="00761CE9"/>
    <w:pPr>
      <w:tabs>
        <w:tab w:val="center" w:pos="4680"/>
        <w:tab w:val="right" w:pos="9360"/>
      </w:tabs>
    </w:pPr>
  </w:style>
  <w:style w:type="character" w:customStyle="1" w:styleId="HeaderChar">
    <w:name w:val="Header Char"/>
    <w:basedOn w:val="DefaultParagraphFont"/>
    <w:link w:val="Header"/>
    <w:uiPriority w:val="99"/>
    <w:rsid w:val="00761CE9"/>
  </w:style>
  <w:style w:type="paragraph" w:styleId="Footer">
    <w:name w:val="footer"/>
    <w:basedOn w:val="Normal"/>
    <w:link w:val="FooterChar"/>
    <w:uiPriority w:val="99"/>
    <w:unhideWhenUsed/>
    <w:rsid w:val="00761CE9"/>
    <w:pPr>
      <w:tabs>
        <w:tab w:val="center" w:pos="4680"/>
        <w:tab w:val="right" w:pos="9360"/>
      </w:tabs>
    </w:pPr>
  </w:style>
  <w:style w:type="character" w:customStyle="1" w:styleId="FooterChar">
    <w:name w:val="Footer Char"/>
    <w:basedOn w:val="DefaultParagraphFont"/>
    <w:link w:val="Footer"/>
    <w:uiPriority w:val="99"/>
    <w:rsid w:val="00761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669702">
      <w:bodyDiv w:val="1"/>
      <w:marLeft w:val="0"/>
      <w:marRight w:val="0"/>
      <w:marTop w:val="0"/>
      <w:marBottom w:val="0"/>
      <w:divBdr>
        <w:top w:val="none" w:sz="0" w:space="0" w:color="auto"/>
        <w:left w:val="none" w:sz="0" w:space="0" w:color="auto"/>
        <w:bottom w:val="none" w:sz="0" w:space="0" w:color="auto"/>
        <w:right w:val="none" w:sz="0" w:space="0" w:color="auto"/>
      </w:divBdr>
      <w:divsChild>
        <w:div w:id="1153446426">
          <w:marLeft w:val="0"/>
          <w:marRight w:val="0"/>
          <w:marTop w:val="0"/>
          <w:marBottom w:val="0"/>
          <w:divBdr>
            <w:top w:val="none" w:sz="0" w:space="0" w:color="auto"/>
            <w:left w:val="none" w:sz="0" w:space="0" w:color="auto"/>
            <w:bottom w:val="none" w:sz="0" w:space="0" w:color="auto"/>
            <w:right w:val="none" w:sz="0" w:space="0" w:color="auto"/>
          </w:divBdr>
          <w:divsChild>
            <w:div w:id="1118987429">
              <w:marLeft w:val="0"/>
              <w:marRight w:val="0"/>
              <w:marTop w:val="0"/>
              <w:marBottom w:val="0"/>
              <w:divBdr>
                <w:top w:val="none" w:sz="0" w:space="0" w:color="auto"/>
                <w:left w:val="none" w:sz="0" w:space="0" w:color="auto"/>
                <w:bottom w:val="none" w:sz="0" w:space="0" w:color="auto"/>
                <w:right w:val="none" w:sz="0" w:space="0" w:color="auto"/>
              </w:divBdr>
              <w:divsChild>
                <w:div w:id="860171425">
                  <w:marLeft w:val="0"/>
                  <w:marRight w:val="0"/>
                  <w:marTop w:val="0"/>
                  <w:marBottom w:val="0"/>
                  <w:divBdr>
                    <w:top w:val="none" w:sz="0" w:space="0" w:color="auto"/>
                    <w:left w:val="none" w:sz="0" w:space="0" w:color="auto"/>
                    <w:bottom w:val="none" w:sz="0" w:space="0" w:color="auto"/>
                    <w:right w:val="none" w:sz="0" w:space="0" w:color="auto"/>
                  </w:divBdr>
                  <w:divsChild>
                    <w:div w:id="1128668440">
                      <w:marLeft w:val="0"/>
                      <w:marRight w:val="0"/>
                      <w:marTop w:val="0"/>
                      <w:marBottom w:val="0"/>
                      <w:divBdr>
                        <w:top w:val="none" w:sz="0" w:space="0" w:color="auto"/>
                        <w:left w:val="none" w:sz="0" w:space="0" w:color="auto"/>
                        <w:bottom w:val="none" w:sz="0" w:space="0" w:color="auto"/>
                        <w:right w:val="none" w:sz="0" w:space="0" w:color="auto"/>
                      </w:divBdr>
                      <w:divsChild>
                        <w:div w:id="1637369678">
                          <w:marLeft w:val="0"/>
                          <w:marRight w:val="0"/>
                          <w:marTop w:val="0"/>
                          <w:marBottom w:val="0"/>
                          <w:divBdr>
                            <w:top w:val="none" w:sz="0" w:space="0" w:color="auto"/>
                            <w:left w:val="none" w:sz="0" w:space="0" w:color="auto"/>
                            <w:bottom w:val="none" w:sz="0" w:space="0" w:color="auto"/>
                            <w:right w:val="none" w:sz="0" w:space="0" w:color="auto"/>
                          </w:divBdr>
                        </w:div>
                        <w:div w:id="13636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7711">
          <w:marLeft w:val="0"/>
          <w:marRight w:val="0"/>
          <w:marTop w:val="0"/>
          <w:marBottom w:val="0"/>
          <w:divBdr>
            <w:top w:val="none" w:sz="0" w:space="0" w:color="auto"/>
            <w:left w:val="none" w:sz="0" w:space="0" w:color="auto"/>
            <w:bottom w:val="none" w:sz="0" w:space="0" w:color="auto"/>
            <w:right w:val="none" w:sz="0" w:space="0" w:color="auto"/>
          </w:divBdr>
          <w:divsChild>
            <w:div w:id="567807628">
              <w:marLeft w:val="0"/>
              <w:marRight w:val="0"/>
              <w:marTop w:val="0"/>
              <w:marBottom w:val="0"/>
              <w:divBdr>
                <w:top w:val="none" w:sz="0" w:space="0" w:color="auto"/>
                <w:left w:val="none" w:sz="0" w:space="0" w:color="auto"/>
                <w:bottom w:val="none" w:sz="0" w:space="0" w:color="auto"/>
                <w:right w:val="none" w:sz="0" w:space="0" w:color="auto"/>
              </w:divBdr>
              <w:divsChild>
                <w:div w:id="1877809928">
                  <w:marLeft w:val="0"/>
                  <w:marRight w:val="0"/>
                  <w:marTop w:val="0"/>
                  <w:marBottom w:val="0"/>
                  <w:divBdr>
                    <w:top w:val="none" w:sz="0" w:space="0" w:color="auto"/>
                    <w:left w:val="none" w:sz="0" w:space="0" w:color="auto"/>
                    <w:bottom w:val="none" w:sz="0" w:space="0" w:color="auto"/>
                    <w:right w:val="none" w:sz="0" w:space="0" w:color="auto"/>
                  </w:divBdr>
                  <w:divsChild>
                    <w:div w:id="1740135757">
                      <w:marLeft w:val="0"/>
                      <w:marRight w:val="120"/>
                      <w:marTop w:val="0"/>
                      <w:marBottom w:val="0"/>
                      <w:divBdr>
                        <w:top w:val="none" w:sz="0" w:space="0" w:color="auto"/>
                        <w:left w:val="none" w:sz="0" w:space="0" w:color="auto"/>
                        <w:bottom w:val="none" w:sz="0" w:space="0" w:color="auto"/>
                        <w:right w:val="none" w:sz="0" w:space="0" w:color="auto"/>
                      </w:divBdr>
                      <w:divsChild>
                        <w:div w:id="871839951">
                          <w:marLeft w:val="0"/>
                          <w:marRight w:val="180"/>
                          <w:marTop w:val="0"/>
                          <w:marBottom w:val="0"/>
                          <w:divBdr>
                            <w:top w:val="none" w:sz="0" w:space="0" w:color="auto"/>
                            <w:left w:val="none" w:sz="0" w:space="0" w:color="auto"/>
                            <w:bottom w:val="none" w:sz="0" w:space="0" w:color="auto"/>
                            <w:right w:val="none" w:sz="0" w:space="0" w:color="auto"/>
                          </w:divBdr>
                        </w:div>
                      </w:divsChild>
                    </w:div>
                    <w:div w:id="619840122">
                      <w:marLeft w:val="0"/>
                      <w:marRight w:val="120"/>
                      <w:marTop w:val="150"/>
                      <w:marBottom w:val="0"/>
                      <w:divBdr>
                        <w:top w:val="none" w:sz="0" w:space="0" w:color="auto"/>
                        <w:left w:val="none" w:sz="0" w:space="0" w:color="auto"/>
                        <w:bottom w:val="none" w:sz="0" w:space="0" w:color="auto"/>
                        <w:right w:val="none" w:sz="0" w:space="0" w:color="auto"/>
                      </w:divBdr>
                      <w:divsChild>
                        <w:div w:id="2053269135">
                          <w:marLeft w:val="0"/>
                          <w:marRight w:val="180"/>
                          <w:marTop w:val="0"/>
                          <w:marBottom w:val="0"/>
                          <w:divBdr>
                            <w:top w:val="none" w:sz="0" w:space="0" w:color="auto"/>
                            <w:left w:val="none" w:sz="0" w:space="0" w:color="auto"/>
                            <w:bottom w:val="none" w:sz="0" w:space="0" w:color="auto"/>
                            <w:right w:val="none" w:sz="0" w:space="0" w:color="auto"/>
                          </w:divBdr>
                        </w:div>
                      </w:divsChild>
                    </w:div>
                    <w:div w:id="53552500">
                      <w:marLeft w:val="0"/>
                      <w:marRight w:val="120"/>
                      <w:marTop w:val="150"/>
                      <w:marBottom w:val="0"/>
                      <w:divBdr>
                        <w:top w:val="none" w:sz="0" w:space="0" w:color="auto"/>
                        <w:left w:val="none" w:sz="0" w:space="0" w:color="auto"/>
                        <w:bottom w:val="none" w:sz="0" w:space="0" w:color="auto"/>
                        <w:right w:val="none" w:sz="0" w:space="0" w:color="auto"/>
                      </w:divBdr>
                      <w:divsChild>
                        <w:div w:id="403794611">
                          <w:marLeft w:val="0"/>
                          <w:marRight w:val="180"/>
                          <w:marTop w:val="0"/>
                          <w:marBottom w:val="0"/>
                          <w:divBdr>
                            <w:top w:val="none" w:sz="0" w:space="0" w:color="auto"/>
                            <w:left w:val="none" w:sz="0" w:space="0" w:color="auto"/>
                            <w:bottom w:val="none" w:sz="0" w:space="0" w:color="auto"/>
                            <w:right w:val="none" w:sz="0" w:space="0" w:color="auto"/>
                          </w:divBdr>
                        </w:div>
                      </w:divsChild>
                    </w:div>
                    <w:div w:id="240869097">
                      <w:marLeft w:val="0"/>
                      <w:marRight w:val="120"/>
                      <w:marTop w:val="150"/>
                      <w:marBottom w:val="0"/>
                      <w:divBdr>
                        <w:top w:val="none" w:sz="0" w:space="0" w:color="auto"/>
                        <w:left w:val="none" w:sz="0" w:space="0" w:color="auto"/>
                        <w:bottom w:val="none" w:sz="0" w:space="0" w:color="auto"/>
                        <w:right w:val="none" w:sz="0" w:space="0" w:color="auto"/>
                      </w:divBdr>
                      <w:divsChild>
                        <w:div w:id="1817070848">
                          <w:marLeft w:val="0"/>
                          <w:marRight w:val="180"/>
                          <w:marTop w:val="0"/>
                          <w:marBottom w:val="0"/>
                          <w:divBdr>
                            <w:top w:val="none" w:sz="0" w:space="0" w:color="auto"/>
                            <w:left w:val="none" w:sz="0" w:space="0" w:color="auto"/>
                            <w:bottom w:val="none" w:sz="0" w:space="0" w:color="auto"/>
                            <w:right w:val="none" w:sz="0" w:space="0" w:color="auto"/>
                          </w:divBdr>
                        </w:div>
                      </w:divsChild>
                    </w:div>
                    <w:div w:id="1508903076">
                      <w:marLeft w:val="0"/>
                      <w:marRight w:val="120"/>
                      <w:marTop w:val="150"/>
                      <w:marBottom w:val="0"/>
                      <w:divBdr>
                        <w:top w:val="none" w:sz="0" w:space="0" w:color="auto"/>
                        <w:left w:val="none" w:sz="0" w:space="0" w:color="auto"/>
                        <w:bottom w:val="none" w:sz="0" w:space="0" w:color="auto"/>
                        <w:right w:val="none" w:sz="0" w:space="0" w:color="auto"/>
                      </w:divBdr>
                      <w:divsChild>
                        <w:div w:id="815493397">
                          <w:marLeft w:val="0"/>
                          <w:marRight w:val="180"/>
                          <w:marTop w:val="0"/>
                          <w:marBottom w:val="0"/>
                          <w:divBdr>
                            <w:top w:val="none" w:sz="0" w:space="0" w:color="auto"/>
                            <w:left w:val="none" w:sz="0" w:space="0" w:color="auto"/>
                            <w:bottom w:val="none" w:sz="0" w:space="0" w:color="auto"/>
                            <w:right w:val="none" w:sz="0" w:space="0" w:color="auto"/>
                          </w:divBdr>
                        </w:div>
                      </w:divsChild>
                    </w:div>
                    <w:div w:id="1964386055">
                      <w:marLeft w:val="0"/>
                      <w:marRight w:val="120"/>
                      <w:marTop w:val="150"/>
                      <w:marBottom w:val="0"/>
                      <w:divBdr>
                        <w:top w:val="none" w:sz="0" w:space="0" w:color="auto"/>
                        <w:left w:val="none" w:sz="0" w:space="0" w:color="auto"/>
                        <w:bottom w:val="none" w:sz="0" w:space="0" w:color="auto"/>
                        <w:right w:val="none" w:sz="0" w:space="0" w:color="auto"/>
                      </w:divBdr>
                      <w:divsChild>
                        <w:div w:id="339158545">
                          <w:marLeft w:val="0"/>
                          <w:marRight w:val="180"/>
                          <w:marTop w:val="0"/>
                          <w:marBottom w:val="0"/>
                          <w:divBdr>
                            <w:top w:val="none" w:sz="0" w:space="0" w:color="auto"/>
                            <w:left w:val="none" w:sz="0" w:space="0" w:color="auto"/>
                            <w:bottom w:val="none" w:sz="0" w:space="0" w:color="auto"/>
                            <w:right w:val="none" w:sz="0" w:space="0" w:color="auto"/>
                          </w:divBdr>
                        </w:div>
                      </w:divsChild>
                    </w:div>
                    <w:div w:id="610431494">
                      <w:marLeft w:val="0"/>
                      <w:marRight w:val="120"/>
                      <w:marTop w:val="150"/>
                      <w:marBottom w:val="0"/>
                      <w:divBdr>
                        <w:top w:val="none" w:sz="0" w:space="0" w:color="auto"/>
                        <w:left w:val="none" w:sz="0" w:space="0" w:color="auto"/>
                        <w:bottom w:val="none" w:sz="0" w:space="0" w:color="auto"/>
                        <w:right w:val="none" w:sz="0" w:space="0" w:color="auto"/>
                      </w:divBdr>
                      <w:divsChild>
                        <w:div w:id="125050373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12</Pages>
  <Words>4262</Words>
  <Characters>24296</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omaraitsahel85@gmail.com</dc:creator>
  <cp:keywords/>
  <dc:description/>
  <cp:lastModifiedBy>SDI 1084</cp:lastModifiedBy>
  <cp:revision>6</cp:revision>
  <dcterms:created xsi:type="dcterms:W3CDTF">2026-02-15T22:28:00Z</dcterms:created>
  <dcterms:modified xsi:type="dcterms:W3CDTF">2026-02-18T07:42:00Z</dcterms:modified>
</cp:coreProperties>
</file>