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21612" w14:textId="77777777" w:rsidR="003F78F3" w:rsidRDefault="00313ECA">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0" w:name="_Hlk218684292"/>
      <w:r>
        <w:rPr>
          <w:rFonts w:ascii="Times New Roman" w:eastAsia="Times New Roman" w:hAnsi="Times New Roman" w:cs="Times New Roman"/>
          <w:sz w:val="24"/>
          <w:szCs w:val="24"/>
        </w:rPr>
        <w:t xml:space="preserve">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amongst unemployed youth in Botswana </w:t>
      </w:r>
      <w:bookmarkEnd w:id="0"/>
    </w:p>
    <w:p w14:paraId="5210714E" w14:textId="69BA9C68" w:rsidR="009B0D52" w:rsidRDefault="009B0D52">
      <w:pPr>
        <w:spacing w:line="360" w:lineRule="auto"/>
        <w:jc w:val="center"/>
        <w:rPr>
          <w:rFonts w:ascii="Times New Roman" w:eastAsia="Times New Roman" w:hAnsi="Times New Roman" w:cs="Times New Roman"/>
          <w:sz w:val="24"/>
          <w:szCs w:val="24"/>
        </w:rPr>
      </w:pPr>
    </w:p>
    <w:p w14:paraId="370F3E3D" w14:textId="77777777" w:rsidR="000901DF" w:rsidRDefault="000901DF">
      <w:pPr>
        <w:spacing w:line="360" w:lineRule="auto"/>
        <w:jc w:val="center"/>
        <w:rPr>
          <w:rFonts w:ascii="Times New Roman" w:eastAsia="Times New Roman" w:hAnsi="Times New Roman" w:cs="Times New Roman"/>
          <w:sz w:val="24"/>
          <w:szCs w:val="24"/>
        </w:rPr>
      </w:pPr>
      <w:bookmarkStart w:id="1" w:name="_GoBack"/>
      <w:bookmarkEnd w:id="1"/>
    </w:p>
    <w:p w14:paraId="3C8223D8" w14:textId="77777777" w:rsidR="003F78F3" w:rsidRDefault="00313EC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r>
        <w:rPr>
          <w:rFonts w:ascii="Times New Roman" w:eastAsia="Times New Roman" w:hAnsi="Times New Roman" w:cs="Times New Roman"/>
          <w:sz w:val="24"/>
          <w:szCs w:val="24"/>
        </w:rPr>
        <w:t xml:space="preserve"> </w:t>
      </w:r>
    </w:p>
    <w:p w14:paraId="65414C9D" w14:textId="77777777" w:rsidR="00135562" w:rsidRDefault="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 youth in Botswana remain a critical public health concern, contributing to high rates of HIV infection, sexually transmitted infections (STIs), and unplanned pregnancies. This study investigated how youth unemployment complicates engagement in risky sexual practices, including transactional sex, multiple concurrent partnerships, low condom use, and age-disparate relationships. A systematic desk review methodology was adopted, following PRISMA guidelines to ensure rigor and transparency. The findings reveal that at the individual level, joblessness undermines young people’s ability to make safe sexual decisions, while at the interpersonal level; dependency on financially supportive partners reduces negotiation power for safer sex. </w:t>
      </w:r>
    </w:p>
    <w:p w14:paraId="67A5ED35" w14:textId="60E8FD11" w:rsidR="003F78F3" w:rsidRDefault="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Keywords</w:t>
      </w:r>
      <w:r>
        <w:rPr>
          <w:rFonts w:ascii="Times New Roman" w:eastAsia="Times New Roman" w:hAnsi="Times New Roman" w:cs="Times New Roman"/>
          <w:sz w:val="24"/>
          <w:szCs w:val="24"/>
        </w:rPr>
        <w:t xml:space="preserve">: Youth, unemployment,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Botswana </w:t>
      </w:r>
    </w:p>
    <w:p w14:paraId="6389FEFE" w14:textId="77777777" w:rsidR="003F78F3" w:rsidRDefault="00313ECA">
      <w:pPr>
        <w:keepNext/>
        <w:keepLines/>
        <w:spacing w:before="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40082FF7" w14:textId="77777777" w:rsidR="003F78F3" w:rsidRDefault="00313ECA" w:rsidP="00313ECA">
      <w:pPr>
        <w:keepNext/>
        <w:keepLine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amongst unemployed youth in Botswana </w:t>
      </w:r>
      <w:proofErr w:type="gramStart"/>
      <w:r>
        <w:rPr>
          <w:rFonts w:ascii="Times New Roman" w:eastAsia="Times New Roman" w:hAnsi="Times New Roman" w:cs="Times New Roman"/>
          <w:sz w:val="24"/>
          <w:szCs w:val="24"/>
        </w:rPr>
        <w:t>pose</w:t>
      </w:r>
      <w:proofErr w:type="gramEnd"/>
      <w:r>
        <w:rPr>
          <w:rFonts w:ascii="Times New Roman" w:eastAsia="Times New Roman" w:hAnsi="Times New Roman" w:cs="Times New Roman"/>
          <w:sz w:val="24"/>
          <w:szCs w:val="24"/>
        </w:rPr>
        <w:t xml:space="preserve"> a serious concern. Youth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are a concern globally, continentally, and in the SADC region. The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include unprotected sex, multiple sexual partners, and transactional sex continue to be a significant public health issue among young people because of their direct association with the transmission of sexually transmitted diseases (STDs), including HIV, and unplanned pregnancies (</w:t>
      </w:r>
      <w:proofErr w:type="spellStart"/>
      <w:r>
        <w:rPr>
          <w:rFonts w:ascii="Times New Roman" w:eastAsia="Times New Roman" w:hAnsi="Times New Roman" w:cs="Times New Roman"/>
          <w:sz w:val="24"/>
          <w:szCs w:val="24"/>
        </w:rPr>
        <w:t>Jessor</w:t>
      </w:r>
      <w:proofErr w:type="spellEnd"/>
      <w:r>
        <w:rPr>
          <w:rFonts w:ascii="Times New Roman" w:eastAsia="Times New Roman" w:hAnsi="Times New Roman" w:cs="Times New Roman"/>
          <w:sz w:val="24"/>
          <w:szCs w:val="24"/>
        </w:rPr>
        <w:t xml:space="preserve">, 1991; Kilburn et al., 2018). The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not only undermine the personal health of youths but also have far-reaching impacts on society, including higher healthcare expenditures and overall public health problems. Therefore, the social work profession provides services and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to enhance the functionality of individuals and families at different levels. It is fundamental for social workers to engage in social research to appreciate the </w:t>
      </w:r>
      <w:proofErr w:type="spellStart"/>
      <w:r>
        <w:rPr>
          <w:rFonts w:ascii="Times New Roman" w:eastAsia="Times New Roman" w:hAnsi="Times New Roman" w:cs="Times New Roman"/>
          <w:sz w:val="24"/>
          <w:szCs w:val="24"/>
        </w:rPr>
        <w:t>syndemics</w:t>
      </w:r>
      <w:proofErr w:type="spellEnd"/>
      <w:r>
        <w:rPr>
          <w:rFonts w:ascii="Times New Roman" w:eastAsia="Times New Roman" w:hAnsi="Times New Roman" w:cs="Times New Roman"/>
          <w:sz w:val="24"/>
          <w:szCs w:val="24"/>
        </w:rPr>
        <w:t xml:space="preserve"> and generate solutions for building healthy families. This study assessed the inter connectedness of unemployment with youth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in Botswana</w:t>
      </w:r>
    </w:p>
    <w:p w14:paraId="1524DA78" w14:textId="77777777" w:rsidR="003F78F3" w:rsidRDefault="00313ECA" w:rsidP="00313ECA">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14:paraId="41DDE8DD" w14:textId="7D5D5198"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economic disadvantage is showing the multifaceted interconnectedness between sexual risk and youth unemployment. According to </w:t>
      </w:r>
      <w:proofErr w:type="spellStart"/>
      <w:r>
        <w:rPr>
          <w:rFonts w:ascii="Times New Roman" w:eastAsia="Times New Roman" w:hAnsi="Times New Roman" w:cs="Times New Roman"/>
          <w:sz w:val="24"/>
          <w:szCs w:val="24"/>
        </w:rPr>
        <w:t>Malinga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Modie</w:t>
      </w:r>
      <w:proofErr w:type="spellEnd"/>
      <w:r>
        <w:rPr>
          <w:rFonts w:ascii="Times New Roman" w:eastAsia="Times New Roman" w:hAnsi="Times New Roman" w:cs="Times New Roman"/>
          <w:sz w:val="24"/>
          <w:szCs w:val="24"/>
        </w:rPr>
        <w:t xml:space="preserve">-Moroka (2020), youth are under pressure and at risk to (1) have sex at a young age, (2) not use condoms frequently, (3) have increased number of adolescents’ pregnancies, and (4) contract sexually transmitted infections like HIV, which is a public health challenge. Botswana is grappling with the youth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are complicated by chronic unemployment. The current situation on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is at an extremely high-level and affects mostly young people. Research shows that they turn to multiple concurrent sexual partners without using condoms, low HIV testing coverage, and transactional sex is a significant contributor to this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Botswana Impact Survey V (BAIS V) states that about 22.8 % of women and 19.4 % of men aged between 15-64 years had multiple sexual partners in the past 12 months. It further reported that condom use for high-risk sex was hardly around 67%</w:t>
      </w:r>
      <w:r w:rsidR="00F95BAA">
        <w:rPr>
          <w:rFonts w:ascii="Times New Roman" w:eastAsia="Times New Roman" w:hAnsi="Times New Roman" w:cs="Times New Roman"/>
          <w:sz w:val="24"/>
          <w:szCs w:val="24"/>
        </w:rPr>
        <w:t xml:space="preserve">. </w:t>
      </w:r>
    </w:p>
    <w:p w14:paraId="793B33C2" w14:textId="6751E7AF"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Adolescents often navigate critical developmental transitions and are vulnerable to risky sexual practices because of being immature psychologically, emotionally, physically, and biologically. This vulnerability is further exacerbated by chronic youth unemployment which makes them uneconomically engaged. Youth unemployment is estimated to stand at 12.6 % globally. Unemployment among young individuals generates economic hardship, heightened psychological stress, and diminished access to essential health services</w:t>
      </w:r>
      <w:r w:rsidR="007C2D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all of which influence sexual decision-making (</w:t>
      </w:r>
      <w:proofErr w:type="spellStart"/>
      <w:r w:rsidR="00653E0E">
        <w:rPr>
          <w:rFonts w:ascii="Times New Roman" w:eastAsia="Times New Roman" w:hAnsi="Times New Roman" w:cs="Times New Roman"/>
          <w:sz w:val="24"/>
          <w:szCs w:val="24"/>
        </w:rPr>
        <w:t>Achdut</w:t>
      </w:r>
      <w:proofErr w:type="spellEnd"/>
      <w:r w:rsidR="00653E0E">
        <w:rPr>
          <w:rFonts w:ascii="Times New Roman" w:eastAsia="Times New Roman" w:hAnsi="Times New Roman" w:cs="Times New Roman"/>
          <w:sz w:val="24"/>
          <w:szCs w:val="24"/>
        </w:rPr>
        <w:t xml:space="preserve"> &amp; </w:t>
      </w:r>
      <w:proofErr w:type="spellStart"/>
      <w:r w:rsidR="00653E0E">
        <w:rPr>
          <w:rFonts w:ascii="Times New Roman" w:eastAsia="Times New Roman" w:hAnsi="Times New Roman" w:cs="Times New Roman"/>
          <w:sz w:val="24"/>
          <w:szCs w:val="24"/>
        </w:rPr>
        <w:t>Refaeli</w:t>
      </w:r>
      <w:proofErr w:type="spellEnd"/>
      <w:r>
        <w:rPr>
          <w:rFonts w:ascii="Times New Roman" w:eastAsia="Times New Roman" w:hAnsi="Times New Roman" w:cs="Times New Roman"/>
          <w:sz w:val="24"/>
          <w:szCs w:val="24"/>
        </w:rPr>
        <w:t>, 20</w:t>
      </w:r>
      <w:r w:rsidR="00653E0E">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The lack of activity breeds disengagement, affords the youth idle time, hopelessness, and leads to bad survival habits. In situations where, stable job prospects are limited, the ensuing economic insecurity foster a sense of disenfranchisement and despair, thus enhancing the tendency towards sexual risk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which is a maladaptive coping mechanism or access to economic resources in exchange for transactional sex (</w:t>
      </w:r>
      <w:proofErr w:type="spellStart"/>
      <w:r w:rsidR="004F054C" w:rsidRPr="00B00FD0">
        <w:rPr>
          <w:rFonts w:ascii="Times New Roman" w:eastAsia="Times New Roman" w:hAnsi="Times New Roman" w:cs="Times New Roman"/>
          <w:sz w:val="24"/>
          <w:szCs w:val="24"/>
        </w:rPr>
        <w:t>Dinkelman</w:t>
      </w:r>
      <w:proofErr w:type="spellEnd"/>
      <w:r w:rsidR="004F054C" w:rsidRPr="00B00FD0">
        <w:rPr>
          <w:rFonts w:ascii="Times New Roman" w:eastAsia="Times New Roman" w:hAnsi="Times New Roman" w:cs="Times New Roman"/>
          <w:sz w:val="24"/>
          <w:szCs w:val="24"/>
        </w:rPr>
        <w:t xml:space="preserve">, Lam, &amp; </w:t>
      </w:r>
      <w:proofErr w:type="spellStart"/>
      <w:r w:rsidR="004F054C" w:rsidRPr="00B00FD0">
        <w:rPr>
          <w:rFonts w:ascii="Times New Roman" w:eastAsia="Times New Roman" w:hAnsi="Times New Roman" w:cs="Times New Roman"/>
          <w:sz w:val="24"/>
          <w:szCs w:val="24"/>
        </w:rPr>
        <w:t>Leibbrandt</w:t>
      </w:r>
      <w:proofErr w:type="spellEnd"/>
      <w:r>
        <w:rPr>
          <w:rFonts w:ascii="Times New Roman" w:eastAsia="Times New Roman" w:hAnsi="Times New Roman" w:cs="Times New Roman"/>
          <w:sz w:val="24"/>
          <w:szCs w:val="24"/>
        </w:rPr>
        <w:t>, 2008).</w:t>
      </w:r>
    </w:p>
    <w:p w14:paraId="6F3D92A2" w14:textId="74300323"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unemployment indirectly influences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because it limits access to comprehensive sexual health education and preventive health services. The lack of access to services, misinformation or less informed about safe sexual practices, further contributing to risky sexual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patterns (</w:t>
      </w:r>
      <w:r w:rsidR="00711361">
        <w:rPr>
          <w:rFonts w:ascii="Times New Roman" w:eastAsia="Times New Roman" w:hAnsi="Times New Roman" w:cs="Times New Roman"/>
          <w:sz w:val="24"/>
          <w:szCs w:val="24"/>
        </w:rPr>
        <w:t>Kirby</w:t>
      </w:r>
      <w:r>
        <w:rPr>
          <w:rFonts w:ascii="Times New Roman" w:eastAsia="Times New Roman" w:hAnsi="Times New Roman" w:cs="Times New Roman"/>
          <w:sz w:val="24"/>
          <w:szCs w:val="24"/>
        </w:rPr>
        <w:t>, 20</w:t>
      </w:r>
      <w:r w:rsidR="00711361">
        <w:rPr>
          <w:rFonts w:ascii="Times New Roman" w:eastAsia="Times New Roman" w:hAnsi="Times New Roman" w:cs="Times New Roman"/>
          <w:sz w:val="24"/>
          <w:szCs w:val="24"/>
        </w:rPr>
        <w:t>02</w:t>
      </w:r>
      <w:r>
        <w:rPr>
          <w:rFonts w:ascii="Times New Roman" w:eastAsia="Times New Roman" w:hAnsi="Times New Roman" w:cs="Times New Roman"/>
          <w:sz w:val="24"/>
          <w:szCs w:val="24"/>
        </w:rPr>
        <w:t xml:space="preserve">). With the serious public health consequences, it is critical to understand how unemployment complicates sexual risk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among young people. A thorough exploration of </w:t>
      </w:r>
      <w:r>
        <w:rPr>
          <w:rFonts w:ascii="Times New Roman" w:eastAsia="Times New Roman" w:hAnsi="Times New Roman" w:cs="Times New Roman"/>
          <w:sz w:val="24"/>
          <w:szCs w:val="24"/>
        </w:rPr>
        <w:lastRenderedPageBreak/>
        <w:t>factors is needed to develop interventions that not only resolve the adversity of unemployed youths but also foster safer sex.</w:t>
      </w:r>
    </w:p>
    <w:p w14:paraId="282F461E" w14:textId="77777777" w:rsidR="003F78F3" w:rsidRDefault="003F78F3" w:rsidP="00313ECA">
      <w:pPr>
        <w:spacing w:before="240" w:after="240" w:line="360" w:lineRule="auto"/>
        <w:jc w:val="both"/>
        <w:rPr>
          <w:rFonts w:ascii="Times New Roman" w:eastAsia="Times New Roman" w:hAnsi="Times New Roman" w:cs="Times New Roman"/>
          <w:b/>
          <w:bCs/>
          <w:sz w:val="24"/>
          <w:szCs w:val="24"/>
        </w:rPr>
      </w:pPr>
    </w:p>
    <w:p w14:paraId="38A1AAB7" w14:textId="77777777" w:rsidR="003F78F3" w:rsidRDefault="00313ECA" w:rsidP="00313ECA">
      <w:pPr>
        <w:keepNext/>
        <w:keepLines/>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Research Methodology </w:t>
      </w:r>
    </w:p>
    <w:p w14:paraId="2D1F02B4" w14:textId="77777777" w:rsidR="003F78F3" w:rsidRDefault="00313ECA" w:rsidP="00313EC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systematic review methodology, a comprehensive literature analysis on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 young people without jobs in Botswana was carried out. During the search, which also used the previously listed search keywords, inclusion and exclusion criteria, and search engines, citations, abstracts, and complete references were downloaded. To gather information on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 jobless youth in Botswana, the research extensively explored internet databases, grey literature, and archives of such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w:t>
      </w:r>
    </w:p>
    <w:p w14:paraId="19B76D2A" w14:textId="77777777" w:rsidR="003F78F3" w:rsidRDefault="00313ECA" w:rsidP="00313ECA">
      <w:pPr>
        <w:pStyle w:val="Heading2"/>
        <w:spacing w:before="40" w:after="0" w:line="360" w:lineRule="auto"/>
        <w:jc w:val="both"/>
        <w:rPr>
          <w:rFonts w:ascii="Times New Roman" w:eastAsia="Times New Roman" w:hAnsi="Times New Roman" w:cs="Times New Roman"/>
          <w:b/>
          <w:bCs/>
          <w:sz w:val="24"/>
          <w:szCs w:val="24"/>
        </w:rPr>
      </w:pPr>
      <w:bookmarkStart w:id="2" w:name="_67octuw6wct5" w:colFirst="0" w:colLast="0"/>
      <w:bookmarkEnd w:id="2"/>
      <w:r>
        <w:rPr>
          <w:rFonts w:ascii="Times New Roman" w:eastAsia="Times New Roman" w:hAnsi="Times New Roman" w:cs="Times New Roman"/>
          <w:b/>
          <w:bCs/>
          <w:sz w:val="24"/>
          <w:szCs w:val="24"/>
        </w:rPr>
        <w:t xml:space="preserve"> Sampling</w:t>
      </w:r>
    </w:p>
    <w:p w14:paraId="2CE39975" w14:textId="77777777" w:rsidR="003F78F3" w:rsidRDefault="00313ECA" w:rsidP="00313ECA">
      <w:pPr>
        <w:spacing w:after="16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sampling process included the screening stage to remove duplicates, using the search parameters that were previously provided. To find the publications that were relevant, the researcher developed the inclusion and exclusion criteria. It helped include data sources that met the set criteria and exclude all those that did not meet the set criteria.</w:t>
      </w:r>
      <w:r w:rsidR="005F09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The researcher</w:t>
      </w:r>
      <w:r w:rsidR="005F0957">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assessed the full-text papers that addressed sexual risk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among young people without jobs in Botswana for incorporation. All studies, irrespective of design, were assessed. Subsequently, the researcher examined each article by title and read the abstract to determine its relevance and then studied the texts of any studies that met the eligibility requirements. This was to ensure for certain that the sample was relevant to the topic of study. To get rid of any bias in the study, the exclusion criteria were used. The inclusion and exclusion criteria provided a precise description of the sample characteristics. As such, the selection bias was reduced. The researcher</w:t>
      </w:r>
      <w:r w:rsidR="005F0957">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used the cross-checking techniques to ascertain whether the selected publications satisfied these requirements to guarantee the authenticity of the results. After applying the set criteria along with the quality rating, articles relevant to the study goals were eventually sampled and selected. Table 1 displays the inclusion and exclusion criteria. </w:t>
      </w:r>
    </w:p>
    <w:p w14:paraId="3282F5FF" w14:textId="77777777" w:rsidR="003F78F3" w:rsidRDefault="00313ECA" w:rsidP="00313ECA">
      <w:pPr>
        <w:spacing w:after="16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Inclusion and exclusion criteria</w:t>
      </w: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3F78F3" w14:paraId="66232CAB" w14:textId="77777777">
        <w:tc>
          <w:tcPr>
            <w:tcW w:w="4261" w:type="dxa"/>
            <w:shd w:val="clear" w:color="auto" w:fill="FF0000"/>
          </w:tcPr>
          <w:p w14:paraId="6523FEF7"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Inclusion Criteria</w:t>
            </w:r>
          </w:p>
        </w:tc>
        <w:tc>
          <w:tcPr>
            <w:tcW w:w="4261" w:type="dxa"/>
            <w:shd w:val="clear" w:color="auto" w:fill="FF0000"/>
          </w:tcPr>
          <w:p w14:paraId="30F946F0"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Exclusion Criteria </w:t>
            </w:r>
          </w:p>
        </w:tc>
      </w:tr>
      <w:tr w:rsidR="003F78F3" w14:paraId="7CD72D0E" w14:textId="77777777">
        <w:tc>
          <w:tcPr>
            <w:tcW w:w="4261" w:type="dxa"/>
          </w:tcPr>
          <w:p w14:paraId="6E7580E6"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that focus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amongst unemployed youth in Botswana</w:t>
            </w:r>
          </w:p>
        </w:tc>
        <w:tc>
          <w:tcPr>
            <w:tcW w:w="4261" w:type="dxa"/>
          </w:tcPr>
          <w:p w14:paraId="2CDEDD29"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that did not focus on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amongst unemployed youth</w:t>
            </w:r>
          </w:p>
        </w:tc>
      </w:tr>
      <w:tr w:rsidR="003F78F3" w14:paraId="5046B9D4" w14:textId="77777777">
        <w:tc>
          <w:tcPr>
            <w:tcW w:w="4261" w:type="dxa"/>
          </w:tcPr>
          <w:p w14:paraId="65E87702"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reviewed articles</w:t>
            </w:r>
          </w:p>
        </w:tc>
        <w:tc>
          <w:tcPr>
            <w:tcW w:w="4261" w:type="dxa"/>
          </w:tcPr>
          <w:p w14:paraId="222A6A8F"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Non-peer reviewed articles</w:t>
            </w:r>
          </w:p>
        </w:tc>
      </w:tr>
      <w:tr w:rsidR="003F78F3" w14:paraId="4034415B" w14:textId="77777777">
        <w:tc>
          <w:tcPr>
            <w:tcW w:w="4261" w:type="dxa"/>
          </w:tcPr>
          <w:p w14:paraId="4453D79A"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conducted studies </w:t>
            </w:r>
          </w:p>
        </w:tc>
        <w:tc>
          <w:tcPr>
            <w:tcW w:w="4261" w:type="dxa"/>
          </w:tcPr>
          <w:p w14:paraId="5F8303C3"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Non-English studies</w:t>
            </w:r>
          </w:p>
        </w:tc>
      </w:tr>
      <w:tr w:rsidR="003F78F3" w14:paraId="6C5EFC12" w14:textId="77777777">
        <w:tc>
          <w:tcPr>
            <w:tcW w:w="4261" w:type="dxa"/>
          </w:tcPr>
          <w:p w14:paraId="2FBC2104"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between 2019-2024</w:t>
            </w:r>
          </w:p>
        </w:tc>
        <w:tc>
          <w:tcPr>
            <w:tcW w:w="4261" w:type="dxa"/>
          </w:tcPr>
          <w:p w14:paraId="5F4B71F0" w14:textId="77777777" w:rsidR="003F78F3" w:rsidRDefault="00313ECA" w:rsidP="00313ECA">
            <w:pPr>
              <w:spacing w:after="200" w:line="360" w:lineRule="auto"/>
              <w:rPr>
                <w:rFonts w:ascii="Times New Roman" w:eastAsia="Times New Roman" w:hAnsi="Times New Roman" w:cs="Times New Roman"/>
                <w:sz w:val="24"/>
                <w:szCs w:val="24"/>
              </w:rPr>
            </w:pPr>
            <w:bookmarkStart w:id="3" w:name="_wxhig5wgyhy" w:colFirst="0" w:colLast="0"/>
            <w:bookmarkEnd w:id="3"/>
            <w:r>
              <w:rPr>
                <w:rFonts w:ascii="Times New Roman" w:eastAsia="Times New Roman" w:hAnsi="Times New Roman" w:cs="Times New Roman"/>
                <w:sz w:val="24"/>
                <w:szCs w:val="24"/>
              </w:rPr>
              <w:t>Studies not conducted in the specified timeframe</w:t>
            </w:r>
          </w:p>
        </w:tc>
      </w:tr>
      <w:tr w:rsidR="003F78F3" w14:paraId="0FCE8AEC" w14:textId="77777777">
        <w:tc>
          <w:tcPr>
            <w:tcW w:w="4261" w:type="dxa"/>
          </w:tcPr>
          <w:p w14:paraId="12F9305C"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papers</w:t>
            </w:r>
          </w:p>
        </w:tc>
        <w:tc>
          <w:tcPr>
            <w:tcW w:w="4261" w:type="dxa"/>
          </w:tcPr>
          <w:p w14:paraId="7CC0E999" w14:textId="77777777" w:rsidR="003F78F3" w:rsidRDefault="00313ECA" w:rsidP="00313ECA">
            <w:pPr>
              <w:keepNext/>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Incomplete articles</w:t>
            </w:r>
          </w:p>
        </w:tc>
      </w:tr>
    </w:tbl>
    <w:p w14:paraId="15FAFFA5" w14:textId="77777777" w:rsidR="00135562" w:rsidRDefault="00135562" w:rsidP="00313ECA">
      <w:pPr>
        <w:pStyle w:val="Heading2"/>
        <w:spacing w:before="40" w:after="0" w:line="360" w:lineRule="auto"/>
        <w:jc w:val="both"/>
        <w:rPr>
          <w:rFonts w:ascii="Times New Roman" w:eastAsia="Times New Roman" w:hAnsi="Times New Roman" w:cs="Times New Roman"/>
          <w:b/>
          <w:bCs/>
          <w:sz w:val="24"/>
          <w:szCs w:val="24"/>
        </w:rPr>
      </w:pPr>
      <w:bookmarkStart w:id="4" w:name="_gpfmge4jp4fp" w:colFirst="0" w:colLast="0"/>
      <w:bookmarkEnd w:id="4"/>
    </w:p>
    <w:p w14:paraId="777F82E9" w14:textId="27C043EF" w:rsidR="003F78F3" w:rsidRDefault="00313ECA" w:rsidP="00313ECA">
      <w:pPr>
        <w:pStyle w:val="Heading2"/>
        <w:spacing w:before="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Extraction</w:t>
      </w:r>
    </w:p>
    <w:p w14:paraId="71CE1004" w14:textId="77777777" w:rsidR="003F78F3" w:rsidRDefault="00313ECA" w:rsidP="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inquiry was confined to material content in peer-reviewed studies because of their meticulous scrutiny and exact presentation of real events. This ranking only included works written in English. The researcher used the following key word to search for related literature sources: "youth," "unemployment,”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"HIV/AIDS*," and "Botswana." A fuzzy search was restricted to the article's keywords, title, and abstract when '*' was used. The topic's early investigations in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Scopus, and Google Scholar yielded 470 papers. Duplicate articles were removed, and 149 of the 470 papers that were examined were excluded due to their title or abstract. 266 full-text publications that were not retrieved, had no Botswana emphasis, or had nothing to do with the main issue were excluded after 321 full-text articles were screened for eligibility. 54 studies were identified that satisfied the inclusion criteria. </w:t>
      </w:r>
    </w:p>
    <w:p w14:paraId="09496577" w14:textId="77777777" w:rsidR="003F78F3" w:rsidRDefault="00313ECA" w:rsidP="00313ECA">
      <w:pPr>
        <w:pStyle w:val="Heading2"/>
        <w:spacing w:before="40" w:after="0" w:line="360" w:lineRule="auto"/>
        <w:jc w:val="both"/>
        <w:rPr>
          <w:rFonts w:ascii="Times New Roman" w:eastAsia="Times New Roman" w:hAnsi="Times New Roman" w:cs="Times New Roman"/>
          <w:b/>
          <w:bCs/>
          <w:sz w:val="24"/>
          <w:szCs w:val="24"/>
        </w:rPr>
      </w:pPr>
      <w:bookmarkStart w:id="5" w:name="_5g7ab2vfrnaz" w:colFirst="0" w:colLast="0"/>
      <w:bookmarkEnd w:id="5"/>
      <w:r>
        <w:rPr>
          <w:rFonts w:ascii="Times New Roman" w:eastAsia="Times New Roman" w:hAnsi="Times New Roman" w:cs="Times New Roman"/>
          <w:b/>
          <w:bCs/>
          <w:sz w:val="24"/>
          <w:szCs w:val="24"/>
        </w:rPr>
        <w:t>Data analysis</w:t>
      </w:r>
    </w:p>
    <w:p w14:paraId="5FC62B05" w14:textId="77777777" w:rsidR="003F78F3" w:rsidRDefault="00313ECA" w:rsidP="00313EC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systematic review was used in the data analysis process. A systematic review is a scholarly compilation of information on a subject that is presented in an understandable manner, employing critical methods to identify, describe, and assess pertinent research (Booth, Sutton, and </w:t>
      </w:r>
      <w:proofErr w:type="spellStart"/>
      <w:r>
        <w:rPr>
          <w:rFonts w:ascii="Times New Roman" w:eastAsia="Times New Roman" w:hAnsi="Times New Roman" w:cs="Times New Roman"/>
          <w:sz w:val="24"/>
          <w:szCs w:val="24"/>
        </w:rPr>
        <w:t>Papaioannouet</w:t>
      </w:r>
      <w:proofErr w:type="spellEnd"/>
      <w:r>
        <w:rPr>
          <w:rFonts w:ascii="Times New Roman" w:eastAsia="Times New Roman" w:hAnsi="Times New Roman" w:cs="Times New Roman"/>
          <w:sz w:val="24"/>
          <w:szCs w:val="24"/>
        </w:rPr>
        <w:t xml:space="preserve">, 2016). To get a well-informed conclusion, a systematic review collected and assessed data from studies that have been published in the scientific literature on the topic that described, assessed, and summarized the interpretations. In this review, the thematic analysis of research topics was utilized to characterize and compare the major results from the study articles. Thematic analysis is </w:t>
      </w:r>
      <w:r>
        <w:rPr>
          <w:rFonts w:ascii="Times New Roman" w:eastAsia="Times New Roman" w:hAnsi="Times New Roman" w:cs="Times New Roman"/>
          <w:sz w:val="24"/>
          <w:szCs w:val="24"/>
        </w:rPr>
        <w:lastRenderedPageBreak/>
        <w:t xml:space="preserve">the process of identifying, evaluating, arranging, condensing, and displaying the themes that surface throughout the gathering of data (Christou, 2022). It is a helpful method for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perspectives of various study participants, identifying parallels and differences, and yielding surprising results (</w:t>
      </w:r>
      <w:proofErr w:type="spellStart"/>
      <w:r>
        <w:rPr>
          <w:rFonts w:ascii="Times New Roman" w:eastAsia="Times New Roman" w:hAnsi="Times New Roman" w:cs="Times New Roman"/>
          <w:sz w:val="24"/>
          <w:szCs w:val="24"/>
        </w:rPr>
        <w:t>Vaismoradi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Snelgrove</w:t>
      </w:r>
      <w:proofErr w:type="spellEnd"/>
      <w:r>
        <w:rPr>
          <w:rFonts w:ascii="Times New Roman" w:eastAsia="Times New Roman" w:hAnsi="Times New Roman" w:cs="Times New Roman"/>
          <w:sz w:val="24"/>
          <w:szCs w:val="24"/>
        </w:rPr>
        <w:t xml:space="preserve">, 2019). The research also incorporated the concerns raised by past evaluations on the relationship between unemployment and youth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in sub-Saharan Africa, to improve the depth and relevance of the discussion on the Botswana context.</w:t>
      </w:r>
    </w:p>
    <w:p w14:paraId="506D3FC6" w14:textId="77777777" w:rsidR="003F78F3" w:rsidRDefault="00313ECA" w:rsidP="00313ECA">
      <w:pPr>
        <w:pStyle w:val="Heading2"/>
        <w:spacing w:before="40" w:after="0" w:line="360" w:lineRule="auto"/>
        <w:jc w:val="center"/>
        <w:rPr>
          <w:rFonts w:ascii="Times New Roman" w:eastAsia="Times New Roman" w:hAnsi="Times New Roman" w:cs="Times New Roman"/>
          <w:b/>
          <w:bCs/>
          <w:sz w:val="24"/>
          <w:szCs w:val="24"/>
        </w:rPr>
      </w:pPr>
      <w:bookmarkStart w:id="6" w:name="_gqgxwc4fbksv"/>
      <w:bookmarkEnd w:id="6"/>
      <w:r>
        <w:rPr>
          <w:rFonts w:ascii="Times New Roman" w:eastAsia="Times New Roman" w:hAnsi="Times New Roman" w:cs="Times New Roman"/>
          <w:b/>
          <w:bCs/>
          <w:sz w:val="24"/>
          <w:szCs w:val="24"/>
        </w:rPr>
        <w:t>Results and Discussions</w:t>
      </w:r>
    </w:p>
    <w:p w14:paraId="0A346A6C" w14:textId="77777777" w:rsidR="003F78F3" w:rsidRDefault="00313ECA" w:rsidP="00313ECA">
      <w:pPr>
        <w:shd w:val="clear" w:color="auto" w:fill="FFFFFF"/>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Youth unemployment in Botswana </w:t>
      </w:r>
    </w:p>
    <w:p w14:paraId="17E35C65" w14:textId="77777777" w:rsidR="003F78F3" w:rsidRDefault="00313ECA" w:rsidP="00313ECA">
      <w:pPr>
        <w:shd w:val="clear" w:color="auto" w:fill="FFFFFF"/>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 discovered that youth unemployment increased over the years from 37% in 2019 to 40% in 2023, the factors that account for the increase are the mismatch between education and job market needs, inequalities, lack of support for youth businesses, and limited job opportunities, especially in rural communities. The theoretical analysis shows that at the individual level, the following factors: education, work-level skills, and motivation accounts for chronic youth unemployment. Evidence shows that many adolescents lack skills in entrepreneurship, agriculture, technical and vocational, ICT and construction (</w:t>
      </w:r>
      <w:proofErr w:type="spellStart"/>
      <w:r>
        <w:rPr>
          <w:rFonts w:ascii="Times New Roman" w:eastAsia="Times New Roman" w:hAnsi="Times New Roman" w:cs="Times New Roman"/>
          <w:sz w:val="24"/>
          <w:szCs w:val="24"/>
        </w:rPr>
        <w:t>Nthomang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Diraditsile</w:t>
      </w:r>
      <w:proofErr w:type="spellEnd"/>
      <w:r>
        <w:rPr>
          <w:rFonts w:ascii="Times New Roman" w:eastAsia="Times New Roman" w:hAnsi="Times New Roman" w:cs="Times New Roman"/>
          <w:sz w:val="24"/>
          <w:szCs w:val="24"/>
        </w:rPr>
        <w:t xml:space="preserve">, 2016). It is not about job scarcity but a mismatch between skills and job readiness. The mismatch is found in the following sectors ICT, construction, agriculture, and manufacturing, the areas in which they are less qualified. Some are qualified in social sciences, humanities, and general teaching and these accounts for the skills gap leading to high youth unemployment. However, there are inadequate interventions to address this gap because it requires social policy reforms in education to align closely with the current job market needs. </w:t>
      </w:r>
    </w:p>
    <w:p w14:paraId="085C5A26"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failure to get jobs that would enable the youth to generate income complicates their frustrations, anger, and hopelessness. This drives them to adopt diverse ways to cope, adapt, and sustain themselves, hence risky sexual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The frustrations are further exacerbated by the lack of systematically arranged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necessary to assist the youths to economically improve their lives. It reflects the misalignment and undefined roles of the family, friends, the community in relevant government social policies. </w:t>
      </w:r>
    </w:p>
    <w:p w14:paraId="59FB13E8"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systems constitute the social environment which play a significant role on how unemployed youth who are part of, act. Their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are shaped by the social, </w:t>
      </w:r>
      <w:r>
        <w:rPr>
          <w:rFonts w:ascii="Times New Roman" w:eastAsia="Times New Roman" w:hAnsi="Times New Roman" w:cs="Times New Roman"/>
          <w:sz w:val="24"/>
          <w:szCs w:val="24"/>
        </w:rPr>
        <w:lastRenderedPageBreak/>
        <w:t>physical, economic, and digital systems they interact with daily. For youth with no organized activities, no money, and no opportunity for skills development, each day generates stressful encounters and boredom. Boredom combined with peer pressure complicates their adolescence stage. They are easily drawn into unprotected sex, partying, or abuse of substances or resort to drugs as a means of escape or belonging. These encourage psychological despair that becomes the norm.</w:t>
      </w:r>
    </w:p>
    <w:p w14:paraId="10379CA7"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families where parents/guardians are unemployed, the young people lack financial support, mentorship, and social networks to support their career developments. Sechele (2021) argues that unemployment denies the youth economic activity to support oneself while </w:t>
      </w:r>
      <w:proofErr w:type="spellStart"/>
      <w:r>
        <w:rPr>
          <w:rFonts w:ascii="Times New Roman" w:eastAsia="Times New Roman" w:hAnsi="Times New Roman" w:cs="Times New Roman"/>
          <w:sz w:val="24"/>
          <w:szCs w:val="24"/>
        </w:rPr>
        <w:t>Siphambe</w:t>
      </w:r>
      <w:proofErr w:type="spellEnd"/>
      <w:r>
        <w:rPr>
          <w:rFonts w:ascii="Times New Roman" w:eastAsia="Times New Roman" w:hAnsi="Times New Roman" w:cs="Times New Roman"/>
          <w:sz w:val="24"/>
          <w:szCs w:val="24"/>
        </w:rPr>
        <w:t xml:space="preserve"> et al. (2020), argues that it creates conditions in which individuals aged between 18 and 35 years not to participate in any viable economic activity to provide for their livelihoods. The social ecological model explains that meso systems (interaction between micro systems), connection between distinct parts of a youth’s immediate environment, for example, the connection between the school and the family or community is crucial to ensure that the youths thrive. According t</w:t>
      </w:r>
      <w:r w:rsidR="005F0957">
        <w:rPr>
          <w:rFonts w:ascii="Times New Roman" w:eastAsia="Times New Roman" w:hAnsi="Times New Roman" w:cs="Times New Roman"/>
          <w:sz w:val="24"/>
          <w:szCs w:val="24"/>
        </w:rPr>
        <w:t xml:space="preserve">o </w:t>
      </w:r>
      <w:proofErr w:type="spellStart"/>
      <w:r w:rsidR="005F0957">
        <w:rPr>
          <w:rFonts w:ascii="Times New Roman" w:eastAsia="Times New Roman" w:hAnsi="Times New Roman" w:cs="Times New Roman"/>
          <w:sz w:val="24"/>
          <w:szCs w:val="24"/>
        </w:rPr>
        <w:t>Diraditsile</w:t>
      </w:r>
      <w:proofErr w:type="spellEnd"/>
      <w:r w:rsidR="005F0957">
        <w:rPr>
          <w:rFonts w:ascii="Times New Roman" w:eastAsia="Times New Roman" w:hAnsi="Times New Roman" w:cs="Times New Roman"/>
          <w:sz w:val="24"/>
          <w:szCs w:val="24"/>
        </w:rPr>
        <w:t xml:space="preserve"> (2022) </w:t>
      </w:r>
      <w:r>
        <w:rPr>
          <w:rFonts w:ascii="Times New Roman" w:eastAsia="Times New Roman" w:hAnsi="Times New Roman" w:cs="Times New Roman"/>
          <w:sz w:val="24"/>
          <w:szCs w:val="24"/>
        </w:rPr>
        <w:t xml:space="preserve">between </w:t>
      </w:r>
      <w:r w:rsidR="005F095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education systems and local businesses,</w:t>
      </w:r>
      <w:r w:rsidR="005F0957">
        <w:rPr>
          <w:rFonts w:ascii="Times New Roman" w:eastAsia="Times New Roman" w:hAnsi="Times New Roman" w:cs="Times New Roman"/>
          <w:sz w:val="24"/>
          <w:szCs w:val="24"/>
        </w:rPr>
        <w:t xml:space="preserve"> there exist a disjuncture</w:t>
      </w:r>
      <w:r>
        <w:rPr>
          <w:rFonts w:ascii="Times New Roman" w:eastAsia="Times New Roman" w:hAnsi="Times New Roman" w:cs="Times New Roman"/>
          <w:sz w:val="24"/>
          <w:szCs w:val="24"/>
        </w:rPr>
        <w:t xml:space="preserve"> which leads to underutilization of youth skills and capacities. Many vocational and tertiary schools in Botswana do not have structured internships or industrial placements that lead to employment.</w:t>
      </w:r>
    </w:p>
    <w:p w14:paraId="40815F53"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government has several initiatives and unsustainable projects with no effect on employment creation (</w:t>
      </w:r>
      <w:proofErr w:type="spellStart"/>
      <w:r>
        <w:rPr>
          <w:rFonts w:ascii="Times New Roman" w:eastAsia="Times New Roman" w:hAnsi="Times New Roman" w:cs="Times New Roman"/>
          <w:sz w:val="24"/>
          <w:szCs w:val="24"/>
        </w:rPr>
        <w:t>Diraditsile</w:t>
      </w:r>
      <w:proofErr w:type="spellEnd"/>
      <w:r>
        <w:rPr>
          <w:rFonts w:ascii="Times New Roman" w:eastAsia="Times New Roman" w:hAnsi="Times New Roman" w:cs="Times New Roman"/>
          <w:sz w:val="24"/>
          <w:szCs w:val="24"/>
        </w:rPr>
        <w:t xml:space="preserve">, 2022). These initiatives are the youth development fund, national internship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graduate volunteer scheme, art and culture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sports and recreation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Despite the initiatives, Botswana is witnessing an increase in the number of young people without jobs. Botswana's youth unemployment has risen steadily over the years, from 20% in 2020 (Sechele, 2021) to over 38.7% in 2024 (Statistics Botswana, 2024). This, therefore, is the percentage of youth in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force actively seeking for a job but cannot find it. The unemployment rate underscores that it will remain      a problem for many years to come. This trend shows that interventions are not adapting to changing socio- economic realities affecting the youth. The social ecological theory shows that youth unemployment in Botswana is a multi-layered issue (Bronfenbrenner, 1979). </w:t>
      </w:r>
    </w:p>
    <w:p w14:paraId="3E32D6E2" w14:textId="77777777" w:rsidR="003F78F3" w:rsidRDefault="00313ECA" w:rsidP="00313ECA">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The level of unemployment is a symptom of failures across multiple levels of social ecological arrangement. Tackling it effectively requires multi-sectoral collaboration and youth inclusive development planning. Also, national development plans prioritize economic growth goals over and above inclusive job creation. These economic goals leave out youth employability as a goal. Despite youth being a demographic majority in Botswana, there is limited youth representation in decision making, contributing to misalignment of government policies (</w:t>
      </w:r>
      <w:proofErr w:type="spellStart"/>
      <w:r>
        <w:rPr>
          <w:rFonts w:ascii="Times New Roman" w:eastAsia="Times New Roman" w:hAnsi="Times New Roman" w:cs="Times New Roman"/>
          <w:sz w:val="24"/>
          <w:szCs w:val="24"/>
        </w:rPr>
        <w:t>Siphambe</w:t>
      </w:r>
      <w:proofErr w:type="spellEnd"/>
      <w:r>
        <w:rPr>
          <w:rFonts w:ascii="Times New Roman" w:eastAsia="Times New Roman" w:hAnsi="Times New Roman" w:cs="Times New Roman"/>
          <w:sz w:val="24"/>
          <w:szCs w:val="24"/>
        </w:rPr>
        <w:t xml:space="preserve"> et al., 2020).</w:t>
      </w:r>
    </w:p>
    <w:p w14:paraId="3F6A6CE0" w14:textId="77777777" w:rsidR="003F78F3" w:rsidRDefault="00313ECA" w:rsidP="00313ECA">
      <w:pPr>
        <w:pStyle w:val="Heading2"/>
        <w:spacing w:before="240" w:after="240" w:line="360" w:lineRule="auto"/>
        <w:jc w:val="both"/>
        <w:rPr>
          <w:rFonts w:ascii="Times New Roman" w:eastAsia="Times New Roman" w:hAnsi="Times New Roman" w:cs="Times New Roman"/>
          <w:sz w:val="24"/>
          <w:szCs w:val="24"/>
        </w:rPr>
      </w:pPr>
      <w:bookmarkStart w:id="7" w:name="_97v6skbzklpg" w:colFirst="0" w:colLast="0"/>
      <w:bookmarkEnd w:id="7"/>
      <w:r>
        <w:rPr>
          <w:rFonts w:ascii="Times New Roman" w:eastAsia="Times New Roman" w:hAnsi="Times New Roman" w:cs="Times New Roman"/>
          <w:b/>
          <w:bCs/>
          <w:sz w:val="24"/>
          <w:szCs w:val="24"/>
        </w:rPr>
        <w:t xml:space="preserve"> Sexual risk </w:t>
      </w:r>
      <w:proofErr w:type="spellStart"/>
      <w:r>
        <w:rPr>
          <w:rFonts w:ascii="Times New Roman" w:eastAsia="Times New Roman" w:hAnsi="Times New Roman" w:cs="Times New Roman"/>
          <w:b/>
          <w:bCs/>
          <w:sz w:val="24"/>
          <w:szCs w:val="24"/>
        </w:rPr>
        <w:t>behaviours</w:t>
      </w:r>
      <w:proofErr w:type="spellEnd"/>
      <w:r>
        <w:rPr>
          <w:rFonts w:ascii="Times New Roman" w:eastAsia="Times New Roman" w:hAnsi="Times New Roman" w:cs="Times New Roman"/>
          <w:b/>
          <w:bCs/>
          <w:sz w:val="24"/>
          <w:szCs w:val="24"/>
        </w:rPr>
        <w:t xml:space="preserve"> amongst youth in Botswana</w:t>
      </w:r>
      <w:r>
        <w:rPr>
          <w:rFonts w:ascii="Times New Roman" w:eastAsia="Times New Roman" w:hAnsi="Times New Roman" w:cs="Times New Roman"/>
          <w:sz w:val="24"/>
          <w:szCs w:val="24"/>
        </w:rPr>
        <w:t xml:space="preserve"> </w:t>
      </w:r>
    </w:p>
    <w:p w14:paraId="70DF9FDE"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in Botswana includes early sexual debut </w:t>
      </w:r>
      <w:r w:rsidR="005F0957">
        <w:rPr>
          <w:rFonts w:ascii="Times New Roman" w:eastAsia="Times New Roman" w:hAnsi="Times New Roman" w:cs="Times New Roman"/>
          <w:sz w:val="24"/>
          <w:szCs w:val="24"/>
        </w:rPr>
        <w:t>characterized</w:t>
      </w:r>
      <w:r>
        <w:rPr>
          <w:rFonts w:ascii="Times New Roman" w:eastAsia="Times New Roman" w:hAnsi="Times New Roman" w:cs="Times New Roman"/>
          <w:sz w:val="24"/>
          <w:szCs w:val="24"/>
        </w:rPr>
        <w:t xml:space="preserve"> by inconsistent condom use and transactional sex. These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are products of risky sexual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The risky sexual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are psychological, cultural, and environmental, communal, and reinforced by socioeconomic factors. Therefore, it is necessary to evaluate the interplay of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intervention factors, peer influence and social networks, intersectionality and vulnerable populations, and public policy factors. Bronfenbrenner (1979) theory shows that adolescents often lack cognitive maturity to think about the consequences of risky sexual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According to Steinberg (2008), the immature development of the prefrontal cortex, which governs self-regulation and future-oriented thinking, limits adolescents’ ability to make well-informed decisions, especially in emotionally charged situations. The neurological immaturity plays a significant role in acquiring impulsivity and lowering the capacity to evaluate the consequences of engaging in unprotected sex or having multiple partners.</w:t>
      </w:r>
    </w:p>
    <w:p w14:paraId="4E050753"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sexual debut is particularly problematic because it is associated with early pregnancy, sexually transmitted infections, and long-term reproductive health challenges.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(2020) reported that 24% of young women and 16% of young men in Botswana had their first sexual encounter before age 15. Early initiation into sexual activity is complicated by the association with increased multiple partners and unprotected sex, both of which contribute to higher rates of sexually transmitted infections (STIs) and HIV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2020). It is important to devise a strategy to prevent early debut by promoting parent-child communication, increasing the number of youth friendly reproductive health services, and implementing comprehensive sexuality education. </w:t>
      </w:r>
    </w:p>
    <w:p w14:paraId="31F6E8C6"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Moreover, personal beliefs and misconceptions around sexuality, reproductive health, and condom use significantly impact youth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Personal beliefs about sexuality are influenced by peers, experiences of abuse, media and cultural norms and customs. For example, some youth believe that condoms reduce sexual pleasure or are ineffective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Rakgoasi</w:t>
      </w:r>
      <w:proofErr w:type="spellEnd"/>
      <w:r>
        <w:rPr>
          <w:rFonts w:ascii="Times New Roman" w:eastAsia="Times New Roman" w:hAnsi="Times New Roman" w:cs="Times New Roman"/>
          <w:sz w:val="24"/>
          <w:szCs w:val="24"/>
        </w:rPr>
        <w:t>, 2021). There is a need to correct the misconceptions by providing reproductive health education and awareness to youth. Without comprehensive sexuality education, young people lack information and confidence to make appropriate and safe sexual decisions (</w:t>
      </w:r>
      <w:proofErr w:type="spellStart"/>
      <w:r>
        <w:rPr>
          <w:rFonts w:ascii="Times New Roman" w:eastAsia="Times New Roman" w:hAnsi="Times New Roman" w:cs="Times New Roman"/>
          <w:sz w:val="24"/>
          <w:szCs w:val="24"/>
        </w:rPr>
        <w:t>Diura</w:t>
      </w:r>
      <w:proofErr w:type="spellEnd"/>
      <w:r>
        <w:rPr>
          <w:rFonts w:ascii="Times New Roman" w:eastAsia="Times New Roman" w:hAnsi="Times New Roman" w:cs="Times New Roman"/>
          <w:sz w:val="24"/>
          <w:szCs w:val="24"/>
        </w:rPr>
        <w:t xml:space="preserve">-Vere, </w:t>
      </w:r>
      <w:proofErr w:type="spellStart"/>
      <w:r>
        <w:rPr>
          <w:rFonts w:ascii="Times New Roman" w:eastAsia="Times New Roman" w:hAnsi="Times New Roman" w:cs="Times New Roman"/>
          <w:sz w:val="24"/>
          <w:szCs w:val="24"/>
        </w:rPr>
        <w:t>Mokgatle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Oguntibeju</w:t>
      </w:r>
      <w:proofErr w:type="spellEnd"/>
      <w:r>
        <w:rPr>
          <w:rFonts w:ascii="Times New Roman" w:eastAsia="Times New Roman" w:hAnsi="Times New Roman" w:cs="Times New Roman"/>
          <w:sz w:val="24"/>
          <w:szCs w:val="24"/>
        </w:rPr>
        <w:t xml:space="preserve">, 2023). Personal beliefs about sexuality are socially constructed and context-dependent, influenced by Bronfenbrenner’s ecological systems. </w:t>
      </w:r>
    </w:p>
    <w:p w14:paraId="684CC3CD"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Bronfenbrenner (1979), the microsystem which includes family, peers, and schools, play a vital role in shaping youth sexual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It does this through the direct interactions and relationships young people have within these different settings. Despite that, the Tswana culture does not allow parents to discuss sexual related matters with their sons and daughters. It was the role of uncles and aunties who today live extremely far from each other. This distance unlike in the past affects the effectiveness of communication on sexual practices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Parental communication about sexuality in Botswana remains limited due to cultural taboos, which often result in youth turning to peers or media for information. Peers then replace aunties and uncles and provide distorted sexual related information that pressures young people to indulge in sex with adequate information about related risks. </w:t>
      </w:r>
    </w:p>
    <w:p w14:paraId="64008170"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particularly influential factor prompting adolescents to engage in risky sexual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to gain social acceptance or affirm masculinity or femininity within their peer groups (</w:t>
      </w:r>
      <w:proofErr w:type="spellStart"/>
      <w:r>
        <w:rPr>
          <w:rFonts w:ascii="Times New Roman" w:eastAsia="Times New Roman" w:hAnsi="Times New Roman" w:cs="Times New Roman"/>
          <w:sz w:val="24"/>
          <w:szCs w:val="24"/>
        </w:rPr>
        <w:t>Malinga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Modie</w:t>
      </w:r>
      <w:proofErr w:type="spellEnd"/>
      <w:r>
        <w:rPr>
          <w:rFonts w:ascii="Times New Roman" w:eastAsia="Times New Roman" w:hAnsi="Times New Roman" w:cs="Times New Roman"/>
          <w:sz w:val="24"/>
          <w:szCs w:val="24"/>
        </w:rPr>
        <w:t xml:space="preserve">-Moroka, 2020). In some cases, disconnects between family values and peer influences create conflicting messages for youth. While families may promote abstinence, peer groups might normalize early sexual initiation, resulting in confusion and risky experimentation. In addition, the schools which have the potential to serve as protective environments are </w:t>
      </w:r>
      <w:r w:rsidR="005F0957">
        <w:rPr>
          <w:rFonts w:ascii="Times New Roman" w:eastAsia="Times New Roman" w:hAnsi="Times New Roman" w:cs="Times New Roman"/>
          <w:sz w:val="24"/>
          <w:szCs w:val="24"/>
        </w:rPr>
        <w:t>characterized</w:t>
      </w:r>
      <w:r>
        <w:rPr>
          <w:rFonts w:ascii="Times New Roman" w:eastAsia="Times New Roman" w:hAnsi="Times New Roman" w:cs="Times New Roman"/>
          <w:sz w:val="24"/>
          <w:szCs w:val="24"/>
        </w:rPr>
        <w:t xml:space="preserve"> by curricula with limited integrated life skills and sexual health education. Teachers also avoid discussing sexual topics because of cultural inhibitions, reducing opportunities for youth to gain essential knowledge about protection, consent, and health services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Rakgoasi</w:t>
      </w:r>
      <w:proofErr w:type="spellEnd"/>
      <w:r>
        <w:rPr>
          <w:rFonts w:ascii="Times New Roman" w:eastAsia="Times New Roman" w:hAnsi="Times New Roman" w:cs="Times New Roman"/>
          <w:sz w:val="24"/>
          <w:szCs w:val="24"/>
        </w:rPr>
        <w:t>, 2021).</w:t>
      </w:r>
    </w:p>
    <w:p w14:paraId="02728A18"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mesosystem that explains the interactions between different microsystems reveals gaps between key environments (Bronfenbrenner, 1979). For instance, poor coordination between schools and health services limits the provisions and establishment of youth-friendly sexual and reproductive health care. Students receive basic information on sexual education at school but encounter judgmental attitudes at clinics when seeking contraceptives or STI treatment, leading to underutilization of available services (</w:t>
      </w:r>
      <w:proofErr w:type="spellStart"/>
      <w:r>
        <w:rPr>
          <w:rFonts w:ascii="Times New Roman" w:eastAsia="Times New Roman" w:hAnsi="Times New Roman" w:cs="Times New Roman"/>
          <w:sz w:val="24"/>
          <w:szCs w:val="24"/>
        </w:rPr>
        <w:t>Diura</w:t>
      </w:r>
      <w:proofErr w:type="spellEnd"/>
      <w:r>
        <w:rPr>
          <w:rFonts w:ascii="Times New Roman" w:eastAsia="Times New Roman" w:hAnsi="Times New Roman" w:cs="Times New Roman"/>
          <w:sz w:val="24"/>
          <w:szCs w:val="24"/>
        </w:rPr>
        <w:t xml:space="preserve">-Vere et al., 2023). According to Bronfenbrenner (1979), when systems interact in a supportive and reinforcing way, they create consistent messages about sexuality that can promote healthy attitudes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For example, UNESCO (2018) notes that when schools and parents both promote open communication about sexuality, that is grounded on respect, safety and responsibility-young people are likely to develop informed and confident sexual identities. </w:t>
      </w:r>
    </w:p>
    <w:p w14:paraId="7F287D7A"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disconnections between systems often lead to confusion, misinformation, or risky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(Bronfenbrenner, 1979). In Botswana and many sub-Saharan African contexts, while schools may attempt to provide some form of sexuality education, many families avoid discussing sexual topics due to cultural taboos or discomfort (Bastien et al., 2011). This leaves youth confused on what is right or wrong about sexuality. This is particularly concerning for unemployed youth who may lack the necessary support structures. The ecosystem evaluates indirect environmental factors, such as health policies, economic conditions, and service delivery infrastructure. While Botswana has made progress in youth-oriented policies development, the implementation has been weak. Evidence shows that there is a limited access to youth-friendly services, especially in rural areas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Rakgoasi</w:t>
      </w:r>
      <w:proofErr w:type="spellEnd"/>
      <w:r>
        <w:rPr>
          <w:rFonts w:ascii="Times New Roman" w:eastAsia="Times New Roman" w:hAnsi="Times New Roman" w:cs="Times New Roman"/>
          <w:sz w:val="24"/>
          <w:szCs w:val="24"/>
        </w:rPr>
        <w:t>, 2021). For example, many clinics lack privacy, or healthcare providers respond with a judgmental attitude toward sexually active adolescents, discouraging them from seeking care (</w:t>
      </w:r>
      <w:proofErr w:type="spellStart"/>
      <w:r>
        <w:rPr>
          <w:rFonts w:ascii="Times New Roman" w:eastAsia="Times New Roman" w:hAnsi="Times New Roman" w:cs="Times New Roman"/>
          <w:sz w:val="24"/>
          <w:szCs w:val="24"/>
        </w:rPr>
        <w:t>Diura</w:t>
      </w:r>
      <w:proofErr w:type="spellEnd"/>
      <w:r>
        <w:rPr>
          <w:rFonts w:ascii="Times New Roman" w:eastAsia="Times New Roman" w:hAnsi="Times New Roman" w:cs="Times New Roman"/>
          <w:sz w:val="24"/>
          <w:szCs w:val="24"/>
        </w:rPr>
        <w:t>-Vere et al., 2023).</w:t>
      </w:r>
    </w:p>
    <w:p w14:paraId="4F62AB75"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socioeconomic hardship significantly influences youth sexual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because it limits access to education, employment and health services while increasing vulnerability to transactional sex, exploitation, and early sexual debut. They are compelled by family circumstances to engage in transactional sex (where young women exchange sex for money, goods, or academic support) and this reflects the intersection of economic vulnerability and gender inequality. These relationships are often </w:t>
      </w:r>
      <w:r>
        <w:rPr>
          <w:rFonts w:ascii="Times New Roman" w:eastAsia="Times New Roman" w:hAnsi="Times New Roman" w:cs="Times New Roman"/>
          <w:sz w:val="24"/>
          <w:szCs w:val="24"/>
        </w:rPr>
        <w:lastRenderedPageBreak/>
        <w:t>characterized by unequal power dynamics, making it difficult for young women to negotiate condom use or refuse unwanted advances (</w:t>
      </w:r>
      <w:proofErr w:type="spellStart"/>
      <w:r>
        <w:rPr>
          <w:rFonts w:ascii="Times New Roman" w:eastAsia="Times New Roman" w:hAnsi="Times New Roman" w:cs="Times New Roman"/>
          <w:sz w:val="24"/>
          <w:szCs w:val="24"/>
        </w:rPr>
        <w:t>Malinga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Modie</w:t>
      </w:r>
      <w:proofErr w:type="spellEnd"/>
      <w:r>
        <w:rPr>
          <w:rFonts w:ascii="Times New Roman" w:eastAsia="Times New Roman" w:hAnsi="Times New Roman" w:cs="Times New Roman"/>
          <w:sz w:val="24"/>
          <w:szCs w:val="24"/>
        </w:rPr>
        <w:t>-Moroka, 2020).</w:t>
      </w:r>
    </w:p>
    <w:p w14:paraId="175874E8" w14:textId="7C0FC26D"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established that the macro-system level, which includes cultural norms and gendered expectations shape youth sexual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(Bronfenbrenner, 1979). Cultural norms and gendered expectations for boys and girls are different in many ethnic groups because traditional beliefs assign some social roles, activities, and values to each gender, frequently preserving patriarchal structures and uneven power dynamics. In many Botswana communities, male promiscuity is tolerated or even encouraged, while young women are burdened with sexual restraint and reproductive outcomes. This creates an unequal moral framework that exposes girls and young women to greater sexual risks than is the case with boys (Rogers</w:t>
      </w:r>
      <w:r w:rsidR="00832A4F">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2023). </w:t>
      </w:r>
      <w:r w:rsidR="005F7994" w:rsidRPr="005F7994">
        <w:rPr>
          <w:rFonts w:ascii="Times New Roman" w:eastAsia="Times New Roman" w:hAnsi="Times New Roman" w:cs="Times New Roman"/>
          <w:sz w:val="24"/>
          <w:szCs w:val="24"/>
        </w:rPr>
        <w:t xml:space="preserve">According to the </w:t>
      </w:r>
      <w:r w:rsidR="005F7994" w:rsidRPr="005F7994">
        <w:rPr>
          <w:rFonts w:ascii="Times New Roman" w:eastAsia="Times New Roman" w:hAnsi="Times New Roman" w:cs="Times New Roman"/>
          <w:i/>
          <w:iCs/>
          <w:sz w:val="24"/>
          <w:szCs w:val="24"/>
        </w:rPr>
        <w:t>Fifth Botswana AIDS Impact Survey (BAIS V, 2021)</w:t>
      </w:r>
      <w:r w:rsidR="005F7994" w:rsidRPr="005F7994">
        <w:rPr>
          <w:rFonts w:ascii="Times New Roman" w:eastAsia="Times New Roman" w:hAnsi="Times New Roman" w:cs="Times New Roman"/>
          <w:sz w:val="24"/>
          <w:szCs w:val="24"/>
        </w:rPr>
        <w:t>, HIV prevalence among youth aged 15</w:t>
      </w:r>
      <w:r w:rsidR="005F7994">
        <w:rPr>
          <w:rFonts w:ascii="Times New Roman" w:eastAsia="Times New Roman" w:hAnsi="Times New Roman" w:cs="Times New Roman"/>
          <w:sz w:val="24"/>
          <w:szCs w:val="24"/>
        </w:rPr>
        <w:t>-</w:t>
      </w:r>
      <w:r w:rsidR="005F7994" w:rsidRPr="005F7994">
        <w:rPr>
          <w:rFonts w:ascii="Times New Roman" w:eastAsia="Times New Roman" w:hAnsi="Times New Roman" w:cs="Times New Roman"/>
          <w:sz w:val="24"/>
          <w:szCs w:val="24"/>
        </w:rPr>
        <w:t>24 is higher among young women than young men, illustrating persistent gender disparities in HIV risk. Specifically, prevalence among females aged 20</w:t>
      </w:r>
      <w:r w:rsidR="005F7994">
        <w:rPr>
          <w:rFonts w:ascii="Times New Roman" w:eastAsia="Times New Roman" w:hAnsi="Times New Roman" w:cs="Times New Roman"/>
          <w:sz w:val="24"/>
          <w:szCs w:val="24"/>
        </w:rPr>
        <w:t>-</w:t>
      </w:r>
      <w:r w:rsidR="005F7994" w:rsidRPr="005F7994">
        <w:rPr>
          <w:rFonts w:ascii="Times New Roman" w:eastAsia="Times New Roman" w:hAnsi="Times New Roman" w:cs="Times New Roman"/>
          <w:sz w:val="24"/>
          <w:szCs w:val="24"/>
        </w:rPr>
        <w:t>24 is approximately 6.7%, compared with 2.7% among males of the same age group, while younger adolescents (15</w:t>
      </w:r>
      <w:r w:rsidR="005F7994">
        <w:rPr>
          <w:rFonts w:ascii="Times New Roman" w:eastAsia="Times New Roman" w:hAnsi="Times New Roman" w:cs="Times New Roman"/>
          <w:sz w:val="24"/>
          <w:szCs w:val="24"/>
        </w:rPr>
        <w:t>-</w:t>
      </w:r>
      <w:r w:rsidR="005F7994" w:rsidRPr="005F7994">
        <w:rPr>
          <w:rFonts w:ascii="Times New Roman" w:eastAsia="Times New Roman" w:hAnsi="Times New Roman" w:cs="Times New Roman"/>
          <w:sz w:val="24"/>
          <w:szCs w:val="24"/>
        </w:rPr>
        <w:t>19) have lower prevalence rates of 2.7% for females and 1.6% for males (</w:t>
      </w:r>
      <w:r w:rsidR="00493206">
        <w:rPr>
          <w:rFonts w:ascii="Times New Roman" w:eastAsia="Times New Roman" w:hAnsi="Times New Roman" w:cs="Times New Roman"/>
          <w:sz w:val="24"/>
          <w:szCs w:val="24"/>
        </w:rPr>
        <w:t>Government of Botswana</w:t>
      </w:r>
      <w:r w:rsidR="005F7994" w:rsidRPr="005F7994">
        <w:rPr>
          <w:rFonts w:ascii="Times New Roman" w:eastAsia="Times New Roman" w:hAnsi="Times New Roman" w:cs="Times New Roman"/>
          <w:sz w:val="24"/>
          <w:szCs w:val="24"/>
        </w:rPr>
        <w:t>, 2021</w:t>
      </w:r>
      <w:proofErr w:type="gramStart"/>
      <w:r w:rsidR="005F7994" w:rsidRPr="005F7994">
        <w:rPr>
          <w:rFonts w:ascii="Times New Roman" w:eastAsia="Times New Roman" w:hAnsi="Times New Roman" w:cs="Times New Roman"/>
          <w:sz w:val="24"/>
          <w:szCs w:val="24"/>
        </w:rPr>
        <w:t>).</w:t>
      </w:r>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gender gap reflects the unequal power in intimate relationships, where young women lack the agency to insist on condom use or refuse unsafe sex (</w:t>
      </w:r>
      <w:proofErr w:type="spellStart"/>
      <w:r>
        <w:rPr>
          <w:rFonts w:ascii="Times New Roman" w:eastAsia="Times New Roman" w:hAnsi="Times New Roman" w:cs="Times New Roman"/>
          <w:sz w:val="24"/>
          <w:szCs w:val="24"/>
        </w:rPr>
        <w:t>Malinga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Modie</w:t>
      </w:r>
      <w:proofErr w:type="spellEnd"/>
      <w:r>
        <w:rPr>
          <w:rFonts w:ascii="Times New Roman" w:eastAsia="Times New Roman" w:hAnsi="Times New Roman" w:cs="Times New Roman"/>
          <w:sz w:val="24"/>
          <w:szCs w:val="24"/>
        </w:rPr>
        <w:t>-Moroka, 2020).</w:t>
      </w:r>
    </w:p>
    <w:p w14:paraId="3789B41C" w14:textId="37B735E1"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Bronfenbrenner (1979), the chronosystem is applied to evaluate the influence of time and historical change on individual and social development. Time and historical change are crucial because they shape the context in which individuals grow. Over the past two decades, Botswana has made strides in addressing HIV/AIDS, yet adolescent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persist, partly due to emerging digital influences and shifting social dynamics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2020). The growing presence of social media and mobile technology exposes youth to both accurate information and harmful misinformation about sexuality. Furthermore, policy responses in the country have not kept pace with changing youth technological realities. For instance, although Botswana's HIV/AIDS strategic framework prioritizes youth engagement, inconsistent funding and programmatic discontinuity undermined long-term goals for effectiveness (</w:t>
      </w:r>
      <w:r w:rsidR="00F95BAA">
        <w:rPr>
          <w:rFonts w:ascii="Times New Roman" w:eastAsia="Times New Roman" w:hAnsi="Times New Roman" w:cs="Times New Roman"/>
          <w:sz w:val="24"/>
          <w:szCs w:val="24"/>
        </w:rPr>
        <w:t>Government of Botswana</w:t>
      </w:r>
      <w:r>
        <w:rPr>
          <w:rFonts w:ascii="Times New Roman" w:eastAsia="Times New Roman" w:hAnsi="Times New Roman" w:cs="Times New Roman"/>
          <w:sz w:val="24"/>
          <w:szCs w:val="24"/>
        </w:rPr>
        <w:t>, 202</w:t>
      </w:r>
      <w:r w:rsidR="00F95BA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Diura</w:t>
      </w:r>
      <w:proofErr w:type="spellEnd"/>
      <w:r>
        <w:rPr>
          <w:rFonts w:ascii="Times New Roman" w:eastAsia="Times New Roman" w:hAnsi="Times New Roman" w:cs="Times New Roman"/>
          <w:sz w:val="24"/>
          <w:szCs w:val="24"/>
        </w:rPr>
        <w:t>-Vere et al., 2023).</w:t>
      </w:r>
    </w:p>
    <w:p w14:paraId="38CF691E"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social ecological model analogy shows that the issue of youth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in Botswana is not solely the result of poor decision-making at the individual level. Instead, they are shaped by complex, interacting systematic factors ranging from family and peers to structural inequalities, cultural norms, and historical patterns that continue without being addressed adequately. It further shows that effective interventions should include multi-level; context specific strategies that engage not only youth but their families, schools, policy makers and address deep rooted gender inequalities, socio-economic disparities, and inter-generational beliefs about sexuality. The failure to customize interventions accordingly will mean that risky sexual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will continue to grow, particularly among vulnerable youth populations. </w:t>
      </w:r>
    </w:p>
    <w:p w14:paraId="080080AA" w14:textId="77777777" w:rsidR="003F78F3" w:rsidRDefault="00313ECA" w:rsidP="00313ECA">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Way forward on youth Unemployment and sexual risk </w:t>
      </w:r>
    </w:p>
    <w:p w14:paraId="1654A84B"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way forward in addressing youth unemployment and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lies in adopting an approach that recognizes the interconnectedness of economic, social, and personal factors in young people’s lives. </w:t>
      </w:r>
      <w:r w:rsidR="005F0957">
        <w:rPr>
          <w:rFonts w:ascii="Times New Roman" w:eastAsia="Times New Roman" w:hAnsi="Times New Roman" w:cs="Times New Roman"/>
          <w:sz w:val="24"/>
          <w:szCs w:val="24"/>
        </w:rPr>
        <w:t>These challenges require</w:t>
      </w:r>
      <w:r>
        <w:rPr>
          <w:rFonts w:ascii="Times New Roman" w:eastAsia="Times New Roman" w:hAnsi="Times New Roman" w:cs="Times New Roman"/>
          <w:sz w:val="24"/>
          <w:szCs w:val="24"/>
        </w:rPr>
        <w:t xml:space="preserve"> </w:t>
      </w:r>
      <w:r w:rsidR="005F0957">
        <w:rPr>
          <w:rFonts w:ascii="Times New Roman" w:eastAsia="Times New Roman" w:hAnsi="Times New Roman" w:cs="Times New Roman"/>
          <w:sz w:val="24"/>
          <w:szCs w:val="24"/>
        </w:rPr>
        <w:t xml:space="preserve">intense </w:t>
      </w:r>
      <w:r>
        <w:rPr>
          <w:rFonts w:ascii="Times New Roman" w:eastAsia="Times New Roman" w:hAnsi="Times New Roman" w:cs="Times New Roman"/>
          <w:sz w:val="24"/>
          <w:szCs w:val="24"/>
        </w:rPr>
        <w:t xml:space="preserve">engagement, resilience and agency among youth. </w:t>
      </w:r>
      <w:r w:rsidR="005F0957">
        <w:rPr>
          <w:rFonts w:ascii="Times New Roman" w:eastAsia="Times New Roman" w:hAnsi="Times New Roman" w:cs="Times New Roman"/>
          <w:sz w:val="24"/>
          <w:szCs w:val="24"/>
        </w:rPr>
        <w:t>Thus, creating an enabling environment</w:t>
      </w:r>
      <w:r>
        <w:rPr>
          <w:rFonts w:ascii="Times New Roman" w:eastAsia="Times New Roman" w:hAnsi="Times New Roman" w:cs="Times New Roman"/>
          <w:sz w:val="24"/>
          <w:szCs w:val="24"/>
        </w:rPr>
        <w:t xml:space="preserve"> f</w:t>
      </w:r>
      <w:r w:rsidR="005F0957">
        <w:rPr>
          <w:rFonts w:ascii="Times New Roman" w:eastAsia="Times New Roman" w:hAnsi="Times New Roman" w:cs="Times New Roman"/>
          <w:sz w:val="24"/>
          <w:szCs w:val="24"/>
        </w:rPr>
        <w:t>or opportunities where youth could</w:t>
      </w:r>
      <w:r>
        <w:rPr>
          <w:rFonts w:ascii="Times New Roman" w:eastAsia="Times New Roman" w:hAnsi="Times New Roman" w:cs="Times New Roman"/>
          <w:sz w:val="24"/>
          <w:szCs w:val="24"/>
        </w:rPr>
        <w:t xml:space="preserve"> develop skills, gain confidence and actively co</w:t>
      </w:r>
      <w:r w:rsidR="005F0957">
        <w:rPr>
          <w:rFonts w:ascii="Times New Roman" w:eastAsia="Times New Roman" w:hAnsi="Times New Roman" w:cs="Times New Roman"/>
          <w:sz w:val="24"/>
          <w:szCs w:val="24"/>
        </w:rPr>
        <w:t>ntribute to their communities. The a</w:t>
      </w:r>
      <w:r>
        <w:rPr>
          <w:rFonts w:ascii="Times New Roman" w:eastAsia="Times New Roman" w:hAnsi="Times New Roman" w:cs="Times New Roman"/>
          <w:sz w:val="24"/>
          <w:szCs w:val="24"/>
        </w:rPr>
        <w:t>ctive engag</w:t>
      </w:r>
      <w:r w:rsidR="005F0957">
        <w:rPr>
          <w:rFonts w:ascii="Times New Roman" w:eastAsia="Times New Roman" w:hAnsi="Times New Roman" w:cs="Times New Roman"/>
          <w:sz w:val="24"/>
          <w:szCs w:val="24"/>
        </w:rPr>
        <w:t xml:space="preserve">ement of youth in strategic policy reviews </w:t>
      </w:r>
      <w:r>
        <w:rPr>
          <w:rFonts w:ascii="Times New Roman" w:eastAsia="Times New Roman" w:hAnsi="Times New Roman" w:cs="Times New Roman"/>
          <w:sz w:val="24"/>
          <w:szCs w:val="24"/>
        </w:rPr>
        <w:t>is equally important</w:t>
      </w:r>
      <w:r w:rsidR="005F0957">
        <w:rPr>
          <w:rFonts w:ascii="Times New Roman" w:eastAsia="Times New Roman" w:hAnsi="Times New Roman" w:cs="Times New Roman"/>
          <w:sz w:val="24"/>
          <w:szCs w:val="24"/>
        </w:rPr>
        <w:t xml:space="preserve"> to minimize barriers. This is</w:t>
      </w:r>
      <w:r>
        <w:rPr>
          <w:rFonts w:ascii="Times New Roman" w:eastAsia="Times New Roman" w:hAnsi="Times New Roman" w:cs="Times New Roman"/>
          <w:sz w:val="24"/>
          <w:szCs w:val="24"/>
        </w:rPr>
        <w:t xml:space="preserve"> possible</w:t>
      </w:r>
      <w:r w:rsidR="005F0957">
        <w:rPr>
          <w:rFonts w:ascii="Times New Roman" w:eastAsia="Times New Roman" w:hAnsi="Times New Roman" w:cs="Times New Roman"/>
          <w:sz w:val="24"/>
          <w:szCs w:val="24"/>
        </w:rPr>
        <w:t xml:space="preserve"> where the country </w:t>
      </w:r>
      <w:proofErr w:type="gramStart"/>
      <w:r w:rsidR="005F0957">
        <w:rPr>
          <w:rFonts w:ascii="Times New Roman" w:eastAsia="Times New Roman" w:hAnsi="Times New Roman" w:cs="Times New Roman"/>
          <w:sz w:val="24"/>
          <w:szCs w:val="24"/>
        </w:rPr>
        <w:t>envision</w:t>
      </w:r>
      <w:proofErr w:type="gramEnd"/>
      <w:r w:rsidR="005F0957">
        <w:rPr>
          <w:rFonts w:ascii="Times New Roman" w:eastAsia="Times New Roman" w:hAnsi="Times New Roman" w:cs="Times New Roman"/>
          <w:sz w:val="24"/>
          <w:szCs w:val="24"/>
        </w:rPr>
        <w:t xml:space="preserve"> a future where unemployment and sexual risk will</w:t>
      </w:r>
      <w:r>
        <w:rPr>
          <w:rFonts w:ascii="Times New Roman" w:eastAsia="Times New Roman" w:hAnsi="Times New Roman" w:cs="Times New Roman"/>
          <w:sz w:val="24"/>
          <w:szCs w:val="24"/>
        </w:rPr>
        <w:t xml:space="preserve"> not define youth experiences.</w:t>
      </w:r>
    </w:p>
    <w:p w14:paraId="48C8F101" w14:textId="77777777" w:rsidR="003F78F3" w:rsidRDefault="00313ECA" w:rsidP="00313ECA">
      <w:pPr>
        <w:keepNext/>
        <w:keepLine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Conclusions</w:t>
      </w:r>
      <w:r>
        <w:rPr>
          <w:rFonts w:ascii="Times New Roman" w:eastAsia="Times New Roman" w:hAnsi="Times New Roman" w:cs="Times New Roman"/>
          <w:sz w:val="24"/>
          <w:szCs w:val="24"/>
        </w:rPr>
        <w:t xml:space="preserve"> </w:t>
      </w:r>
    </w:p>
    <w:p w14:paraId="5FD29033" w14:textId="04535BA1" w:rsidR="003F78F3" w:rsidRDefault="00313ECA" w:rsidP="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Community-level limitations, showed inadequate youth-friendly health services and a lack of vocational or recreational infrastructure, increased exposure to high-risk environments. At the societal level, persistent unemployment, poverty, and gender inequality created systemic pressures that normalize transactional sex and limit access to protective resources. The study concluded that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 unemployed youth are not isolated acts of personal choice but are embedded within broader socio-economic realities. Effective interventions must address the structural roots of youth vulnerability by integrating employment creation, life skills development, and comprehensive sexual health services into youth development strategies. A multi-level, ecologically informed approach is essential to reduce risk and improve sexual and reproductive health outcomes for young people in Botswana. This article concludes that effective and targeted interventions are essential to mitigate sexual risk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among unemployed youth in Botswana. These interventions should be inclusive, context specific, and rooted in socio</w:t>
      </w:r>
      <w:r w:rsidR="008306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ecological understanding. </w:t>
      </w:r>
    </w:p>
    <w:p w14:paraId="2BF2D064" w14:textId="77777777" w:rsidR="003F78F3" w:rsidRDefault="00313ECA" w:rsidP="00313ECA">
      <w:pPr>
        <w:keepNext/>
        <w:keepLines/>
        <w:spacing w:before="240" w:line="360" w:lineRule="auto"/>
        <w:jc w:val="both"/>
        <w:rPr>
          <w:rFonts w:ascii="Times New Roman" w:eastAsia="Times New Roman" w:hAnsi="Times New Roman" w:cs="Times New Roman"/>
          <w:b/>
          <w:bCs/>
          <w:sz w:val="24"/>
          <w:szCs w:val="24"/>
        </w:rPr>
      </w:pPr>
      <w:r>
        <w:br w:type="page"/>
      </w:r>
    </w:p>
    <w:p w14:paraId="1D315A55" w14:textId="77777777" w:rsidR="003F78F3" w:rsidRDefault="00313ECA" w:rsidP="00313ECA">
      <w:pPr>
        <w:keepNext/>
        <w:keepLines/>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References </w:t>
      </w:r>
    </w:p>
    <w:p w14:paraId="03CDF672" w14:textId="24BA5D40" w:rsidR="00376C92" w:rsidRDefault="00313ECA" w:rsidP="00313ECA">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Jessor</w:t>
      </w:r>
      <w:proofErr w:type="spellEnd"/>
      <w:r>
        <w:rPr>
          <w:rFonts w:ascii="Times New Roman" w:eastAsia="Times New Roman" w:hAnsi="Times New Roman" w:cs="Times New Roman"/>
          <w:sz w:val="24"/>
          <w:szCs w:val="24"/>
        </w:rPr>
        <w:t xml:space="preserve">, R. (1991). </w:t>
      </w:r>
      <w:r>
        <w:rPr>
          <w:rFonts w:ascii="Times New Roman" w:eastAsia="Times New Roman" w:hAnsi="Times New Roman" w:cs="Times New Roman"/>
          <w:i/>
          <w:iCs/>
          <w:sz w:val="24"/>
          <w:szCs w:val="24"/>
        </w:rPr>
        <w:t xml:space="preserve">Risk </w:t>
      </w:r>
      <w:proofErr w:type="spellStart"/>
      <w:r>
        <w:rPr>
          <w:rFonts w:ascii="Times New Roman" w:eastAsia="Times New Roman" w:hAnsi="Times New Roman" w:cs="Times New Roman"/>
          <w:i/>
          <w:iCs/>
          <w:sz w:val="24"/>
          <w:szCs w:val="24"/>
        </w:rPr>
        <w:t>behaviour</w:t>
      </w:r>
      <w:proofErr w:type="spellEnd"/>
      <w:r>
        <w:rPr>
          <w:rFonts w:ascii="Times New Roman" w:eastAsia="Times New Roman" w:hAnsi="Times New Roman" w:cs="Times New Roman"/>
          <w:i/>
          <w:iCs/>
          <w:sz w:val="24"/>
          <w:szCs w:val="24"/>
        </w:rPr>
        <w:t xml:space="preserve"> in adolescence: A psychosocial framework for understanding and action</w:t>
      </w:r>
      <w:r>
        <w:rPr>
          <w:rFonts w:ascii="Times New Roman" w:eastAsia="Times New Roman" w:hAnsi="Times New Roman" w:cs="Times New Roman"/>
          <w:sz w:val="24"/>
          <w:szCs w:val="24"/>
        </w:rPr>
        <w:t xml:space="preserve">. </w:t>
      </w:r>
      <w:r w:rsidR="00376C92">
        <w:rPr>
          <w:rFonts w:ascii="Times New Roman" w:eastAsia="Times New Roman" w:hAnsi="Times New Roman" w:cs="Times New Roman"/>
          <w:sz w:val="24"/>
          <w:szCs w:val="24"/>
        </w:rPr>
        <w:t>Journal of adolescent health</w:t>
      </w:r>
      <w:r>
        <w:rPr>
          <w:rFonts w:ascii="Times New Roman" w:eastAsia="Times New Roman" w:hAnsi="Times New Roman" w:cs="Times New Roman"/>
          <w:sz w:val="24"/>
          <w:szCs w:val="24"/>
        </w:rPr>
        <w:t xml:space="preserve">, </w:t>
      </w:r>
      <w:r w:rsidR="00376C92">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r w:rsidR="00376C92">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00376C92">
        <w:rPr>
          <w:rFonts w:ascii="Times New Roman" w:eastAsia="Times New Roman" w:hAnsi="Times New Roman" w:cs="Times New Roman"/>
          <w:sz w:val="24"/>
          <w:szCs w:val="24"/>
        </w:rPr>
        <w:t>597-606</w:t>
      </w:r>
      <w:r>
        <w:rPr>
          <w:rFonts w:ascii="Times New Roman" w:eastAsia="Times New Roman" w:hAnsi="Times New Roman" w:cs="Times New Roman"/>
          <w:sz w:val="24"/>
          <w:szCs w:val="24"/>
        </w:rPr>
        <w:t>.</w:t>
      </w:r>
      <w:r w:rsidR="00376C92" w:rsidRPr="00376C92">
        <w:t xml:space="preserve"> </w:t>
      </w:r>
      <w:hyperlink r:id="rId6" w:history="1">
        <w:r w:rsidR="00376C92" w:rsidRPr="0076528D">
          <w:rPr>
            <w:rStyle w:val="Hyperlink"/>
            <w:rFonts w:ascii="Times New Roman" w:eastAsia="Times New Roman" w:hAnsi="Times New Roman" w:cs="Times New Roman"/>
            <w:sz w:val="24"/>
            <w:szCs w:val="24"/>
          </w:rPr>
          <w:t>https://doi.org/10.1016/1054-139x(91)90007-k</w:t>
        </w:r>
      </w:hyperlink>
    </w:p>
    <w:p w14:paraId="5DDCA1AD" w14:textId="74336241" w:rsidR="008306BF" w:rsidRPr="00376C92" w:rsidRDefault="00313ECA" w:rsidP="00313ECA">
      <w:pPr>
        <w:spacing w:line="360" w:lineRule="auto"/>
        <w:jc w:val="both"/>
      </w:pPr>
      <w:r>
        <w:rPr>
          <w:rFonts w:ascii="Times New Roman" w:eastAsia="Times New Roman" w:hAnsi="Times New Roman" w:cs="Times New Roman"/>
          <w:sz w:val="24"/>
          <w:szCs w:val="24"/>
        </w:rPr>
        <w:t>Kilburn, K., Ranganathan, M., Stoner, M. C. D., Hughes, J. P., MacPhail, C., Agyei, Y., Gómez-</w:t>
      </w:r>
      <w:proofErr w:type="spellStart"/>
      <w:r>
        <w:rPr>
          <w:rFonts w:ascii="Times New Roman" w:eastAsia="Times New Roman" w:hAnsi="Times New Roman" w:cs="Times New Roman"/>
          <w:sz w:val="24"/>
          <w:szCs w:val="24"/>
        </w:rPr>
        <w:t>Olivé</w:t>
      </w:r>
      <w:proofErr w:type="spellEnd"/>
      <w:r>
        <w:rPr>
          <w:rFonts w:ascii="Times New Roman" w:eastAsia="Times New Roman" w:hAnsi="Times New Roman" w:cs="Times New Roman"/>
          <w:sz w:val="24"/>
          <w:szCs w:val="24"/>
        </w:rPr>
        <w:t xml:space="preserve">, F. X., Kahn, K., &amp; </w:t>
      </w:r>
      <w:proofErr w:type="spellStart"/>
      <w:r>
        <w:rPr>
          <w:rFonts w:ascii="Times New Roman" w:eastAsia="Times New Roman" w:hAnsi="Times New Roman" w:cs="Times New Roman"/>
          <w:sz w:val="24"/>
          <w:szCs w:val="24"/>
        </w:rPr>
        <w:t>Pettifor</w:t>
      </w:r>
      <w:proofErr w:type="spellEnd"/>
      <w:r>
        <w:rPr>
          <w:rFonts w:ascii="Times New Roman" w:eastAsia="Times New Roman" w:hAnsi="Times New Roman" w:cs="Times New Roman"/>
          <w:sz w:val="24"/>
          <w:szCs w:val="24"/>
        </w:rPr>
        <w:t xml:space="preserve">, A. (2018). Transactional sex and incident HIV infection in a cohort of young women from rural South Africa. </w:t>
      </w:r>
      <w:r>
        <w:rPr>
          <w:rFonts w:ascii="Times New Roman" w:eastAsia="Times New Roman" w:hAnsi="Times New Roman" w:cs="Times New Roman"/>
          <w:i/>
          <w:iCs/>
          <w:sz w:val="24"/>
          <w:szCs w:val="24"/>
        </w:rPr>
        <w:t>AIDS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32</w:t>
      </w:r>
      <w:r>
        <w:rPr>
          <w:rFonts w:ascii="Times New Roman" w:eastAsia="Times New Roman" w:hAnsi="Times New Roman" w:cs="Times New Roman"/>
          <w:sz w:val="24"/>
          <w:szCs w:val="24"/>
        </w:rPr>
        <w:t xml:space="preserve">(12), 1669–1677. </w:t>
      </w:r>
      <w:hyperlink r:id="rId7">
        <w:r>
          <w:rPr>
            <w:rFonts w:ascii="Times New Roman" w:eastAsia="Times New Roman" w:hAnsi="Times New Roman" w:cs="Times New Roman"/>
            <w:sz w:val="24"/>
            <w:szCs w:val="24"/>
            <w:u w:val="single"/>
          </w:rPr>
          <w:t>https://doi.org/10.1097/QAD.0000000000001866</w:t>
        </w:r>
      </w:hyperlink>
    </w:p>
    <w:p w14:paraId="215F1881" w14:textId="2CD566B1" w:rsidR="003F78F3" w:rsidRPr="007C2DE3" w:rsidRDefault="00313ECA" w:rsidP="00313ECA">
      <w:pPr>
        <w:spacing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sz w:val="24"/>
          <w:szCs w:val="24"/>
          <w:highlight w:val="white"/>
        </w:rPr>
        <w:t>Malinga</w:t>
      </w:r>
      <w:proofErr w:type="spellEnd"/>
      <w:r>
        <w:rPr>
          <w:rFonts w:ascii="Times New Roman" w:eastAsia="Times New Roman" w:hAnsi="Times New Roman" w:cs="Times New Roman"/>
          <w:sz w:val="24"/>
          <w:szCs w:val="24"/>
          <w:highlight w:val="white"/>
        </w:rPr>
        <w:t xml:space="preserve">, T., &amp; </w:t>
      </w:r>
      <w:proofErr w:type="spellStart"/>
      <w:r>
        <w:rPr>
          <w:rFonts w:ascii="Times New Roman" w:eastAsia="Times New Roman" w:hAnsi="Times New Roman" w:cs="Times New Roman"/>
          <w:sz w:val="24"/>
          <w:szCs w:val="24"/>
          <w:highlight w:val="white"/>
        </w:rPr>
        <w:t>Modie</w:t>
      </w:r>
      <w:proofErr w:type="spellEnd"/>
      <w:r>
        <w:rPr>
          <w:rFonts w:ascii="Times New Roman" w:eastAsia="Times New Roman" w:hAnsi="Times New Roman" w:cs="Times New Roman"/>
          <w:sz w:val="24"/>
          <w:szCs w:val="24"/>
          <w:highlight w:val="white"/>
        </w:rPr>
        <w:t xml:space="preserve">-Moroka, T. (2020). Factors influencing adolescents’ sexually risky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in Botswana. </w:t>
      </w:r>
      <w:r>
        <w:rPr>
          <w:rFonts w:ascii="Times New Roman" w:eastAsia="Times New Roman" w:hAnsi="Times New Roman" w:cs="Times New Roman"/>
          <w:i/>
          <w:iCs/>
          <w:sz w:val="24"/>
          <w:szCs w:val="24"/>
          <w:highlight w:val="white"/>
        </w:rPr>
        <w:t>International Journal of Social Science and Humanities. Invent</w:t>
      </w:r>
      <w:r>
        <w:rPr>
          <w:rFonts w:ascii="Times New Roman" w:eastAsia="Times New Roman" w:hAnsi="Times New Roman" w:cs="Times New Roman"/>
          <w:sz w:val="24"/>
          <w:szCs w:val="24"/>
          <w:highlight w:val="white"/>
        </w:rPr>
        <w:t>,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(10), 6229-6240.</w:t>
      </w:r>
      <w:r>
        <w:rPr>
          <w:rFonts w:ascii="Times New Roman" w:eastAsia="Times New Roman" w:hAnsi="Times New Roman" w:cs="Times New Roman"/>
          <w:sz w:val="24"/>
          <w:szCs w:val="24"/>
        </w:rPr>
        <w:t xml:space="preserve"> </w:t>
      </w:r>
      <w:hyperlink r:id="rId8" w:history="1">
        <w:r w:rsidR="00A34054" w:rsidRPr="0076528D">
          <w:rPr>
            <w:rStyle w:val="Hyperlink"/>
            <w:rFonts w:ascii="Times New Roman" w:eastAsia="Times New Roman" w:hAnsi="Times New Roman" w:cs="Times New Roman"/>
            <w:sz w:val="24"/>
            <w:szCs w:val="24"/>
          </w:rPr>
          <w:t>https://</w:t>
        </w:r>
        <w:r w:rsidR="00A34054" w:rsidRPr="0076528D">
          <w:rPr>
            <w:rStyle w:val="Hyperlink"/>
            <w:rFonts w:ascii="Times New Roman" w:eastAsia="Times New Roman" w:hAnsi="Times New Roman" w:cs="Times New Roman"/>
            <w:bCs/>
            <w:sz w:val="24"/>
            <w:szCs w:val="24"/>
          </w:rPr>
          <w:t>doi.org/10.18535/ijsshi/v7i10.05</w:t>
        </w:r>
      </w:hyperlink>
    </w:p>
    <w:p w14:paraId="2639BDC4" w14:textId="2B3FC745" w:rsidR="007C2DE3" w:rsidRDefault="007C2DE3" w:rsidP="00313ECA">
      <w:pPr>
        <w:spacing w:line="360" w:lineRule="auto"/>
        <w:jc w:val="both"/>
        <w:rPr>
          <w:rFonts w:ascii="Times New Roman" w:eastAsia="Times New Roman" w:hAnsi="Times New Roman" w:cs="Times New Roman"/>
          <w:sz w:val="24"/>
          <w:szCs w:val="24"/>
        </w:rPr>
      </w:pPr>
      <w:proofErr w:type="spellStart"/>
      <w:r w:rsidRPr="007C2DE3">
        <w:rPr>
          <w:rFonts w:ascii="Times New Roman" w:eastAsia="Times New Roman" w:hAnsi="Times New Roman" w:cs="Times New Roman"/>
          <w:sz w:val="24"/>
          <w:szCs w:val="24"/>
        </w:rPr>
        <w:t>Achdut</w:t>
      </w:r>
      <w:proofErr w:type="spellEnd"/>
      <w:r w:rsidRPr="007C2DE3">
        <w:rPr>
          <w:rFonts w:ascii="Times New Roman" w:eastAsia="Times New Roman" w:hAnsi="Times New Roman" w:cs="Times New Roman"/>
          <w:sz w:val="24"/>
          <w:szCs w:val="24"/>
        </w:rPr>
        <w:t xml:space="preserve">, N., &amp; </w:t>
      </w:r>
      <w:proofErr w:type="spellStart"/>
      <w:r w:rsidRPr="007C2DE3">
        <w:rPr>
          <w:rFonts w:ascii="Times New Roman" w:eastAsia="Times New Roman" w:hAnsi="Times New Roman" w:cs="Times New Roman"/>
          <w:sz w:val="24"/>
          <w:szCs w:val="24"/>
        </w:rPr>
        <w:t>Refaeli</w:t>
      </w:r>
      <w:proofErr w:type="spellEnd"/>
      <w:r w:rsidRPr="007C2DE3">
        <w:rPr>
          <w:rFonts w:ascii="Times New Roman" w:eastAsia="Times New Roman" w:hAnsi="Times New Roman" w:cs="Times New Roman"/>
          <w:sz w:val="24"/>
          <w:szCs w:val="24"/>
        </w:rPr>
        <w:t>, T. (2020). Unemployment and Psychological Distress among Young People during the COVID-19 Pandemic: Psychological Resources and Risk Factors. </w:t>
      </w:r>
      <w:r w:rsidRPr="007C2DE3">
        <w:rPr>
          <w:rFonts w:ascii="Times New Roman" w:eastAsia="Times New Roman" w:hAnsi="Times New Roman" w:cs="Times New Roman"/>
          <w:i/>
          <w:iCs/>
          <w:sz w:val="24"/>
          <w:szCs w:val="24"/>
        </w:rPr>
        <w:t>International Journal of Environmental Research and Public Health</w:t>
      </w:r>
      <w:r w:rsidRPr="007C2DE3">
        <w:rPr>
          <w:rFonts w:ascii="Times New Roman" w:eastAsia="Times New Roman" w:hAnsi="Times New Roman" w:cs="Times New Roman"/>
          <w:sz w:val="24"/>
          <w:szCs w:val="24"/>
        </w:rPr>
        <w:t>, </w:t>
      </w:r>
      <w:r w:rsidRPr="007C2DE3">
        <w:rPr>
          <w:rFonts w:ascii="Times New Roman" w:eastAsia="Times New Roman" w:hAnsi="Times New Roman" w:cs="Times New Roman"/>
          <w:i/>
          <w:iCs/>
          <w:sz w:val="24"/>
          <w:szCs w:val="24"/>
        </w:rPr>
        <w:t>17</w:t>
      </w:r>
      <w:r w:rsidRPr="007C2DE3">
        <w:rPr>
          <w:rFonts w:ascii="Times New Roman" w:eastAsia="Times New Roman" w:hAnsi="Times New Roman" w:cs="Times New Roman"/>
          <w:sz w:val="24"/>
          <w:szCs w:val="24"/>
        </w:rPr>
        <w:t xml:space="preserve">(19), 7163. </w:t>
      </w:r>
      <w:hyperlink r:id="rId9" w:history="1">
        <w:r w:rsidRPr="0076528D">
          <w:rPr>
            <w:rStyle w:val="Hyperlink"/>
            <w:rFonts w:ascii="Times New Roman" w:eastAsia="Times New Roman" w:hAnsi="Times New Roman" w:cs="Times New Roman"/>
            <w:sz w:val="24"/>
            <w:szCs w:val="24"/>
          </w:rPr>
          <w:t>https://doi.org/10.3390/ijerph17197163</w:t>
        </w:r>
      </w:hyperlink>
    </w:p>
    <w:p w14:paraId="53E622E0" w14:textId="3B751D49" w:rsidR="00B00FD0" w:rsidRDefault="00B00FD0" w:rsidP="00313ECA">
      <w:pPr>
        <w:spacing w:line="360" w:lineRule="auto"/>
        <w:jc w:val="both"/>
        <w:rPr>
          <w:rFonts w:ascii="Times New Roman" w:eastAsia="Times New Roman" w:hAnsi="Times New Roman" w:cs="Times New Roman"/>
          <w:sz w:val="24"/>
          <w:szCs w:val="24"/>
        </w:rPr>
      </w:pPr>
      <w:proofErr w:type="spellStart"/>
      <w:r w:rsidRPr="00B00FD0">
        <w:rPr>
          <w:rFonts w:ascii="Times New Roman" w:eastAsia="Times New Roman" w:hAnsi="Times New Roman" w:cs="Times New Roman"/>
          <w:sz w:val="24"/>
          <w:szCs w:val="24"/>
        </w:rPr>
        <w:t>Dinkelman</w:t>
      </w:r>
      <w:proofErr w:type="spellEnd"/>
      <w:r w:rsidRPr="00B00FD0">
        <w:rPr>
          <w:rFonts w:ascii="Times New Roman" w:eastAsia="Times New Roman" w:hAnsi="Times New Roman" w:cs="Times New Roman"/>
          <w:sz w:val="24"/>
          <w:szCs w:val="24"/>
        </w:rPr>
        <w:t xml:space="preserve">, T., Lam, D., &amp; </w:t>
      </w:r>
      <w:proofErr w:type="spellStart"/>
      <w:r w:rsidRPr="00B00FD0">
        <w:rPr>
          <w:rFonts w:ascii="Times New Roman" w:eastAsia="Times New Roman" w:hAnsi="Times New Roman" w:cs="Times New Roman"/>
          <w:sz w:val="24"/>
          <w:szCs w:val="24"/>
        </w:rPr>
        <w:t>Leibbrandt</w:t>
      </w:r>
      <w:proofErr w:type="spellEnd"/>
      <w:r w:rsidRPr="00B00FD0">
        <w:rPr>
          <w:rFonts w:ascii="Times New Roman" w:eastAsia="Times New Roman" w:hAnsi="Times New Roman" w:cs="Times New Roman"/>
          <w:sz w:val="24"/>
          <w:szCs w:val="24"/>
        </w:rPr>
        <w:t>, M. (2008). LINKING POVERTY AND INCOME SHOCKS TO RISKY SEXUAL BEHAVIOUR: EVIDENCE FROM A PANEL STUDY OF YOUNG ADULTS IN CAPE TOWN. </w:t>
      </w:r>
      <w:r w:rsidRPr="00B00FD0">
        <w:rPr>
          <w:rFonts w:ascii="Times New Roman" w:eastAsia="Times New Roman" w:hAnsi="Times New Roman" w:cs="Times New Roman"/>
          <w:i/>
          <w:iCs/>
          <w:sz w:val="24"/>
          <w:szCs w:val="24"/>
        </w:rPr>
        <w:t xml:space="preserve">The South African journal of economics. </w:t>
      </w:r>
      <w:proofErr w:type="spellStart"/>
      <w:r w:rsidRPr="00B00FD0">
        <w:rPr>
          <w:rFonts w:ascii="Times New Roman" w:eastAsia="Times New Roman" w:hAnsi="Times New Roman" w:cs="Times New Roman"/>
          <w:i/>
          <w:iCs/>
          <w:sz w:val="24"/>
          <w:szCs w:val="24"/>
        </w:rPr>
        <w:t>Suid-afrikaanse</w:t>
      </w:r>
      <w:proofErr w:type="spellEnd"/>
      <w:r w:rsidRPr="00B00FD0">
        <w:rPr>
          <w:rFonts w:ascii="Times New Roman" w:eastAsia="Times New Roman" w:hAnsi="Times New Roman" w:cs="Times New Roman"/>
          <w:i/>
          <w:iCs/>
          <w:sz w:val="24"/>
          <w:szCs w:val="24"/>
        </w:rPr>
        <w:t xml:space="preserve"> </w:t>
      </w:r>
      <w:proofErr w:type="spellStart"/>
      <w:r w:rsidRPr="00B00FD0">
        <w:rPr>
          <w:rFonts w:ascii="Times New Roman" w:eastAsia="Times New Roman" w:hAnsi="Times New Roman" w:cs="Times New Roman"/>
          <w:i/>
          <w:iCs/>
          <w:sz w:val="24"/>
          <w:szCs w:val="24"/>
        </w:rPr>
        <w:t>tydskrif</w:t>
      </w:r>
      <w:proofErr w:type="spellEnd"/>
      <w:r w:rsidRPr="00B00FD0">
        <w:rPr>
          <w:rFonts w:ascii="Times New Roman" w:eastAsia="Times New Roman" w:hAnsi="Times New Roman" w:cs="Times New Roman"/>
          <w:i/>
          <w:iCs/>
          <w:sz w:val="24"/>
          <w:szCs w:val="24"/>
        </w:rPr>
        <w:t xml:space="preserve"> </w:t>
      </w:r>
      <w:proofErr w:type="spellStart"/>
      <w:r w:rsidRPr="00B00FD0">
        <w:rPr>
          <w:rFonts w:ascii="Times New Roman" w:eastAsia="Times New Roman" w:hAnsi="Times New Roman" w:cs="Times New Roman"/>
          <w:i/>
          <w:iCs/>
          <w:sz w:val="24"/>
          <w:szCs w:val="24"/>
        </w:rPr>
        <w:t>vir</w:t>
      </w:r>
      <w:proofErr w:type="spellEnd"/>
      <w:r w:rsidRPr="00B00FD0">
        <w:rPr>
          <w:rFonts w:ascii="Times New Roman" w:eastAsia="Times New Roman" w:hAnsi="Times New Roman" w:cs="Times New Roman"/>
          <w:i/>
          <w:iCs/>
          <w:sz w:val="24"/>
          <w:szCs w:val="24"/>
        </w:rPr>
        <w:t xml:space="preserve"> </w:t>
      </w:r>
      <w:proofErr w:type="spellStart"/>
      <w:r w:rsidRPr="00B00FD0">
        <w:rPr>
          <w:rFonts w:ascii="Times New Roman" w:eastAsia="Times New Roman" w:hAnsi="Times New Roman" w:cs="Times New Roman"/>
          <w:i/>
          <w:iCs/>
          <w:sz w:val="24"/>
          <w:szCs w:val="24"/>
        </w:rPr>
        <w:t>ekonomie</w:t>
      </w:r>
      <w:proofErr w:type="spellEnd"/>
      <w:r w:rsidRPr="00B00FD0">
        <w:rPr>
          <w:rFonts w:ascii="Times New Roman" w:eastAsia="Times New Roman" w:hAnsi="Times New Roman" w:cs="Times New Roman"/>
          <w:sz w:val="24"/>
          <w:szCs w:val="24"/>
        </w:rPr>
        <w:t>, </w:t>
      </w:r>
      <w:r w:rsidRPr="00B00FD0">
        <w:rPr>
          <w:rFonts w:ascii="Times New Roman" w:eastAsia="Times New Roman" w:hAnsi="Times New Roman" w:cs="Times New Roman"/>
          <w:i/>
          <w:iCs/>
          <w:sz w:val="24"/>
          <w:szCs w:val="24"/>
        </w:rPr>
        <w:t>76</w:t>
      </w:r>
      <w:r w:rsidRPr="00B00FD0">
        <w:rPr>
          <w:rFonts w:ascii="Times New Roman" w:eastAsia="Times New Roman" w:hAnsi="Times New Roman" w:cs="Times New Roman"/>
          <w:sz w:val="24"/>
          <w:szCs w:val="24"/>
        </w:rPr>
        <w:t xml:space="preserve">(supp1), s52–s74. </w:t>
      </w:r>
      <w:hyperlink r:id="rId10" w:history="1">
        <w:r w:rsidR="004F054C" w:rsidRPr="0076528D">
          <w:rPr>
            <w:rStyle w:val="Hyperlink"/>
            <w:rFonts w:ascii="Times New Roman" w:eastAsia="Times New Roman" w:hAnsi="Times New Roman" w:cs="Times New Roman"/>
            <w:sz w:val="24"/>
            <w:szCs w:val="24"/>
          </w:rPr>
          <w:t>https://doi.org/10.1111/j.1813-6982.2008.00170.x</w:t>
        </w:r>
      </w:hyperlink>
    </w:p>
    <w:p w14:paraId="641976A5" w14:textId="1739AED1" w:rsidR="00711361" w:rsidRDefault="00711361" w:rsidP="00313ECA">
      <w:pPr>
        <w:spacing w:line="360" w:lineRule="auto"/>
        <w:jc w:val="both"/>
        <w:rPr>
          <w:rFonts w:ascii="Times New Roman" w:eastAsia="Times New Roman" w:hAnsi="Times New Roman" w:cs="Times New Roman"/>
          <w:sz w:val="24"/>
          <w:szCs w:val="24"/>
        </w:rPr>
      </w:pPr>
      <w:r w:rsidRPr="00711361">
        <w:rPr>
          <w:rFonts w:ascii="Times New Roman" w:eastAsia="Times New Roman" w:hAnsi="Times New Roman" w:cs="Times New Roman"/>
          <w:sz w:val="24"/>
          <w:szCs w:val="24"/>
        </w:rPr>
        <w:t>Kirby D. (2002). Effective approaches to reducing adolescent unprotected sex, pregnancy, and childbearing. </w:t>
      </w:r>
      <w:r w:rsidRPr="00711361">
        <w:rPr>
          <w:rFonts w:ascii="Times New Roman" w:eastAsia="Times New Roman" w:hAnsi="Times New Roman" w:cs="Times New Roman"/>
          <w:i/>
          <w:iCs/>
          <w:sz w:val="24"/>
          <w:szCs w:val="24"/>
        </w:rPr>
        <w:t>Journal of sex research</w:t>
      </w:r>
      <w:r w:rsidRPr="00711361">
        <w:rPr>
          <w:rFonts w:ascii="Times New Roman" w:eastAsia="Times New Roman" w:hAnsi="Times New Roman" w:cs="Times New Roman"/>
          <w:sz w:val="24"/>
          <w:szCs w:val="24"/>
        </w:rPr>
        <w:t>, </w:t>
      </w:r>
      <w:r w:rsidRPr="00711361">
        <w:rPr>
          <w:rFonts w:ascii="Times New Roman" w:eastAsia="Times New Roman" w:hAnsi="Times New Roman" w:cs="Times New Roman"/>
          <w:i/>
          <w:iCs/>
          <w:sz w:val="24"/>
          <w:szCs w:val="24"/>
        </w:rPr>
        <w:t>39</w:t>
      </w:r>
      <w:r w:rsidRPr="00711361">
        <w:rPr>
          <w:rFonts w:ascii="Times New Roman" w:eastAsia="Times New Roman" w:hAnsi="Times New Roman" w:cs="Times New Roman"/>
          <w:sz w:val="24"/>
          <w:szCs w:val="24"/>
        </w:rPr>
        <w:t xml:space="preserve">(1), 51–57. </w:t>
      </w:r>
      <w:hyperlink r:id="rId11" w:history="1">
        <w:r w:rsidRPr="0076528D">
          <w:rPr>
            <w:rStyle w:val="Hyperlink"/>
            <w:rFonts w:ascii="Times New Roman" w:eastAsia="Times New Roman" w:hAnsi="Times New Roman" w:cs="Times New Roman"/>
            <w:sz w:val="24"/>
            <w:szCs w:val="24"/>
          </w:rPr>
          <w:t>https://doi.org/10.1080/00224490209552120</w:t>
        </w:r>
      </w:hyperlink>
    </w:p>
    <w:p w14:paraId="01E7D409" w14:textId="3F5AA7E8" w:rsidR="007B1F61" w:rsidRDefault="008306BF" w:rsidP="00313ECA">
      <w:pPr>
        <w:spacing w:line="360" w:lineRule="auto"/>
        <w:jc w:val="both"/>
        <w:rPr>
          <w:rFonts w:ascii="Times New Roman" w:eastAsia="Times New Roman" w:hAnsi="Times New Roman" w:cs="Times New Roman"/>
          <w:sz w:val="24"/>
          <w:szCs w:val="24"/>
        </w:rPr>
      </w:pPr>
      <w:r w:rsidRPr="008306BF">
        <w:rPr>
          <w:rFonts w:ascii="Times New Roman" w:eastAsia="Times New Roman" w:hAnsi="Times New Roman" w:cs="Times New Roman"/>
          <w:sz w:val="24"/>
          <w:szCs w:val="24"/>
        </w:rPr>
        <w:t xml:space="preserve">Booth, A., Sutton, A., &amp; </w:t>
      </w:r>
      <w:proofErr w:type="spellStart"/>
      <w:r w:rsidRPr="008306BF">
        <w:rPr>
          <w:rFonts w:ascii="Times New Roman" w:eastAsia="Times New Roman" w:hAnsi="Times New Roman" w:cs="Times New Roman"/>
          <w:sz w:val="24"/>
          <w:szCs w:val="24"/>
        </w:rPr>
        <w:t>Papaioannou</w:t>
      </w:r>
      <w:proofErr w:type="spellEnd"/>
      <w:r w:rsidRPr="008306BF">
        <w:rPr>
          <w:rFonts w:ascii="Times New Roman" w:eastAsia="Times New Roman" w:hAnsi="Times New Roman" w:cs="Times New Roman"/>
          <w:sz w:val="24"/>
          <w:szCs w:val="24"/>
        </w:rPr>
        <w:t xml:space="preserve">, D. (2016). </w:t>
      </w:r>
      <w:r w:rsidRPr="008306BF">
        <w:rPr>
          <w:rFonts w:ascii="Times New Roman" w:eastAsia="Times New Roman" w:hAnsi="Times New Roman" w:cs="Times New Roman"/>
          <w:i/>
          <w:iCs/>
          <w:sz w:val="24"/>
          <w:szCs w:val="24"/>
        </w:rPr>
        <w:t>Systematic approaches to a successful literature review</w:t>
      </w:r>
      <w:r w:rsidRPr="008306BF">
        <w:rPr>
          <w:rFonts w:ascii="Times New Roman" w:eastAsia="Times New Roman" w:hAnsi="Times New Roman" w:cs="Times New Roman"/>
          <w:sz w:val="24"/>
          <w:szCs w:val="24"/>
        </w:rPr>
        <w:t xml:space="preserve"> (2nd ed.). SAGE Publications.</w:t>
      </w:r>
      <w:r>
        <w:rPr>
          <w:rFonts w:ascii="Times New Roman" w:eastAsia="Times New Roman" w:hAnsi="Times New Roman" w:cs="Times New Roman"/>
          <w:sz w:val="24"/>
          <w:szCs w:val="24"/>
        </w:rPr>
        <w:t xml:space="preserve"> </w:t>
      </w:r>
      <w:hyperlink r:id="rId12" w:history="1">
        <w:r w:rsidRPr="0076528D">
          <w:rPr>
            <w:rStyle w:val="Hyperlink"/>
            <w:rFonts w:ascii="Times New Roman" w:eastAsia="Times New Roman" w:hAnsi="Times New Roman" w:cs="Times New Roman"/>
            <w:sz w:val="24"/>
            <w:szCs w:val="24"/>
          </w:rPr>
          <w:t>https://uk.sagepub.com/en-gb/oce/systematic-approaches-to-a-successful-literature-review/book270933</w:t>
        </w:r>
      </w:hyperlink>
      <w:r w:rsidRPr="008306BF">
        <w:rPr>
          <w:rFonts w:ascii="Times New Roman" w:eastAsia="Times New Roman" w:hAnsi="Times New Roman" w:cs="Times New Roman"/>
          <w:sz w:val="24"/>
          <w:szCs w:val="24"/>
        </w:rPr>
        <w:t>?</w:t>
      </w:r>
    </w:p>
    <w:p w14:paraId="28ED7969" w14:textId="78802B2B" w:rsidR="003F78F3" w:rsidRDefault="00313ECA" w:rsidP="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Christou, P. A. (202</w:t>
      </w:r>
      <w:r w:rsidR="00D17443">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rPr>
        <w:t>). How to use thematic analysis in qualitative research. </w:t>
      </w:r>
      <w:r>
        <w:rPr>
          <w:rFonts w:ascii="Times New Roman" w:eastAsia="Times New Roman" w:hAnsi="Times New Roman" w:cs="Times New Roman"/>
          <w:i/>
          <w:iCs/>
          <w:sz w:val="24"/>
          <w:szCs w:val="24"/>
          <w:highlight w:val="white"/>
        </w:rPr>
        <w:t>Journal of Qualitative Research in Tourism</w:t>
      </w:r>
      <w:r>
        <w:rPr>
          <w:rFonts w:ascii="Times New Roman" w:eastAsia="Times New Roman" w:hAnsi="Times New Roman" w:cs="Times New Roman"/>
          <w:sz w:val="24"/>
          <w:szCs w:val="24"/>
          <w:highlight w:val="white"/>
        </w:rPr>
        <w:t>, </w:t>
      </w:r>
      <w:r w:rsidR="00D17443">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xml:space="preserve">, </w:t>
      </w:r>
      <w:r w:rsidR="00D17443">
        <w:rPr>
          <w:rFonts w:ascii="Times New Roman" w:eastAsia="Times New Roman" w:hAnsi="Times New Roman" w:cs="Times New Roman"/>
          <w:sz w:val="24"/>
          <w:szCs w:val="24"/>
          <w:highlight w:val="white"/>
        </w:rPr>
        <w:t>1-17</w:t>
      </w:r>
      <w:r>
        <w:rPr>
          <w:rFonts w:ascii="Times New Roman" w:eastAsia="Times New Roman" w:hAnsi="Times New Roman" w:cs="Times New Roman"/>
          <w:sz w:val="24"/>
          <w:szCs w:val="24"/>
          <w:highlight w:val="white"/>
        </w:rPr>
        <w:t xml:space="preserve">. </w:t>
      </w:r>
      <w:hyperlink r:id="rId13" w:history="1">
        <w:r w:rsidR="00D17443" w:rsidRPr="0076528D">
          <w:rPr>
            <w:rStyle w:val="Hyperlink"/>
            <w:rFonts w:ascii="Times New Roman" w:eastAsia="Times New Roman" w:hAnsi="Times New Roman" w:cs="Times New Roman"/>
            <w:sz w:val="24"/>
            <w:szCs w:val="24"/>
          </w:rPr>
          <w:t>http://doi.org/10.4337/jqrt.2023.0006</w:t>
        </w:r>
      </w:hyperlink>
    </w:p>
    <w:p w14:paraId="73C4A094" w14:textId="77777777" w:rsidR="008306BF" w:rsidRDefault="00313ECA" w:rsidP="00313ECA">
      <w:pPr>
        <w:spacing w:after="16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Vaismoradi</w:t>
      </w:r>
      <w:proofErr w:type="spellEnd"/>
      <w:r>
        <w:rPr>
          <w:rFonts w:ascii="Times New Roman" w:eastAsia="Times New Roman" w:hAnsi="Times New Roman" w:cs="Times New Roman"/>
          <w:sz w:val="24"/>
          <w:szCs w:val="24"/>
          <w:highlight w:val="white"/>
        </w:rPr>
        <w:t xml:space="preserve">, M., &amp; </w:t>
      </w:r>
      <w:proofErr w:type="spellStart"/>
      <w:r>
        <w:rPr>
          <w:rFonts w:ascii="Times New Roman" w:eastAsia="Times New Roman" w:hAnsi="Times New Roman" w:cs="Times New Roman"/>
          <w:sz w:val="24"/>
          <w:szCs w:val="24"/>
          <w:highlight w:val="white"/>
        </w:rPr>
        <w:t>Snelgrove</w:t>
      </w:r>
      <w:proofErr w:type="spellEnd"/>
      <w:r>
        <w:rPr>
          <w:rFonts w:ascii="Times New Roman" w:eastAsia="Times New Roman" w:hAnsi="Times New Roman" w:cs="Times New Roman"/>
          <w:sz w:val="24"/>
          <w:szCs w:val="24"/>
          <w:highlight w:val="white"/>
        </w:rPr>
        <w:t>, S. (2019). Theme in qualitative content analysis and thematic analysis.</w:t>
      </w:r>
      <w:r>
        <w:rPr>
          <w:rFonts w:ascii="Times New Roman" w:eastAsia="Times New Roman" w:hAnsi="Times New Roman" w:cs="Times New Roman"/>
          <w:i/>
          <w:iCs/>
          <w:sz w:val="24"/>
          <w:szCs w:val="24"/>
          <w:highlight w:val="white"/>
        </w:rPr>
        <w:t xml:space="preserve"> Forum Qualitative </w:t>
      </w:r>
      <w:proofErr w:type="spellStart"/>
      <w:r>
        <w:rPr>
          <w:rFonts w:ascii="Times New Roman" w:eastAsia="Times New Roman" w:hAnsi="Times New Roman" w:cs="Times New Roman"/>
          <w:i/>
          <w:iCs/>
          <w:sz w:val="24"/>
          <w:szCs w:val="24"/>
          <w:highlight w:val="white"/>
        </w:rPr>
        <w:t>Sozialforschung</w:t>
      </w:r>
      <w:proofErr w:type="spellEnd"/>
      <w:r>
        <w:rPr>
          <w:rFonts w:ascii="Times New Roman" w:eastAsia="Times New Roman" w:hAnsi="Times New Roman" w:cs="Times New Roman"/>
          <w:i/>
          <w:iCs/>
          <w:sz w:val="24"/>
          <w:szCs w:val="24"/>
          <w:highlight w:val="white"/>
        </w:rPr>
        <w:t xml:space="preserve"> Forum: Qualitative Social Research</w:t>
      </w:r>
      <w:r>
        <w:rPr>
          <w:rFonts w:ascii="Times New Roman" w:eastAsia="Times New Roman" w:hAnsi="Times New Roman" w:cs="Times New Roman"/>
          <w:sz w:val="24"/>
          <w:szCs w:val="24"/>
          <w:highlight w:val="white"/>
        </w:rPr>
        <w:t>, </w:t>
      </w:r>
      <w:r>
        <w:rPr>
          <w:rFonts w:ascii="Times New Roman" w:eastAsia="Times New Roman" w:hAnsi="Times New Roman" w:cs="Times New Roman"/>
          <w:i/>
          <w:iCs/>
          <w:sz w:val="24"/>
          <w:szCs w:val="24"/>
          <w:highlight w:val="white"/>
        </w:rPr>
        <w:t>20</w:t>
      </w:r>
      <w:r>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https://doi.org/10.17169/fqs-20.3.3376</w:t>
        </w:r>
      </w:hyperlink>
    </w:p>
    <w:p w14:paraId="6EB81480" w14:textId="1B96659B" w:rsidR="003F78F3" w:rsidRDefault="00313ECA" w:rsidP="00313ECA">
      <w:pPr>
        <w:spacing w:after="16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Nthomang</w:t>
      </w:r>
      <w:proofErr w:type="spellEnd"/>
      <w:r>
        <w:rPr>
          <w:rFonts w:ascii="Times New Roman" w:eastAsia="Times New Roman" w:hAnsi="Times New Roman" w:cs="Times New Roman"/>
          <w:sz w:val="24"/>
          <w:szCs w:val="24"/>
        </w:rPr>
        <w:t xml:space="preserve">, K. &amp; </w:t>
      </w:r>
      <w:proofErr w:type="spellStart"/>
      <w:r>
        <w:rPr>
          <w:rFonts w:ascii="Times New Roman" w:eastAsia="Times New Roman" w:hAnsi="Times New Roman" w:cs="Times New Roman"/>
          <w:sz w:val="24"/>
          <w:szCs w:val="24"/>
        </w:rPr>
        <w:t>Diraditsile</w:t>
      </w:r>
      <w:proofErr w:type="spellEnd"/>
      <w:r>
        <w:rPr>
          <w:rFonts w:ascii="Times New Roman" w:eastAsia="Times New Roman" w:hAnsi="Times New Roman" w:cs="Times New Roman"/>
          <w:sz w:val="24"/>
          <w:szCs w:val="24"/>
        </w:rPr>
        <w:t xml:space="preserve">, K. (2016). Improving youth employment in Botswana: The need for evidence-based policy and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development. </w:t>
      </w:r>
      <w:proofErr w:type="spellStart"/>
      <w:r>
        <w:rPr>
          <w:rFonts w:ascii="Times New Roman" w:eastAsia="Times New Roman" w:hAnsi="Times New Roman" w:cs="Times New Roman"/>
          <w:sz w:val="24"/>
          <w:szCs w:val="24"/>
        </w:rPr>
        <w:t>Mosenodi</w:t>
      </w:r>
      <w:proofErr w:type="spellEnd"/>
      <w:r>
        <w:rPr>
          <w:rFonts w:ascii="Times New Roman" w:eastAsia="Times New Roman" w:hAnsi="Times New Roman" w:cs="Times New Roman"/>
          <w:sz w:val="24"/>
          <w:szCs w:val="24"/>
        </w:rPr>
        <w:t xml:space="preserve">: Journal of the </w:t>
      </w:r>
      <w:r>
        <w:rPr>
          <w:rFonts w:ascii="Times New Roman" w:eastAsia="Times New Roman" w:hAnsi="Times New Roman" w:cs="Times New Roman"/>
          <w:sz w:val="24"/>
          <w:szCs w:val="24"/>
        </w:rPr>
        <w:lastRenderedPageBreak/>
        <w:t xml:space="preserve">Botswana Educational Research and Association, 19(1):45-55. </w:t>
      </w:r>
      <w:hyperlink r:id="rId15" w:history="1">
        <w:r w:rsidR="00A93834" w:rsidRPr="0076528D">
          <w:rPr>
            <w:rStyle w:val="Hyperlink"/>
            <w:rFonts w:ascii="Times New Roman" w:eastAsia="Times New Roman" w:hAnsi="Times New Roman" w:cs="Times New Roman"/>
            <w:sz w:val="24"/>
            <w:szCs w:val="24"/>
          </w:rPr>
          <w:t>https://journals.ub.bw/index.php/mosenodi/article/download/1067/654</w:t>
        </w:r>
      </w:hyperlink>
    </w:p>
    <w:p w14:paraId="26F76870" w14:textId="77777777" w:rsidR="003F78F3" w:rsidRDefault="00313ECA" w:rsidP="00313EC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Sechele, L. (2021). </w:t>
      </w:r>
      <w:r>
        <w:rPr>
          <w:rFonts w:ascii="Times New Roman" w:eastAsia="Times New Roman" w:hAnsi="Times New Roman" w:cs="Times New Roman"/>
          <w:i/>
          <w:iCs/>
          <w:sz w:val="24"/>
          <w:szCs w:val="24"/>
        </w:rPr>
        <w:t>Factors that contribute to youth unemployment in Botswana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Mosenodi</w:t>
      </w:r>
      <w:proofErr w:type="spellEnd"/>
      <w:r>
        <w:rPr>
          <w:rFonts w:ascii="Times New Roman" w:eastAsia="Times New Roman" w:hAnsi="Times New Roman" w:cs="Times New Roman"/>
          <w:sz w:val="24"/>
          <w:szCs w:val="24"/>
        </w:rPr>
        <w:t>: International Journal of Educational Studies, 24(2), 88–111. University of Botswana</w:t>
      </w:r>
    </w:p>
    <w:p w14:paraId="7C6E66ED" w14:textId="04DA156C" w:rsidR="003F78F3" w:rsidRDefault="00313ECA" w:rsidP="00313ECA">
      <w:pPr>
        <w:spacing w:after="16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Siphambe</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Bakwena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Setlhare</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Kolobe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Oageng</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Setlhare</w:t>
      </w:r>
      <w:proofErr w:type="spellEnd"/>
      <w:r>
        <w:rPr>
          <w:rFonts w:ascii="Times New Roman" w:eastAsia="Times New Roman" w:hAnsi="Times New Roman" w:cs="Times New Roman"/>
          <w:sz w:val="24"/>
          <w:szCs w:val="24"/>
          <w:highlight w:val="white"/>
        </w:rPr>
        <w:t xml:space="preserve">, K., &amp; </w:t>
      </w:r>
      <w:proofErr w:type="spellStart"/>
      <w:r>
        <w:rPr>
          <w:rFonts w:ascii="Times New Roman" w:eastAsia="Times New Roman" w:hAnsi="Times New Roman" w:cs="Times New Roman"/>
          <w:sz w:val="24"/>
          <w:szCs w:val="24"/>
          <w:highlight w:val="white"/>
        </w:rPr>
        <w:t>Motswagae</w:t>
      </w:r>
      <w:proofErr w:type="spellEnd"/>
      <w:r>
        <w:rPr>
          <w:rFonts w:ascii="Times New Roman" w:eastAsia="Times New Roman" w:hAnsi="Times New Roman" w:cs="Times New Roman"/>
          <w:sz w:val="24"/>
          <w:szCs w:val="24"/>
          <w:highlight w:val="white"/>
        </w:rPr>
        <w:t>, T. (2020). </w:t>
      </w:r>
      <w:r>
        <w:rPr>
          <w:rFonts w:ascii="Times New Roman" w:eastAsia="Times New Roman" w:hAnsi="Times New Roman" w:cs="Times New Roman"/>
          <w:i/>
          <w:iCs/>
          <w:sz w:val="24"/>
          <w:szCs w:val="24"/>
          <w:highlight w:val="white"/>
        </w:rPr>
        <w:t xml:space="preserve">Determinants of Unemployment and </w:t>
      </w:r>
      <w:proofErr w:type="spellStart"/>
      <w:r>
        <w:rPr>
          <w:rFonts w:ascii="Times New Roman" w:eastAsia="Times New Roman" w:hAnsi="Times New Roman" w:cs="Times New Roman"/>
          <w:i/>
          <w:iCs/>
          <w:sz w:val="24"/>
          <w:szCs w:val="24"/>
          <w:highlight w:val="white"/>
        </w:rPr>
        <w:t>Labour</w:t>
      </w:r>
      <w:proofErr w:type="spellEnd"/>
      <w:r>
        <w:rPr>
          <w:rFonts w:ascii="Times New Roman" w:eastAsia="Times New Roman" w:hAnsi="Times New Roman" w:cs="Times New Roman"/>
          <w:i/>
          <w:iCs/>
          <w:sz w:val="24"/>
          <w:szCs w:val="24"/>
          <w:highlight w:val="white"/>
        </w:rPr>
        <w:t>-Market Transitions for Youth in Botswana</w:t>
      </w:r>
      <w:r>
        <w:rPr>
          <w:rFonts w:ascii="Times New Roman" w:eastAsia="Times New Roman" w:hAnsi="Times New Roman" w:cs="Times New Roman"/>
          <w:sz w:val="24"/>
          <w:szCs w:val="24"/>
          <w:highlight w:val="white"/>
        </w:rPr>
        <w:t>. Working paper CBMS-2020–10.</w:t>
      </w:r>
      <w:r w:rsidR="00607538" w:rsidRPr="00607538">
        <w:t xml:space="preserve"> </w:t>
      </w:r>
      <w:hyperlink r:id="rId16" w:history="1">
        <w:r w:rsidR="00607538" w:rsidRPr="0076528D">
          <w:rPr>
            <w:rStyle w:val="Hyperlink"/>
            <w:rFonts w:ascii="Times New Roman" w:eastAsia="Times New Roman" w:hAnsi="Times New Roman" w:cs="Times New Roman"/>
            <w:sz w:val="24"/>
            <w:szCs w:val="24"/>
          </w:rPr>
          <w:t>https://www.researchgate.net/publication/358734181_Determinants_of_Unemployment_and_Labour_Market_Transitions_for_Youth_in_Botswana_Determinants_of_Unemployment_and_Labour-Market_Transitions_for_Youth_in_Botswana/citation/download</w:t>
        </w:r>
      </w:hyperlink>
    </w:p>
    <w:p w14:paraId="326F94EC" w14:textId="549016BC" w:rsidR="003F78F3" w:rsidRDefault="00313ECA" w:rsidP="00313ECA">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Diraditsi</w:t>
      </w:r>
      <w:r w:rsidR="00607538">
        <w:rPr>
          <w:rFonts w:ascii="Times New Roman" w:eastAsia="Times New Roman" w:hAnsi="Times New Roman" w:cs="Times New Roman"/>
          <w:sz w:val="24"/>
          <w:szCs w:val="24"/>
          <w:highlight w:val="white"/>
        </w:rPr>
        <w:t>l</w:t>
      </w:r>
      <w:r>
        <w:rPr>
          <w:rFonts w:ascii="Times New Roman" w:eastAsia="Times New Roman" w:hAnsi="Times New Roman" w:cs="Times New Roman"/>
          <w:sz w:val="24"/>
          <w:szCs w:val="24"/>
          <w:highlight w:val="white"/>
        </w:rPr>
        <w:t>e</w:t>
      </w:r>
      <w:proofErr w:type="spellEnd"/>
      <w:r>
        <w:rPr>
          <w:rFonts w:ascii="Times New Roman" w:eastAsia="Times New Roman" w:hAnsi="Times New Roman" w:cs="Times New Roman"/>
          <w:sz w:val="24"/>
          <w:szCs w:val="24"/>
          <w:highlight w:val="white"/>
        </w:rPr>
        <w:t>, K. (202</w:t>
      </w:r>
      <w:r w:rsidR="007F533D">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xml:space="preserve">). The nexus between youth empowerment </w:t>
      </w:r>
      <w:proofErr w:type="spellStart"/>
      <w:r>
        <w:rPr>
          <w:rFonts w:ascii="Times New Roman" w:eastAsia="Times New Roman" w:hAnsi="Times New Roman" w:cs="Times New Roman"/>
          <w:sz w:val="24"/>
          <w:szCs w:val="24"/>
          <w:highlight w:val="white"/>
        </w:rPr>
        <w:t>programmes</w:t>
      </w:r>
      <w:proofErr w:type="spellEnd"/>
      <w:r>
        <w:rPr>
          <w:rFonts w:ascii="Times New Roman" w:eastAsia="Times New Roman" w:hAnsi="Times New Roman" w:cs="Times New Roman"/>
          <w:sz w:val="24"/>
          <w:szCs w:val="24"/>
          <w:highlight w:val="white"/>
        </w:rPr>
        <w:t xml:space="preserve"> and youth unemployment reduction in Africa: Evidence from Botswana. </w:t>
      </w:r>
      <w:r>
        <w:rPr>
          <w:rFonts w:ascii="Times New Roman" w:eastAsia="Times New Roman" w:hAnsi="Times New Roman" w:cs="Times New Roman"/>
          <w:i/>
          <w:iCs/>
          <w:sz w:val="24"/>
          <w:szCs w:val="24"/>
          <w:highlight w:val="white"/>
        </w:rPr>
        <w:t>Development Southern Africa</w:t>
      </w:r>
      <w:r>
        <w:rPr>
          <w:rFonts w:ascii="Times New Roman" w:eastAsia="Times New Roman" w:hAnsi="Times New Roman" w:cs="Times New Roman"/>
          <w:sz w:val="24"/>
          <w:szCs w:val="24"/>
          <w:highlight w:val="white"/>
        </w:rPr>
        <w:t>, </w:t>
      </w:r>
      <w:r>
        <w:rPr>
          <w:rFonts w:ascii="Times New Roman" w:eastAsia="Times New Roman" w:hAnsi="Times New Roman" w:cs="Times New Roman"/>
          <w:i/>
          <w:iCs/>
          <w:sz w:val="24"/>
          <w:szCs w:val="24"/>
          <w:highlight w:val="white"/>
        </w:rPr>
        <w:t>39</w:t>
      </w:r>
      <w:r>
        <w:rPr>
          <w:rFonts w:ascii="Times New Roman" w:eastAsia="Times New Roman" w:hAnsi="Times New Roman" w:cs="Times New Roman"/>
          <w:sz w:val="24"/>
          <w:szCs w:val="24"/>
          <w:highlight w:val="white"/>
        </w:rPr>
        <w:t>(6), 935-946.</w:t>
      </w:r>
      <w:r>
        <w:rPr>
          <w:rFonts w:ascii="Times New Roman" w:eastAsia="Times New Roman" w:hAnsi="Times New Roman" w:cs="Times New Roman"/>
          <w:sz w:val="24"/>
          <w:szCs w:val="24"/>
        </w:rPr>
        <w:t xml:space="preserve"> </w:t>
      </w:r>
      <w:hyperlink r:id="rId17" w:history="1">
        <w:r w:rsidR="00467FC9" w:rsidRPr="0076528D">
          <w:rPr>
            <w:rStyle w:val="Hyperlink"/>
            <w:rFonts w:ascii="Times New Roman" w:eastAsia="Times New Roman" w:hAnsi="Times New Roman" w:cs="Times New Roman"/>
            <w:sz w:val="24"/>
            <w:szCs w:val="24"/>
          </w:rPr>
          <w:t>https://doi.org/10.1080/0376835X.2021.1977111</w:t>
        </w:r>
      </w:hyperlink>
    </w:p>
    <w:p w14:paraId="0A8A7E40" w14:textId="6D3E3118" w:rsidR="003F78F3" w:rsidRPr="00467FC9" w:rsidRDefault="00313ECA" w:rsidP="00313EC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Statistics Botswana. (2024). </w:t>
      </w:r>
      <w:r>
        <w:rPr>
          <w:rFonts w:ascii="Times New Roman" w:eastAsia="Times New Roman" w:hAnsi="Times New Roman" w:cs="Times New Roman"/>
          <w:i/>
          <w:iCs/>
          <w:sz w:val="24"/>
          <w:szCs w:val="24"/>
        </w:rPr>
        <w:t xml:space="preserve">Quarterly Multi-Topic Survey: </w:t>
      </w:r>
      <w:proofErr w:type="spellStart"/>
      <w:r>
        <w:rPr>
          <w:rFonts w:ascii="Times New Roman" w:eastAsia="Times New Roman" w:hAnsi="Times New Roman" w:cs="Times New Roman"/>
          <w:i/>
          <w:iCs/>
          <w:sz w:val="24"/>
          <w:szCs w:val="24"/>
        </w:rPr>
        <w:t>Labour</w:t>
      </w:r>
      <w:proofErr w:type="spellEnd"/>
      <w:r>
        <w:rPr>
          <w:rFonts w:ascii="Times New Roman" w:eastAsia="Times New Roman" w:hAnsi="Times New Roman" w:cs="Times New Roman"/>
          <w:i/>
          <w:iCs/>
          <w:sz w:val="24"/>
          <w:szCs w:val="24"/>
        </w:rPr>
        <w:t xml:space="preserve"> force Module, Q1 2024</w:t>
      </w:r>
      <w:r>
        <w:rPr>
          <w:rFonts w:ascii="Times New Roman" w:eastAsia="Times New Roman" w:hAnsi="Times New Roman" w:cs="Times New Roman"/>
          <w:sz w:val="24"/>
          <w:szCs w:val="24"/>
        </w:rPr>
        <w:t>. Government of Botswana. Retrieved from</w:t>
      </w:r>
      <w:r w:rsidR="00467FC9">
        <w:rPr>
          <w:rFonts w:ascii="Times New Roman" w:eastAsia="Times New Roman" w:hAnsi="Times New Roman" w:cs="Times New Roman"/>
          <w:sz w:val="24"/>
          <w:szCs w:val="24"/>
        </w:rPr>
        <w:t xml:space="preserve"> </w:t>
      </w:r>
      <w:hyperlink r:id="rId18" w:history="1">
        <w:r w:rsidR="00467FC9" w:rsidRPr="0076528D">
          <w:rPr>
            <w:rStyle w:val="Hyperlink"/>
            <w:rFonts w:ascii="Times New Roman" w:eastAsia="Times New Roman" w:hAnsi="Times New Roman" w:cs="Times New Roman"/>
            <w:sz w:val="24"/>
            <w:szCs w:val="24"/>
          </w:rPr>
          <w:t>https://www.statsbots.org.bw/sites/default/files/Quarterly%20multi%20-Force%20Module%20Quater%201%202024.pdf</w:t>
        </w:r>
      </w:hyperlink>
    </w:p>
    <w:p w14:paraId="7E1A0A21" w14:textId="77777777" w:rsidR="003F78F3" w:rsidRDefault="00313ECA" w:rsidP="00313EC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Bronfenbrenner, U. (1979). </w:t>
      </w:r>
      <w:r>
        <w:rPr>
          <w:rFonts w:ascii="Times New Roman" w:eastAsia="Times New Roman" w:hAnsi="Times New Roman" w:cs="Times New Roman"/>
          <w:i/>
          <w:iCs/>
          <w:sz w:val="24"/>
          <w:szCs w:val="24"/>
        </w:rPr>
        <w:t>The ecology of human development: Experiments by nature and design</w:t>
      </w:r>
      <w:r>
        <w:rPr>
          <w:rFonts w:ascii="Times New Roman" w:eastAsia="Times New Roman" w:hAnsi="Times New Roman" w:cs="Times New Roman"/>
          <w:sz w:val="24"/>
          <w:szCs w:val="24"/>
        </w:rPr>
        <w:t>. Harvard University Press.</w:t>
      </w:r>
    </w:p>
    <w:p w14:paraId="48038C9F" w14:textId="77777777" w:rsidR="003F78F3" w:rsidRDefault="00313ECA" w:rsidP="00313EC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Steinberg, L. (2008). A social neuroscience perspective on adolescent risk-taking. </w:t>
      </w:r>
      <w:r>
        <w:rPr>
          <w:rFonts w:ascii="Times New Roman" w:eastAsia="Times New Roman" w:hAnsi="Times New Roman" w:cs="Times New Roman"/>
          <w:i/>
          <w:iCs/>
          <w:sz w:val="24"/>
          <w:szCs w:val="24"/>
        </w:rPr>
        <w:t>Developmental Review</w:t>
      </w:r>
      <w:r>
        <w:rPr>
          <w:rFonts w:ascii="Times New Roman" w:eastAsia="Times New Roman" w:hAnsi="Times New Roman" w:cs="Times New Roman"/>
          <w:sz w:val="24"/>
          <w:szCs w:val="24"/>
        </w:rPr>
        <w:t xml:space="preserve">, 28(1), 78–106. </w:t>
      </w:r>
      <w:hyperlink r:id="rId19">
        <w:r>
          <w:rPr>
            <w:rFonts w:ascii="Times New Roman" w:eastAsia="Times New Roman" w:hAnsi="Times New Roman" w:cs="Times New Roman"/>
            <w:sz w:val="24"/>
            <w:szCs w:val="24"/>
            <w:u w:val="single"/>
          </w:rPr>
          <w:t>https://doi.org/10.1016/j.dr.2007.08.002</w:t>
        </w:r>
      </w:hyperlink>
    </w:p>
    <w:p w14:paraId="4B369AAF" w14:textId="64051A1F" w:rsidR="003F78F3" w:rsidRDefault="00313ECA" w:rsidP="00313ECA">
      <w:pPr>
        <w:spacing w:line="360" w:lineRule="auto"/>
        <w:jc w:val="both"/>
      </w:pPr>
      <w:proofErr w:type="spellStart"/>
      <w:r>
        <w:rPr>
          <w:rFonts w:ascii="Times New Roman" w:eastAsia="Times New Roman" w:hAnsi="Times New Roman" w:cs="Times New Roman"/>
          <w:sz w:val="24"/>
          <w:szCs w:val="24"/>
          <w:highlight w:val="white"/>
        </w:rPr>
        <w:t>Keetile</w:t>
      </w:r>
      <w:proofErr w:type="spellEnd"/>
      <w:r>
        <w:rPr>
          <w:rFonts w:ascii="Times New Roman" w:eastAsia="Times New Roman" w:hAnsi="Times New Roman" w:cs="Times New Roman"/>
          <w:sz w:val="24"/>
          <w:szCs w:val="24"/>
          <w:highlight w:val="white"/>
        </w:rPr>
        <w:t xml:space="preserve">, M. (2020). Patterns and correlates of health risk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among adolescents in Botswana: 2001-2013. </w:t>
      </w:r>
      <w:r>
        <w:rPr>
          <w:rFonts w:ascii="Times New Roman" w:eastAsia="Times New Roman" w:hAnsi="Times New Roman" w:cs="Times New Roman"/>
          <w:i/>
          <w:iCs/>
          <w:sz w:val="24"/>
          <w:szCs w:val="24"/>
          <w:highlight w:val="white"/>
        </w:rPr>
        <w:t>Vulnerable Children and Youth Studies</w:t>
      </w:r>
      <w:r>
        <w:rPr>
          <w:rFonts w:ascii="Times New Roman" w:eastAsia="Times New Roman" w:hAnsi="Times New Roman" w:cs="Times New Roman"/>
          <w:sz w:val="24"/>
          <w:szCs w:val="24"/>
          <w:highlight w:val="white"/>
        </w:rPr>
        <w:t>, </w:t>
      </w:r>
      <w:r>
        <w:rPr>
          <w:rFonts w:ascii="Times New Roman" w:eastAsia="Times New Roman" w:hAnsi="Times New Roman" w:cs="Times New Roman"/>
          <w:i/>
          <w:iCs/>
          <w:sz w:val="24"/>
          <w:szCs w:val="24"/>
          <w:highlight w:val="white"/>
        </w:rPr>
        <w:t>15</w:t>
      </w:r>
      <w:r>
        <w:rPr>
          <w:rFonts w:ascii="Times New Roman" w:eastAsia="Times New Roman" w:hAnsi="Times New Roman" w:cs="Times New Roman"/>
          <w:sz w:val="24"/>
          <w:szCs w:val="24"/>
          <w:highlight w:val="white"/>
        </w:rPr>
        <w:t xml:space="preserve">(3), 205-220. </w:t>
      </w:r>
      <w:hyperlink r:id="rId20" w:history="1">
        <w:r w:rsidR="00467FC9" w:rsidRPr="0076528D">
          <w:rPr>
            <w:rStyle w:val="Hyperlink"/>
          </w:rPr>
          <w:t>https://doi.org/10.1080/17450128.2020.1752961</w:t>
        </w:r>
      </w:hyperlink>
    </w:p>
    <w:p w14:paraId="08D90D22" w14:textId="4FADC384" w:rsidR="003F78F3" w:rsidRDefault="00313ECA" w:rsidP="00313ECA">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Keetile</w:t>
      </w:r>
      <w:proofErr w:type="spellEnd"/>
      <w:r>
        <w:rPr>
          <w:rFonts w:ascii="Times New Roman" w:eastAsia="Times New Roman" w:hAnsi="Times New Roman" w:cs="Times New Roman"/>
          <w:sz w:val="24"/>
          <w:szCs w:val="24"/>
          <w:highlight w:val="white"/>
        </w:rPr>
        <w:t xml:space="preserve">, M., &amp; </w:t>
      </w:r>
      <w:proofErr w:type="spellStart"/>
      <w:r>
        <w:rPr>
          <w:rFonts w:ascii="Times New Roman" w:eastAsia="Times New Roman" w:hAnsi="Times New Roman" w:cs="Times New Roman"/>
          <w:sz w:val="24"/>
          <w:szCs w:val="24"/>
          <w:highlight w:val="white"/>
        </w:rPr>
        <w:t>Rakgoasi</w:t>
      </w:r>
      <w:proofErr w:type="spellEnd"/>
      <w:r>
        <w:rPr>
          <w:rFonts w:ascii="Times New Roman" w:eastAsia="Times New Roman" w:hAnsi="Times New Roman" w:cs="Times New Roman"/>
          <w:sz w:val="24"/>
          <w:szCs w:val="24"/>
          <w:highlight w:val="white"/>
        </w:rPr>
        <w:t xml:space="preserve">, S. D. (2021). Factors associated with first heterosexual sex; sexual coercion and sexual risk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among adolescents in Botswana. </w:t>
      </w:r>
      <w:r>
        <w:rPr>
          <w:rFonts w:ascii="Times New Roman" w:eastAsia="Times New Roman" w:hAnsi="Times New Roman" w:cs="Times New Roman"/>
          <w:i/>
          <w:iCs/>
          <w:sz w:val="24"/>
          <w:szCs w:val="24"/>
          <w:highlight w:val="white"/>
        </w:rPr>
        <w:t>Sexuality Research and Social Policy</w:t>
      </w:r>
      <w:r>
        <w:rPr>
          <w:rFonts w:ascii="Times New Roman" w:eastAsia="Times New Roman" w:hAnsi="Times New Roman" w:cs="Times New Roman"/>
          <w:sz w:val="24"/>
          <w:szCs w:val="24"/>
          <w:highlight w:val="white"/>
        </w:rPr>
        <w:t>, </w:t>
      </w:r>
      <w:r>
        <w:rPr>
          <w:rFonts w:ascii="Times New Roman" w:eastAsia="Times New Roman" w:hAnsi="Times New Roman" w:cs="Times New Roman"/>
          <w:i/>
          <w:iCs/>
          <w:sz w:val="24"/>
          <w:szCs w:val="24"/>
          <w:highlight w:val="white"/>
        </w:rPr>
        <w:t>18</w:t>
      </w:r>
      <w:r>
        <w:rPr>
          <w:rFonts w:ascii="Times New Roman" w:eastAsia="Times New Roman" w:hAnsi="Times New Roman" w:cs="Times New Roman"/>
          <w:sz w:val="24"/>
          <w:szCs w:val="24"/>
          <w:highlight w:val="white"/>
        </w:rPr>
        <w:t xml:space="preserve">, 261-270. </w:t>
      </w:r>
      <w:hyperlink r:id="rId21" w:history="1">
        <w:r w:rsidR="008306BF" w:rsidRPr="0076528D">
          <w:rPr>
            <w:rStyle w:val="Hyperlink"/>
            <w:rFonts w:ascii="Times New Roman" w:eastAsia="Times New Roman" w:hAnsi="Times New Roman" w:cs="Times New Roman"/>
            <w:sz w:val="24"/>
            <w:szCs w:val="24"/>
          </w:rPr>
          <w:t>https://doi.org/10.1007/s13178-020-00454-w</w:t>
        </w:r>
      </w:hyperlink>
    </w:p>
    <w:p w14:paraId="7A7B16D2" w14:textId="77777777" w:rsidR="008306BF" w:rsidRDefault="008306BF" w:rsidP="00313ECA">
      <w:pPr>
        <w:spacing w:line="360" w:lineRule="auto"/>
        <w:jc w:val="both"/>
        <w:rPr>
          <w:rFonts w:ascii="Times New Roman" w:eastAsia="Times New Roman" w:hAnsi="Times New Roman" w:cs="Times New Roman"/>
          <w:sz w:val="24"/>
          <w:szCs w:val="24"/>
        </w:rPr>
      </w:pPr>
    </w:p>
    <w:p w14:paraId="09D997DD" w14:textId="56D60A05" w:rsidR="003F78F3" w:rsidRDefault="00313ECA" w:rsidP="00313ECA">
      <w:pPr>
        <w:spacing w:after="16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Diura</w:t>
      </w:r>
      <w:proofErr w:type="spellEnd"/>
      <w:r>
        <w:rPr>
          <w:rFonts w:ascii="Times New Roman" w:eastAsia="Times New Roman" w:hAnsi="Times New Roman" w:cs="Times New Roman"/>
          <w:sz w:val="24"/>
          <w:szCs w:val="24"/>
          <w:highlight w:val="white"/>
        </w:rPr>
        <w:t xml:space="preserve">-Vere, O., </w:t>
      </w:r>
      <w:proofErr w:type="spellStart"/>
      <w:r>
        <w:rPr>
          <w:rFonts w:ascii="Times New Roman" w:eastAsia="Times New Roman" w:hAnsi="Times New Roman" w:cs="Times New Roman"/>
          <w:sz w:val="24"/>
          <w:szCs w:val="24"/>
          <w:highlight w:val="white"/>
        </w:rPr>
        <w:t>Mokgatle</w:t>
      </w:r>
      <w:proofErr w:type="spellEnd"/>
      <w:r>
        <w:rPr>
          <w:rFonts w:ascii="Times New Roman" w:eastAsia="Times New Roman" w:hAnsi="Times New Roman" w:cs="Times New Roman"/>
          <w:sz w:val="24"/>
          <w:szCs w:val="24"/>
          <w:highlight w:val="white"/>
        </w:rPr>
        <w:t xml:space="preserve">, M. M., &amp; </w:t>
      </w:r>
      <w:proofErr w:type="spellStart"/>
      <w:r>
        <w:rPr>
          <w:rFonts w:ascii="Times New Roman" w:eastAsia="Times New Roman" w:hAnsi="Times New Roman" w:cs="Times New Roman"/>
          <w:sz w:val="24"/>
          <w:szCs w:val="24"/>
          <w:highlight w:val="white"/>
        </w:rPr>
        <w:t>Oguntibeju</w:t>
      </w:r>
      <w:proofErr w:type="spellEnd"/>
      <w:r>
        <w:rPr>
          <w:rFonts w:ascii="Times New Roman" w:eastAsia="Times New Roman" w:hAnsi="Times New Roman" w:cs="Times New Roman"/>
          <w:sz w:val="24"/>
          <w:szCs w:val="24"/>
          <w:highlight w:val="white"/>
        </w:rPr>
        <w:t xml:space="preserve">, O. O. (2023). Sexual </w:t>
      </w:r>
      <w:proofErr w:type="spellStart"/>
      <w:r>
        <w:rPr>
          <w:rFonts w:ascii="Times New Roman" w:eastAsia="Times New Roman" w:hAnsi="Times New Roman" w:cs="Times New Roman"/>
          <w:sz w:val="24"/>
          <w:szCs w:val="24"/>
          <w:highlight w:val="white"/>
        </w:rPr>
        <w:t>behaviour</w:t>
      </w:r>
      <w:proofErr w:type="spellEnd"/>
      <w:r>
        <w:rPr>
          <w:rFonts w:ascii="Times New Roman" w:eastAsia="Times New Roman" w:hAnsi="Times New Roman" w:cs="Times New Roman"/>
          <w:sz w:val="24"/>
          <w:szCs w:val="24"/>
          <w:highlight w:val="white"/>
        </w:rPr>
        <w:t xml:space="preserve"> and attitudes towards safe sex of youth receiving antiretroviral care at public health facilities</w:t>
      </w:r>
      <w:r w:rsidR="008306BF">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 xml:space="preserve">in </w:t>
      </w:r>
      <w:proofErr w:type="spellStart"/>
      <w:r>
        <w:rPr>
          <w:rFonts w:ascii="Times New Roman" w:eastAsia="Times New Roman" w:hAnsi="Times New Roman" w:cs="Times New Roman"/>
          <w:sz w:val="24"/>
          <w:szCs w:val="24"/>
          <w:highlight w:val="white"/>
        </w:rPr>
        <w:t>Palapye</w:t>
      </w:r>
      <w:proofErr w:type="spellEnd"/>
      <w:r>
        <w:rPr>
          <w:rFonts w:ascii="Times New Roman" w:eastAsia="Times New Roman" w:hAnsi="Times New Roman" w:cs="Times New Roman"/>
          <w:sz w:val="24"/>
          <w:szCs w:val="24"/>
          <w:highlight w:val="white"/>
        </w:rPr>
        <w:t xml:space="preserve"> District, Botswana. </w:t>
      </w:r>
      <w:r>
        <w:rPr>
          <w:rFonts w:ascii="Times New Roman" w:eastAsia="Times New Roman" w:hAnsi="Times New Roman" w:cs="Times New Roman"/>
          <w:i/>
          <w:iCs/>
          <w:sz w:val="24"/>
          <w:szCs w:val="24"/>
          <w:highlight w:val="white"/>
        </w:rPr>
        <w:t>International Journal of Environmental Research and Public Health</w:t>
      </w:r>
      <w:r>
        <w:rPr>
          <w:rFonts w:ascii="Times New Roman" w:eastAsia="Times New Roman" w:hAnsi="Times New Roman" w:cs="Times New Roman"/>
          <w:sz w:val="24"/>
          <w:szCs w:val="24"/>
          <w:highlight w:val="white"/>
        </w:rPr>
        <w:t>, </w:t>
      </w:r>
      <w:r>
        <w:rPr>
          <w:rFonts w:ascii="Times New Roman" w:eastAsia="Times New Roman" w:hAnsi="Times New Roman" w:cs="Times New Roman"/>
          <w:i/>
          <w:iCs/>
          <w:sz w:val="24"/>
          <w:szCs w:val="24"/>
          <w:highlight w:val="white"/>
        </w:rPr>
        <w:t>20</w:t>
      </w:r>
      <w:r>
        <w:rPr>
          <w:rFonts w:ascii="Times New Roman" w:eastAsia="Times New Roman" w:hAnsi="Times New Roman" w:cs="Times New Roman"/>
          <w:sz w:val="24"/>
          <w:szCs w:val="24"/>
          <w:highlight w:val="white"/>
        </w:rPr>
        <w:t>(5), 3790.</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000FF"/>
            <w:sz w:val="24"/>
            <w:szCs w:val="24"/>
            <w:u w:val="single"/>
          </w:rPr>
          <w:t>https://doi.org/10.3390/ijerph20053790</w:t>
        </w:r>
      </w:hyperlink>
    </w:p>
    <w:p w14:paraId="52E6F1A6" w14:textId="77777777" w:rsidR="002C4765" w:rsidRDefault="00313ECA" w:rsidP="002C47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UNESCO. (2018). </w:t>
      </w:r>
      <w:r>
        <w:rPr>
          <w:rFonts w:ascii="Times New Roman" w:eastAsia="Times New Roman" w:hAnsi="Times New Roman" w:cs="Times New Roman"/>
          <w:i/>
          <w:iCs/>
          <w:sz w:val="24"/>
          <w:szCs w:val="24"/>
        </w:rPr>
        <w:t>International technical guidance on sexuality education: An evidence-informed approach</w:t>
      </w:r>
      <w:r>
        <w:rPr>
          <w:rFonts w:ascii="Times New Roman" w:eastAsia="Times New Roman" w:hAnsi="Times New Roman" w:cs="Times New Roman"/>
          <w:sz w:val="24"/>
          <w:szCs w:val="24"/>
        </w:rPr>
        <w:t xml:space="preserve">. United Nations Educational, Scientific and Cultural Organization. Retrieved from </w:t>
      </w:r>
      <w:hyperlink r:id="rId23">
        <w:r>
          <w:rPr>
            <w:rFonts w:ascii="Times New Roman" w:eastAsia="Times New Roman" w:hAnsi="Times New Roman" w:cs="Times New Roman"/>
            <w:sz w:val="24"/>
            <w:szCs w:val="24"/>
            <w:u w:val="single"/>
          </w:rPr>
          <w:t>https://unesdoc.unesco.org/ark:/48223/pf0000264649</w:t>
        </w:r>
      </w:hyperlink>
    </w:p>
    <w:p w14:paraId="50B76B8E" w14:textId="00D15D54" w:rsidR="003F78F3" w:rsidRDefault="00313ECA" w:rsidP="002C476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Bastien, S., </w:t>
      </w:r>
      <w:proofErr w:type="spellStart"/>
      <w:r>
        <w:rPr>
          <w:rFonts w:ascii="Times New Roman" w:eastAsia="Times New Roman" w:hAnsi="Times New Roman" w:cs="Times New Roman"/>
          <w:sz w:val="24"/>
          <w:szCs w:val="24"/>
        </w:rPr>
        <w:t>Kajula</w:t>
      </w:r>
      <w:proofErr w:type="spellEnd"/>
      <w:r>
        <w:rPr>
          <w:rFonts w:ascii="Times New Roman" w:eastAsia="Times New Roman" w:hAnsi="Times New Roman" w:cs="Times New Roman"/>
          <w:sz w:val="24"/>
          <w:szCs w:val="24"/>
        </w:rPr>
        <w:t xml:space="preserve">, L. J., &amp; </w:t>
      </w:r>
      <w:proofErr w:type="spellStart"/>
      <w:r>
        <w:rPr>
          <w:rFonts w:ascii="Times New Roman" w:eastAsia="Times New Roman" w:hAnsi="Times New Roman" w:cs="Times New Roman"/>
          <w:sz w:val="24"/>
          <w:szCs w:val="24"/>
        </w:rPr>
        <w:t>Muhwezi</w:t>
      </w:r>
      <w:proofErr w:type="spellEnd"/>
      <w:r>
        <w:rPr>
          <w:rFonts w:ascii="Times New Roman" w:eastAsia="Times New Roman" w:hAnsi="Times New Roman" w:cs="Times New Roman"/>
          <w:sz w:val="24"/>
          <w:szCs w:val="24"/>
        </w:rPr>
        <w:t xml:space="preserve">, W. W. (2011). A review of studies of parent-child communication about sexuality and HIV/AIDS in sub-Saharan Africa. </w:t>
      </w:r>
      <w:r>
        <w:rPr>
          <w:rFonts w:ascii="Times New Roman" w:eastAsia="Times New Roman" w:hAnsi="Times New Roman" w:cs="Times New Roman"/>
          <w:i/>
          <w:iCs/>
          <w:sz w:val="24"/>
          <w:szCs w:val="24"/>
        </w:rPr>
        <w:t>Reproductive Health, 8</w:t>
      </w:r>
      <w:r>
        <w:rPr>
          <w:rFonts w:ascii="Times New Roman" w:eastAsia="Times New Roman" w:hAnsi="Times New Roman" w:cs="Times New Roman"/>
          <w:sz w:val="24"/>
          <w:szCs w:val="24"/>
        </w:rPr>
        <w:t xml:space="preserve">(1), 25. </w:t>
      </w:r>
      <w:hyperlink r:id="rId24">
        <w:r>
          <w:rPr>
            <w:rFonts w:ascii="Times New Roman" w:eastAsia="Times New Roman" w:hAnsi="Times New Roman" w:cs="Times New Roman"/>
            <w:sz w:val="24"/>
            <w:szCs w:val="24"/>
            <w:u w:val="single"/>
          </w:rPr>
          <w:t>https://doi.org/10.1186/1742-4755-8-25</w:t>
        </w:r>
      </w:hyperlink>
    </w:p>
    <w:p w14:paraId="6574E30C" w14:textId="77777777" w:rsidR="005F7994" w:rsidRDefault="00832A4F" w:rsidP="00313ECA">
      <w:pPr>
        <w:spacing w:after="160" w:line="360" w:lineRule="auto"/>
        <w:jc w:val="both"/>
        <w:rPr>
          <w:rFonts w:ascii="Times New Roman" w:eastAsia="Times New Roman" w:hAnsi="Times New Roman" w:cs="Times New Roman"/>
          <w:sz w:val="24"/>
          <w:szCs w:val="24"/>
        </w:rPr>
      </w:pPr>
      <w:r w:rsidRPr="00832A4F">
        <w:rPr>
          <w:rFonts w:ascii="Times New Roman" w:eastAsia="Times New Roman" w:hAnsi="Times New Roman" w:cs="Times New Roman"/>
          <w:sz w:val="24"/>
          <w:szCs w:val="24"/>
        </w:rPr>
        <w:t xml:space="preserve">Rogers, K., Ranganathan, M., </w:t>
      </w:r>
      <w:proofErr w:type="spellStart"/>
      <w:r w:rsidRPr="00832A4F">
        <w:rPr>
          <w:rFonts w:ascii="Times New Roman" w:eastAsia="Times New Roman" w:hAnsi="Times New Roman" w:cs="Times New Roman"/>
          <w:sz w:val="24"/>
          <w:szCs w:val="24"/>
        </w:rPr>
        <w:t>Kajula</w:t>
      </w:r>
      <w:proofErr w:type="spellEnd"/>
      <w:r w:rsidRPr="00832A4F">
        <w:rPr>
          <w:rFonts w:ascii="Times New Roman" w:eastAsia="Times New Roman" w:hAnsi="Times New Roman" w:cs="Times New Roman"/>
          <w:sz w:val="24"/>
          <w:szCs w:val="24"/>
        </w:rPr>
        <w:t xml:space="preserve">, L., Lorraine Collins, R., Livingston, J. A., &amp; Palermo, T. (2023). The influence of gender-equitable attitudes on sexual </w:t>
      </w:r>
      <w:proofErr w:type="spellStart"/>
      <w:r w:rsidRPr="00832A4F">
        <w:rPr>
          <w:rFonts w:ascii="Times New Roman" w:eastAsia="Times New Roman" w:hAnsi="Times New Roman" w:cs="Times New Roman"/>
          <w:sz w:val="24"/>
          <w:szCs w:val="24"/>
        </w:rPr>
        <w:t>behaviour</w:t>
      </w:r>
      <w:proofErr w:type="spellEnd"/>
      <w:r w:rsidRPr="00832A4F">
        <w:rPr>
          <w:rFonts w:ascii="Times New Roman" w:eastAsia="Times New Roman" w:hAnsi="Times New Roman" w:cs="Times New Roman"/>
          <w:sz w:val="24"/>
          <w:szCs w:val="24"/>
        </w:rPr>
        <w:t xml:space="preserve"> among unmarried adolescents in rural Tanzania: a longitudinal study. </w:t>
      </w:r>
      <w:r w:rsidRPr="00832A4F">
        <w:rPr>
          <w:rFonts w:ascii="Times New Roman" w:eastAsia="Times New Roman" w:hAnsi="Times New Roman" w:cs="Times New Roman"/>
          <w:i/>
          <w:iCs/>
          <w:sz w:val="24"/>
          <w:szCs w:val="24"/>
        </w:rPr>
        <w:t>Sexual and Reproductive Health Matters</w:t>
      </w:r>
      <w:r w:rsidRPr="00832A4F">
        <w:rPr>
          <w:rFonts w:ascii="Times New Roman" w:eastAsia="Times New Roman" w:hAnsi="Times New Roman" w:cs="Times New Roman"/>
          <w:sz w:val="24"/>
          <w:szCs w:val="24"/>
        </w:rPr>
        <w:t>, </w:t>
      </w:r>
      <w:r w:rsidRPr="00832A4F">
        <w:rPr>
          <w:rFonts w:ascii="Times New Roman" w:eastAsia="Times New Roman" w:hAnsi="Times New Roman" w:cs="Times New Roman"/>
          <w:i/>
          <w:iCs/>
          <w:sz w:val="24"/>
          <w:szCs w:val="24"/>
        </w:rPr>
        <w:t>31</w:t>
      </w:r>
      <w:r w:rsidRPr="00832A4F">
        <w:rPr>
          <w:rFonts w:ascii="Times New Roman" w:eastAsia="Times New Roman" w:hAnsi="Times New Roman" w:cs="Times New Roman"/>
          <w:sz w:val="24"/>
          <w:szCs w:val="24"/>
        </w:rPr>
        <w:t xml:space="preserve">(1). </w:t>
      </w:r>
      <w:hyperlink r:id="rId25" w:history="1">
        <w:r w:rsidRPr="0076528D">
          <w:rPr>
            <w:rStyle w:val="Hyperlink"/>
            <w:rFonts w:ascii="Times New Roman" w:eastAsia="Times New Roman" w:hAnsi="Times New Roman" w:cs="Times New Roman"/>
            <w:sz w:val="24"/>
            <w:szCs w:val="24"/>
          </w:rPr>
          <w:t>https://doi.org/10.1080/26410397.2023.2260169</w:t>
        </w:r>
      </w:hyperlink>
    </w:p>
    <w:p w14:paraId="1540B47F" w14:textId="2B49FBDB" w:rsidR="00F95BAA" w:rsidRDefault="00F95BAA" w:rsidP="00F95BA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of Botswana</w:t>
      </w:r>
      <w:r w:rsidR="00313ECA">
        <w:rPr>
          <w:rFonts w:ascii="Times New Roman" w:eastAsia="Times New Roman" w:hAnsi="Times New Roman" w:cs="Times New Roman"/>
          <w:sz w:val="24"/>
          <w:szCs w:val="24"/>
        </w:rPr>
        <w:t xml:space="preserve"> (2021). </w:t>
      </w:r>
      <w:r w:rsidR="00313ECA">
        <w:rPr>
          <w:rFonts w:ascii="Times New Roman" w:eastAsia="Times New Roman" w:hAnsi="Times New Roman" w:cs="Times New Roman"/>
          <w:i/>
          <w:iCs/>
          <w:sz w:val="24"/>
          <w:szCs w:val="24"/>
        </w:rPr>
        <w:t>The Fifth Botswana AIDS Impact Survey 2021 (BAIS V) Report</w:t>
      </w:r>
      <w:r w:rsidR="00313ECA">
        <w:rPr>
          <w:rFonts w:ascii="Times New Roman" w:eastAsia="Times New Roman" w:hAnsi="Times New Roman" w:cs="Times New Roman"/>
          <w:sz w:val="24"/>
          <w:szCs w:val="24"/>
        </w:rPr>
        <w:t>. Government of Botswana: National AIDS &amp; Health Promotion Agency, Gaborone, Botswana</w:t>
      </w:r>
      <w:r>
        <w:rPr>
          <w:rFonts w:ascii="Times New Roman" w:eastAsia="Times New Roman" w:hAnsi="Times New Roman" w:cs="Times New Roman"/>
          <w:sz w:val="24"/>
          <w:szCs w:val="24"/>
        </w:rPr>
        <w:t xml:space="preserve">. </w:t>
      </w:r>
      <w:hyperlink r:id="rId26" w:history="1">
        <w:r w:rsidRPr="0076528D">
          <w:rPr>
            <w:rStyle w:val="Hyperlink"/>
            <w:rFonts w:ascii="Times New Roman" w:eastAsia="Times New Roman" w:hAnsi="Times New Roman" w:cs="Times New Roman"/>
            <w:sz w:val="24"/>
            <w:szCs w:val="24"/>
          </w:rPr>
          <w:t>https://www.unicef.org/botswana/reports/fifth-botswana-aids-impact-survey-2021-bais-v-report</w:t>
        </w:r>
      </w:hyperlink>
      <w:r w:rsidRPr="00F95BAA">
        <w:rPr>
          <w:rFonts w:ascii="Times New Roman" w:eastAsia="Times New Roman" w:hAnsi="Times New Roman" w:cs="Times New Roman"/>
          <w:sz w:val="24"/>
          <w:szCs w:val="24"/>
        </w:rPr>
        <w:t>?</w:t>
      </w:r>
    </w:p>
    <w:p w14:paraId="0E19E1CF" w14:textId="77777777" w:rsidR="00F95BAA" w:rsidRDefault="00F95BAA" w:rsidP="00F95BAA">
      <w:pPr>
        <w:spacing w:after="160" w:line="360" w:lineRule="auto"/>
        <w:jc w:val="both"/>
        <w:rPr>
          <w:rFonts w:ascii="Times New Roman" w:eastAsia="Times New Roman" w:hAnsi="Times New Roman" w:cs="Times New Roman"/>
          <w:sz w:val="24"/>
          <w:szCs w:val="24"/>
        </w:rPr>
      </w:pPr>
    </w:p>
    <w:p w14:paraId="72043861" w14:textId="6E5939FC" w:rsidR="003F78F3" w:rsidRDefault="003F78F3" w:rsidP="002E2D80">
      <w:pPr>
        <w:spacing w:after="160" w:line="360" w:lineRule="auto"/>
        <w:jc w:val="both"/>
        <w:rPr>
          <w:rFonts w:ascii="Times New Roman" w:eastAsia="Times New Roman" w:hAnsi="Times New Roman" w:cs="Times New Roman"/>
          <w:sz w:val="24"/>
          <w:szCs w:val="24"/>
        </w:rPr>
      </w:pPr>
    </w:p>
    <w:p w14:paraId="76307161"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3B7A90F9"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68186850"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0B66A653"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7C0768C9"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434BCE6C" w14:textId="77777777" w:rsidR="003F78F3" w:rsidRDefault="003F78F3" w:rsidP="00313ECA">
      <w:pPr>
        <w:spacing w:line="360" w:lineRule="auto"/>
        <w:ind w:left="720"/>
        <w:jc w:val="both"/>
        <w:rPr>
          <w:rFonts w:ascii="Times New Roman" w:eastAsia="Times New Roman" w:hAnsi="Times New Roman" w:cs="Times New Roman"/>
          <w:sz w:val="24"/>
          <w:szCs w:val="24"/>
          <w:highlight w:val="white"/>
        </w:rPr>
      </w:pPr>
    </w:p>
    <w:p w14:paraId="4E3AD22F" w14:textId="77777777" w:rsidR="003F78F3" w:rsidRDefault="003F78F3" w:rsidP="005F0957">
      <w:pPr>
        <w:spacing w:line="360" w:lineRule="auto"/>
        <w:jc w:val="both"/>
        <w:rPr>
          <w:rFonts w:ascii="Times New Roman" w:eastAsia="Times New Roman" w:hAnsi="Times New Roman" w:cs="Times New Roman"/>
          <w:sz w:val="24"/>
          <w:szCs w:val="24"/>
        </w:rPr>
      </w:pPr>
    </w:p>
    <w:p w14:paraId="419E43D2"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6F9C9498"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64FD8C18"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701E8817" w14:textId="77777777" w:rsidR="003F78F3" w:rsidRDefault="003F78F3" w:rsidP="00313ECA">
      <w:pPr>
        <w:keepNext/>
        <w:keepLines/>
        <w:spacing w:before="240" w:line="360" w:lineRule="auto"/>
        <w:jc w:val="both"/>
        <w:rPr>
          <w:rFonts w:ascii="Times New Roman" w:eastAsia="Times New Roman" w:hAnsi="Times New Roman" w:cs="Times New Roman"/>
          <w:b/>
          <w:bCs/>
          <w:sz w:val="24"/>
          <w:szCs w:val="24"/>
        </w:rPr>
      </w:pPr>
    </w:p>
    <w:sectPr w:rsidR="003F78F3" w:rsidSect="00313ECA">
      <w:headerReference w:type="even" r:id="rId27"/>
      <w:headerReference w:type="default" r:id="rId28"/>
      <w:footerReference w:type="even" r:id="rId29"/>
      <w:footerReference w:type="default" r:id="rId30"/>
      <w:headerReference w:type="first" r:id="rId31"/>
      <w:footerReference w:type="first" r:id="rId32"/>
      <w:pgSz w:w="11909" w:h="16834" w:code="9"/>
      <w:pgMar w:top="1440" w:right="1919"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0CAB6" w14:textId="77777777" w:rsidR="009A0C17" w:rsidRDefault="009A0C17" w:rsidP="005F0957">
      <w:pPr>
        <w:spacing w:line="240" w:lineRule="auto"/>
      </w:pPr>
      <w:r>
        <w:separator/>
      </w:r>
    </w:p>
  </w:endnote>
  <w:endnote w:type="continuationSeparator" w:id="0">
    <w:p w14:paraId="24426AE8" w14:textId="77777777" w:rsidR="009A0C17" w:rsidRDefault="009A0C17" w:rsidP="005F0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1F4BAE-3B1F-46C2-9BBA-E0B307E23A74}"/>
  </w:font>
  <w:font w:name="Cambria">
    <w:panose1 w:val="02040503050406030204"/>
    <w:charset w:val="00"/>
    <w:family w:val="roman"/>
    <w:pitch w:val="variable"/>
    <w:sig w:usb0="E00006FF" w:usb1="420024FF" w:usb2="02000000" w:usb3="00000000" w:csb0="0000019F" w:csb1="00000000"/>
    <w:embedRegular r:id="rId2" w:fontKey="{787FFA21-398C-43FF-834E-54CB6113F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885E9" w14:textId="77777777" w:rsidR="000901DF" w:rsidRDefault="00090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043650"/>
      <w:docPartObj>
        <w:docPartGallery w:val="Page Numbers (Bottom of Page)"/>
        <w:docPartUnique/>
      </w:docPartObj>
    </w:sdtPr>
    <w:sdtEndPr>
      <w:rPr>
        <w:noProof/>
      </w:rPr>
    </w:sdtEndPr>
    <w:sdtContent>
      <w:p w14:paraId="6A665959" w14:textId="77777777" w:rsidR="005F0957" w:rsidRDefault="005F095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37EA58A" w14:textId="77777777" w:rsidR="005F0957" w:rsidRDefault="005F0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AD33" w14:textId="77777777" w:rsidR="000901DF" w:rsidRDefault="00090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3F7F8" w14:textId="77777777" w:rsidR="009A0C17" w:rsidRDefault="009A0C17" w:rsidP="005F0957">
      <w:pPr>
        <w:spacing w:line="240" w:lineRule="auto"/>
      </w:pPr>
      <w:r>
        <w:separator/>
      </w:r>
    </w:p>
  </w:footnote>
  <w:footnote w:type="continuationSeparator" w:id="0">
    <w:p w14:paraId="6FE8A979" w14:textId="77777777" w:rsidR="009A0C17" w:rsidRDefault="009A0C17" w:rsidP="005F09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B933" w14:textId="694FFA22" w:rsidR="000901DF" w:rsidRDefault="000901DF">
    <w:pPr>
      <w:pStyle w:val="Header"/>
    </w:pPr>
    <w:r>
      <w:rPr>
        <w:noProof/>
      </w:rPr>
      <w:pict w14:anchorId="70D2F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063" o:spid="_x0000_s2050" type="#_x0000_t136" style="position:absolute;margin-left:0;margin-top:0;width:541.6pt;height:61.1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8122" w14:textId="19271335" w:rsidR="000901DF" w:rsidRDefault="000901DF">
    <w:pPr>
      <w:pStyle w:val="Header"/>
    </w:pPr>
    <w:r>
      <w:rPr>
        <w:noProof/>
      </w:rPr>
      <w:pict w14:anchorId="49533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064" o:spid="_x0000_s2051" type="#_x0000_t136" style="position:absolute;margin-left:0;margin-top:0;width:541.6pt;height:61.1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B0C2" w14:textId="1FFAA21D" w:rsidR="000901DF" w:rsidRDefault="000901DF">
    <w:pPr>
      <w:pStyle w:val="Header"/>
    </w:pPr>
    <w:r>
      <w:rPr>
        <w:noProof/>
      </w:rPr>
      <w:pict w14:anchorId="18F59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062" o:spid="_x0000_s2049" type="#_x0000_t136" style="position:absolute;margin-left:0;margin-top:0;width:541.6pt;height:61.1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F78F3"/>
    <w:rsid w:val="000479B4"/>
    <w:rsid w:val="000901DF"/>
    <w:rsid w:val="000A5335"/>
    <w:rsid w:val="00135562"/>
    <w:rsid w:val="002B37EF"/>
    <w:rsid w:val="002C4765"/>
    <w:rsid w:val="002E2D80"/>
    <w:rsid w:val="00313ECA"/>
    <w:rsid w:val="00376C92"/>
    <w:rsid w:val="003F78F3"/>
    <w:rsid w:val="00467FC9"/>
    <w:rsid w:val="00493206"/>
    <w:rsid w:val="004F054C"/>
    <w:rsid w:val="005F0957"/>
    <w:rsid w:val="005F7994"/>
    <w:rsid w:val="00607538"/>
    <w:rsid w:val="0063229B"/>
    <w:rsid w:val="00653E0E"/>
    <w:rsid w:val="00711361"/>
    <w:rsid w:val="007B1F61"/>
    <w:rsid w:val="007C2DE3"/>
    <w:rsid w:val="007F533D"/>
    <w:rsid w:val="007F5695"/>
    <w:rsid w:val="008306BF"/>
    <w:rsid w:val="00832A4F"/>
    <w:rsid w:val="008415A0"/>
    <w:rsid w:val="00974CF7"/>
    <w:rsid w:val="009A0C17"/>
    <w:rsid w:val="009B0D52"/>
    <w:rsid w:val="00A34054"/>
    <w:rsid w:val="00A93834"/>
    <w:rsid w:val="00B00FD0"/>
    <w:rsid w:val="00B77903"/>
    <w:rsid w:val="00D17443"/>
    <w:rsid w:val="00D34156"/>
    <w:rsid w:val="00E07996"/>
    <w:rsid w:val="00F95BAA"/>
    <w:rsid w:val="00FA3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ABFECF"/>
  <w15:docId w15:val="{20841C3A-C9D6-4297-9176-8EE146EAA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widowControl w:val="0"/>
      <w:jc w:val="both"/>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5F0957"/>
    <w:pPr>
      <w:tabs>
        <w:tab w:val="center" w:pos="4680"/>
        <w:tab w:val="right" w:pos="9360"/>
      </w:tabs>
      <w:spacing w:line="240" w:lineRule="auto"/>
    </w:pPr>
  </w:style>
  <w:style w:type="character" w:customStyle="1" w:styleId="HeaderChar">
    <w:name w:val="Header Char"/>
    <w:basedOn w:val="DefaultParagraphFont"/>
    <w:link w:val="Header"/>
    <w:uiPriority w:val="99"/>
    <w:rsid w:val="005F0957"/>
  </w:style>
  <w:style w:type="paragraph" w:styleId="Footer">
    <w:name w:val="footer"/>
    <w:basedOn w:val="Normal"/>
    <w:link w:val="FooterChar"/>
    <w:uiPriority w:val="99"/>
    <w:unhideWhenUsed/>
    <w:rsid w:val="005F0957"/>
    <w:pPr>
      <w:tabs>
        <w:tab w:val="center" w:pos="4680"/>
        <w:tab w:val="right" w:pos="9360"/>
      </w:tabs>
      <w:spacing w:line="240" w:lineRule="auto"/>
    </w:pPr>
  </w:style>
  <w:style w:type="character" w:customStyle="1" w:styleId="FooterChar">
    <w:name w:val="Footer Char"/>
    <w:basedOn w:val="DefaultParagraphFont"/>
    <w:link w:val="Footer"/>
    <w:uiPriority w:val="99"/>
    <w:rsid w:val="005F0957"/>
  </w:style>
  <w:style w:type="character" w:styleId="Hyperlink">
    <w:name w:val="Hyperlink"/>
    <w:basedOn w:val="DefaultParagraphFont"/>
    <w:uiPriority w:val="99"/>
    <w:unhideWhenUsed/>
    <w:rsid w:val="00376C92"/>
    <w:rPr>
      <w:color w:val="0000FF" w:themeColor="hyperlink"/>
      <w:u w:val="single"/>
    </w:rPr>
  </w:style>
  <w:style w:type="character" w:styleId="UnresolvedMention">
    <w:name w:val="Unresolved Mention"/>
    <w:basedOn w:val="DefaultParagraphFont"/>
    <w:uiPriority w:val="99"/>
    <w:semiHidden/>
    <w:unhideWhenUsed/>
    <w:rsid w:val="00376C92"/>
    <w:rPr>
      <w:color w:val="605E5C"/>
      <w:shd w:val="clear" w:color="auto" w:fill="E1DFDD"/>
    </w:rPr>
  </w:style>
  <w:style w:type="character" w:styleId="FollowedHyperlink">
    <w:name w:val="FollowedHyperlink"/>
    <w:basedOn w:val="DefaultParagraphFont"/>
    <w:uiPriority w:val="99"/>
    <w:semiHidden/>
    <w:unhideWhenUsed/>
    <w:rsid w:val="00B779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doi.org/10.4337/jqrt.2023.0006" TargetMode="External"/><Relationship Id="rId18" Type="http://schemas.openxmlformats.org/officeDocument/2006/relationships/hyperlink" Target="https://www.statsbots.org.bw/sites/default/files/Quarterly%20multi%20-Force%20Module%20Quater%201%202024.pdf" TargetMode="External"/><Relationship Id="rId26" Type="http://schemas.openxmlformats.org/officeDocument/2006/relationships/hyperlink" Target="https://www.unicef.org/botswana/reports/fifth-botswana-aids-impact-survey-2021-bais-v-report" TargetMode="External"/><Relationship Id="rId3" Type="http://schemas.openxmlformats.org/officeDocument/2006/relationships/webSettings" Target="webSettings.xml"/><Relationship Id="rId21" Type="http://schemas.openxmlformats.org/officeDocument/2006/relationships/hyperlink" Target="https://doi.org/10.1007/s13178-020-00454-w" TargetMode="External"/><Relationship Id="rId34" Type="http://schemas.openxmlformats.org/officeDocument/2006/relationships/theme" Target="theme/theme1.xml"/><Relationship Id="rId7" Type="http://schemas.openxmlformats.org/officeDocument/2006/relationships/hyperlink" Target="https://doi.org/10.1097/QAD.0000000000001866" TargetMode="External"/><Relationship Id="rId12" Type="http://schemas.openxmlformats.org/officeDocument/2006/relationships/hyperlink" Target="https://uk.sagepub.com/en-gb/oce/systematic-approaches-to-a-successful-literature-review/book270933" TargetMode="External"/><Relationship Id="rId17" Type="http://schemas.openxmlformats.org/officeDocument/2006/relationships/hyperlink" Target="https://doi.org/10.1080/0376835X.2021.1977111" TargetMode="External"/><Relationship Id="rId25" Type="http://schemas.openxmlformats.org/officeDocument/2006/relationships/hyperlink" Target="https://doi.org/10.1080/26410397.2023.2260169"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researchgate.net/publication/358734181_Determinants_of_Unemployment_and_Labour_Market_Transitions_for_Youth_in_Botswana_Determinants_of_Unemployment_and_Labour-Market_Transitions_for_Youth_in_Botswana/citation/download" TargetMode="External"/><Relationship Id="rId20" Type="http://schemas.openxmlformats.org/officeDocument/2006/relationships/hyperlink" Target="https://doi.org/10.1080/17450128.2020.1752961"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doi.org/10.1016/1054-139x(91)90007-k" TargetMode="External"/><Relationship Id="rId11" Type="http://schemas.openxmlformats.org/officeDocument/2006/relationships/hyperlink" Target="https://doi.org/10.1080/00224490209552120" TargetMode="External"/><Relationship Id="rId24" Type="http://schemas.openxmlformats.org/officeDocument/2006/relationships/hyperlink" Target="https://doi.org/10.1186/1742-4755-8-25" TargetMode="External"/><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journals.ub.bw/index.php/mosenodi/article/download/1067/654" TargetMode="External"/><Relationship Id="rId23" Type="http://schemas.openxmlformats.org/officeDocument/2006/relationships/hyperlink" Target="https://unesdoc.unesco.org/ark:/48223/pf0000264649" TargetMode="External"/><Relationship Id="rId28" Type="http://schemas.openxmlformats.org/officeDocument/2006/relationships/header" Target="header2.xml"/><Relationship Id="rId10" Type="http://schemas.openxmlformats.org/officeDocument/2006/relationships/hyperlink" Target="https://doi.org/10.1111/j.1813-6982.2008.00170.x" TargetMode="External"/><Relationship Id="rId19" Type="http://schemas.openxmlformats.org/officeDocument/2006/relationships/hyperlink" Target="https://doi.org/10.1016/j.dr.2007.08.002" TargetMode="External"/><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doi.org/10.3390/ijerph17197163" TargetMode="External"/><Relationship Id="rId14" Type="http://schemas.openxmlformats.org/officeDocument/2006/relationships/hyperlink" Target="https://doi.org/10.17169/fqs-20.3.3376" TargetMode="External"/><Relationship Id="rId22" Type="http://schemas.openxmlformats.org/officeDocument/2006/relationships/hyperlink" Target="https://doi.org/10.3390/ijerph2005379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doi.org/10.18535/ijsshi/v7i10.0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15</Pages>
  <Words>5097</Words>
  <Characters>29057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Maripe, Kgosietsile  K.</dc:creator>
  <cp:lastModifiedBy>SDI 1084</cp:lastModifiedBy>
  <cp:revision>11</cp:revision>
  <dcterms:created xsi:type="dcterms:W3CDTF">2025-12-15T10:16:00Z</dcterms:created>
  <dcterms:modified xsi:type="dcterms:W3CDTF">2026-01-07T10:41:00Z</dcterms:modified>
</cp:coreProperties>
</file>