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79497" w14:textId="77777777"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Factors Associated with Renal Complications Among Patients with Diabetes Mellitus Attending Jaramogi Oginga Odinga Teaching and Referral Hospital, Kenya</w:t>
      </w:r>
    </w:p>
    <w:p w14:paraId="7E783BD0" w14:textId="77777777" w:rsidR="00B0041C" w:rsidRDefault="00B0041C" w:rsidP="00F67E9D">
      <w:pPr>
        <w:spacing w:line="360" w:lineRule="auto"/>
        <w:rPr>
          <w:rFonts w:ascii="Times New Roman" w:hAnsi="Times New Roman" w:cs="Times New Roman"/>
          <w:b/>
          <w:bCs/>
          <w:sz w:val="24"/>
          <w:szCs w:val="24"/>
        </w:rPr>
      </w:pPr>
    </w:p>
    <w:p w14:paraId="7EC7BAE6" w14:textId="3DEE6A7E" w:rsidR="00D55057"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b/>
          <w:bCs/>
          <w:sz w:val="24"/>
          <w:szCs w:val="24"/>
        </w:rPr>
        <w:t>Abstract</w:t>
      </w:r>
      <w:r w:rsidRPr="00F67E9D">
        <w:rPr>
          <w:rFonts w:ascii="Times New Roman" w:hAnsi="Times New Roman" w:cs="Times New Roman"/>
          <w:sz w:val="24"/>
          <w:szCs w:val="24"/>
        </w:rPr>
        <w:br/>
        <w:t>Background: Diabetes mellitus (DM) is a major cause of renal complications globally, including diabetic nephropathy (DN), chronic kidney disease (CKD), and end-stage renal disease (ESRD). In Kenya, data on the prevalence and risk factors of renal complications among diabetic patients remain limited. This study aimed to determine the prevalence and associated clinical and sociodemographic factors of renal complications among diabetic patients attending Jaramogi Oginga Odinga Teaching and Referral Hospital (JOOTRH).</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Methods</w:t>
      </w:r>
      <w:r w:rsidRPr="00F67E9D">
        <w:rPr>
          <w:rFonts w:ascii="Times New Roman" w:hAnsi="Times New Roman" w:cs="Times New Roman"/>
          <w:sz w:val="24"/>
          <w:szCs w:val="24"/>
        </w:rPr>
        <w:t>: A retrospective cross-sectional study was conducted at JOOTRH from March to September 2024. Medical records of 150 diabetic patients were randomly sampled, of which 117 met inclusion criteria. Data on demographics, clinical history, and renal function were extracted. Descriptive statistics estimated prevalence, while Chi-square tests assessed associations between independent factors and renal complications. Statistical significance was set at p &lt; 0.05.</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Results</w:t>
      </w:r>
      <w:r w:rsidRPr="00F67E9D">
        <w:rPr>
          <w:rFonts w:ascii="Times New Roman" w:hAnsi="Times New Roman" w:cs="Times New Roman"/>
          <w:sz w:val="24"/>
          <w:szCs w:val="24"/>
        </w:rPr>
        <w:t>: The prevalence of renal complications was 48.7%. CKD (26.5%) and DN (15.4%) were the most common complications, while ESRD (2.6%) and acute kidney injury (4.3%) were less frequent. Hypertension (55.6%) and poor glycemic control (HbA1c &gt; 8%) were significantly associated with renal complications (p &lt; 0.05). Longer duration of diabetes (&gt;10 years), older age (≥60 years), and low socioeconomic status were additional predictors of renal complications.</w:t>
      </w:r>
      <w:r w:rsidRPr="00F67E9D">
        <w:rPr>
          <w:rFonts w:ascii="Times New Roman" w:hAnsi="Times New Roman" w:cs="Times New Roman"/>
          <w:sz w:val="24"/>
          <w:szCs w:val="24"/>
        </w:rPr>
        <w:br/>
      </w:r>
      <w:r w:rsidRPr="00F67E9D">
        <w:rPr>
          <w:rFonts w:ascii="Times New Roman" w:hAnsi="Times New Roman" w:cs="Times New Roman"/>
          <w:sz w:val="24"/>
          <w:szCs w:val="24"/>
        </w:rPr>
        <w:br/>
        <w:t xml:space="preserve">Conclusions: Renal complications are common among diabetic patients at JOOTRH. Hypertension, poor glycemic control, longer diabetes duration, advanced age, and socioeconomic deprivation were key determinants. Routine renal screening, tight </w:t>
      </w:r>
      <w:r w:rsidRPr="00F67E9D">
        <w:rPr>
          <w:rFonts w:ascii="Times New Roman" w:hAnsi="Times New Roman" w:cs="Times New Roman"/>
          <w:sz w:val="24"/>
          <w:szCs w:val="24"/>
        </w:rPr>
        <w:lastRenderedPageBreak/>
        <w:t>glycemic and blood pressure control, and targeted education for high-risk groups are recommended.</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Keywords</w:t>
      </w:r>
      <w:r w:rsidRPr="00F67E9D">
        <w:rPr>
          <w:rFonts w:ascii="Times New Roman" w:hAnsi="Times New Roman" w:cs="Times New Roman"/>
          <w:sz w:val="24"/>
          <w:szCs w:val="24"/>
        </w:rPr>
        <w:t>: Diabetes mellitus, chronic kidney disease, diabetic nephropathy, renal complications, hypertension, Kenya.</w:t>
      </w:r>
      <w:r w:rsidRPr="00F67E9D">
        <w:rPr>
          <w:rFonts w:ascii="Times New Roman" w:hAnsi="Times New Roman" w:cs="Times New Roman"/>
          <w:sz w:val="24"/>
          <w:szCs w:val="24"/>
        </w:rPr>
        <w:br/>
      </w:r>
      <w:r w:rsidRPr="00F67E9D">
        <w:rPr>
          <w:rFonts w:ascii="Times New Roman" w:hAnsi="Times New Roman" w:cs="Times New Roman"/>
          <w:sz w:val="24"/>
          <w:szCs w:val="24"/>
        </w:rPr>
        <w:br/>
      </w:r>
      <w:r w:rsidR="00D55057" w:rsidRPr="00F67E9D">
        <w:rPr>
          <w:rFonts w:ascii="Times New Roman" w:hAnsi="Times New Roman" w:cs="Times New Roman"/>
          <w:b/>
          <w:bCs/>
          <w:color w:val="000000" w:themeColor="text1"/>
          <w:sz w:val="24"/>
          <w:szCs w:val="24"/>
        </w:rPr>
        <w:t xml:space="preserve"> Introduction </w:t>
      </w:r>
    </w:p>
    <w:p w14:paraId="2C5631CA" w14:textId="089DE27F" w:rsidR="00D55057" w:rsidRPr="00F67E9D" w:rsidRDefault="00D55057"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Renal complications are not a typical complication of diabetes, but diabetics who have them may nonetheless have significant social and economic difficulties. The premise of this argument stems from the observation that treating kidney disorders can be prohibitively expensive and may also negatively impact a families’ capacity to manage finances. The study's background, the problem statement, the broad objective, the specific objectives, the hypotheses, the study's justification, its limitations, and its assumptions are all covered in this chapter. </w:t>
      </w:r>
      <w:r w:rsidRPr="00F67E9D">
        <w:rPr>
          <w:rFonts w:ascii="Times New Roman" w:hAnsi="Times New Roman" w:cs="Times New Roman"/>
          <w:sz w:val="24"/>
          <w:szCs w:val="24"/>
        </w:rPr>
        <w:t>Diabetes mellitus (DM) is a long-term metabolic disease marked by high blood glucose levels and a host of other consequences, such as acute metabolic complications and long-term vascular problems. The most prevalent kind of diabetes globally is type 2 diabetes mellitus (T2DM) (IDF diabetes atlas, 2021). The primary cause of end stage renal disease in people with type 2 diabetes is chronic kidney disease (CKD), which is characterized by proteinuria and a subsequent decrease in glomerular filtration rate (Gheith et al., 2015).</w:t>
      </w:r>
    </w:p>
    <w:p w14:paraId="01C0D958" w14:textId="77777777" w:rsidR="00D55057" w:rsidRPr="00F67E9D" w:rsidRDefault="00D55057" w:rsidP="00F67E9D">
      <w:pPr>
        <w:spacing w:before="240" w:line="360" w:lineRule="auto"/>
        <w:jc w:val="both"/>
        <w:rPr>
          <w:rFonts w:ascii="Times New Roman" w:hAnsi="Times New Roman" w:cs="Times New Roman"/>
          <w:sz w:val="24"/>
          <w:szCs w:val="24"/>
        </w:rPr>
      </w:pPr>
      <w:r w:rsidRPr="00F67E9D">
        <w:rPr>
          <w:rFonts w:ascii="Times New Roman" w:hAnsi="Times New Roman" w:cs="Times New Roman"/>
          <w:sz w:val="24"/>
          <w:szCs w:val="24"/>
        </w:rPr>
        <w:t>In both industrialized and developing nations, diabetes mellitus (DM), especially type 2 diabetes, is the primary cause of chronic kidney disease (CKD) (Bilous et al, 2012). More than 50% of type 2 diabetes patients worldwide experienced CKD (Thomas et al, 2016). Compared to the industrialized world, Africa has a 3.4–5.6 times higher prevalence of CKD (</w:t>
      </w:r>
      <w:proofErr w:type="spellStart"/>
      <w:r w:rsidRPr="00F67E9D">
        <w:rPr>
          <w:rFonts w:ascii="Times New Roman" w:hAnsi="Times New Roman" w:cs="Times New Roman"/>
          <w:sz w:val="24"/>
          <w:szCs w:val="24"/>
        </w:rPr>
        <w:t>Tesfe</w:t>
      </w:r>
      <w:proofErr w:type="spellEnd"/>
      <w:r w:rsidRPr="00F67E9D">
        <w:rPr>
          <w:rFonts w:ascii="Times New Roman" w:hAnsi="Times New Roman" w:cs="Times New Roman"/>
          <w:sz w:val="24"/>
          <w:szCs w:val="24"/>
        </w:rPr>
        <w:t xml:space="preserve"> et al., 2022). Like other developing nations, Ethiopia is seeing a sharp rise in the prevalence of CKD and DM (Abdulkadir et al, 2022; Bishu et al, 2019). For example, 6.8% of people in Dessie town, northeast Ethiopia, have diabetes (Endris et al., 2019). Similarly, the prevalence of CKD, which varies from 7.7 to 65.1% among individuals with diabetes mellitus, is rising (</w:t>
      </w:r>
      <w:proofErr w:type="spellStart"/>
      <w:r w:rsidRPr="00F67E9D">
        <w:rPr>
          <w:rFonts w:ascii="Times New Roman" w:hAnsi="Times New Roman" w:cs="Times New Roman"/>
          <w:sz w:val="24"/>
          <w:szCs w:val="24"/>
        </w:rPr>
        <w:t>Ayalneh</w:t>
      </w:r>
      <w:proofErr w:type="spellEnd"/>
      <w:r w:rsidRPr="00F67E9D">
        <w:rPr>
          <w:rFonts w:ascii="Times New Roman" w:hAnsi="Times New Roman" w:cs="Times New Roman"/>
          <w:sz w:val="24"/>
          <w:szCs w:val="24"/>
        </w:rPr>
        <w:t xml:space="preserve"> et al, 2019; Abdulkadir et al, 2022).</w:t>
      </w:r>
    </w:p>
    <w:p w14:paraId="5E5EB8F8" w14:textId="77777777" w:rsidR="00D55057" w:rsidRPr="00F67E9D" w:rsidRDefault="00D55057" w:rsidP="00F67E9D">
      <w:pPr>
        <w:spacing w:before="240" w:line="360" w:lineRule="auto"/>
        <w:jc w:val="both"/>
        <w:rPr>
          <w:rFonts w:ascii="Times New Roman" w:hAnsi="Times New Roman" w:cs="Times New Roman"/>
          <w:sz w:val="24"/>
          <w:szCs w:val="24"/>
        </w:rPr>
      </w:pPr>
      <w:r w:rsidRPr="00F67E9D">
        <w:rPr>
          <w:rFonts w:ascii="Times New Roman" w:hAnsi="Times New Roman" w:cs="Times New Roman"/>
          <w:sz w:val="24"/>
          <w:szCs w:val="24"/>
        </w:rPr>
        <w:lastRenderedPageBreak/>
        <w:t>A decrease in estimated glomerular filtration rate (eGFR), which is defined as less than 60 ml/min per 1.73 m2, or kidney damage, which is commonly detected as persistent albuminuria or proteinuria, are signs of chronic kidney disease (CKD), which is defined as structural or functional abnormalities of the kidney that last for at least three months (Brosius et al, 2006). An extended duration of asymptomatic nephropathy is essential to the explanation of chronic kidney disease. Therefore, it is essential to identify renal impairments early in order to stop or slow the progression of the disease and lower the chance of unfavorable results (Fiseha et al, 2019).</w:t>
      </w:r>
    </w:p>
    <w:p w14:paraId="72EADE2E" w14:textId="77777777"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Moreover, morbidity, hospitalization, healthcare utilization, and premature death are all markedly greater in CKD patients (Mencarelli et al., 2015). Millions of individuals worldwide are impacted by chronic kidney disease (CKD), a global public health concern (National Kidney Foundation, 2012).</w:t>
      </w:r>
    </w:p>
    <w:p w14:paraId="269E8F9F" w14:textId="1BF8E853"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 xml:space="preserve">Non-communicable diseases (NCDs) are thought to be responsible for 27% (284,000) of all fatalities in Kenya, with diabetes accounting for roughly 10,000 of those deaths. The International Diabetes Federation estimated that 15, 284 Kenyans between the ages of 20 and 79 died from diabetes-related causes in 2021. According to </w:t>
      </w:r>
      <w:proofErr w:type="spellStart"/>
      <w:r w:rsidRPr="00F67E9D">
        <w:rPr>
          <w:rFonts w:ascii="Times New Roman" w:hAnsi="Times New Roman" w:cs="Times New Roman"/>
          <w:sz w:val="24"/>
          <w:szCs w:val="24"/>
        </w:rPr>
        <w:t>Onteri</w:t>
      </w:r>
      <w:proofErr w:type="spellEnd"/>
      <w:r w:rsidRPr="00F67E9D">
        <w:rPr>
          <w:rFonts w:ascii="Times New Roman" w:hAnsi="Times New Roman" w:cs="Times New Roman"/>
          <w:sz w:val="24"/>
          <w:szCs w:val="24"/>
        </w:rPr>
        <w:t xml:space="preserve"> et al. (2023), the adjusted prevalence of diabetes in adults in Kenya was estimated to be 3.6% in 2013. If mitigation measures are not implemented by 2035, this number is expected to increase to 4.4%. According to a study conducted in Nyeri County in 2020 by Fredrick Otieno et al., "The Burden of Unrecognized Chronic Kidney Disease in Patients with Type 2 Diabetes at a County Hospital Clinic in Kenya: Implications for Care and Need for Screening," over 30% of the study participants had unrecognized CKD of KDIGO stages 3, 4, and 5. That study, recommended that those who have a high risk of developing chronic kidney disease (CKD) should be identified for screening and linked to care based on risk factors such as age over 50, hypertension, and long-term diabetes, as they run a higher risk of developing cardiovascular events and end-stage kidney disease.</w:t>
      </w:r>
    </w:p>
    <w:p w14:paraId="2BF881A8" w14:textId="77777777"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 xml:space="preserve">The prevalence of chronic kidney disease (CKD) in sub-Saharan Africa is estimated to be 14%. In Kenya, it is estimated at 4%. According to a population-based study of CKD in rural East Africa, the prevalence of CKD in western Kenya was 4%. The risk factors for CKD in that study included age ≥60 years and HIV infection. Unpublished data from the </w:t>
      </w:r>
      <w:r w:rsidRPr="00F67E9D">
        <w:rPr>
          <w:rFonts w:ascii="Times New Roman" w:hAnsi="Times New Roman" w:cs="Times New Roman"/>
          <w:sz w:val="24"/>
          <w:szCs w:val="24"/>
        </w:rPr>
        <w:lastRenderedPageBreak/>
        <w:t>Kenya Renal Registry indicates that hypertensive renal disease and diabetic nephropathy are the two most identified kidney diseases in patients receiving kidney replacement therapy (KRT) (Maritim et al, 2022).</w:t>
      </w:r>
    </w:p>
    <w:p w14:paraId="7792DB07" w14:textId="77777777" w:rsidR="00D55057" w:rsidRPr="00F67E9D" w:rsidRDefault="00D55057" w:rsidP="00F67E9D">
      <w:pPr>
        <w:spacing w:line="360" w:lineRule="auto"/>
        <w:jc w:val="both"/>
        <w:rPr>
          <w:rFonts w:ascii="Times New Roman" w:hAnsi="Times New Roman" w:cs="Times New Roman"/>
          <w:bCs/>
          <w:sz w:val="24"/>
          <w:szCs w:val="24"/>
        </w:rPr>
      </w:pPr>
      <w:r w:rsidRPr="00F67E9D">
        <w:rPr>
          <w:rFonts w:ascii="Times New Roman" w:hAnsi="Times New Roman" w:cs="Times New Roman"/>
          <w:bCs/>
          <w:sz w:val="24"/>
          <w:szCs w:val="24"/>
        </w:rPr>
        <w:t xml:space="preserve">In Kenya, the number of patients admitted for dialysis annually has been steadily increasing, with approximately 4,000 to 5,000 new dialysis patients each year, according to reports from the Kenya Renal Association (2022). The country has around 50 kidney treatment units distributed across public and private hospitals, providing a total renal bed capacity of approximately 300 beds (MOH, 2021), with the demand for dialysis often exceeding capacity, resulting in long waiting times for patients. </w:t>
      </w:r>
    </w:p>
    <w:p w14:paraId="05228DCE"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As the primary cause of end-stage renal disease (ESRD), diabetic kidney disease (DKD) carries a significant worldwide burden (De Boer et al, 2011). About 30–40% of diabetic patients develop DKD. As of 2021, 537 million people (or 11% of the world's population) have diabetes; by 2025, that number is predicted to rise to 783 million (Pavkov et al., 2023). It is also anticipated that the prevalence of DKD and the long-term problems it causes would rise globally (De Boer et al., 2011). </w:t>
      </w:r>
    </w:p>
    <w:p w14:paraId="19A6BC8E"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According to the International Diabetic Federation's 2015 Atlas, 8.8% of persons between the ages of 20 and 79 were expected to have diabetes. This represents a population of about 440 million people. By 2035, this is expected to increase to more than 550 million people (Andersen et al, 1983).</w:t>
      </w:r>
    </w:p>
    <w:p w14:paraId="2C9C4737"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According to a comprehensive assessment of the literature completed in 2020, 35.52% of patients in Ethiopia with diabetes mellitus had CKD (Shiferaw et al, 2020). Using CKD EPI equations, a recent study at </w:t>
      </w:r>
      <w:proofErr w:type="spellStart"/>
      <w:r w:rsidRPr="00F67E9D">
        <w:rPr>
          <w:rFonts w:ascii="Times New Roman" w:hAnsi="Times New Roman" w:cs="Times New Roman"/>
          <w:color w:val="000000" w:themeColor="text1"/>
          <w:sz w:val="24"/>
          <w:szCs w:val="24"/>
        </w:rPr>
        <w:t>Tibebe</w:t>
      </w:r>
      <w:proofErr w:type="spellEnd"/>
      <w:r w:rsidRPr="00F67E9D">
        <w:rPr>
          <w:rFonts w:ascii="Times New Roman" w:hAnsi="Times New Roman" w:cs="Times New Roman"/>
          <w:color w:val="000000" w:themeColor="text1"/>
          <w:sz w:val="24"/>
          <w:szCs w:val="24"/>
        </w:rPr>
        <w:t xml:space="preserve"> </w:t>
      </w:r>
      <w:proofErr w:type="spellStart"/>
      <w:r w:rsidRPr="00F67E9D">
        <w:rPr>
          <w:rFonts w:ascii="Times New Roman" w:hAnsi="Times New Roman" w:cs="Times New Roman"/>
          <w:color w:val="000000" w:themeColor="text1"/>
          <w:sz w:val="24"/>
          <w:szCs w:val="24"/>
        </w:rPr>
        <w:t>Ghion</w:t>
      </w:r>
      <w:proofErr w:type="spellEnd"/>
      <w:r w:rsidRPr="00F67E9D">
        <w:rPr>
          <w:rFonts w:ascii="Times New Roman" w:hAnsi="Times New Roman" w:cs="Times New Roman"/>
          <w:color w:val="000000" w:themeColor="text1"/>
          <w:sz w:val="24"/>
          <w:szCs w:val="24"/>
        </w:rPr>
        <w:t xml:space="preserve"> Specialized Hospital in Bahir Dar reveals that the prevalence of CKD is 16.7% (</w:t>
      </w:r>
      <w:proofErr w:type="spellStart"/>
      <w:r w:rsidRPr="00F67E9D">
        <w:rPr>
          <w:rFonts w:ascii="Times New Roman" w:hAnsi="Times New Roman" w:cs="Times New Roman"/>
          <w:color w:val="000000" w:themeColor="text1"/>
          <w:sz w:val="24"/>
          <w:szCs w:val="24"/>
        </w:rPr>
        <w:t>Tesfe</w:t>
      </w:r>
      <w:proofErr w:type="spellEnd"/>
      <w:r w:rsidRPr="00F67E9D">
        <w:rPr>
          <w:rFonts w:ascii="Times New Roman" w:hAnsi="Times New Roman" w:cs="Times New Roman"/>
          <w:color w:val="000000" w:themeColor="text1"/>
          <w:sz w:val="24"/>
          <w:szCs w:val="24"/>
        </w:rPr>
        <w:t xml:space="preserve"> et al, 2022). According to Fiseha et al. (2020), a study carried out in 2016 at Dessie Referral Hospital (DRH) revealed that the prevalence of CKD was 26.3% overall.</w:t>
      </w:r>
    </w:p>
    <w:p w14:paraId="0264C23B"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b/>
          <w:color w:val="000000" w:themeColor="text1"/>
          <w:sz w:val="24"/>
          <w:szCs w:val="24"/>
        </w:rPr>
        <w:t xml:space="preserve"> </w:t>
      </w:r>
      <w:r w:rsidRPr="00F67E9D">
        <w:rPr>
          <w:rFonts w:ascii="Times New Roman" w:hAnsi="Times New Roman" w:cs="Times New Roman"/>
          <w:color w:val="000000" w:themeColor="text1"/>
          <w:sz w:val="24"/>
          <w:szCs w:val="24"/>
        </w:rPr>
        <w:t xml:space="preserve">Due to diverse environmental, ethnic, socioeconomic, and rural-urban variables, the prevalence of chronic kidney disease (CKD) varies greatly across the globe (Imtiaz et al, 2018). Kidney illness ranked as the 12th leading cause of mortality globally, accounting for 1.1 million fatalities, according to the 2015 Global Burden of illness Study. Along with </w:t>
      </w:r>
      <w:r w:rsidRPr="00F67E9D">
        <w:rPr>
          <w:rFonts w:ascii="Times New Roman" w:hAnsi="Times New Roman" w:cs="Times New Roman"/>
          <w:color w:val="000000" w:themeColor="text1"/>
          <w:sz w:val="24"/>
          <w:szCs w:val="24"/>
        </w:rPr>
        <w:lastRenderedPageBreak/>
        <w:t>diabetes and dementia, CKD is one of the leading causes of death that is rising the fastest, with an overall mortality rate increase of 31.7% over the past ten years (Neuen et al, 2017).</w:t>
      </w:r>
    </w:p>
    <w:p w14:paraId="6E7BFC37"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Globally, 50% of T2DM patients are thought to have CKD, and the severity and presence of CKD significantly affect the outcome of the condition. Some patient populations are more likely to develop chronic kidney disease (CKD), such as the elderly, people with diabetes mellitus that began in their youth, obese people, people from specific ethnic groups, and underprivileged groups (Thomas et al, 2016; Li et al, 2021). </w:t>
      </w:r>
    </w:p>
    <w:p w14:paraId="712E1179" w14:textId="486572AC" w:rsidR="007B39AF"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According to studies conducted in Africa, the prevalence of CKD varied among individuals with diabetes (11–90%), high-risk groups of HIV patients (1–46%), and hypertension patients (13.51%) (</w:t>
      </w:r>
      <w:proofErr w:type="spellStart"/>
      <w:r w:rsidRPr="00F67E9D">
        <w:rPr>
          <w:rFonts w:ascii="Times New Roman" w:hAnsi="Times New Roman" w:cs="Times New Roman"/>
          <w:color w:val="000000" w:themeColor="text1"/>
          <w:sz w:val="24"/>
          <w:szCs w:val="24"/>
        </w:rPr>
        <w:t>Elhafeez</w:t>
      </w:r>
      <w:proofErr w:type="spellEnd"/>
      <w:r w:rsidRPr="00F67E9D">
        <w:rPr>
          <w:rFonts w:ascii="Times New Roman" w:hAnsi="Times New Roman" w:cs="Times New Roman"/>
          <w:color w:val="000000" w:themeColor="text1"/>
          <w:sz w:val="24"/>
          <w:szCs w:val="24"/>
        </w:rPr>
        <w:t xml:space="preserve"> et al, 2018).</w:t>
      </w:r>
      <w:r w:rsidR="00D55057" w:rsidRPr="00F67E9D">
        <w:rPr>
          <w:rFonts w:ascii="Times New Roman" w:hAnsi="Times New Roman" w:cs="Times New Roman"/>
          <w:sz w:val="24"/>
          <w:szCs w:val="24"/>
        </w:rPr>
        <w:t xml:space="preserve"> </w:t>
      </w:r>
      <w:r w:rsidR="007B39AF" w:rsidRPr="00F67E9D">
        <w:rPr>
          <w:rFonts w:ascii="Times New Roman" w:hAnsi="Times New Roman" w:cs="Times New Roman"/>
          <w:sz w:val="24"/>
          <w:szCs w:val="24"/>
        </w:rPr>
        <w:t>This study therefore sought to determine the prevalence of renal complications and to identify clinical and sociodemographic factors associated with renal complications among diabetic patients at JOOTRH.</w:t>
      </w:r>
    </w:p>
    <w:p w14:paraId="164E1643" w14:textId="2626357E" w:rsidR="002F46B8"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Method</w:t>
      </w:r>
      <w:r w:rsidR="00E1628C" w:rsidRPr="00F67E9D">
        <w:rPr>
          <w:rFonts w:ascii="Times New Roman" w:hAnsi="Times New Roman" w:cs="Times New Roman"/>
          <w:b/>
          <w:bCs/>
          <w:sz w:val="24"/>
          <w:szCs w:val="24"/>
        </w:rPr>
        <w:t>ology</w:t>
      </w:r>
      <w:r w:rsidRPr="00F67E9D">
        <w:rPr>
          <w:rFonts w:ascii="Times New Roman" w:hAnsi="Times New Roman" w:cs="Times New Roman"/>
          <w:sz w:val="24"/>
          <w:szCs w:val="24"/>
        </w:rPr>
        <w:br/>
      </w:r>
      <w:r w:rsidR="002F46B8" w:rsidRPr="00F67E9D">
        <w:rPr>
          <w:rFonts w:ascii="Times New Roman" w:hAnsi="Times New Roman" w:cs="Times New Roman"/>
          <w:sz w:val="24"/>
          <w:szCs w:val="24"/>
        </w:rPr>
        <w:t>The study was conducted in the medical wards, renal and diabetes clinics at the Jaramogi Oginga Odinga Teaching and Referral Hospital (JOOTRH). Situated in Kisumu, Kenya. This esteemed medical facility plays a vital role as a teaching and referral hospital for the western Kenyan region, mostly comprising the counties that comprised the old Nyanza province. JOOTRH works with other medical educational establishments to offer medical students, nurses, and other healthcare workers hands-on training and internships. Additionally, it conducts a range of studies with the goal of enhancing the quality and results of health</w:t>
      </w:r>
      <w:r w:rsidR="007C4AF8" w:rsidRPr="00F67E9D">
        <w:rPr>
          <w:rFonts w:ascii="Times New Roman" w:hAnsi="Times New Roman" w:cs="Times New Roman"/>
          <w:sz w:val="24"/>
          <w:szCs w:val="24"/>
        </w:rPr>
        <w:t xml:space="preserve"> </w:t>
      </w:r>
      <w:r w:rsidR="002F46B8" w:rsidRPr="00F67E9D">
        <w:rPr>
          <w:rFonts w:ascii="Times New Roman" w:hAnsi="Times New Roman" w:cs="Times New Roman"/>
          <w:sz w:val="24"/>
          <w:szCs w:val="24"/>
        </w:rPr>
        <w:t>care</w:t>
      </w:r>
      <w:bookmarkStart w:id="0" w:name="_Toc180577352"/>
      <w:r w:rsidR="007C4AF8" w:rsidRPr="00F67E9D">
        <w:rPr>
          <w:rFonts w:ascii="Times New Roman" w:hAnsi="Times New Roman" w:cs="Times New Roman"/>
          <w:sz w:val="24"/>
          <w:szCs w:val="24"/>
        </w:rPr>
        <w:t>.</w:t>
      </w:r>
    </w:p>
    <w:p w14:paraId="1ADC4784" w14:textId="53704D30" w:rsidR="002F46B8" w:rsidRPr="00F67E9D" w:rsidRDefault="002F46B8" w:rsidP="00F67E9D">
      <w:pPr>
        <w:spacing w:line="360" w:lineRule="auto"/>
        <w:jc w:val="both"/>
        <w:rPr>
          <w:rFonts w:ascii="Times New Roman" w:hAnsi="Times New Roman" w:cs="Times New Roman"/>
          <w:b/>
          <w:bCs/>
          <w:sz w:val="24"/>
          <w:szCs w:val="24"/>
        </w:rPr>
      </w:pPr>
      <w:r w:rsidRPr="00F67E9D">
        <w:rPr>
          <w:rFonts w:ascii="Times New Roman" w:hAnsi="Times New Roman" w:cs="Times New Roman"/>
          <w:sz w:val="24"/>
          <w:szCs w:val="24"/>
        </w:rPr>
        <w:t xml:space="preserve"> </w:t>
      </w:r>
      <w:r w:rsidRPr="00F67E9D">
        <w:rPr>
          <w:rFonts w:ascii="Times New Roman" w:hAnsi="Times New Roman" w:cs="Times New Roman"/>
          <w:b/>
          <w:bCs/>
          <w:sz w:val="24"/>
          <w:szCs w:val="24"/>
        </w:rPr>
        <w:t>Study design</w:t>
      </w:r>
      <w:bookmarkEnd w:id="0"/>
    </w:p>
    <w:p w14:paraId="7A22E944" w14:textId="411D9BBB" w:rsidR="002F46B8" w:rsidRPr="00F67E9D" w:rsidRDefault="002F46B8"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Retrospective study design was used to gather information from a particular segment of the population—diabetic patients who attended to at JOOTRH from1</w:t>
      </w:r>
      <w:r w:rsidRPr="00F67E9D">
        <w:rPr>
          <w:rFonts w:ascii="Times New Roman" w:hAnsi="Times New Roman" w:cs="Times New Roman"/>
          <w:sz w:val="24"/>
          <w:szCs w:val="24"/>
          <w:vertAlign w:val="superscript"/>
        </w:rPr>
        <w:t>st</w:t>
      </w:r>
      <w:r w:rsidRPr="00F67E9D">
        <w:rPr>
          <w:rFonts w:ascii="Times New Roman" w:hAnsi="Times New Roman" w:cs="Times New Roman"/>
          <w:sz w:val="24"/>
          <w:szCs w:val="24"/>
        </w:rPr>
        <w:t xml:space="preserve"> March 2024 –30</w:t>
      </w:r>
      <w:r w:rsidRPr="00F67E9D">
        <w:rPr>
          <w:rFonts w:ascii="Times New Roman" w:hAnsi="Times New Roman" w:cs="Times New Roman"/>
          <w:sz w:val="24"/>
          <w:szCs w:val="24"/>
          <w:vertAlign w:val="superscript"/>
        </w:rPr>
        <w:t>th</w:t>
      </w:r>
      <w:r w:rsidRPr="00F67E9D">
        <w:rPr>
          <w:rFonts w:ascii="Times New Roman" w:hAnsi="Times New Roman" w:cs="Times New Roman"/>
          <w:sz w:val="24"/>
          <w:szCs w:val="24"/>
        </w:rPr>
        <w:t xml:space="preserve"> September 2024. The study describes the characteristics or outcomes within this study population, including the prevalence of renal complications among the diabetic patients seen at JOOTRH. The study did not track changes over time and the data was just collected once. A sample that represented the study population was randomly selected and the </w:t>
      </w:r>
      <w:r w:rsidRPr="00F67E9D">
        <w:rPr>
          <w:rFonts w:ascii="Times New Roman" w:hAnsi="Times New Roman" w:cs="Times New Roman"/>
          <w:sz w:val="24"/>
          <w:szCs w:val="24"/>
        </w:rPr>
        <w:lastRenderedPageBreak/>
        <w:t xml:space="preserve">researcher made inferences about the whole study population, based on the sample data collected. </w:t>
      </w:r>
    </w:p>
    <w:p w14:paraId="232F4955" w14:textId="62888022"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b/>
          <w:bCs/>
          <w:sz w:val="24"/>
          <w:szCs w:val="24"/>
        </w:rPr>
        <w:t>Inclusion criteria</w:t>
      </w:r>
      <w:r w:rsidRPr="00F67E9D">
        <w:rPr>
          <w:rFonts w:ascii="Times New Roman" w:hAnsi="Times New Roman" w:cs="Times New Roman"/>
          <w:sz w:val="24"/>
          <w:szCs w:val="24"/>
        </w:rPr>
        <w:t xml:space="preserve">: records of type 1 or type 2 DM patients with complete follow-up data. </w:t>
      </w:r>
      <w:r w:rsidR="002F46B8" w:rsidRPr="00F67E9D">
        <w:rPr>
          <w:rFonts w:ascii="Times New Roman" w:hAnsi="Times New Roman" w:cs="Times New Roman"/>
          <w:sz w:val="24"/>
          <w:szCs w:val="24"/>
        </w:rPr>
        <w:t>P</w:t>
      </w:r>
      <w:r w:rsidRPr="00F67E9D">
        <w:rPr>
          <w:rFonts w:ascii="Times New Roman" w:hAnsi="Times New Roman" w:cs="Times New Roman"/>
          <w:sz w:val="24"/>
          <w:szCs w:val="24"/>
        </w:rPr>
        <w:t>atients with gestational diabetes, non-diabetic renal disease, or incomplete records</w:t>
      </w:r>
      <w:r w:rsidR="002F46B8" w:rsidRPr="00F67E9D">
        <w:rPr>
          <w:rFonts w:ascii="Times New Roman" w:hAnsi="Times New Roman" w:cs="Times New Roman"/>
          <w:sz w:val="24"/>
          <w:szCs w:val="24"/>
        </w:rPr>
        <w:t xml:space="preserve"> were exclude from the study.</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Sample size and sampling</w:t>
      </w:r>
      <w:r w:rsidRPr="00F67E9D">
        <w:rPr>
          <w:rFonts w:ascii="Times New Roman" w:hAnsi="Times New Roman" w:cs="Times New Roman"/>
          <w:sz w:val="24"/>
          <w:szCs w:val="24"/>
        </w:rPr>
        <w:t>: Yamane’s formula with a 95% confidence level and 5% margin of error, a sample of 150 records was targeted from an estimated 240 patients. Simple random sampling was applied, and 117 eligible records were analyzed.</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Data collection</w:t>
      </w:r>
      <w:r w:rsidRPr="00F67E9D">
        <w:rPr>
          <w:rFonts w:ascii="Times New Roman" w:hAnsi="Times New Roman" w:cs="Times New Roman"/>
          <w:sz w:val="24"/>
          <w:szCs w:val="24"/>
        </w:rPr>
        <w:t>: Data extraction forms were used to capture sociodemographic (age, sex, marital status, education, income, residence) and clinical variables (type and duration of DM, treatment regimen, HbA1c, blood pressure, cardiovascular history, renal complications). Renal outcomes were classified as DN, CKD, ESRD, or acute kidney injury (AKI).</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Outcome variable:</w:t>
      </w:r>
      <w:r w:rsidRPr="00F67E9D">
        <w:rPr>
          <w:rFonts w:ascii="Times New Roman" w:hAnsi="Times New Roman" w:cs="Times New Roman"/>
          <w:sz w:val="24"/>
          <w:szCs w:val="24"/>
        </w:rPr>
        <w:t xml:space="preserve"> Renal complications, defined as any documented diagnosis of DN, CKD (eGFR &lt;60 mL/min/1.73m² or persistent albuminuria &gt;3 months), ESRD, or AKI.</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Data analysis:</w:t>
      </w:r>
      <w:r w:rsidRPr="00F67E9D">
        <w:rPr>
          <w:rFonts w:ascii="Times New Roman" w:hAnsi="Times New Roman" w:cs="Times New Roman"/>
          <w:sz w:val="24"/>
          <w:szCs w:val="24"/>
        </w:rPr>
        <w:t xml:space="preserve"> Data were analyzed using descriptive statistics for prevalence and frequencies. Associations between independent variables and renal complications were tested using Chi-square tests. Statistical significance was set at p &lt; 0.05.</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Ethical considerations</w:t>
      </w:r>
      <w:r w:rsidRPr="00F67E9D">
        <w:rPr>
          <w:rFonts w:ascii="Times New Roman" w:hAnsi="Times New Roman" w:cs="Times New Roman"/>
          <w:sz w:val="24"/>
          <w:szCs w:val="24"/>
        </w:rPr>
        <w:t>: Ethical approval was obtained from Uzima University Ethics Review Board and JOOTRH Ethics Committee. A research permit was issued by the National Commission for Science, Technology, and Innovation (NACOSTI). Patient anonymity was preserved by excluding identifiers.</w:t>
      </w:r>
      <w:r w:rsidRPr="00F67E9D">
        <w:rPr>
          <w:rFonts w:ascii="Times New Roman" w:hAnsi="Times New Roman" w:cs="Times New Roman"/>
          <w:sz w:val="24"/>
          <w:szCs w:val="24"/>
        </w:rPr>
        <w:br/>
      </w:r>
    </w:p>
    <w:p w14:paraId="681CF67A" w14:textId="77777777"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Results</w:t>
      </w:r>
    </w:p>
    <w:p w14:paraId="380245F1" w14:textId="77777777" w:rsidR="00456DF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lastRenderedPageBreak/>
        <w:t xml:space="preserve">Sociodemographic characteristics: </w:t>
      </w:r>
      <w:r w:rsidR="00456DFF" w:rsidRPr="00F67E9D">
        <w:rPr>
          <w:rFonts w:ascii="Times New Roman" w:hAnsi="Times New Roman" w:cs="Times New Roman"/>
          <w:sz w:val="24"/>
          <w:szCs w:val="24"/>
        </w:rPr>
        <w:t>o</w:t>
      </w:r>
      <w:r w:rsidRPr="00F67E9D">
        <w:rPr>
          <w:rFonts w:ascii="Times New Roman" w:hAnsi="Times New Roman" w:cs="Times New Roman"/>
          <w:sz w:val="24"/>
          <w:szCs w:val="24"/>
        </w:rPr>
        <w:t>f 117 patients, 56.4% were female. Most were aged 40–59 years (47.0%), followed by ≥60 years (39.3%). The majority were married (73.5%) and resided in urban areas (48.7%). Nearly half (45.3%) had tertiary education, while 17.9% had no formal education.</w:t>
      </w:r>
    </w:p>
    <w:p w14:paraId="38250E98" w14:textId="77777777" w:rsidR="00456DFF" w:rsidRPr="00F67E9D" w:rsidRDefault="00456DFF"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t>Age Distribution.</w:t>
      </w:r>
      <w:r w:rsidRPr="00F67E9D">
        <w:rPr>
          <w:rFonts w:ascii="Times New Roman" w:eastAsia="Times New Roman" w:hAnsi="Times New Roman" w:cs="Times New Roman"/>
          <w:sz w:val="24"/>
          <w:szCs w:val="24"/>
        </w:rPr>
        <w:br/>
        <w:t>The majority of the participants were between 40 and 59 years old, representing 47.0% (n=55) of the sample. Those aged 60–79 accounted for 39.3% (n=46), and participants under 40 years constituted 13.7% (n=16).</w:t>
      </w:r>
    </w:p>
    <w:tbl>
      <w:tblPr>
        <w:tblW w:w="8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1543"/>
        <w:gridCol w:w="1395"/>
        <w:gridCol w:w="1229"/>
        <w:gridCol w:w="1670"/>
        <w:gridCol w:w="1762"/>
      </w:tblGrid>
      <w:tr w:rsidR="00456DFF" w:rsidRPr="00F67E9D" w14:paraId="238849CC" w14:textId="77777777" w:rsidTr="00405C29">
        <w:trPr>
          <w:cantSplit/>
        </w:trPr>
        <w:tc>
          <w:tcPr>
            <w:tcW w:w="8481" w:type="dxa"/>
            <w:gridSpan w:val="6"/>
            <w:tcBorders>
              <w:top w:val="nil"/>
              <w:left w:val="nil"/>
              <w:bottom w:val="nil"/>
              <w:right w:val="nil"/>
            </w:tcBorders>
            <w:shd w:val="clear" w:color="auto" w:fill="FFFFFF"/>
            <w:vAlign w:val="center"/>
          </w:tcPr>
          <w:p w14:paraId="00ADB869"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Age of patients</w:t>
            </w:r>
          </w:p>
        </w:tc>
      </w:tr>
      <w:tr w:rsidR="00456DFF" w:rsidRPr="00F67E9D" w14:paraId="7112F64B" w14:textId="77777777" w:rsidTr="00405C29">
        <w:trPr>
          <w:cantSplit/>
        </w:trPr>
        <w:tc>
          <w:tcPr>
            <w:tcW w:w="2425" w:type="dxa"/>
            <w:gridSpan w:val="2"/>
            <w:tcBorders>
              <w:top w:val="nil"/>
              <w:left w:val="nil"/>
              <w:bottom w:val="single" w:sz="8" w:space="0" w:color="152935"/>
              <w:right w:val="nil"/>
            </w:tcBorders>
            <w:shd w:val="clear" w:color="auto" w:fill="FFFFFF"/>
            <w:vAlign w:val="bottom"/>
          </w:tcPr>
          <w:p w14:paraId="3E83CCAF"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6150360B"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5D362BB2"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0237347E"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1AE57DAC"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456DFF" w:rsidRPr="00F67E9D" w14:paraId="685FDDB5" w14:textId="77777777" w:rsidTr="00405C29">
        <w:trPr>
          <w:cantSplit/>
        </w:trPr>
        <w:tc>
          <w:tcPr>
            <w:tcW w:w="2425" w:type="dxa"/>
            <w:gridSpan w:val="2"/>
            <w:tcBorders>
              <w:top w:val="nil"/>
              <w:left w:val="nil"/>
              <w:bottom w:val="single" w:sz="8" w:space="0" w:color="152935"/>
              <w:right w:val="nil"/>
            </w:tcBorders>
            <w:shd w:val="clear" w:color="auto" w:fill="FFFFFF"/>
            <w:vAlign w:val="bottom"/>
          </w:tcPr>
          <w:p w14:paraId="7F7F7EAC"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592B8E2F"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76FA8B18"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04B718C0"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762" w:type="dxa"/>
            <w:tcBorders>
              <w:top w:val="nil"/>
              <w:left w:val="single" w:sz="8" w:space="0" w:color="E0E0E0"/>
              <w:bottom w:val="single" w:sz="8" w:space="0" w:color="152935"/>
              <w:right w:val="nil"/>
            </w:tcBorders>
            <w:shd w:val="clear" w:color="auto" w:fill="FFFFFF"/>
            <w:vAlign w:val="bottom"/>
          </w:tcPr>
          <w:p w14:paraId="7F3D2921"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r>
      <w:tr w:rsidR="00456DFF" w:rsidRPr="00F67E9D" w14:paraId="6732380B"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40C9595F" w14:textId="77777777" w:rsidR="00456DFF" w:rsidRPr="00F67E9D" w:rsidRDefault="00456DFF"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1543" w:type="dxa"/>
            <w:tcBorders>
              <w:top w:val="single" w:sz="8" w:space="0" w:color="152935"/>
              <w:left w:val="nil"/>
              <w:bottom w:val="single" w:sz="8" w:space="0" w:color="AEAEAE"/>
              <w:right w:val="nil"/>
            </w:tcBorders>
            <w:shd w:val="clear" w:color="auto" w:fill="E0E0E0"/>
          </w:tcPr>
          <w:p w14:paraId="07766B94"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&lt;40 years</w:t>
            </w:r>
          </w:p>
        </w:tc>
        <w:tc>
          <w:tcPr>
            <w:tcW w:w="1395" w:type="dxa"/>
            <w:tcBorders>
              <w:top w:val="single" w:sz="8" w:space="0" w:color="152935"/>
              <w:left w:val="nil"/>
              <w:bottom w:val="single" w:sz="8" w:space="0" w:color="AEAEAE"/>
              <w:right w:val="single" w:sz="8" w:space="0" w:color="E0E0E0"/>
            </w:tcBorders>
            <w:shd w:val="clear" w:color="auto" w:fill="FFFFFF"/>
          </w:tcPr>
          <w:p w14:paraId="6509CCFA"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16</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44098636"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3C6E94F7"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c>
          <w:tcPr>
            <w:tcW w:w="1762" w:type="dxa"/>
            <w:tcBorders>
              <w:top w:val="single" w:sz="8" w:space="0" w:color="152935"/>
              <w:left w:val="single" w:sz="8" w:space="0" w:color="E0E0E0"/>
              <w:bottom w:val="single" w:sz="8" w:space="0" w:color="AEAEAE"/>
              <w:right w:val="nil"/>
            </w:tcBorders>
            <w:shd w:val="clear" w:color="auto" w:fill="FFFFFF"/>
          </w:tcPr>
          <w:p w14:paraId="7955AF47"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r>
      <w:tr w:rsidR="00456DFF" w:rsidRPr="00F67E9D" w14:paraId="2E0A507F"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0C9CE494"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AEAEAE"/>
              <w:right w:val="nil"/>
            </w:tcBorders>
            <w:shd w:val="clear" w:color="auto" w:fill="E0E0E0"/>
          </w:tcPr>
          <w:p w14:paraId="79F9A86D"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40-59 years</w:t>
            </w:r>
          </w:p>
        </w:tc>
        <w:tc>
          <w:tcPr>
            <w:tcW w:w="1395" w:type="dxa"/>
            <w:tcBorders>
              <w:top w:val="single" w:sz="8" w:space="0" w:color="AEAEAE"/>
              <w:left w:val="nil"/>
              <w:bottom w:val="single" w:sz="8" w:space="0" w:color="AEAEAE"/>
              <w:right w:val="single" w:sz="8" w:space="0" w:color="E0E0E0"/>
            </w:tcBorders>
            <w:shd w:val="clear" w:color="auto" w:fill="FFFFFF"/>
          </w:tcPr>
          <w:p w14:paraId="79BF534F"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55</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3BEBE553"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47.0</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63C98315"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47.0</w:t>
            </w:r>
          </w:p>
        </w:tc>
        <w:tc>
          <w:tcPr>
            <w:tcW w:w="1762" w:type="dxa"/>
            <w:tcBorders>
              <w:top w:val="single" w:sz="8" w:space="0" w:color="AEAEAE"/>
              <w:left w:val="single" w:sz="8" w:space="0" w:color="E0E0E0"/>
              <w:bottom w:val="single" w:sz="8" w:space="0" w:color="AEAEAE"/>
              <w:right w:val="nil"/>
            </w:tcBorders>
            <w:shd w:val="clear" w:color="auto" w:fill="FFFFFF"/>
          </w:tcPr>
          <w:p w14:paraId="44B6A5FA"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60.7</w:t>
            </w:r>
          </w:p>
        </w:tc>
      </w:tr>
      <w:tr w:rsidR="00456DFF" w:rsidRPr="00F67E9D" w14:paraId="3EAA760B"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CBEE875"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AEAEAE"/>
              <w:right w:val="nil"/>
            </w:tcBorders>
            <w:shd w:val="clear" w:color="auto" w:fill="E0E0E0"/>
          </w:tcPr>
          <w:p w14:paraId="22E8C5EB"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60-79 years</w:t>
            </w:r>
          </w:p>
        </w:tc>
        <w:tc>
          <w:tcPr>
            <w:tcW w:w="1395" w:type="dxa"/>
            <w:tcBorders>
              <w:top w:val="single" w:sz="8" w:space="0" w:color="AEAEAE"/>
              <w:left w:val="nil"/>
              <w:bottom w:val="single" w:sz="8" w:space="0" w:color="AEAEAE"/>
              <w:right w:val="single" w:sz="8" w:space="0" w:color="E0E0E0"/>
            </w:tcBorders>
            <w:shd w:val="clear" w:color="auto" w:fill="FFFFFF"/>
          </w:tcPr>
          <w:p w14:paraId="56FD940C"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46</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59257BBB"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39.3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0E0899F1"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39.3</w:t>
            </w:r>
          </w:p>
        </w:tc>
        <w:tc>
          <w:tcPr>
            <w:tcW w:w="1762" w:type="dxa"/>
            <w:tcBorders>
              <w:top w:val="single" w:sz="8" w:space="0" w:color="AEAEAE"/>
              <w:left w:val="single" w:sz="8" w:space="0" w:color="E0E0E0"/>
              <w:bottom w:val="single" w:sz="8" w:space="0" w:color="AEAEAE"/>
              <w:right w:val="nil"/>
            </w:tcBorders>
            <w:shd w:val="clear" w:color="auto" w:fill="FFFFFF"/>
          </w:tcPr>
          <w:p w14:paraId="7B066054"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456DFF" w:rsidRPr="00F67E9D" w14:paraId="3F2B1EA7"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2C7F63D5"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152935"/>
              <w:right w:val="nil"/>
            </w:tcBorders>
            <w:shd w:val="clear" w:color="auto" w:fill="E0E0E0"/>
          </w:tcPr>
          <w:p w14:paraId="2E25A212"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74C74F26"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1D345101"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7B1451ED"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5597E4A3"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r>
    </w:tbl>
    <w:p w14:paraId="7443B38C" w14:textId="73193E5D"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r w:rsidRPr="00F67E9D">
        <w:rPr>
          <w:rFonts w:ascii="Times New Roman" w:hAnsi="Times New Roman" w:cs="Times New Roman"/>
          <w:sz w:val="24"/>
          <w:szCs w:val="24"/>
        </w:rPr>
        <w:t xml:space="preserve">Table 1: A table showing the age distribution of the </w:t>
      </w:r>
      <w:r w:rsidRPr="00F67E9D">
        <w:rPr>
          <w:rFonts w:ascii="Times New Roman" w:eastAsia="Times New Roman" w:hAnsi="Times New Roman" w:cs="Times New Roman"/>
          <w:sz w:val="24"/>
          <w:szCs w:val="24"/>
        </w:rPr>
        <w:t>participants</w:t>
      </w:r>
      <w:r w:rsidRPr="00F67E9D">
        <w:rPr>
          <w:rFonts w:ascii="Times New Roman" w:hAnsi="Times New Roman" w:cs="Times New Roman"/>
          <w:sz w:val="24"/>
          <w:szCs w:val="24"/>
        </w:rPr>
        <w:t xml:space="preserve"> (n=117)</w:t>
      </w:r>
    </w:p>
    <w:p w14:paraId="2E6FFAF3" w14:textId="3748E846" w:rsidR="00456DFF" w:rsidRPr="00F67E9D" w:rsidRDefault="00456DFF" w:rsidP="00F67E9D">
      <w:pPr>
        <w:spacing w:before="100" w:beforeAutospacing="1" w:after="100" w:afterAutospacing="1" w:line="360" w:lineRule="auto"/>
        <w:rPr>
          <w:rFonts w:ascii="Times New Roman" w:hAnsi="Times New Roman" w:cs="Times New Roman"/>
          <w:sz w:val="24"/>
          <w:szCs w:val="24"/>
        </w:rPr>
      </w:pPr>
      <w:r w:rsidRPr="00F67E9D">
        <w:rPr>
          <w:rFonts w:ascii="Times New Roman" w:hAnsi="Times New Roman" w:cs="Times New Roman"/>
          <w:sz w:val="24"/>
          <w:szCs w:val="24"/>
        </w:rPr>
        <w:br/>
      </w:r>
      <w:r w:rsidRPr="00F67E9D">
        <w:rPr>
          <w:rFonts w:ascii="Times New Roman" w:eastAsia="Times New Roman" w:hAnsi="Times New Roman" w:cs="Times New Roman"/>
          <w:b/>
          <w:bCs/>
          <w:sz w:val="24"/>
          <w:szCs w:val="24"/>
        </w:rPr>
        <w:t>Distribution of Marital Status</w:t>
      </w:r>
      <w:r w:rsidRPr="00F67E9D">
        <w:rPr>
          <w:rFonts w:ascii="Times New Roman" w:hAnsi="Times New Roman" w:cs="Times New Roman"/>
          <w:sz w:val="24"/>
          <w:szCs w:val="24"/>
        </w:rPr>
        <w:t xml:space="preserve"> </w:t>
      </w:r>
    </w:p>
    <w:p w14:paraId="0B183143" w14:textId="57786CB5" w:rsidR="00456DFF" w:rsidRPr="00F67E9D" w:rsidRDefault="00456DFF"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Most participants were married (73.5%, n=86), followed by widowed participants (20.5%, n=24) and single participants (6.0%, n=7) as shown in </w:t>
      </w:r>
      <w:r w:rsidR="00FA7332" w:rsidRPr="00F67E9D">
        <w:rPr>
          <w:rFonts w:ascii="Times New Roman" w:eastAsia="Times New Roman" w:hAnsi="Times New Roman" w:cs="Times New Roman"/>
          <w:sz w:val="24"/>
          <w:szCs w:val="24"/>
        </w:rPr>
        <w:t xml:space="preserve">Table </w:t>
      </w:r>
      <w:r w:rsidR="00FA7332" w:rsidRPr="00F67E9D">
        <w:rPr>
          <w:rFonts w:ascii="Times New Roman" w:hAnsi="Times New Roman" w:cs="Times New Roman"/>
          <w:sz w:val="24"/>
          <w:szCs w:val="24"/>
        </w:rPr>
        <w:t>2</w:t>
      </w:r>
    </w:p>
    <w:tbl>
      <w:tblPr>
        <w:tblStyle w:val="TableGridLight"/>
        <w:tblW w:w="0" w:type="auto"/>
        <w:tblLook w:val="04A0" w:firstRow="1" w:lastRow="0" w:firstColumn="1" w:lastColumn="0" w:noHBand="0" w:noVBand="1"/>
      </w:tblPr>
      <w:tblGrid>
        <w:gridCol w:w="2065"/>
        <w:gridCol w:w="2340"/>
        <w:gridCol w:w="3600"/>
      </w:tblGrid>
      <w:tr w:rsidR="00456DFF" w:rsidRPr="00456DFF" w14:paraId="1E648D16" w14:textId="77777777" w:rsidTr="00F67E9D">
        <w:trPr>
          <w:trHeight w:val="197"/>
        </w:trPr>
        <w:tc>
          <w:tcPr>
            <w:tcW w:w="2065" w:type="dxa"/>
            <w:hideMark/>
          </w:tcPr>
          <w:p w14:paraId="1FC25777" w14:textId="77777777" w:rsidR="00456DFF" w:rsidRPr="00456DFF" w:rsidRDefault="00456DFF" w:rsidP="00F67E9D">
            <w:pPr>
              <w:spacing w:after="0" w:line="360" w:lineRule="auto"/>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Marital status</w:t>
            </w:r>
          </w:p>
        </w:tc>
        <w:tc>
          <w:tcPr>
            <w:tcW w:w="2340" w:type="dxa"/>
            <w:hideMark/>
          </w:tcPr>
          <w:p w14:paraId="7DA227C0" w14:textId="77777777" w:rsidR="00456DFF" w:rsidRPr="00456DFF" w:rsidRDefault="00456DFF" w:rsidP="00F67E9D">
            <w:pPr>
              <w:spacing w:after="0" w:line="360" w:lineRule="auto"/>
              <w:jc w:val="right"/>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Frequency</w:t>
            </w:r>
          </w:p>
        </w:tc>
        <w:tc>
          <w:tcPr>
            <w:tcW w:w="3600" w:type="dxa"/>
            <w:hideMark/>
          </w:tcPr>
          <w:p w14:paraId="50DBE171" w14:textId="77777777" w:rsidR="00456DFF" w:rsidRPr="00456DFF" w:rsidRDefault="00456DFF" w:rsidP="00F67E9D">
            <w:pPr>
              <w:spacing w:after="0" w:line="360" w:lineRule="auto"/>
              <w:jc w:val="right"/>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 of sample</w:t>
            </w:r>
          </w:p>
        </w:tc>
      </w:tr>
      <w:tr w:rsidR="00456DFF" w:rsidRPr="00456DFF" w14:paraId="6D151D42" w14:textId="77777777" w:rsidTr="00F67E9D">
        <w:tc>
          <w:tcPr>
            <w:tcW w:w="2065" w:type="dxa"/>
            <w:hideMark/>
          </w:tcPr>
          <w:p w14:paraId="12854116"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Single</w:t>
            </w:r>
          </w:p>
        </w:tc>
        <w:tc>
          <w:tcPr>
            <w:tcW w:w="2340" w:type="dxa"/>
            <w:hideMark/>
          </w:tcPr>
          <w:p w14:paraId="1D1EB665"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5</w:t>
            </w:r>
          </w:p>
        </w:tc>
        <w:tc>
          <w:tcPr>
            <w:tcW w:w="3600" w:type="dxa"/>
            <w:hideMark/>
          </w:tcPr>
          <w:p w14:paraId="3E480C85"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4.3</w:t>
            </w:r>
          </w:p>
        </w:tc>
      </w:tr>
      <w:tr w:rsidR="00456DFF" w:rsidRPr="00456DFF" w14:paraId="03E25931" w14:textId="77777777" w:rsidTr="00F67E9D">
        <w:tc>
          <w:tcPr>
            <w:tcW w:w="2065" w:type="dxa"/>
            <w:hideMark/>
          </w:tcPr>
          <w:p w14:paraId="5E107019"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Married</w:t>
            </w:r>
          </w:p>
        </w:tc>
        <w:tc>
          <w:tcPr>
            <w:tcW w:w="2340" w:type="dxa"/>
            <w:hideMark/>
          </w:tcPr>
          <w:p w14:paraId="37A96A7D"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85</w:t>
            </w:r>
          </w:p>
        </w:tc>
        <w:tc>
          <w:tcPr>
            <w:tcW w:w="3600" w:type="dxa"/>
            <w:hideMark/>
          </w:tcPr>
          <w:p w14:paraId="79671D77"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73.9</w:t>
            </w:r>
          </w:p>
        </w:tc>
      </w:tr>
      <w:tr w:rsidR="00456DFF" w:rsidRPr="00456DFF" w14:paraId="00D37CC5" w14:textId="77777777" w:rsidTr="00F67E9D">
        <w:tc>
          <w:tcPr>
            <w:tcW w:w="2065" w:type="dxa"/>
            <w:hideMark/>
          </w:tcPr>
          <w:p w14:paraId="1D846320"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Widowed</w:t>
            </w:r>
          </w:p>
        </w:tc>
        <w:tc>
          <w:tcPr>
            <w:tcW w:w="2340" w:type="dxa"/>
            <w:hideMark/>
          </w:tcPr>
          <w:p w14:paraId="7ADB908C"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25</w:t>
            </w:r>
          </w:p>
        </w:tc>
        <w:tc>
          <w:tcPr>
            <w:tcW w:w="3600" w:type="dxa"/>
            <w:hideMark/>
          </w:tcPr>
          <w:p w14:paraId="54454777"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21.7</w:t>
            </w:r>
          </w:p>
        </w:tc>
      </w:tr>
    </w:tbl>
    <w:p w14:paraId="7B70FDD9" w14:textId="6DD11991" w:rsidR="00456DFF" w:rsidRPr="00F67E9D" w:rsidRDefault="00F67E9D" w:rsidP="00F67E9D">
      <w:pPr>
        <w:autoSpaceDE w:val="0"/>
        <w:autoSpaceDN w:val="0"/>
        <w:adjustRightInd w:val="0"/>
        <w:spacing w:after="0" w:line="360" w:lineRule="auto"/>
        <w:rPr>
          <w:rFonts w:ascii="Times New Roman" w:hAnsi="Times New Roman" w:cs="Times New Roman"/>
          <w:sz w:val="24"/>
          <w:szCs w:val="24"/>
        </w:rPr>
      </w:pPr>
      <w:r w:rsidRPr="00F67E9D">
        <w:rPr>
          <w:rFonts w:ascii="Times New Roman" w:hAnsi="Times New Roman" w:cs="Times New Roman"/>
          <w:sz w:val="24"/>
          <w:szCs w:val="24"/>
        </w:rPr>
        <w:t xml:space="preserve">Table </w:t>
      </w:r>
      <w:r>
        <w:rPr>
          <w:rFonts w:ascii="Times New Roman" w:hAnsi="Times New Roman" w:cs="Times New Roman"/>
          <w:sz w:val="24"/>
          <w:szCs w:val="24"/>
        </w:rPr>
        <w:t>2</w:t>
      </w:r>
      <w:r w:rsidRPr="00F67E9D">
        <w:rPr>
          <w:rFonts w:ascii="Times New Roman" w:hAnsi="Times New Roman" w:cs="Times New Roman"/>
          <w:sz w:val="24"/>
          <w:szCs w:val="24"/>
        </w:rPr>
        <w:t xml:space="preserve">: A table showing the </w:t>
      </w:r>
      <w:r>
        <w:rPr>
          <w:rFonts w:ascii="Times New Roman" w:hAnsi="Times New Roman" w:cs="Times New Roman"/>
          <w:sz w:val="24"/>
          <w:szCs w:val="24"/>
        </w:rPr>
        <w:t xml:space="preserve">marital status </w:t>
      </w:r>
      <w:r w:rsidRPr="00F67E9D">
        <w:rPr>
          <w:rFonts w:ascii="Times New Roman" w:hAnsi="Times New Roman" w:cs="Times New Roman"/>
          <w:sz w:val="24"/>
          <w:szCs w:val="24"/>
        </w:rPr>
        <w:t xml:space="preserve">of the </w:t>
      </w:r>
      <w:r w:rsidRPr="00F67E9D">
        <w:rPr>
          <w:rFonts w:ascii="Times New Roman" w:eastAsia="Times New Roman" w:hAnsi="Times New Roman" w:cs="Times New Roman"/>
          <w:sz w:val="24"/>
          <w:szCs w:val="24"/>
        </w:rPr>
        <w:t>participants</w:t>
      </w:r>
      <w:r w:rsidRPr="00F67E9D">
        <w:rPr>
          <w:rFonts w:ascii="Times New Roman" w:hAnsi="Times New Roman" w:cs="Times New Roman"/>
          <w:sz w:val="24"/>
          <w:szCs w:val="24"/>
        </w:rPr>
        <w:t xml:space="preserve"> (n=117)</w:t>
      </w:r>
    </w:p>
    <w:p w14:paraId="60605E6C" w14:textId="77777777" w:rsidR="00FA7332" w:rsidRPr="00F67E9D" w:rsidRDefault="00456DFF" w:rsidP="00F67E9D">
      <w:pPr>
        <w:spacing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lastRenderedPageBreak/>
        <w:t>Education Level.</w:t>
      </w:r>
      <w:r w:rsidRPr="00F67E9D">
        <w:rPr>
          <w:rFonts w:ascii="Times New Roman" w:eastAsia="Times New Roman" w:hAnsi="Times New Roman" w:cs="Times New Roman"/>
          <w:sz w:val="24"/>
          <w:szCs w:val="24"/>
        </w:rPr>
        <w:br/>
        <w:t>The study found varied education levels of the participants, with 45.3% (n=53) having attained tertiary education, 27.4% (n=32) with secondary education, 9.4% (n=11) with primary education, and 17.9% (n=21) with no formal education</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2387"/>
        <w:gridCol w:w="1395"/>
        <w:gridCol w:w="1229"/>
        <w:gridCol w:w="1670"/>
        <w:gridCol w:w="1762"/>
      </w:tblGrid>
      <w:tr w:rsidR="00FA7332" w:rsidRPr="00F67E9D" w14:paraId="39D61CFC" w14:textId="77777777" w:rsidTr="00405C29">
        <w:trPr>
          <w:cantSplit/>
        </w:trPr>
        <w:tc>
          <w:tcPr>
            <w:tcW w:w="9325" w:type="dxa"/>
            <w:gridSpan w:val="6"/>
            <w:tcBorders>
              <w:top w:val="nil"/>
              <w:left w:val="nil"/>
              <w:bottom w:val="nil"/>
              <w:right w:val="nil"/>
            </w:tcBorders>
            <w:shd w:val="clear" w:color="auto" w:fill="FFFFFF"/>
            <w:vAlign w:val="center"/>
          </w:tcPr>
          <w:p w14:paraId="6C1341F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Education level</w:t>
            </w:r>
          </w:p>
        </w:tc>
      </w:tr>
      <w:tr w:rsidR="00FA7332" w:rsidRPr="00F67E9D" w14:paraId="2BC4A567" w14:textId="77777777" w:rsidTr="00405C29">
        <w:trPr>
          <w:cantSplit/>
        </w:trPr>
        <w:tc>
          <w:tcPr>
            <w:tcW w:w="3269" w:type="dxa"/>
            <w:gridSpan w:val="2"/>
            <w:tcBorders>
              <w:top w:val="nil"/>
              <w:left w:val="nil"/>
              <w:bottom w:val="single" w:sz="8" w:space="0" w:color="152935"/>
              <w:right w:val="nil"/>
            </w:tcBorders>
            <w:shd w:val="clear" w:color="auto" w:fill="FFFFFF"/>
            <w:vAlign w:val="bottom"/>
          </w:tcPr>
          <w:p w14:paraId="6622C663"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5F21B1C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2AAF36FB"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1EDCFA6D"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1E7FE6C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4C829BD6"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320A1CBD" w14:textId="77777777" w:rsidR="00FA7332" w:rsidRPr="00F67E9D" w:rsidRDefault="00FA7332"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2387" w:type="dxa"/>
            <w:tcBorders>
              <w:top w:val="single" w:sz="8" w:space="0" w:color="152935"/>
              <w:left w:val="nil"/>
              <w:bottom w:val="single" w:sz="8" w:space="0" w:color="AEAEAE"/>
              <w:right w:val="nil"/>
            </w:tcBorders>
            <w:shd w:val="clear" w:color="auto" w:fill="E0E0E0"/>
          </w:tcPr>
          <w:p w14:paraId="48FD3A9A"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No formal education</w:t>
            </w:r>
          </w:p>
        </w:tc>
        <w:tc>
          <w:tcPr>
            <w:tcW w:w="1395" w:type="dxa"/>
            <w:tcBorders>
              <w:top w:val="single" w:sz="8" w:space="0" w:color="152935"/>
              <w:left w:val="nil"/>
              <w:bottom w:val="single" w:sz="8" w:space="0" w:color="AEAEAE"/>
              <w:right w:val="single" w:sz="8" w:space="0" w:color="E0E0E0"/>
            </w:tcBorders>
            <w:shd w:val="clear" w:color="auto" w:fill="FFFFFF"/>
          </w:tcPr>
          <w:p w14:paraId="35BE0BC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21</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56D67F00"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7DD2F53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762" w:type="dxa"/>
            <w:tcBorders>
              <w:top w:val="single" w:sz="8" w:space="0" w:color="152935"/>
              <w:left w:val="single" w:sz="8" w:space="0" w:color="E0E0E0"/>
              <w:bottom w:val="single" w:sz="8" w:space="0" w:color="AEAEAE"/>
              <w:right w:val="nil"/>
            </w:tcBorders>
            <w:shd w:val="clear" w:color="auto" w:fill="FFFFFF"/>
          </w:tcPr>
          <w:p w14:paraId="211562F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r>
      <w:tr w:rsidR="00FA7332" w:rsidRPr="00F67E9D" w14:paraId="782CF929"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49A12F1E"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47996B96"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Primary</w:t>
            </w:r>
          </w:p>
        </w:tc>
        <w:tc>
          <w:tcPr>
            <w:tcW w:w="1395" w:type="dxa"/>
            <w:tcBorders>
              <w:top w:val="single" w:sz="8" w:space="0" w:color="AEAEAE"/>
              <w:left w:val="nil"/>
              <w:bottom w:val="single" w:sz="8" w:space="0" w:color="AEAEAE"/>
              <w:right w:val="single" w:sz="8" w:space="0" w:color="E0E0E0"/>
            </w:tcBorders>
            <w:shd w:val="clear" w:color="auto" w:fill="FFFFFF"/>
          </w:tcPr>
          <w:p w14:paraId="63C1439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084AD97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3A865DE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762" w:type="dxa"/>
            <w:tcBorders>
              <w:top w:val="single" w:sz="8" w:space="0" w:color="AEAEAE"/>
              <w:left w:val="single" w:sz="8" w:space="0" w:color="E0E0E0"/>
              <w:bottom w:val="single" w:sz="8" w:space="0" w:color="AEAEAE"/>
              <w:right w:val="nil"/>
            </w:tcBorders>
            <w:shd w:val="clear" w:color="auto" w:fill="FFFFFF"/>
          </w:tcPr>
          <w:p w14:paraId="4FCCA04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r>
      <w:tr w:rsidR="00FA7332" w:rsidRPr="00F67E9D" w14:paraId="43F285C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705F9D64"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1F25FD2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Secondary</w:t>
            </w:r>
          </w:p>
        </w:tc>
        <w:tc>
          <w:tcPr>
            <w:tcW w:w="1395" w:type="dxa"/>
            <w:tcBorders>
              <w:top w:val="single" w:sz="8" w:space="0" w:color="AEAEAE"/>
              <w:left w:val="nil"/>
              <w:bottom w:val="single" w:sz="8" w:space="0" w:color="AEAEAE"/>
              <w:right w:val="single" w:sz="8" w:space="0" w:color="E0E0E0"/>
            </w:tcBorders>
            <w:shd w:val="clear" w:color="auto" w:fill="FFFFFF"/>
          </w:tcPr>
          <w:p w14:paraId="0F6D12A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6670D8C5"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1238EA7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762" w:type="dxa"/>
            <w:tcBorders>
              <w:top w:val="single" w:sz="8" w:space="0" w:color="AEAEAE"/>
              <w:left w:val="single" w:sz="8" w:space="0" w:color="E0E0E0"/>
              <w:bottom w:val="single" w:sz="8" w:space="0" w:color="AEAEAE"/>
              <w:right w:val="nil"/>
            </w:tcBorders>
            <w:shd w:val="clear" w:color="auto" w:fill="FFFFFF"/>
          </w:tcPr>
          <w:p w14:paraId="2C86A19B"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54.7</w:t>
            </w:r>
          </w:p>
        </w:tc>
      </w:tr>
      <w:tr w:rsidR="00FA7332" w:rsidRPr="00F67E9D" w14:paraId="5F522336"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4A024422"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53FCB25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Tertiary</w:t>
            </w:r>
          </w:p>
        </w:tc>
        <w:tc>
          <w:tcPr>
            <w:tcW w:w="1395" w:type="dxa"/>
            <w:tcBorders>
              <w:top w:val="single" w:sz="8" w:space="0" w:color="AEAEAE"/>
              <w:left w:val="nil"/>
              <w:bottom w:val="single" w:sz="8" w:space="0" w:color="AEAEAE"/>
              <w:right w:val="single" w:sz="8" w:space="0" w:color="E0E0E0"/>
            </w:tcBorders>
            <w:shd w:val="clear" w:color="auto" w:fill="FFFFFF"/>
          </w:tcPr>
          <w:p w14:paraId="2052228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53</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0A0338A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38A0836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762" w:type="dxa"/>
            <w:tcBorders>
              <w:top w:val="single" w:sz="8" w:space="0" w:color="AEAEAE"/>
              <w:left w:val="single" w:sz="8" w:space="0" w:color="E0E0E0"/>
              <w:bottom w:val="single" w:sz="8" w:space="0" w:color="AEAEAE"/>
              <w:right w:val="nil"/>
            </w:tcBorders>
            <w:shd w:val="clear" w:color="auto" w:fill="FFFFFF"/>
          </w:tcPr>
          <w:p w14:paraId="00DDFD7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0D064704"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6D1DAC0D"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152935"/>
              <w:right w:val="nil"/>
            </w:tcBorders>
            <w:shd w:val="clear" w:color="auto" w:fill="E0E0E0"/>
          </w:tcPr>
          <w:p w14:paraId="265E676F"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0EB2D8C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7E3320C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0A7CA3D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6AA66890"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ACF5B4B" w14:textId="77777777" w:rsid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Table 3: A table showing the distribution of the participants by level of education (n=117)</w:t>
      </w:r>
    </w:p>
    <w:p w14:paraId="685101E7" w14:textId="36EBB018" w:rsidR="00FA7332" w:rsidRP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t xml:space="preserve"> Employment Status.</w:t>
      </w:r>
      <w:r w:rsidRPr="00F67E9D">
        <w:rPr>
          <w:rFonts w:ascii="Times New Roman" w:eastAsia="Times New Roman" w:hAnsi="Times New Roman" w:cs="Times New Roman"/>
          <w:sz w:val="24"/>
          <w:szCs w:val="24"/>
        </w:rPr>
        <w:br/>
        <w:t>Regarding employment, majority of the participants, accounting for 41.9% (n=49), were self-employed. 34.2% (n=40) were employed, while 17.9% (n=21) were retired and 6.0% (n=7) were unemployed.</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2387"/>
        <w:gridCol w:w="1395"/>
        <w:gridCol w:w="1229"/>
        <w:gridCol w:w="1670"/>
        <w:gridCol w:w="1762"/>
      </w:tblGrid>
      <w:tr w:rsidR="00FA7332" w:rsidRPr="00F67E9D" w14:paraId="7E79A4D7" w14:textId="77777777" w:rsidTr="00405C29">
        <w:trPr>
          <w:cantSplit/>
        </w:trPr>
        <w:tc>
          <w:tcPr>
            <w:tcW w:w="9325" w:type="dxa"/>
            <w:gridSpan w:val="6"/>
            <w:tcBorders>
              <w:top w:val="nil"/>
              <w:left w:val="nil"/>
              <w:bottom w:val="nil"/>
              <w:right w:val="nil"/>
            </w:tcBorders>
            <w:shd w:val="clear" w:color="auto" w:fill="FFFFFF"/>
            <w:vAlign w:val="center"/>
          </w:tcPr>
          <w:p w14:paraId="06C2E937"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Education level</w:t>
            </w:r>
          </w:p>
        </w:tc>
      </w:tr>
      <w:tr w:rsidR="00FA7332" w:rsidRPr="00F67E9D" w14:paraId="138C9611" w14:textId="77777777" w:rsidTr="00405C29">
        <w:trPr>
          <w:cantSplit/>
        </w:trPr>
        <w:tc>
          <w:tcPr>
            <w:tcW w:w="3269" w:type="dxa"/>
            <w:gridSpan w:val="2"/>
            <w:tcBorders>
              <w:top w:val="nil"/>
              <w:left w:val="nil"/>
              <w:bottom w:val="single" w:sz="8" w:space="0" w:color="152935"/>
              <w:right w:val="nil"/>
            </w:tcBorders>
            <w:shd w:val="clear" w:color="auto" w:fill="FFFFFF"/>
            <w:vAlign w:val="bottom"/>
          </w:tcPr>
          <w:p w14:paraId="1BB5BF59"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267A7AE5"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43C97A8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236F91D9"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0A3AF9C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415E1BCE"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1365D70E" w14:textId="77777777" w:rsidR="00FA7332" w:rsidRPr="00F67E9D" w:rsidRDefault="00FA7332"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2387" w:type="dxa"/>
            <w:tcBorders>
              <w:top w:val="single" w:sz="8" w:space="0" w:color="152935"/>
              <w:left w:val="nil"/>
              <w:bottom w:val="single" w:sz="8" w:space="0" w:color="AEAEAE"/>
              <w:right w:val="nil"/>
            </w:tcBorders>
            <w:shd w:val="clear" w:color="auto" w:fill="E0E0E0"/>
          </w:tcPr>
          <w:p w14:paraId="44F7F580"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No formal education</w:t>
            </w:r>
          </w:p>
        </w:tc>
        <w:tc>
          <w:tcPr>
            <w:tcW w:w="1395" w:type="dxa"/>
            <w:tcBorders>
              <w:top w:val="single" w:sz="8" w:space="0" w:color="152935"/>
              <w:left w:val="nil"/>
              <w:bottom w:val="single" w:sz="8" w:space="0" w:color="AEAEAE"/>
              <w:right w:val="single" w:sz="8" w:space="0" w:color="E0E0E0"/>
            </w:tcBorders>
            <w:shd w:val="clear" w:color="auto" w:fill="FFFFFF"/>
          </w:tcPr>
          <w:p w14:paraId="7791F8ED"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21</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36079C9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5D0F873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762" w:type="dxa"/>
            <w:tcBorders>
              <w:top w:val="single" w:sz="8" w:space="0" w:color="152935"/>
              <w:left w:val="single" w:sz="8" w:space="0" w:color="E0E0E0"/>
              <w:bottom w:val="single" w:sz="8" w:space="0" w:color="AEAEAE"/>
              <w:right w:val="nil"/>
            </w:tcBorders>
            <w:shd w:val="clear" w:color="auto" w:fill="FFFFFF"/>
          </w:tcPr>
          <w:p w14:paraId="37C2A5C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r>
      <w:tr w:rsidR="00FA7332" w:rsidRPr="00F67E9D" w14:paraId="5880ADEB"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25D923D"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6AC01748"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Primary</w:t>
            </w:r>
          </w:p>
        </w:tc>
        <w:tc>
          <w:tcPr>
            <w:tcW w:w="1395" w:type="dxa"/>
            <w:tcBorders>
              <w:top w:val="single" w:sz="8" w:space="0" w:color="AEAEAE"/>
              <w:left w:val="nil"/>
              <w:bottom w:val="single" w:sz="8" w:space="0" w:color="AEAEAE"/>
              <w:right w:val="single" w:sz="8" w:space="0" w:color="E0E0E0"/>
            </w:tcBorders>
            <w:shd w:val="clear" w:color="auto" w:fill="FFFFFF"/>
          </w:tcPr>
          <w:p w14:paraId="664A1F4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449F369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2AFD4CF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762" w:type="dxa"/>
            <w:tcBorders>
              <w:top w:val="single" w:sz="8" w:space="0" w:color="AEAEAE"/>
              <w:left w:val="single" w:sz="8" w:space="0" w:color="E0E0E0"/>
              <w:bottom w:val="single" w:sz="8" w:space="0" w:color="AEAEAE"/>
              <w:right w:val="nil"/>
            </w:tcBorders>
            <w:shd w:val="clear" w:color="auto" w:fill="FFFFFF"/>
          </w:tcPr>
          <w:p w14:paraId="527E75F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r>
      <w:tr w:rsidR="00FA7332" w:rsidRPr="00F67E9D" w14:paraId="667F52F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B9CEFC1"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2EA6A1B8"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Secondary</w:t>
            </w:r>
          </w:p>
        </w:tc>
        <w:tc>
          <w:tcPr>
            <w:tcW w:w="1395" w:type="dxa"/>
            <w:tcBorders>
              <w:top w:val="single" w:sz="8" w:space="0" w:color="AEAEAE"/>
              <w:left w:val="nil"/>
              <w:bottom w:val="single" w:sz="8" w:space="0" w:color="AEAEAE"/>
              <w:right w:val="single" w:sz="8" w:space="0" w:color="E0E0E0"/>
            </w:tcBorders>
            <w:shd w:val="clear" w:color="auto" w:fill="FFFFFF"/>
          </w:tcPr>
          <w:p w14:paraId="4996EB2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3DC92DA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69E9801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762" w:type="dxa"/>
            <w:tcBorders>
              <w:top w:val="single" w:sz="8" w:space="0" w:color="AEAEAE"/>
              <w:left w:val="single" w:sz="8" w:space="0" w:color="E0E0E0"/>
              <w:bottom w:val="single" w:sz="8" w:space="0" w:color="AEAEAE"/>
              <w:right w:val="nil"/>
            </w:tcBorders>
            <w:shd w:val="clear" w:color="auto" w:fill="FFFFFF"/>
          </w:tcPr>
          <w:p w14:paraId="3DE3C81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54.7</w:t>
            </w:r>
          </w:p>
        </w:tc>
      </w:tr>
      <w:tr w:rsidR="00FA7332" w:rsidRPr="00F67E9D" w14:paraId="5E0500FD"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3D9E0A25"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72F80D6C"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Tertiary</w:t>
            </w:r>
          </w:p>
        </w:tc>
        <w:tc>
          <w:tcPr>
            <w:tcW w:w="1395" w:type="dxa"/>
            <w:tcBorders>
              <w:top w:val="single" w:sz="8" w:space="0" w:color="AEAEAE"/>
              <w:left w:val="nil"/>
              <w:bottom w:val="single" w:sz="8" w:space="0" w:color="AEAEAE"/>
              <w:right w:val="single" w:sz="8" w:space="0" w:color="E0E0E0"/>
            </w:tcBorders>
            <w:shd w:val="clear" w:color="auto" w:fill="FFFFFF"/>
          </w:tcPr>
          <w:p w14:paraId="3127DC3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53</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61385770"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497F50A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762" w:type="dxa"/>
            <w:tcBorders>
              <w:top w:val="single" w:sz="8" w:space="0" w:color="AEAEAE"/>
              <w:left w:val="single" w:sz="8" w:space="0" w:color="E0E0E0"/>
              <w:bottom w:val="single" w:sz="8" w:space="0" w:color="AEAEAE"/>
              <w:right w:val="nil"/>
            </w:tcBorders>
            <w:shd w:val="clear" w:color="auto" w:fill="FFFFFF"/>
          </w:tcPr>
          <w:p w14:paraId="344534BD"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6908BBE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0103CAF2"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152935"/>
              <w:right w:val="nil"/>
            </w:tcBorders>
            <w:shd w:val="clear" w:color="auto" w:fill="E0E0E0"/>
          </w:tcPr>
          <w:p w14:paraId="098D6203"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0FF5B42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600C2D5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4E335E05"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23AAC307"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F1CACDD" w14:textId="4E3E0E51" w:rsidR="00FA7332" w:rsidRPr="00F67E9D" w:rsidRDefault="00FA7332" w:rsidP="00F67E9D">
      <w:pPr>
        <w:spacing w:before="100" w:beforeAutospacing="1" w:after="100" w:afterAutospacing="1" w:line="360" w:lineRule="auto"/>
        <w:rPr>
          <w:rFonts w:ascii="Times New Roman" w:eastAsia="Times New Roman" w:hAnsi="Times New Roman" w:cs="Times New Roman"/>
        </w:rPr>
      </w:pPr>
      <w:r w:rsidRPr="00F67E9D">
        <w:rPr>
          <w:rFonts w:ascii="Times New Roman" w:eastAsia="Times New Roman" w:hAnsi="Times New Roman" w:cs="Times New Roman"/>
        </w:rPr>
        <w:t>Table 4: A table showing the distribution of the participants by level of education (n=117)</w:t>
      </w:r>
    </w:p>
    <w:p w14:paraId="34D9FA7A" w14:textId="77777777" w:rsidR="00FA7332" w:rsidRPr="00F67E9D" w:rsidRDefault="00FA7332" w:rsidP="00F67E9D">
      <w:pPr>
        <w:spacing w:line="360" w:lineRule="auto"/>
        <w:rPr>
          <w:rFonts w:ascii="Times New Roman" w:hAnsi="Times New Roman" w:cs="Times New Roman"/>
          <w:b/>
          <w:sz w:val="24"/>
          <w:szCs w:val="24"/>
        </w:rPr>
      </w:pPr>
      <w:r w:rsidRPr="00F67E9D">
        <w:rPr>
          <w:rFonts w:ascii="Times New Roman" w:hAnsi="Times New Roman" w:cs="Times New Roman"/>
          <w:b/>
          <w:sz w:val="24"/>
          <w:szCs w:val="24"/>
        </w:rPr>
        <w:lastRenderedPageBreak/>
        <w:t>7 Distribution by residence.</w:t>
      </w:r>
    </w:p>
    <w:p w14:paraId="296AE04E" w14:textId="77777777" w:rsidR="00FA7332" w:rsidRPr="00F67E9D" w:rsidRDefault="00FA7332"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t>Majority of the study participants lived in urban centers 48.7% (n=57), followed by those who lived in peri-urban areas accounting for 30.8% (n=36) and the rural residents made up 20.5% (n=24).</w:t>
      </w:r>
    </w:p>
    <w:tbl>
      <w:tblPr>
        <w:tblW w:w="7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1"/>
        <w:gridCol w:w="972"/>
        <w:gridCol w:w="1396"/>
        <w:gridCol w:w="1229"/>
        <w:gridCol w:w="1671"/>
        <w:gridCol w:w="1763"/>
      </w:tblGrid>
      <w:tr w:rsidR="00FA7332" w:rsidRPr="00F67E9D" w14:paraId="21C3E90B" w14:textId="77777777" w:rsidTr="00405C29">
        <w:trPr>
          <w:cantSplit/>
        </w:trPr>
        <w:tc>
          <w:tcPr>
            <w:tcW w:w="7909" w:type="dxa"/>
            <w:gridSpan w:val="6"/>
            <w:tcBorders>
              <w:top w:val="nil"/>
              <w:left w:val="nil"/>
              <w:bottom w:val="nil"/>
              <w:right w:val="nil"/>
            </w:tcBorders>
            <w:shd w:val="clear" w:color="auto" w:fill="FFFFFF"/>
            <w:vAlign w:val="center"/>
          </w:tcPr>
          <w:p w14:paraId="3E4F5CBD" w14:textId="77777777" w:rsidR="00F67E9D" w:rsidRPr="00F67E9D" w:rsidRDefault="00F67E9D" w:rsidP="00F67E9D">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p>
          <w:p w14:paraId="3A20AE79" w14:textId="77777777" w:rsidR="00F67E9D" w:rsidRPr="00F67E9D" w:rsidRDefault="00F67E9D" w:rsidP="00F67E9D">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p>
          <w:p w14:paraId="042BDCD7" w14:textId="05A5865F"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Residence</w:t>
            </w:r>
          </w:p>
        </w:tc>
      </w:tr>
      <w:tr w:rsidR="00FA7332" w:rsidRPr="00F67E9D" w14:paraId="6000AA30" w14:textId="77777777" w:rsidTr="00405C29">
        <w:trPr>
          <w:cantSplit/>
        </w:trPr>
        <w:tc>
          <w:tcPr>
            <w:tcW w:w="1853" w:type="dxa"/>
            <w:gridSpan w:val="2"/>
            <w:tcBorders>
              <w:top w:val="nil"/>
              <w:left w:val="nil"/>
              <w:bottom w:val="single" w:sz="8" w:space="0" w:color="152935"/>
              <w:right w:val="nil"/>
            </w:tcBorders>
            <w:shd w:val="clear" w:color="auto" w:fill="FFFFFF"/>
            <w:vAlign w:val="bottom"/>
          </w:tcPr>
          <w:p w14:paraId="73D002AA"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0E03326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2BB0D8E8"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3A7E070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0FE1AEEE"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64D2FE41" w14:textId="77777777" w:rsidTr="00405C29">
        <w:trPr>
          <w:cantSplit/>
        </w:trPr>
        <w:tc>
          <w:tcPr>
            <w:tcW w:w="881" w:type="dxa"/>
            <w:vMerge w:val="restart"/>
            <w:tcBorders>
              <w:top w:val="single" w:sz="8" w:space="0" w:color="152935"/>
              <w:left w:val="nil"/>
              <w:bottom w:val="single" w:sz="8" w:space="0" w:color="152935"/>
              <w:right w:val="nil"/>
            </w:tcBorders>
            <w:shd w:val="clear" w:color="auto" w:fill="E0E0E0"/>
          </w:tcPr>
          <w:p w14:paraId="148DE97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Valid</w:t>
            </w:r>
          </w:p>
        </w:tc>
        <w:tc>
          <w:tcPr>
            <w:tcW w:w="972" w:type="dxa"/>
            <w:tcBorders>
              <w:top w:val="single" w:sz="8" w:space="0" w:color="152935"/>
              <w:left w:val="nil"/>
              <w:bottom w:val="single" w:sz="8" w:space="0" w:color="AEAEAE"/>
              <w:right w:val="nil"/>
            </w:tcBorders>
            <w:shd w:val="clear" w:color="auto" w:fill="E0E0E0"/>
          </w:tcPr>
          <w:p w14:paraId="2341BDD7"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Urban</w:t>
            </w:r>
          </w:p>
        </w:tc>
        <w:tc>
          <w:tcPr>
            <w:tcW w:w="1395" w:type="dxa"/>
            <w:tcBorders>
              <w:top w:val="single" w:sz="8" w:space="0" w:color="152935"/>
              <w:left w:val="nil"/>
              <w:bottom w:val="single" w:sz="8" w:space="0" w:color="AEAEAE"/>
              <w:right w:val="single" w:sz="8" w:space="0" w:color="E0E0E0"/>
            </w:tcBorders>
            <w:shd w:val="clear" w:color="auto" w:fill="FFFFFF"/>
          </w:tcPr>
          <w:p w14:paraId="2C1CAB8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57</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62EC823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264CC96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c>
          <w:tcPr>
            <w:tcW w:w="1762" w:type="dxa"/>
            <w:tcBorders>
              <w:top w:val="single" w:sz="8" w:space="0" w:color="152935"/>
              <w:left w:val="single" w:sz="8" w:space="0" w:color="E0E0E0"/>
              <w:bottom w:val="single" w:sz="8" w:space="0" w:color="AEAEAE"/>
              <w:right w:val="nil"/>
            </w:tcBorders>
            <w:shd w:val="clear" w:color="auto" w:fill="FFFFFF"/>
          </w:tcPr>
          <w:p w14:paraId="6AD7688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r>
      <w:tr w:rsidR="00FA7332" w:rsidRPr="00F67E9D" w14:paraId="5EE07F1F"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0D70E865"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AEAEAE"/>
              <w:right w:val="nil"/>
            </w:tcBorders>
            <w:shd w:val="clear" w:color="auto" w:fill="E0E0E0"/>
          </w:tcPr>
          <w:p w14:paraId="3F9029EE"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Rural</w:t>
            </w:r>
          </w:p>
        </w:tc>
        <w:tc>
          <w:tcPr>
            <w:tcW w:w="1395" w:type="dxa"/>
            <w:tcBorders>
              <w:top w:val="single" w:sz="8" w:space="0" w:color="AEAEAE"/>
              <w:left w:val="nil"/>
              <w:bottom w:val="single" w:sz="8" w:space="0" w:color="AEAEAE"/>
              <w:right w:val="single" w:sz="8" w:space="0" w:color="E0E0E0"/>
            </w:tcBorders>
            <w:shd w:val="clear" w:color="auto" w:fill="FFFFFF"/>
          </w:tcPr>
          <w:p w14:paraId="18A574F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24</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1E85EC7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20.5</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12CD9A4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20.5</w:t>
            </w:r>
          </w:p>
        </w:tc>
        <w:tc>
          <w:tcPr>
            <w:tcW w:w="1762" w:type="dxa"/>
            <w:tcBorders>
              <w:top w:val="single" w:sz="8" w:space="0" w:color="AEAEAE"/>
              <w:left w:val="single" w:sz="8" w:space="0" w:color="E0E0E0"/>
              <w:bottom w:val="single" w:sz="8" w:space="0" w:color="AEAEAE"/>
              <w:right w:val="nil"/>
            </w:tcBorders>
            <w:shd w:val="clear" w:color="auto" w:fill="FFFFFF"/>
          </w:tcPr>
          <w:p w14:paraId="74A451B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69.2</w:t>
            </w:r>
          </w:p>
        </w:tc>
      </w:tr>
      <w:tr w:rsidR="00FA7332" w:rsidRPr="00F67E9D" w14:paraId="77424046"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6579C2C4"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AEAEAE"/>
              <w:right w:val="nil"/>
            </w:tcBorders>
            <w:shd w:val="clear" w:color="auto" w:fill="E0E0E0"/>
          </w:tcPr>
          <w:p w14:paraId="0B31D8BC"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lang w:val="en-GB"/>
              </w:rPr>
            </w:pPr>
            <w:r w:rsidRPr="00F67E9D">
              <w:rPr>
                <w:rFonts w:ascii="Times New Roman" w:hAnsi="Times New Roman" w:cs="Times New Roman"/>
                <w:color w:val="264A60"/>
                <w:sz w:val="24"/>
                <w:szCs w:val="24"/>
                <w:lang w:val="en-GB"/>
              </w:rPr>
              <w:t>Peri-urban</w:t>
            </w:r>
          </w:p>
        </w:tc>
        <w:tc>
          <w:tcPr>
            <w:tcW w:w="1395" w:type="dxa"/>
            <w:tcBorders>
              <w:top w:val="single" w:sz="8" w:space="0" w:color="AEAEAE"/>
              <w:left w:val="nil"/>
              <w:bottom w:val="single" w:sz="8" w:space="0" w:color="AEAEAE"/>
              <w:right w:val="single" w:sz="8" w:space="0" w:color="E0E0E0"/>
            </w:tcBorders>
            <w:shd w:val="clear" w:color="auto" w:fill="FFFFFF"/>
          </w:tcPr>
          <w:p w14:paraId="12545D9F"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36</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49984E8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30.8</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7308E8C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30.8</w:t>
            </w:r>
          </w:p>
        </w:tc>
        <w:tc>
          <w:tcPr>
            <w:tcW w:w="1762" w:type="dxa"/>
            <w:tcBorders>
              <w:top w:val="single" w:sz="8" w:space="0" w:color="AEAEAE"/>
              <w:left w:val="single" w:sz="8" w:space="0" w:color="E0E0E0"/>
              <w:bottom w:val="single" w:sz="8" w:space="0" w:color="AEAEAE"/>
              <w:right w:val="nil"/>
            </w:tcBorders>
            <w:shd w:val="clear" w:color="auto" w:fill="FFFFFF"/>
          </w:tcPr>
          <w:p w14:paraId="37D8124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00CCFB61"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43A8C1C1"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152935"/>
              <w:right w:val="nil"/>
            </w:tcBorders>
            <w:shd w:val="clear" w:color="auto" w:fill="E0E0E0"/>
          </w:tcPr>
          <w:p w14:paraId="3C1DDA90"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60568AC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73178EB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69CA33A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0D2C8A94"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68FB3AB" w14:textId="5CDF2A6D" w:rsidR="00FA7332" w:rsidRP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Table </w:t>
      </w:r>
      <w:r w:rsidR="00F67E9D" w:rsidRPr="00F67E9D">
        <w:rPr>
          <w:rFonts w:ascii="Times New Roman" w:eastAsia="Times New Roman" w:hAnsi="Times New Roman" w:cs="Times New Roman"/>
          <w:sz w:val="24"/>
          <w:szCs w:val="24"/>
        </w:rPr>
        <w:t>5</w:t>
      </w:r>
      <w:r w:rsidRPr="00F67E9D">
        <w:rPr>
          <w:rFonts w:ascii="Times New Roman" w:eastAsia="Times New Roman" w:hAnsi="Times New Roman" w:cs="Times New Roman"/>
          <w:sz w:val="24"/>
          <w:szCs w:val="24"/>
        </w:rPr>
        <w:t>: A table showing the distribution of the participants by area of residence (n=117).</w:t>
      </w:r>
    </w:p>
    <w:p w14:paraId="0BE72B7A" w14:textId="77777777" w:rsidR="00A1020D" w:rsidRPr="00F67E9D" w:rsidRDefault="007B39AF" w:rsidP="00F67E9D">
      <w:pPr>
        <w:pStyle w:val="NormalWeb"/>
        <w:spacing w:line="360" w:lineRule="auto"/>
        <w:jc w:val="both"/>
      </w:pPr>
      <w:r w:rsidRPr="00F67E9D">
        <w:br/>
      </w:r>
      <w:r w:rsidR="00B301F8" w:rsidRPr="00F67E9D">
        <w:rPr>
          <w:rStyle w:val="Strong"/>
          <w:rFonts w:eastAsiaTheme="majorEastAsia"/>
        </w:rPr>
        <w:t>Discussion</w:t>
      </w:r>
      <w:r w:rsidR="00B301F8" w:rsidRPr="00F67E9D">
        <w:br/>
      </w:r>
      <w:r w:rsidR="00A1020D" w:rsidRPr="00F67E9D">
        <w:t>This study examined the sociodemographic characteristics of diabetic patients attending Jaramogi Oginga Odinga Teaching and Referral Hospital (JOOTRH) and how these factors may be associated with renal complications. The findings reveal important demographic and socioeconomic trends that can help explain patterns of susceptibility to diabetic nephropathy in this population.</w:t>
      </w:r>
    </w:p>
    <w:p w14:paraId="3E7B96E6"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Age and Gender Distribution</w:t>
      </w:r>
    </w:p>
    <w:p w14:paraId="2658DC82"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 xml:space="preserve">The majority of participants were aged 40–59 years (47.0%), followed by those aged 60–79 years (39.3%), with a slightly higher proportion of females (56.4%). This age distribution corresponds with the well-documented epidemiological trend of diabetes and its complications being more prevalent among middle-aged and older adults (International </w:t>
      </w:r>
      <w:r w:rsidRPr="00A1020D">
        <w:rPr>
          <w:rFonts w:ascii="Times New Roman" w:eastAsia="Times New Roman" w:hAnsi="Times New Roman" w:cs="Times New Roman"/>
          <w:sz w:val="24"/>
          <w:szCs w:val="24"/>
        </w:rPr>
        <w:lastRenderedPageBreak/>
        <w:t>Diabetes Federation [IDF], 2023). Advancing age is a recognized risk factor for renal dysfunction among diabetic patients, largely due to cumulative vascular damage, long-standing hyperglycemia, and age-related decline in glomerular filtration rate (Thomas et al., 2019).</w:t>
      </w:r>
    </w:p>
    <w:p w14:paraId="3A1030BB"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The predominance of females may reflect the gendered health-seeking behavior in Kenya, where women are more likely than men to attend hospital clinics for chronic disease management (</w:t>
      </w:r>
      <w:proofErr w:type="spellStart"/>
      <w:r w:rsidRPr="00A1020D">
        <w:rPr>
          <w:rFonts w:ascii="Times New Roman" w:eastAsia="Times New Roman" w:hAnsi="Times New Roman" w:cs="Times New Roman"/>
          <w:sz w:val="24"/>
          <w:szCs w:val="24"/>
        </w:rPr>
        <w:t>Odusanya</w:t>
      </w:r>
      <w:proofErr w:type="spellEnd"/>
      <w:r w:rsidRPr="00A1020D">
        <w:rPr>
          <w:rFonts w:ascii="Times New Roman" w:eastAsia="Times New Roman" w:hAnsi="Times New Roman" w:cs="Times New Roman"/>
          <w:sz w:val="24"/>
          <w:szCs w:val="24"/>
        </w:rPr>
        <w:t xml:space="preserve"> &amp; </w:t>
      </w:r>
      <w:proofErr w:type="spellStart"/>
      <w:r w:rsidRPr="00A1020D">
        <w:rPr>
          <w:rFonts w:ascii="Times New Roman" w:eastAsia="Times New Roman" w:hAnsi="Times New Roman" w:cs="Times New Roman"/>
          <w:sz w:val="24"/>
          <w:szCs w:val="24"/>
        </w:rPr>
        <w:t>Bamgbala</w:t>
      </w:r>
      <w:proofErr w:type="spellEnd"/>
      <w:r w:rsidRPr="00A1020D">
        <w:rPr>
          <w:rFonts w:ascii="Times New Roman" w:eastAsia="Times New Roman" w:hAnsi="Times New Roman" w:cs="Times New Roman"/>
          <w:sz w:val="24"/>
          <w:szCs w:val="24"/>
        </w:rPr>
        <w:t>, 2020). However, some studies have suggested that men may be more susceptible to diabetic nephropathy due to hormonal influences and lifestyle factors such as smoking and poor glycemic control (Ameh et al., 2022). This indicates that while women may dominate clinic attendance, men could experience more severe disease progression if they delay seeking care.</w:t>
      </w:r>
    </w:p>
    <w:p w14:paraId="1A2A570B"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Marital Status</w:t>
      </w:r>
    </w:p>
    <w:p w14:paraId="655A040E"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Most participants were married (73.5%), followed by widowed individuals (20.5%). Marital status is an important social determinant of health outcomes among patients with chronic diseases like diabetes (Umberson &amp; Montez, 2018). Being married often provides psychosocial support, shared financial resources, and improved adherence to medical recommendations—all of which can mitigate disease progression and prevent renal complications (Ogunleye et al., 2019). Conversely, widowed or single individuals may lack adequate emotional or financial support, predisposing them to poor self-care, irregular clinic attendance, and consequently a higher risk of renal dysfunction (Afolabi et al., 2021).</w:t>
      </w:r>
    </w:p>
    <w:p w14:paraId="495A7CBB"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Educational Level</w:t>
      </w:r>
    </w:p>
    <w:p w14:paraId="2F6FDE2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Nearly half of the participants (45.3%) had attained tertiary education, while 17.9% had no formal education. Educational level significantly influences diabetes self-management, awareness of disease complications, and compliance with treatment (</w:t>
      </w:r>
      <w:proofErr w:type="spellStart"/>
      <w:r w:rsidRPr="00A1020D">
        <w:rPr>
          <w:rFonts w:ascii="Times New Roman" w:eastAsia="Times New Roman" w:hAnsi="Times New Roman" w:cs="Times New Roman"/>
          <w:sz w:val="24"/>
          <w:szCs w:val="24"/>
        </w:rPr>
        <w:t>Nutbeam</w:t>
      </w:r>
      <w:proofErr w:type="spellEnd"/>
      <w:r w:rsidRPr="00A1020D">
        <w:rPr>
          <w:rFonts w:ascii="Times New Roman" w:eastAsia="Times New Roman" w:hAnsi="Times New Roman" w:cs="Times New Roman"/>
          <w:sz w:val="24"/>
          <w:szCs w:val="24"/>
        </w:rPr>
        <w:t>, 2018). Individuals with higher education are more likely to understand dietary recommendations, recognize symptoms of renal deterioration, and adhere to follow-up appointments and medication regimens (Oladipo et al., 2020).</w:t>
      </w:r>
    </w:p>
    <w:p w14:paraId="71A9B42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lastRenderedPageBreak/>
        <w:t>In contrast, patients with no formal education may have limited health literacy, leading to delayed recognition of early signs of nephropathy and poor adherence to glycemic control strategies (Eze et al., 2021). This gap underscores the need for patient-centered education programs tailored to varying literacy levels, particularly in resource-limited settings such as western Kenya.</w:t>
      </w:r>
    </w:p>
    <w:p w14:paraId="1670913D"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Employment Status</w:t>
      </w:r>
    </w:p>
    <w:p w14:paraId="778081A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Employment status was another notable factor, with 41.9% being self-employed, 34.2% formally employed, 17.9% retired, and 6.0% unemployed. Economic stability is directly linked to healthcare access, medication affordability, and dietary compliance—all essential for preventing diabetic renal complications (Marmot &amp; Allen, 2020). Self-employed and employed individuals may have greater financial means to afford medications and regular monitoring compared to the unemployed and retired, who may depend on limited pensions or family support.</w:t>
      </w:r>
    </w:p>
    <w:p w14:paraId="17FA3810"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Previous studies in Kenya and other sub-Saharan African countries have reported that economic hardship and lack of health insurance are major barriers to glycemic control and early detection of renal complications among diabetic patients (Adewuyi et al., 2021; Njuguna et al., 2020). Hence, strengthening financial protection mechanisms—such as the National Health Insurance Fund (NHIF)—could play a key role in mitigating these disparities.</w:t>
      </w:r>
    </w:p>
    <w:p w14:paraId="75457C60"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Residence</w:t>
      </w:r>
    </w:p>
    <w:p w14:paraId="05C1626B"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Nearly half of the participants resided in urban areas (48.7%), while 30.8% lived in peri-urban and 20.5% in rural settings. Urban residence is typically associated with better healthcare access and greater awareness of diabetes complications (</w:t>
      </w:r>
      <w:proofErr w:type="spellStart"/>
      <w:r w:rsidRPr="00A1020D">
        <w:rPr>
          <w:rFonts w:ascii="Times New Roman" w:eastAsia="Times New Roman" w:hAnsi="Times New Roman" w:cs="Times New Roman"/>
          <w:sz w:val="24"/>
          <w:szCs w:val="24"/>
        </w:rPr>
        <w:t>Onyeneho</w:t>
      </w:r>
      <w:proofErr w:type="spellEnd"/>
      <w:r w:rsidRPr="00A1020D">
        <w:rPr>
          <w:rFonts w:ascii="Times New Roman" w:eastAsia="Times New Roman" w:hAnsi="Times New Roman" w:cs="Times New Roman"/>
          <w:sz w:val="24"/>
          <w:szCs w:val="24"/>
        </w:rPr>
        <w:t xml:space="preserve"> et al., 2019). However, urban lifestyles—characterized by sedentary behavior and unhealthy diets—also increase the risk of obesity and diabetes progression, thereby indirectly predisposing individuals to renal damage (WHO, 2021).</w:t>
      </w:r>
    </w:p>
    <w:p w14:paraId="5B74CCE8" w14:textId="725B6544"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lastRenderedPageBreak/>
        <w:t>Conversely, rural residents often face challenges including limited access to diagnostic facilities, fewer specialized healthcare providers, and long distances to referral hospitals like JOOTRH. These barriers may delay the diagnosis and management of renal complications, resulting in poorer outcomes (Adewuyi et al., 2021). Peri-urban participants, who constituted nearly one-third of the sample, represent a transitional group increasingly affected by both urban and rural risk factors—limited health access and lifestyle-related risks alike.</w:t>
      </w:r>
    </w:p>
    <w:p w14:paraId="001023CC" w14:textId="496D83C1" w:rsidR="00B301F8" w:rsidRPr="00F67E9D" w:rsidRDefault="00B301F8" w:rsidP="00F67E9D">
      <w:pPr>
        <w:spacing w:before="100" w:beforeAutospacing="1" w:after="100" w:afterAutospacing="1" w:line="360" w:lineRule="auto"/>
        <w:rPr>
          <w:rFonts w:ascii="Times New Roman" w:eastAsia="Times New Roman" w:hAnsi="Times New Roman" w:cs="Times New Roman"/>
          <w:sz w:val="24"/>
          <w:szCs w:val="24"/>
        </w:rPr>
      </w:pPr>
    </w:p>
    <w:p w14:paraId="0680EEE0" w14:textId="2463F568" w:rsidR="00A1020D" w:rsidRPr="00A1020D" w:rsidRDefault="00B301F8" w:rsidP="00F67E9D">
      <w:pPr>
        <w:spacing w:before="100" w:beforeAutospacing="1" w:after="100" w:afterAutospacing="1" w:line="360" w:lineRule="auto"/>
        <w:jc w:val="both"/>
        <w:rPr>
          <w:rFonts w:ascii="Times New Roman" w:eastAsia="Times New Roman" w:hAnsi="Times New Roman" w:cs="Times New Roman"/>
          <w:sz w:val="24"/>
          <w:szCs w:val="24"/>
        </w:rPr>
      </w:pPr>
      <w:r w:rsidRPr="00F67E9D">
        <w:rPr>
          <w:rStyle w:val="Strong"/>
          <w:rFonts w:ascii="Times New Roman" w:hAnsi="Times New Roman" w:cs="Times New Roman"/>
          <w:sz w:val="24"/>
          <w:szCs w:val="24"/>
        </w:rPr>
        <w:t>Conclusions</w:t>
      </w:r>
      <w:r w:rsidRPr="00F67E9D">
        <w:rPr>
          <w:rFonts w:ascii="Times New Roman" w:hAnsi="Times New Roman" w:cs="Times New Roman"/>
          <w:sz w:val="24"/>
          <w:szCs w:val="24"/>
        </w:rPr>
        <w:br/>
      </w:r>
      <w:r w:rsidR="00A1020D" w:rsidRPr="00A1020D">
        <w:rPr>
          <w:rFonts w:ascii="Times New Roman" w:eastAsia="Times New Roman" w:hAnsi="Times New Roman" w:cs="Times New Roman"/>
          <w:sz w:val="24"/>
          <w:szCs w:val="24"/>
        </w:rPr>
        <w:t xml:space="preserve"> </w:t>
      </w:r>
      <w:r w:rsidR="00A1020D" w:rsidRPr="00F67E9D">
        <w:rPr>
          <w:rFonts w:ascii="Times New Roman" w:eastAsia="Times New Roman" w:hAnsi="Times New Roman" w:cs="Times New Roman"/>
          <w:sz w:val="24"/>
          <w:szCs w:val="24"/>
        </w:rPr>
        <w:t>T</w:t>
      </w:r>
      <w:r w:rsidR="00A1020D" w:rsidRPr="00A1020D">
        <w:rPr>
          <w:rFonts w:ascii="Times New Roman" w:eastAsia="Times New Roman" w:hAnsi="Times New Roman" w:cs="Times New Roman"/>
          <w:sz w:val="24"/>
          <w:szCs w:val="24"/>
        </w:rPr>
        <w:t>he sociodemographic findings from this study highlight that middle-aged, educated, and economically active individuals constitute the majority of diabetic patients attending JOOTRH. However, subgroups such as the elderly, those with low education, and the unemployed or widowed may be at higher risk of developing renal complications due to limited resources, poor health literacy, and reduced access to continuous care.</w:t>
      </w:r>
    </w:p>
    <w:p w14:paraId="1B58BFB9"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Addressing these sociodemographic disparities is critical for the prevention and management of diabetic nephropathy. Interventions should include community-based education tailored to literacy levels, improved access to affordable healthcare through NHIF expansion, and targeted follow-up for high-risk groups such as older adults and rural residents. By integrating these strategies into diabetes care programs at JOOTRH, the burden of renal complications can be significantly reduced.</w:t>
      </w:r>
    </w:p>
    <w:p w14:paraId="0639E9DB" w14:textId="36BFE676" w:rsidR="00B301F8" w:rsidRPr="00F67E9D" w:rsidRDefault="00B301F8" w:rsidP="00F67E9D">
      <w:pPr>
        <w:pStyle w:val="NormalWeb"/>
        <w:spacing w:line="360" w:lineRule="auto"/>
      </w:pPr>
    </w:p>
    <w:p w14:paraId="3759D244" w14:textId="76CD387E"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Declarations</w:t>
      </w:r>
    </w:p>
    <w:p w14:paraId="0BE43BD2" w14:textId="659B84CF"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t>Ethics approval and consent to participate: Approved by Uzima University and JOOTRH Ethics Committees. NACOSTI research license obtained. Consent waived due to retrospective design.</w:t>
      </w:r>
      <w:r w:rsidRPr="00F67E9D">
        <w:rPr>
          <w:rFonts w:ascii="Times New Roman" w:hAnsi="Times New Roman" w:cs="Times New Roman"/>
          <w:sz w:val="24"/>
          <w:szCs w:val="24"/>
        </w:rPr>
        <w:br/>
      </w:r>
      <w:r w:rsidRPr="00F67E9D">
        <w:rPr>
          <w:rFonts w:ascii="Times New Roman" w:hAnsi="Times New Roman" w:cs="Times New Roman"/>
          <w:sz w:val="24"/>
          <w:szCs w:val="24"/>
        </w:rPr>
        <w:br/>
      </w:r>
      <w:bookmarkStart w:id="1" w:name="_GoBack"/>
      <w:bookmarkEnd w:id="1"/>
      <w:r w:rsidR="007C4AF8" w:rsidRPr="00F67E9D">
        <w:rPr>
          <w:rFonts w:ascii="Times New Roman" w:hAnsi="Times New Roman" w:cs="Times New Roman"/>
          <w:sz w:val="24"/>
          <w:szCs w:val="24"/>
        </w:rPr>
        <w:lastRenderedPageBreak/>
        <w:br/>
      </w:r>
    </w:p>
    <w:p w14:paraId="49A2D3B1" w14:textId="77777777" w:rsidR="00F67E9D"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References</w:t>
      </w:r>
      <w:r w:rsidRPr="00F67E9D">
        <w:rPr>
          <w:rFonts w:ascii="Times New Roman" w:hAnsi="Times New Roman" w:cs="Times New Roman"/>
          <w:sz w:val="24"/>
          <w:szCs w:val="24"/>
        </w:rPr>
        <w:br/>
        <w:t>1. International Diabetes Federation. IDF Diabetes Atlas, 10th ed. Brussels, Belgium; 2021.</w:t>
      </w:r>
      <w:r w:rsidRPr="00F67E9D">
        <w:rPr>
          <w:rFonts w:ascii="Times New Roman" w:hAnsi="Times New Roman" w:cs="Times New Roman"/>
          <w:sz w:val="24"/>
          <w:szCs w:val="24"/>
        </w:rPr>
        <w:br/>
        <w:t>2. Thomas MC, Cooper ME, Zimmet P. Changing epidemiology of type 2 diabetes mellitus and associated CKD. Nat Rev Nephrol. 2016;12(2):73–81.</w:t>
      </w:r>
      <w:r w:rsidRPr="00F67E9D">
        <w:rPr>
          <w:rFonts w:ascii="Times New Roman" w:hAnsi="Times New Roman" w:cs="Times New Roman"/>
          <w:sz w:val="24"/>
          <w:szCs w:val="24"/>
        </w:rPr>
        <w:br/>
        <w:t xml:space="preserve">3. Gheith O, Farouk N, </w:t>
      </w:r>
      <w:proofErr w:type="spellStart"/>
      <w:r w:rsidRPr="00F67E9D">
        <w:rPr>
          <w:rFonts w:ascii="Times New Roman" w:hAnsi="Times New Roman" w:cs="Times New Roman"/>
          <w:sz w:val="24"/>
          <w:szCs w:val="24"/>
        </w:rPr>
        <w:t>Nampoory</w:t>
      </w:r>
      <w:proofErr w:type="spellEnd"/>
      <w:r w:rsidRPr="00F67E9D">
        <w:rPr>
          <w:rFonts w:ascii="Times New Roman" w:hAnsi="Times New Roman" w:cs="Times New Roman"/>
          <w:sz w:val="24"/>
          <w:szCs w:val="24"/>
        </w:rPr>
        <w:t xml:space="preserve"> N, Halim MA, Al-Otaibi T. Diabetic kidney disease: worldwide prevalence and risk factors. J </w:t>
      </w:r>
      <w:proofErr w:type="spellStart"/>
      <w:r w:rsidRPr="00F67E9D">
        <w:rPr>
          <w:rFonts w:ascii="Times New Roman" w:hAnsi="Times New Roman" w:cs="Times New Roman"/>
          <w:sz w:val="24"/>
          <w:szCs w:val="24"/>
        </w:rPr>
        <w:t>Nephropharmacol</w:t>
      </w:r>
      <w:proofErr w:type="spellEnd"/>
      <w:r w:rsidRPr="00F67E9D">
        <w:rPr>
          <w:rFonts w:ascii="Times New Roman" w:hAnsi="Times New Roman" w:cs="Times New Roman"/>
          <w:sz w:val="24"/>
          <w:szCs w:val="24"/>
        </w:rPr>
        <w:t>. 2015;5(1):49–56.</w:t>
      </w:r>
      <w:r w:rsidRPr="00F67E9D">
        <w:rPr>
          <w:rFonts w:ascii="Times New Roman" w:hAnsi="Times New Roman" w:cs="Times New Roman"/>
          <w:sz w:val="24"/>
          <w:szCs w:val="24"/>
        </w:rPr>
        <w:br/>
        <w:t xml:space="preserve">4. </w:t>
      </w:r>
      <w:proofErr w:type="spellStart"/>
      <w:r w:rsidRPr="00F67E9D">
        <w:rPr>
          <w:rFonts w:ascii="Times New Roman" w:hAnsi="Times New Roman" w:cs="Times New Roman"/>
          <w:sz w:val="24"/>
          <w:szCs w:val="24"/>
        </w:rPr>
        <w:t>Tesfe</w:t>
      </w:r>
      <w:proofErr w:type="spellEnd"/>
      <w:r w:rsidRPr="00F67E9D">
        <w:rPr>
          <w:rFonts w:ascii="Times New Roman" w:hAnsi="Times New Roman" w:cs="Times New Roman"/>
          <w:sz w:val="24"/>
          <w:szCs w:val="24"/>
        </w:rPr>
        <w:t xml:space="preserve"> D, </w:t>
      </w:r>
      <w:proofErr w:type="spellStart"/>
      <w:r w:rsidRPr="00F67E9D">
        <w:rPr>
          <w:rFonts w:ascii="Times New Roman" w:hAnsi="Times New Roman" w:cs="Times New Roman"/>
          <w:sz w:val="24"/>
          <w:szCs w:val="24"/>
        </w:rPr>
        <w:t>Adugna</w:t>
      </w:r>
      <w:proofErr w:type="spellEnd"/>
      <w:r w:rsidRPr="00F67E9D">
        <w:rPr>
          <w:rFonts w:ascii="Times New Roman" w:hAnsi="Times New Roman" w:cs="Times New Roman"/>
          <w:sz w:val="24"/>
          <w:szCs w:val="24"/>
        </w:rPr>
        <w:t xml:space="preserve"> M, Nigussie ZM, Woldeyohanins AE, Kifle ZD. Proportion of CKD and its associated factors among adult diabetic patients at </w:t>
      </w:r>
      <w:proofErr w:type="spellStart"/>
      <w:r w:rsidRPr="00F67E9D">
        <w:rPr>
          <w:rFonts w:ascii="Times New Roman" w:hAnsi="Times New Roman" w:cs="Times New Roman"/>
          <w:sz w:val="24"/>
          <w:szCs w:val="24"/>
        </w:rPr>
        <w:t>Tibebe</w:t>
      </w:r>
      <w:proofErr w:type="spellEnd"/>
      <w:r w:rsidRPr="00F67E9D">
        <w:rPr>
          <w:rFonts w:ascii="Times New Roman" w:hAnsi="Times New Roman" w:cs="Times New Roman"/>
          <w:sz w:val="24"/>
          <w:szCs w:val="24"/>
        </w:rPr>
        <w:t xml:space="preserve"> </w:t>
      </w:r>
      <w:proofErr w:type="spellStart"/>
      <w:r w:rsidRPr="00F67E9D">
        <w:rPr>
          <w:rFonts w:ascii="Times New Roman" w:hAnsi="Times New Roman" w:cs="Times New Roman"/>
          <w:sz w:val="24"/>
          <w:szCs w:val="24"/>
        </w:rPr>
        <w:t>Ghion</w:t>
      </w:r>
      <w:proofErr w:type="spellEnd"/>
      <w:r w:rsidRPr="00F67E9D">
        <w:rPr>
          <w:rFonts w:ascii="Times New Roman" w:hAnsi="Times New Roman" w:cs="Times New Roman"/>
          <w:sz w:val="24"/>
          <w:szCs w:val="24"/>
        </w:rPr>
        <w:t xml:space="preserve"> Specialized Hospital, Ethiopia. Metabolism Open. </w:t>
      </w:r>
      <w:proofErr w:type="gramStart"/>
      <w:r w:rsidRPr="00F67E9D">
        <w:rPr>
          <w:rFonts w:ascii="Times New Roman" w:hAnsi="Times New Roman" w:cs="Times New Roman"/>
          <w:sz w:val="24"/>
          <w:szCs w:val="24"/>
        </w:rPr>
        <w:t>2022;15:100198</w:t>
      </w:r>
      <w:proofErr w:type="gramEnd"/>
      <w:r w:rsidRPr="00F67E9D">
        <w:rPr>
          <w:rFonts w:ascii="Times New Roman" w:hAnsi="Times New Roman" w:cs="Times New Roman"/>
          <w:sz w:val="24"/>
          <w:szCs w:val="24"/>
        </w:rPr>
        <w:t>.</w:t>
      </w:r>
      <w:r w:rsidRPr="00F67E9D">
        <w:rPr>
          <w:rFonts w:ascii="Times New Roman" w:hAnsi="Times New Roman" w:cs="Times New Roman"/>
          <w:sz w:val="24"/>
          <w:szCs w:val="24"/>
        </w:rPr>
        <w:br/>
        <w:t xml:space="preserve">5. Shiferaw WS, Akalu TY, Aynalem YA. CKD among diabetes patients in Ethiopia: a systematic review and meta-analysis. </w:t>
      </w:r>
      <w:r w:rsidRPr="007B7253">
        <w:rPr>
          <w:rFonts w:ascii="Times New Roman" w:hAnsi="Times New Roman" w:cs="Times New Roman"/>
          <w:sz w:val="24"/>
          <w:szCs w:val="24"/>
          <w:lang w:val="it-IT"/>
        </w:rPr>
        <w:t>Int J Nephrol. 2020;2020:1–10.</w:t>
      </w:r>
      <w:r w:rsidRPr="007B7253">
        <w:rPr>
          <w:rFonts w:ascii="Times New Roman" w:hAnsi="Times New Roman" w:cs="Times New Roman"/>
          <w:sz w:val="24"/>
          <w:szCs w:val="24"/>
          <w:lang w:val="it-IT"/>
        </w:rPr>
        <w:br/>
        <w:t xml:space="preserve">6. Otieno FCF, Ogola EN, Kimando MW, et al. </w:t>
      </w:r>
      <w:r w:rsidRPr="00F67E9D">
        <w:rPr>
          <w:rFonts w:ascii="Times New Roman" w:hAnsi="Times New Roman" w:cs="Times New Roman"/>
          <w:sz w:val="24"/>
          <w:szCs w:val="24"/>
        </w:rPr>
        <w:t xml:space="preserve">The burden of </w:t>
      </w:r>
      <w:proofErr w:type="spellStart"/>
      <w:r w:rsidRPr="00F67E9D">
        <w:rPr>
          <w:rFonts w:ascii="Times New Roman" w:hAnsi="Times New Roman" w:cs="Times New Roman"/>
          <w:sz w:val="24"/>
          <w:szCs w:val="24"/>
        </w:rPr>
        <w:t>unrecognised</w:t>
      </w:r>
      <w:proofErr w:type="spellEnd"/>
      <w:r w:rsidRPr="00F67E9D">
        <w:rPr>
          <w:rFonts w:ascii="Times New Roman" w:hAnsi="Times New Roman" w:cs="Times New Roman"/>
          <w:sz w:val="24"/>
          <w:szCs w:val="24"/>
        </w:rPr>
        <w:t xml:space="preserve"> CKD in patients with T2DM in Kenya. BMC Nephrol. </w:t>
      </w:r>
      <w:proofErr w:type="gramStart"/>
      <w:r w:rsidRPr="00F67E9D">
        <w:rPr>
          <w:rFonts w:ascii="Times New Roman" w:hAnsi="Times New Roman" w:cs="Times New Roman"/>
          <w:sz w:val="24"/>
          <w:szCs w:val="24"/>
        </w:rPr>
        <w:t>2020;21:73</w:t>
      </w:r>
      <w:proofErr w:type="gramEnd"/>
      <w:r w:rsidRPr="00F67E9D">
        <w:rPr>
          <w:rFonts w:ascii="Times New Roman" w:hAnsi="Times New Roman" w:cs="Times New Roman"/>
          <w:sz w:val="24"/>
          <w:szCs w:val="24"/>
        </w:rPr>
        <w:t>.</w:t>
      </w:r>
      <w:r w:rsidRPr="00F67E9D">
        <w:rPr>
          <w:rFonts w:ascii="Times New Roman" w:hAnsi="Times New Roman" w:cs="Times New Roman"/>
          <w:sz w:val="24"/>
          <w:szCs w:val="24"/>
        </w:rPr>
        <w:br/>
        <w:t xml:space="preserve">7. </w:t>
      </w:r>
      <w:proofErr w:type="spellStart"/>
      <w:r w:rsidRPr="00F67E9D">
        <w:rPr>
          <w:rFonts w:ascii="Times New Roman" w:hAnsi="Times New Roman" w:cs="Times New Roman"/>
          <w:sz w:val="24"/>
          <w:szCs w:val="24"/>
        </w:rPr>
        <w:t>Maritim</w:t>
      </w:r>
      <w:proofErr w:type="spellEnd"/>
      <w:r w:rsidRPr="00F67E9D">
        <w:rPr>
          <w:rFonts w:ascii="Times New Roman" w:hAnsi="Times New Roman" w:cs="Times New Roman"/>
          <w:sz w:val="24"/>
          <w:szCs w:val="24"/>
        </w:rPr>
        <w:t xml:space="preserve"> PKK, </w:t>
      </w:r>
      <w:proofErr w:type="spellStart"/>
      <w:r w:rsidRPr="00F67E9D">
        <w:rPr>
          <w:rFonts w:ascii="Times New Roman" w:hAnsi="Times New Roman" w:cs="Times New Roman"/>
          <w:sz w:val="24"/>
          <w:szCs w:val="24"/>
        </w:rPr>
        <w:t>Twahir</w:t>
      </w:r>
      <w:proofErr w:type="spellEnd"/>
      <w:r w:rsidRPr="00F67E9D">
        <w:rPr>
          <w:rFonts w:ascii="Times New Roman" w:hAnsi="Times New Roman" w:cs="Times New Roman"/>
          <w:sz w:val="24"/>
          <w:szCs w:val="24"/>
        </w:rPr>
        <w:t xml:space="preserve"> A, </w:t>
      </w:r>
      <w:proofErr w:type="spellStart"/>
      <w:r w:rsidRPr="00F67E9D">
        <w:rPr>
          <w:rFonts w:ascii="Times New Roman" w:hAnsi="Times New Roman" w:cs="Times New Roman"/>
          <w:sz w:val="24"/>
          <w:szCs w:val="24"/>
        </w:rPr>
        <w:t>Davids</w:t>
      </w:r>
      <w:proofErr w:type="spellEnd"/>
      <w:r w:rsidRPr="00F67E9D">
        <w:rPr>
          <w:rFonts w:ascii="Times New Roman" w:hAnsi="Times New Roman" w:cs="Times New Roman"/>
          <w:sz w:val="24"/>
          <w:szCs w:val="24"/>
        </w:rPr>
        <w:t xml:space="preserve"> MR. Global dialysis perspective: Kenya. Kidney360. 2022;3(11):1944–7.</w:t>
      </w:r>
      <w:r w:rsidRPr="00F67E9D">
        <w:rPr>
          <w:rFonts w:ascii="Times New Roman" w:hAnsi="Times New Roman" w:cs="Times New Roman"/>
          <w:sz w:val="24"/>
          <w:szCs w:val="24"/>
        </w:rPr>
        <w:br/>
        <w:t xml:space="preserve">8. </w:t>
      </w:r>
      <w:proofErr w:type="spellStart"/>
      <w:r w:rsidRPr="00F67E9D">
        <w:rPr>
          <w:rFonts w:ascii="Times New Roman" w:hAnsi="Times New Roman" w:cs="Times New Roman"/>
          <w:sz w:val="24"/>
          <w:szCs w:val="24"/>
        </w:rPr>
        <w:t>Shurraw</w:t>
      </w:r>
      <w:proofErr w:type="spellEnd"/>
      <w:r w:rsidRPr="00F67E9D">
        <w:rPr>
          <w:rFonts w:ascii="Times New Roman" w:hAnsi="Times New Roman" w:cs="Times New Roman"/>
          <w:sz w:val="24"/>
          <w:szCs w:val="24"/>
        </w:rPr>
        <w:t xml:space="preserve"> S, </w:t>
      </w:r>
      <w:proofErr w:type="spellStart"/>
      <w:r w:rsidRPr="00F67E9D">
        <w:rPr>
          <w:rFonts w:ascii="Times New Roman" w:hAnsi="Times New Roman" w:cs="Times New Roman"/>
          <w:sz w:val="24"/>
          <w:szCs w:val="24"/>
        </w:rPr>
        <w:t>Hemmelgarn</w:t>
      </w:r>
      <w:proofErr w:type="spellEnd"/>
      <w:r w:rsidRPr="00F67E9D">
        <w:rPr>
          <w:rFonts w:ascii="Times New Roman" w:hAnsi="Times New Roman" w:cs="Times New Roman"/>
          <w:sz w:val="24"/>
          <w:szCs w:val="24"/>
        </w:rPr>
        <w:t xml:space="preserve"> B, Lin M, et al. Association between glycemic control and adverse outcomes in people with DM and CKD. Arch Intern Med. 2011;171(21):1920–7.</w:t>
      </w:r>
      <w:r w:rsidRPr="00F67E9D">
        <w:rPr>
          <w:rFonts w:ascii="Times New Roman" w:hAnsi="Times New Roman" w:cs="Times New Roman"/>
          <w:sz w:val="24"/>
          <w:szCs w:val="24"/>
        </w:rPr>
        <w:br/>
        <w:t>9. Zhang J, Liu J, Qin X. Advances in early biomarkers of diabetic nephropathy. Rev Assoc Med Bras. 2018;64(1):85–92.</w:t>
      </w:r>
      <w:r w:rsidRPr="00F67E9D">
        <w:rPr>
          <w:rFonts w:ascii="Times New Roman" w:hAnsi="Times New Roman" w:cs="Times New Roman"/>
          <w:sz w:val="24"/>
          <w:szCs w:val="24"/>
        </w:rPr>
        <w:br/>
        <w:t>10. Duru OK, Middleton T, Tewari MK, Norris KC. The landscape of CKD disparities in the United States. Nat Rev Nephrol. 2018;14(7):436–47.</w:t>
      </w:r>
      <w:r w:rsidRPr="00F67E9D">
        <w:rPr>
          <w:rFonts w:ascii="Times New Roman" w:hAnsi="Times New Roman" w:cs="Times New Roman"/>
          <w:sz w:val="24"/>
          <w:szCs w:val="24"/>
        </w:rPr>
        <w:br/>
        <w:t xml:space="preserve">11. </w:t>
      </w:r>
      <w:proofErr w:type="spellStart"/>
      <w:r w:rsidRPr="00F67E9D">
        <w:rPr>
          <w:rFonts w:ascii="Times New Roman" w:hAnsi="Times New Roman" w:cs="Times New Roman"/>
          <w:sz w:val="24"/>
          <w:szCs w:val="24"/>
        </w:rPr>
        <w:t>Willers</w:t>
      </w:r>
      <w:proofErr w:type="spellEnd"/>
      <w:r w:rsidRPr="00F67E9D">
        <w:rPr>
          <w:rFonts w:ascii="Times New Roman" w:hAnsi="Times New Roman" w:cs="Times New Roman"/>
          <w:sz w:val="24"/>
          <w:szCs w:val="24"/>
        </w:rPr>
        <w:t xml:space="preserve"> SM, </w:t>
      </w:r>
      <w:proofErr w:type="spellStart"/>
      <w:r w:rsidRPr="00F67E9D">
        <w:rPr>
          <w:rFonts w:ascii="Times New Roman" w:hAnsi="Times New Roman" w:cs="Times New Roman"/>
          <w:sz w:val="24"/>
          <w:szCs w:val="24"/>
        </w:rPr>
        <w:t>Brunekreef</w:t>
      </w:r>
      <w:proofErr w:type="spellEnd"/>
      <w:r w:rsidRPr="00F67E9D">
        <w:rPr>
          <w:rFonts w:ascii="Times New Roman" w:hAnsi="Times New Roman" w:cs="Times New Roman"/>
          <w:sz w:val="24"/>
          <w:szCs w:val="24"/>
        </w:rPr>
        <w:t xml:space="preserve"> B, et al. Socioeconomic status and diabetic complications: a European perspective. </w:t>
      </w:r>
      <w:proofErr w:type="spellStart"/>
      <w:r w:rsidRPr="00F67E9D">
        <w:rPr>
          <w:rFonts w:ascii="Times New Roman" w:hAnsi="Times New Roman" w:cs="Times New Roman"/>
          <w:sz w:val="24"/>
          <w:szCs w:val="24"/>
        </w:rPr>
        <w:t>Diabet</w:t>
      </w:r>
      <w:proofErr w:type="spellEnd"/>
      <w:r w:rsidRPr="00F67E9D">
        <w:rPr>
          <w:rFonts w:ascii="Times New Roman" w:hAnsi="Times New Roman" w:cs="Times New Roman"/>
          <w:sz w:val="24"/>
          <w:szCs w:val="24"/>
        </w:rPr>
        <w:t xml:space="preserve"> Med. 2018;35(7):928–36.</w:t>
      </w:r>
    </w:p>
    <w:p w14:paraId="6C1D3B85" w14:textId="77777777" w:rsidR="00F67E9D" w:rsidRPr="00F67E9D" w:rsidRDefault="00F67E9D"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12.</w:t>
      </w:r>
      <w:r w:rsidRPr="00A1020D">
        <w:rPr>
          <w:rFonts w:ascii="Times New Roman" w:eastAsia="Times New Roman" w:hAnsi="Times New Roman" w:cs="Times New Roman"/>
          <w:sz w:val="24"/>
          <w:szCs w:val="24"/>
        </w:rPr>
        <w:t xml:space="preserve">Adewuyi, E. O., et al. (2021). </w:t>
      </w:r>
      <w:r w:rsidRPr="00A1020D">
        <w:rPr>
          <w:rFonts w:ascii="Times New Roman" w:eastAsia="Times New Roman" w:hAnsi="Times New Roman" w:cs="Times New Roman"/>
          <w:b/>
          <w:bCs/>
          <w:sz w:val="24"/>
          <w:szCs w:val="24"/>
        </w:rPr>
        <w:t>Urban–rural disparities in healthcare utilization in sub-Saharan Africa.</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Health Services Research, 21</w:t>
      </w:r>
      <w:r w:rsidRPr="00A1020D">
        <w:rPr>
          <w:rFonts w:ascii="Times New Roman" w:eastAsia="Times New Roman" w:hAnsi="Times New Roman" w:cs="Times New Roman"/>
          <w:sz w:val="24"/>
          <w:szCs w:val="24"/>
        </w:rPr>
        <w:t>(1), 1023.</w:t>
      </w:r>
    </w:p>
    <w:p w14:paraId="4A3D2932" w14:textId="0F77D369" w:rsidR="00F67E9D" w:rsidRPr="00A1020D" w:rsidRDefault="00F67E9D"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lastRenderedPageBreak/>
        <w:t xml:space="preserve">13 </w:t>
      </w:r>
      <w:r w:rsidRPr="00A1020D">
        <w:rPr>
          <w:rFonts w:ascii="Times New Roman" w:eastAsia="Times New Roman" w:hAnsi="Times New Roman" w:cs="Times New Roman"/>
          <w:sz w:val="24"/>
          <w:szCs w:val="24"/>
        </w:rPr>
        <w:t xml:space="preserve">Afolabi, M. O., et al. (2021). </w:t>
      </w:r>
      <w:r w:rsidRPr="00A1020D">
        <w:rPr>
          <w:rFonts w:ascii="Times New Roman" w:eastAsia="Times New Roman" w:hAnsi="Times New Roman" w:cs="Times New Roman"/>
          <w:b/>
          <w:bCs/>
          <w:sz w:val="24"/>
          <w:szCs w:val="24"/>
        </w:rPr>
        <w:t>Gender differences in health-seeking behavior among adults with chronic conditions in Nigeria.</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African Journal of Reproductive Health, 25</w:t>
      </w:r>
      <w:r w:rsidRPr="00A1020D">
        <w:rPr>
          <w:rFonts w:ascii="Times New Roman" w:eastAsia="Times New Roman" w:hAnsi="Times New Roman" w:cs="Times New Roman"/>
          <w:sz w:val="24"/>
          <w:szCs w:val="24"/>
        </w:rPr>
        <w:t>(3), 45–54.</w:t>
      </w:r>
    </w:p>
    <w:p w14:paraId="276237E9" w14:textId="76D3DEEF" w:rsidR="00F67E9D" w:rsidRPr="00A1020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14.</w:t>
      </w:r>
      <w:r w:rsidRPr="00A1020D">
        <w:rPr>
          <w:rFonts w:ascii="Times New Roman" w:eastAsia="Times New Roman" w:hAnsi="Times New Roman" w:cs="Times New Roman"/>
          <w:sz w:val="24"/>
          <w:szCs w:val="24"/>
        </w:rPr>
        <w:t xml:space="preserve">Ameh, S., et al. (2022). </w:t>
      </w:r>
      <w:r w:rsidRPr="00A1020D">
        <w:rPr>
          <w:rFonts w:ascii="Times New Roman" w:eastAsia="Times New Roman" w:hAnsi="Times New Roman" w:cs="Times New Roman"/>
          <w:b/>
          <w:bCs/>
          <w:sz w:val="24"/>
          <w:szCs w:val="24"/>
        </w:rPr>
        <w:t>Gender differences in the prevalence and risk factors of diabetic nephropathy.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Endocrine Disorders, 22</w:t>
      </w:r>
      <w:r w:rsidRPr="00A1020D">
        <w:rPr>
          <w:rFonts w:ascii="Times New Roman" w:eastAsia="Times New Roman" w:hAnsi="Times New Roman" w:cs="Times New Roman"/>
          <w:sz w:val="24"/>
          <w:szCs w:val="24"/>
        </w:rPr>
        <w:t>(1), 149.</w:t>
      </w:r>
    </w:p>
    <w:p w14:paraId="34B56E79"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15.</w:t>
      </w:r>
      <w:r w:rsidRPr="00A1020D">
        <w:rPr>
          <w:rFonts w:ascii="Times New Roman" w:eastAsia="Times New Roman" w:hAnsi="Times New Roman" w:cs="Times New Roman"/>
          <w:sz w:val="24"/>
          <w:szCs w:val="24"/>
        </w:rPr>
        <w:t xml:space="preserve">Eze, C., et al. (2021). </w:t>
      </w:r>
      <w:r w:rsidRPr="00A1020D">
        <w:rPr>
          <w:rFonts w:ascii="Times New Roman" w:eastAsia="Times New Roman" w:hAnsi="Times New Roman" w:cs="Times New Roman"/>
          <w:b/>
          <w:bCs/>
          <w:sz w:val="24"/>
          <w:szCs w:val="24"/>
        </w:rPr>
        <w:t>Educational status and health literacy in chronic disease management.</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Health Education Journal, 80</w:t>
      </w:r>
      <w:r w:rsidRPr="00A1020D">
        <w:rPr>
          <w:rFonts w:ascii="Times New Roman" w:eastAsia="Times New Roman" w:hAnsi="Times New Roman" w:cs="Times New Roman"/>
          <w:sz w:val="24"/>
          <w:szCs w:val="24"/>
        </w:rPr>
        <w:t>(7), 854–866.</w:t>
      </w:r>
    </w:p>
    <w:p w14:paraId="6E5F41C2"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16.</w:t>
      </w:r>
      <w:r w:rsidRPr="00A1020D">
        <w:rPr>
          <w:rFonts w:ascii="Times New Roman" w:eastAsia="Times New Roman" w:hAnsi="Times New Roman" w:cs="Times New Roman"/>
          <w:sz w:val="24"/>
          <w:szCs w:val="24"/>
        </w:rPr>
        <w:t xml:space="preserve">International Diabetes Federation (IDF). (2023). </w:t>
      </w:r>
      <w:r w:rsidRPr="00A1020D">
        <w:rPr>
          <w:rFonts w:ascii="Times New Roman" w:eastAsia="Times New Roman" w:hAnsi="Times New Roman" w:cs="Times New Roman"/>
          <w:i/>
          <w:iCs/>
          <w:sz w:val="24"/>
          <w:szCs w:val="24"/>
        </w:rPr>
        <w:t>IDF Diabetes Atlas</w:t>
      </w:r>
      <w:r w:rsidRPr="00A1020D">
        <w:rPr>
          <w:rFonts w:ascii="Times New Roman" w:eastAsia="Times New Roman" w:hAnsi="Times New Roman" w:cs="Times New Roman"/>
          <w:sz w:val="24"/>
          <w:szCs w:val="24"/>
        </w:rPr>
        <w:t xml:space="preserve"> (10th ed.). Brussels: IDF.</w:t>
      </w:r>
    </w:p>
    <w:p w14:paraId="551E047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17.</w:t>
      </w:r>
      <w:r w:rsidRPr="00A1020D">
        <w:rPr>
          <w:rFonts w:ascii="Times New Roman" w:eastAsia="Times New Roman" w:hAnsi="Times New Roman" w:cs="Times New Roman"/>
          <w:sz w:val="24"/>
          <w:szCs w:val="24"/>
        </w:rPr>
        <w:t xml:space="preserve">Marmot, M., &amp; Allen, J. (2020). </w:t>
      </w:r>
      <w:r w:rsidRPr="00A1020D">
        <w:rPr>
          <w:rFonts w:ascii="Times New Roman" w:eastAsia="Times New Roman" w:hAnsi="Times New Roman" w:cs="Times New Roman"/>
          <w:b/>
          <w:bCs/>
          <w:sz w:val="24"/>
          <w:szCs w:val="24"/>
        </w:rPr>
        <w:t>Social determinants of health equity.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American Journal of Public Health, 110</w:t>
      </w:r>
      <w:r w:rsidRPr="00A1020D">
        <w:rPr>
          <w:rFonts w:ascii="Times New Roman" w:eastAsia="Times New Roman" w:hAnsi="Times New Roman" w:cs="Times New Roman"/>
          <w:sz w:val="24"/>
          <w:szCs w:val="24"/>
        </w:rPr>
        <w:t>(1), 76–77.</w:t>
      </w:r>
    </w:p>
    <w:p w14:paraId="1D9DC51F"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18.</w:t>
      </w:r>
      <w:r w:rsidRPr="00A1020D">
        <w:rPr>
          <w:rFonts w:ascii="Times New Roman" w:eastAsia="Times New Roman" w:hAnsi="Times New Roman" w:cs="Times New Roman"/>
          <w:sz w:val="24"/>
          <w:szCs w:val="24"/>
        </w:rPr>
        <w:t xml:space="preserve">Njuguna, R. G., et al. (2020). </w:t>
      </w:r>
      <w:r w:rsidRPr="00A1020D">
        <w:rPr>
          <w:rFonts w:ascii="Times New Roman" w:eastAsia="Times New Roman" w:hAnsi="Times New Roman" w:cs="Times New Roman"/>
          <w:b/>
          <w:bCs/>
          <w:sz w:val="24"/>
          <w:szCs w:val="24"/>
        </w:rPr>
        <w:t>Barriers to diabetes care among adults in Kenya: A qualitative study.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Endocrine Disorders, 20</w:t>
      </w:r>
      <w:r w:rsidRPr="00A1020D">
        <w:rPr>
          <w:rFonts w:ascii="Times New Roman" w:eastAsia="Times New Roman" w:hAnsi="Times New Roman" w:cs="Times New Roman"/>
          <w:sz w:val="24"/>
          <w:szCs w:val="24"/>
        </w:rPr>
        <w:t>(1), 92.</w:t>
      </w:r>
    </w:p>
    <w:p w14:paraId="62E001DD"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19.</w:t>
      </w:r>
      <w:r w:rsidRPr="00A1020D">
        <w:rPr>
          <w:rFonts w:ascii="Times New Roman" w:eastAsia="Times New Roman" w:hAnsi="Times New Roman" w:cs="Times New Roman"/>
          <w:sz w:val="24"/>
          <w:szCs w:val="24"/>
        </w:rPr>
        <w:t xml:space="preserve">Nutbeam, D. (2018). </w:t>
      </w:r>
      <w:r w:rsidRPr="00A1020D">
        <w:rPr>
          <w:rFonts w:ascii="Times New Roman" w:eastAsia="Times New Roman" w:hAnsi="Times New Roman" w:cs="Times New Roman"/>
          <w:b/>
          <w:bCs/>
          <w:sz w:val="24"/>
          <w:szCs w:val="24"/>
        </w:rPr>
        <w:t>Health literacy as a public health goal.</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Health Promotion International, 33</w:t>
      </w:r>
      <w:r w:rsidRPr="00A1020D">
        <w:rPr>
          <w:rFonts w:ascii="Times New Roman" w:eastAsia="Times New Roman" w:hAnsi="Times New Roman" w:cs="Times New Roman"/>
          <w:sz w:val="24"/>
          <w:szCs w:val="24"/>
        </w:rPr>
        <w:t>(6), 901–911.</w:t>
      </w:r>
    </w:p>
    <w:p w14:paraId="470B67D0"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20.</w:t>
      </w:r>
      <w:r w:rsidRPr="00A1020D">
        <w:rPr>
          <w:rFonts w:ascii="Times New Roman" w:eastAsia="Times New Roman" w:hAnsi="Times New Roman" w:cs="Times New Roman"/>
          <w:sz w:val="24"/>
          <w:szCs w:val="24"/>
        </w:rPr>
        <w:t xml:space="preserve">Odusanya, O. O., &amp; </w:t>
      </w:r>
      <w:proofErr w:type="spellStart"/>
      <w:r w:rsidRPr="00A1020D">
        <w:rPr>
          <w:rFonts w:ascii="Times New Roman" w:eastAsia="Times New Roman" w:hAnsi="Times New Roman" w:cs="Times New Roman"/>
          <w:sz w:val="24"/>
          <w:szCs w:val="24"/>
        </w:rPr>
        <w:t>Bamgbala</w:t>
      </w:r>
      <w:proofErr w:type="spellEnd"/>
      <w:r w:rsidRPr="00A1020D">
        <w:rPr>
          <w:rFonts w:ascii="Times New Roman" w:eastAsia="Times New Roman" w:hAnsi="Times New Roman" w:cs="Times New Roman"/>
          <w:sz w:val="24"/>
          <w:szCs w:val="24"/>
        </w:rPr>
        <w:t xml:space="preserve">, A. O. (2020). </w:t>
      </w:r>
      <w:r w:rsidRPr="00A1020D">
        <w:rPr>
          <w:rFonts w:ascii="Times New Roman" w:eastAsia="Times New Roman" w:hAnsi="Times New Roman" w:cs="Times New Roman"/>
          <w:b/>
          <w:bCs/>
          <w:sz w:val="24"/>
          <w:szCs w:val="24"/>
        </w:rPr>
        <w:t>Determinants of health-seeking behavior among Nigerian adults.</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Public Health in Practice, 1</w:t>
      </w:r>
      <w:r w:rsidRPr="00A1020D">
        <w:rPr>
          <w:rFonts w:ascii="Times New Roman" w:eastAsia="Times New Roman" w:hAnsi="Times New Roman" w:cs="Times New Roman"/>
          <w:sz w:val="24"/>
          <w:szCs w:val="24"/>
        </w:rPr>
        <w:t>(2), 100021.</w:t>
      </w:r>
    </w:p>
    <w:p w14:paraId="6083A2AA"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21.</w:t>
      </w:r>
      <w:r w:rsidRPr="00A1020D">
        <w:rPr>
          <w:rFonts w:ascii="Times New Roman" w:eastAsia="Times New Roman" w:hAnsi="Times New Roman" w:cs="Times New Roman"/>
          <w:sz w:val="24"/>
          <w:szCs w:val="24"/>
        </w:rPr>
        <w:t xml:space="preserve">Ogunleye, O. O., et al. (2019). </w:t>
      </w:r>
      <w:r w:rsidRPr="00A1020D">
        <w:rPr>
          <w:rFonts w:ascii="Times New Roman" w:eastAsia="Times New Roman" w:hAnsi="Times New Roman" w:cs="Times New Roman"/>
          <w:b/>
          <w:bCs/>
          <w:sz w:val="24"/>
          <w:szCs w:val="24"/>
        </w:rPr>
        <w:t>Marital status and health outcomes among adults with chronic diseases.</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Public Health, 19</w:t>
      </w:r>
      <w:r w:rsidRPr="00A1020D">
        <w:rPr>
          <w:rFonts w:ascii="Times New Roman" w:eastAsia="Times New Roman" w:hAnsi="Times New Roman" w:cs="Times New Roman"/>
          <w:sz w:val="24"/>
          <w:szCs w:val="24"/>
        </w:rPr>
        <w:t>(1), 1547.</w:t>
      </w:r>
    </w:p>
    <w:p w14:paraId="7B791772"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22. </w:t>
      </w:r>
      <w:r w:rsidRPr="00A1020D">
        <w:rPr>
          <w:rFonts w:ascii="Times New Roman" w:eastAsia="Times New Roman" w:hAnsi="Times New Roman" w:cs="Times New Roman"/>
          <w:sz w:val="24"/>
          <w:szCs w:val="24"/>
        </w:rPr>
        <w:t xml:space="preserve">Oladipo, S. E., et al. (2020). </w:t>
      </w:r>
      <w:r w:rsidRPr="00A1020D">
        <w:rPr>
          <w:rFonts w:ascii="Times New Roman" w:eastAsia="Times New Roman" w:hAnsi="Times New Roman" w:cs="Times New Roman"/>
          <w:b/>
          <w:bCs/>
          <w:sz w:val="24"/>
          <w:szCs w:val="24"/>
        </w:rPr>
        <w:t>The impact of educational attainment on diabetes self-management.</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Journal of Public Health in Africa, 11</w:t>
      </w:r>
      <w:r w:rsidRPr="00A1020D">
        <w:rPr>
          <w:rFonts w:ascii="Times New Roman" w:eastAsia="Times New Roman" w:hAnsi="Times New Roman" w:cs="Times New Roman"/>
          <w:sz w:val="24"/>
          <w:szCs w:val="24"/>
        </w:rPr>
        <w:t>(2), 110–117.</w:t>
      </w:r>
    </w:p>
    <w:p w14:paraId="2EDDBEDC"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23.</w:t>
      </w:r>
      <w:r w:rsidRPr="00A1020D">
        <w:rPr>
          <w:rFonts w:ascii="Times New Roman" w:eastAsia="Times New Roman" w:hAnsi="Times New Roman" w:cs="Times New Roman"/>
          <w:sz w:val="24"/>
          <w:szCs w:val="24"/>
        </w:rPr>
        <w:t xml:space="preserve">Onyeneho, N. G., et al. (2019). </w:t>
      </w:r>
      <w:r w:rsidRPr="00A1020D">
        <w:rPr>
          <w:rFonts w:ascii="Times New Roman" w:eastAsia="Times New Roman" w:hAnsi="Times New Roman" w:cs="Times New Roman"/>
          <w:b/>
          <w:bCs/>
          <w:sz w:val="24"/>
          <w:szCs w:val="24"/>
        </w:rPr>
        <w:t>Healthcare access and utilization in rural and urban Nigeria: A comparative study.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African Population Studies, 33</w:t>
      </w:r>
      <w:r w:rsidRPr="00A1020D">
        <w:rPr>
          <w:rFonts w:ascii="Times New Roman" w:eastAsia="Times New Roman" w:hAnsi="Times New Roman" w:cs="Times New Roman"/>
          <w:sz w:val="24"/>
          <w:szCs w:val="24"/>
        </w:rPr>
        <w:t>(2), 4727–4737.</w:t>
      </w:r>
    </w:p>
    <w:p w14:paraId="630D08B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lastRenderedPageBreak/>
        <w:t xml:space="preserve">24. </w:t>
      </w:r>
      <w:r w:rsidRPr="00A1020D">
        <w:rPr>
          <w:rFonts w:ascii="Times New Roman" w:eastAsia="Times New Roman" w:hAnsi="Times New Roman" w:cs="Times New Roman"/>
          <w:sz w:val="24"/>
          <w:szCs w:val="24"/>
        </w:rPr>
        <w:t xml:space="preserve">Thomas, M. C., et al. (2019). </w:t>
      </w:r>
      <w:r w:rsidRPr="00A1020D">
        <w:rPr>
          <w:rFonts w:ascii="Times New Roman" w:eastAsia="Times New Roman" w:hAnsi="Times New Roman" w:cs="Times New Roman"/>
          <w:b/>
          <w:bCs/>
          <w:sz w:val="24"/>
          <w:szCs w:val="24"/>
        </w:rPr>
        <w:t>Ageing and the epidemiology of diabetic kidney disease.</w:t>
      </w:r>
      <w:r w:rsidRPr="00A1020D">
        <w:rPr>
          <w:rFonts w:ascii="Times New Roman" w:eastAsia="Times New Roman" w:hAnsi="Times New Roman" w:cs="Times New Roman"/>
          <w:sz w:val="24"/>
          <w:szCs w:val="24"/>
        </w:rPr>
        <w:t xml:space="preserve"> </w:t>
      </w:r>
      <w:proofErr w:type="spellStart"/>
      <w:r w:rsidRPr="00A1020D">
        <w:rPr>
          <w:rFonts w:ascii="Times New Roman" w:eastAsia="Times New Roman" w:hAnsi="Times New Roman" w:cs="Times New Roman"/>
          <w:i/>
          <w:iCs/>
          <w:sz w:val="24"/>
          <w:szCs w:val="24"/>
        </w:rPr>
        <w:t>Diabetologia</w:t>
      </w:r>
      <w:proofErr w:type="spellEnd"/>
      <w:r w:rsidRPr="00A1020D">
        <w:rPr>
          <w:rFonts w:ascii="Times New Roman" w:eastAsia="Times New Roman" w:hAnsi="Times New Roman" w:cs="Times New Roman"/>
          <w:i/>
          <w:iCs/>
          <w:sz w:val="24"/>
          <w:szCs w:val="24"/>
        </w:rPr>
        <w:t>, 62</w:t>
      </w:r>
      <w:r w:rsidRPr="00A1020D">
        <w:rPr>
          <w:rFonts w:ascii="Times New Roman" w:eastAsia="Times New Roman" w:hAnsi="Times New Roman" w:cs="Times New Roman"/>
          <w:sz w:val="24"/>
          <w:szCs w:val="24"/>
        </w:rPr>
        <w:t>(9), 1770–1778.</w:t>
      </w:r>
    </w:p>
    <w:p w14:paraId="09BA1EF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25.</w:t>
      </w:r>
      <w:r w:rsidRPr="00A1020D">
        <w:rPr>
          <w:rFonts w:ascii="Times New Roman" w:eastAsia="Times New Roman" w:hAnsi="Times New Roman" w:cs="Times New Roman"/>
          <w:sz w:val="24"/>
          <w:szCs w:val="24"/>
        </w:rPr>
        <w:t xml:space="preserve">Umberson, D., &amp; Montez, J. K. (2018). </w:t>
      </w:r>
      <w:r w:rsidRPr="00A1020D">
        <w:rPr>
          <w:rFonts w:ascii="Times New Roman" w:eastAsia="Times New Roman" w:hAnsi="Times New Roman" w:cs="Times New Roman"/>
          <w:b/>
          <w:bCs/>
          <w:sz w:val="24"/>
          <w:szCs w:val="24"/>
        </w:rPr>
        <w:t>Social relationships and health: A flashpoint for health policy.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Journal of Health and Social Behavior, 59</w:t>
      </w:r>
      <w:r w:rsidRPr="00A1020D">
        <w:rPr>
          <w:rFonts w:ascii="Times New Roman" w:eastAsia="Times New Roman" w:hAnsi="Times New Roman" w:cs="Times New Roman"/>
          <w:sz w:val="24"/>
          <w:szCs w:val="24"/>
        </w:rPr>
        <w:t>(2), 139–152.</w:t>
      </w:r>
    </w:p>
    <w:p w14:paraId="27CAB40F" w14:textId="757D3DC5" w:rsidR="00F67E9D" w:rsidRPr="00A1020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26</w:t>
      </w:r>
      <w:r w:rsidRPr="00A1020D">
        <w:rPr>
          <w:rFonts w:ascii="Times New Roman" w:eastAsia="Times New Roman" w:hAnsi="Times New Roman" w:cs="Times New Roman"/>
          <w:sz w:val="24"/>
          <w:szCs w:val="24"/>
        </w:rPr>
        <w:t xml:space="preserve">World Health Organization (WHO). (2021). </w:t>
      </w:r>
      <w:r w:rsidRPr="00A1020D">
        <w:rPr>
          <w:rFonts w:ascii="Times New Roman" w:eastAsia="Times New Roman" w:hAnsi="Times New Roman" w:cs="Times New Roman"/>
          <w:i/>
          <w:iCs/>
          <w:sz w:val="24"/>
          <w:szCs w:val="24"/>
        </w:rPr>
        <w:t>Global Report on Diabetes.</w:t>
      </w:r>
      <w:r w:rsidRPr="00A1020D">
        <w:rPr>
          <w:rFonts w:ascii="Times New Roman" w:eastAsia="Times New Roman" w:hAnsi="Times New Roman" w:cs="Times New Roman"/>
          <w:sz w:val="24"/>
          <w:szCs w:val="24"/>
        </w:rPr>
        <w:t xml:space="preserve"> Geneva: WHO.</w:t>
      </w:r>
    </w:p>
    <w:p w14:paraId="62760D17" w14:textId="2939B4F3"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br/>
      </w:r>
    </w:p>
    <w:p w14:paraId="23B1FBE1" w14:textId="77777777" w:rsidR="001054E0" w:rsidRPr="00F67E9D" w:rsidRDefault="001054E0" w:rsidP="00F67E9D">
      <w:pPr>
        <w:spacing w:line="360" w:lineRule="auto"/>
        <w:rPr>
          <w:rFonts w:ascii="Times New Roman" w:hAnsi="Times New Roman" w:cs="Times New Roman"/>
          <w:sz w:val="24"/>
          <w:szCs w:val="24"/>
        </w:rPr>
      </w:pPr>
    </w:p>
    <w:sectPr w:rsidR="001054E0" w:rsidRPr="00F67E9D" w:rsidSect="007B39A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9F50" w14:textId="77777777" w:rsidR="00885C02" w:rsidRDefault="00885C02" w:rsidP="00B0041C">
      <w:pPr>
        <w:spacing w:after="0" w:line="240" w:lineRule="auto"/>
      </w:pPr>
      <w:r>
        <w:separator/>
      </w:r>
    </w:p>
  </w:endnote>
  <w:endnote w:type="continuationSeparator" w:id="0">
    <w:p w14:paraId="52ABF1E9" w14:textId="77777777" w:rsidR="00885C02" w:rsidRDefault="00885C02" w:rsidP="00B0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CCD9" w14:textId="77777777" w:rsidR="00B0041C" w:rsidRDefault="00B00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9F7F" w14:textId="77777777" w:rsidR="00B0041C" w:rsidRDefault="00B00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B6AE" w14:textId="77777777" w:rsidR="00B0041C" w:rsidRDefault="00B0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A30E" w14:textId="77777777" w:rsidR="00885C02" w:rsidRDefault="00885C02" w:rsidP="00B0041C">
      <w:pPr>
        <w:spacing w:after="0" w:line="240" w:lineRule="auto"/>
      </w:pPr>
      <w:r>
        <w:separator/>
      </w:r>
    </w:p>
  </w:footnote>
  <w:footnote w:type="continuationSeparator" w:id="0">
    <w:p w14:paraId="5777B2F4" w14:textId="77777777" w:rsidR="00885C02" w:rsidRDefault="00885C02" w:rsidP="00B00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2B8F" w14:textId="20BEA54D" w:rsidR="00B0041C" w:rsidRDefault="00B0041C">
    <w:pPr>
      <w:pStyle w:val="Header"/>
    </w:pPr>
    <w:r>
      <w:rPr>
        <w:noProof/>
      </w:rPr>
      <w:pict w14:anchorId="76AE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5"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5123" w14:textId="44CB006C" w:rsidR="00B0041C" w:rsidRDefault="00B0041C">
    <w:pPr>
      <w:pStyle w:val="Header"/>
    </w:pPr>
    <w:r>
      <w:rPr>
        <w:noProof/>
      </w:rPr>
      <w:pict w14:anchorId="5E0A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6"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E4F81" w14:textId="4DE227D8" w:rsidR="00B0041C" w:rsidRDefault="00B0041C">
    <w:pPr>
      <w:pStyle w:val="Header"/>
    </w:pPr>
    <w:r>
      <w:rPr>
        <w:noProof/>
      </w:rPr>
      <w:pict w14:anchorId="5BE72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4"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49D8"/>
    <w:multiLevelType w:val="multilevel"/>
    <w:tmpl w:val="55B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AF"/>
    <w:rsid w:val="0007270C"/>
    <w:rsid w:val="001054E0"/>
    <w:rsid w:val="001C12C3"/>
    <w:rsid w:val="002F46B8"/>
    <w:rsid w:val="00456DFF"/>
    <w:rsid w:val="004C11CB"/>
    <w:rsid w:val="00580FCE"/>
    <w:rsid w:val="0078705C"/>
    <w:rsid w:val="007B39AF"/>
    <w:rsid w:val="007B7253"/>
    <w:rsid w:val="007C4AF8"/>
    <w:rsid w:val="008121E0"/>
    <w:rsid w:val="00885C02"/>
    <w:rsid w:val="008A0A84"/>
    <w:rsid w:val="00A1020D"/>
    <w:rsid w:val="00B0041C"/>
    <w:rsid w:val="00B301F8"/>
    <w:rsid w:val="00B8623E"/>
    <w:rsid w:val="00CC685D"/>
    <w:rsid w:val="00D55057"/>
    <w:rsid w:val="00E1628C"/>
    <w:rsid w:val="00F16CEB"/>
    <w:rsid w:val="00F67E9D"/>
    <w:rsid w:val="00F918AA"/>
    <w:rsid w:val="00FA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5BA82A"/>
  <w15:chartTrackingRefBased/>
  <w15:docId w15:val="{67BA5792-79E1-473C-B312-C1D2F214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9AF"/>
    <w:pPr>
      <w:spacing w:after="200" w:line="276" w:lineRule="auto"/>
    </w:pPr>
    <w:rPr>
      <w:kern w:val="0"/>
      <w:sz w:val="22"/>
      <w:szCs w:val="22"/>
      <w:lang w:eastAsia="en-US"/>
      <w14:ligatures w14:val="none"/>
    </w:rPr>
  </w:style>
  <w:style w:type="paragraph" w:styleId="Heading1">
    <w:name w:val="heading 1"/>
    <w:basedOn w:val="Normal"/>
    <w:next w:val="Normal"/>
    <w:link w:val="Heading1Char"/>
    <w:uiPriority w:val="9"/>
    <w:qFormat/>
    <w:rsid w:val="007B39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unhideWhenUsed/>
    <w:qFormat/>
    <w:rsid w:val="007B39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7B39AF"/>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B39AF"/>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7B39AF"/>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7B39AF"/>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7B39AF"/>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7B39AF"/>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7B39AF"/>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3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9AF"/>
    <w:rPr>
      <w:rFonts w:eastAsiaTheme="majorEastAsia" w:cstheme="majorBidi"/>
      <w:color w:val="272727" w:themeColor="text1" w:themeTint="D8"/>
    </w:rPr>
  </w:style>
  <w:style w:type="paragraph" w:styleId="Title">
    <w:name w:val="Title"/>
    <w:basedOn w:val="Normal"/>
    <w:next w:val="Normal"/>
    <w:link w:val="TitleChar"/>
    <w:uiPriority w:val="10"/>
    <w:qFormat/>
    <w:rsid w:val="007B39AF"/>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B3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9AF"/>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B3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9AF"/>
    <w:pPr>
      <w:spacing w:before="160" w:after="160" w:line="278" w:lineRule="auto"/>
      <w:jc w:val="center"/>
    </w:pPr>
    <w:rPr>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7B39AF"/>
    <w:rPr>
      <w:i/>
      <w:iCs/>
      <w:color w:val="404040" w:themeColor="text1" w:themeTint="BF"/>
    </w:rPr>
  </w:style>
  <w:style w:type="paragraph" w:styleId="ListParagraph">
    <w:name w:val="List Paragraph"/>
    <w:basedOn w:val="Normal"/>
    <w:uiPriority w:val="34"/>
    <w:qFormat/>
    <w:rsid w:val="007B39AF"/>
    <w:pPr>
      <w:spacing w:after="160" w:line="278" w:lineRule="auto"/>
      <w:ind w:left="720"/>
      <w:contextualSpacing/>
    </w:pPr>
    <w:rPr>
      <w:kern w:val="2"/>
      <w:sz w:val="24"/>
      <w:szCs w:val="24"/>
      <w:lang w:eastAsia="zh-CN"/>
      <w14:ligatures w14:val="standardContextual"/>
    </w:rPr>
  </w:style>
  <w:style w:type="character" w:styleId="IntenseEmphasis">
    <w:name w:val="Intense Emphasis"/>
    <w:basedOn w:val="DefaultParagraphFont"/>
    <w:uiPriority w:val="21"/>
    <w:qFormat/>
    <w:rsid w:val="007B39AF"/>
    <w:rPr>
      <w:i/>
      <w:iCs/>
      <w:color w:val="0F4761" w:themeColor="accent1" w:themeShade="BF"/>
    </w:rPr>
  </w:style>
  <w:style w:type="paragraph" w:styleId="IntenseQuote">
    <w:name w:val="Intense Quote"/>
    <w:basedOn w:val="Normal"/>
    <w:next w:val="Normal"/>
    <w:link w:val="IntenseQuoteChar"/>
    <w:uiPriority w:val="30"/>
    <w:qFormat/>
    <w:rsid w:val="007B39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7B39AF"/>
    <w:rPr>
      <w:i/>
      <w:iCs/>
      <w:color w:val="0F4761" w:themeColor="accent1" w:themeShade="BF"/>
    </w:rPr>
  </w:style>
  <w:style w:type="character" w:styleId="IntenseReference">
    <w:name w:val="Intense Reference"/>
    <w:basedOn w:val="DefaultParagraphFont"/>
    <w:uiPriority w:val="32"/>
    <w:qFormat/>
    <w:rsid w:val="007B39AF"/>
    <w:rPr>
      <w:b/>
      <w:bCs/>
      <w:smallCaps/>
      <w:color w:val="0F4761" w:themeColor="accent1" w:themeShade="BF"/>
      <w:spacing w:val="5"/>
    </w:rPr>
  </w:style>
  <w:style w:type="table" w:styleId="PlainTable3">
    <w:name w:val="Plain Table 3"/>
    <w:basedOn w:val="TableNormal"/>
    <w:uiPriority w:val="99"/>
    <w:rsid w:val="007B39AF"/>
    <w:pPr>
      <w:spacing w:after="0" w:line="240" w:lineRule="auto"/>
    </w:pPr>
    <w:rPr>
      <w:kern w:val="0"/>
      <w:sz w:val="22"/>
      <w:szCs w:val="22"/>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30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1F8"/>
    <w:rPr>
      <w:b/>
      <w:bCs/>
    </w:rPr>
  </w:style>
  <w:style w:type="character" w:styleId="CommentReference">
    <w:name w:val="annotation reference"/>
    <w:basedOn w:val="DefaultParagraphFont"/>
    <w:uiPriority w:val="99"/>
    <w:semiHidden/>
    <w:unhideWhenUsed/>
    <w:rsid w:val="007C4AF8"/>
    <w:rPr>
      <w:sz w:val="16"/>
      <w:szCs w:val="16"/>
    </w:rPr>
  </w:style>
  <w:style w:type="paragraph" w:styleId="CommentText">
    <w:name w:val="annotation text"/>
    <w:basedOn w:val="Normal"/>
    <w:link w:val="CommentTextChar"/>
    <w:uiPriority w:val="99"/>
    <w:semiHidden/>
    <w:unhideWhenUsed/>
    <w:rsid w:val="007C4AF8"/>
    <w:pPr>
      <w:spacing w:line="240" w:lineRule="auto"/>
    </w:pPr>
    <w:rPr>
      <w:sz w:val="20"/>
      <w:szCs w:val="20"/>
    </w:rPr>
  </w:style>
  <w:style w:type="character" w:customStyle="1" w:styleId="CommentTextChar">
    <w:name w:val="Comment Text Char"/>
    <w:basedOn w:val="DefaultParagraphFont"/>
    <w:link w:val="CommentText"/>
    <w:uiPriority w:val="99"/>
    <w:semiHidden/>
    <w:rsid w:val="007C4AF8"/>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7C4AF8"/>
    <w:rPr>
      <w:b/>
      <w:bCs/>
    </w:rPr>
  </w:style>
  <w:style w:type="character" w:customStyle="1" w:styleId="CommentSubjectChar">
    <w:name w:val="Comment Subject Char"/>
    <w:basedOn w:val="CommentTextChar"/>
    <w:link w:val="CommentSubject"/>
    <w:uiPriority w:val="99"/>
    <w:semiHidden/>
    <w:rsid w:val="007C4AF8"/>
    <w:rPr>
      <w:b/>
      <w:bCs/>
      <w:kern w:val="0"/>
      <w:sz w:val="20"/>
      <w:szCs w:val="20"/>
      <w:lang w:eastAsia="en-US"/>
      <w14:ligatures w14:val="none"/>
    </w:rPr>
  </w:style>
  <w:style w:type="table" w:styleId="TableGrid">
    <w:name w:val="Table Grid"/>
    <w:basedOn w:val="TableNormal"/>
    <w:uiPriority w:val="39"/>
    <w:rsid w:val="0045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6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A0A84"/>
    <w:rPr>
      <w:color w:val="467886" w:themeColor="hyperlink"/>
      <w:u w:val="single"/>
    </w:rPr>
  </w:style>
  <w:style w:type="character" w:styleId="UnresolvedMention">
    <w:name w:val="Unresolved Mention"/>
    <w:basedOn w:val="DefaultParagraphFont"/>
    <w:uiPriority w:val="99"/>
    <w:semiHidden/>
    <w:unhideWhenUsed/>
    <w:rsid w:val="008A0A84"/>
    <w:rPr>
      <w:color w:val="605E5C"/>
      <w:shd w:val="clear" w:color="auto" w:fill="E1DFDD"/>
    </w:rPr>
  </w:style>
  <w:style w:type="paragraph" w:styleId="Header">
    <w:name w:val="header"/>
    <w:basedOn w:val="Normal"/>
    <w:link w:val="HeaderChar"/>
    <w:uiPriority w:val="99"/>
    <w:unhideWhenUsed/>
    <w:rsid w:val="00B0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41C"/>
    <w:rPr>
      <w:kern w:val="0"/>
      <w:sz w:val="22"/>
      <w:szCs w:val="22"/>
      <w:lang w:eastAsia="en-US"/>
      <w14:ligatures w14:val="none"/>
    </w:rPr>
  </w:style>
  <w:style w:type="paragraph" w:styleId="Footer">
    <w:name w:val="footer"/>
    <w:basedOn w:val="Normal"/>
    <w:link w:val="FooterChar"/>
    <w:uiPriority w:val="99"/>
    <w:unhideWhenUsed/>
    <w:rsid w:val="00B0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41C"/>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5E7F9-6233-4AA3-93E2-43A2DAC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3770</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Musungu</dc:creator>
  <cp:keywords/>
  <dc:description/>
  <cp:lastModifiedBy>SDI 1084</cp:lastModifiedBy>
  <cp:revision>6</cp:revision>
  <dcterms:created xsi:type="dcterms:W3CDTF">2025-11-13T14:55:00Z</dcterms:created>
  <dcterms:modified xsi:type="dcterms:W3CDTF">2025-11-14T10:07:00Z</dcterms:modified>
</cp:coreProperties>
</file>