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F34" w:rsidRPr="00F640D0" w:rsidRDefault="005F5F34" w:rsidP="00795246">
      <w:pPr>
        <w:spacing w:after="0" w:line="240" w:lineRule="auto"/>
        <w:jc w:val="center"/>
        <w:rPr>
          <w:b/>
          <w:bCs/>
          <w:sz w:val="28"/>
          <w:szCs w:val="28"/>
        </w:rPr>
      </w:pPr>
      <w:r w:rsidRPr="00F640D0">
        <w:rPr>
          <w:b/>
          <w:bCs/>
          <w:sz w:val="28"/>
          <w:szCs w:val="28"/>
        </w:rPr>
        <w:t>Role of microorganisms in oil reservoir souring</w:t>
      </w:r>
      <w:r w:rsidR="00795246" w:rsidRPr="00F640D0">
        <w:rPr>
          <w:b/>
          <w:bCs/>
          <w:sz w:val="28"/>
          <w:szCs w:val="28"/>
        </w:rPr>
        <w:t xml:space="preserve"> and the strategies for managing this effect</w:t>
      </w:r>
    </w:p>
    <w:p w:rsidR="00CD702C" w:rsidRDefault="00CD702C" w:rsidP="00795246">
      <w:pPr>
        <w:spacing w:after="0" w:line="240" w:lineRule="auto"/>
        <w:jc w:val="center"/>
        <w:rPr>
          <w:b/>
          <w:bCs/>
        </w:rPr>
      </w:pPr>
    </w:p>
    <w:p w:rsidR="00C35560" w:rsidRDefault="00C35560" w:rsidP="00BB2625">
      <w:pPr>
        <w:spacing w:after="0" w:line="240" w:lineRule="auto"/>
        <w:jc w:val="both"/>
        <w:rPr>
          <w:b/>
          <w:bCs/>
        </w:rPr>
      </w:pPr>
    </w:p>
    <w:p w:rsidR="00624D86" w:rsidRDefault="00624D86" w:rsidP="00BB2625">
      <w:pPr>
        <w:spacing w:after="0" w:line="240" w:lineRule="auto"/>
        <w:jc w:val="both"/>
        <w:rPr>
          <w:b/>
          <w:bCs/>
        </w:rPr>
      </w:pPr>
    </w:p>
    <w:p w:rsidR="00237924" w:rsidRDefault="00237924" w:rsidP="00624D86">
      <w:pPr>
        <w:spacing w:after="0" w:line="240" w:lineRule="auto"/>
        <w:jc w:val="both"/>
        <w:rPr>
          <w:b/>
          <w:bCs/>
        </w:rPr>
      </w:pPr>
    </w:p>
    <w:p w:rsidR="00237924" w:rsidRPr="007407B4" w:rsidRDefault="00237924" w:rsidP="00CE59BC">
      <w:pPr>
        <w:spacing w:after="0" w:line="240" w:lineRule="auto"/>
        <w:jc w:val="both"/>
        <w:rPr>
          <w:b/>
          <w:bCs/>
          <w:sz w:val="24"/>
          <w:szCs w:val="24"/>
        </w:rPr>
      </w:pPr>
      <w:r w:rsidRPr="007407B4">
        <w:rPr>
          <w:b/>
          <w:bCs/>
          <w:sz w:val="24"/>
          <w:szCs w:val="24"/>
        </w:rPr>
        <w:t>Abstract</w:t>
      </w:r>
    </w:p>
    <w:p w:rsidR="00F866A9" w:rsidRPr="007407B4" w:rsidRDefault="00657F8F" w:rsidP="00CE59BC">
      <w:pPr>
        <w:spacing w:after="0" w:line="240" w:lineRule="auto"/>
        <w:jc w:val="both"/>
        <w:rPr>
          <w:b/>
          <w:bCs/>
          <w:sz w:val="24"/>
          <w:szCs w:val="24"/>
        </w:rPr>
      </w:pPr>
      <w:r w:rsidRPr="007407B4">
        <w:rPr>
          <w:b/>
          <w:bCs/>
          <w:sz w:val="24"/>
          <w:szCs w:val="24"/>
        </w:rPr>
        <w:t>Petroleum microbiology offers substantial environmental and industrial benefits by harnessing the natural capabilities of microbes to interact with crude oil and refined petroleum products.</w:t>
      </w:r>
      <w:r w:rsidR="00ED0A75" w:rsidRPr="007407B4">
        <w:rPr>
          <w:b/>
          <w:bCs/>
          <w:sz w:val="24"/>
          <w:szCs w:val="24"/>
        </w:rPr>
        <w:t xml:space="preserve"> Microorganisms are found worldwide in oil reservoirs, where they degrade the oil and alter its quality.</w:t>
      </w:r>
      <w:r w:rsidR="00F866A9" w:rsidRPr="007407B4">
        <w:rPr>
          <w:b/>
          <w:bCs/>
          <w:sz w:val="24"/>
          <w:szCs w:val="24"/>
        </w:rPr>
        <w:t xml:space="preserve"> </w:t>
      </w:r>
      <w:r w:rsidR="00D5041C" w:rsidRPr="007407B4">
        <w:rPr>
          <w:b/>
          <w:bCs/>
          <w:sz w:val="24"/>
          <w:szCs w:val="24"/>
        </w:rPr>
        <w:t>Oil reservoirs are challenging environments for microorganisms due to their high toxicity, hydrophobicity, low water activity, and extreme conditions, including high temperature, salinity, and pressure.  Despite these harsh factors, oil reservoirs host a diverse range of bacteria and archaea, including fermenters, acetogens, methanogens, and organisms that reduce sulfate, nitrate, and iron.</w:t>
      </w:r>
      <w:r w:rsidR="00024B51" w:rsidRPr="007407B4">
        <w:rPr>
          <w:b/>
          <w:bCs/>
          <w:sz w:val="24"/>
          <w:szCs w:val="24"/>
        </w:rPr>
        <w:t xml:space="preserve"> </w:t>
      </w:r>
      <w:r w:rsidR="00E242EB" w:rsidRPr="007407B4">
        <w:rPr>
          <w:b/>
          <w:bCs/>
          <w:sz w:val="24"/>
          <w:szCs w:val="24"/>
        </w:rPr>
        <w:t>It is crucial to understand the microbiology of oil reservoirs, as oil remains one of the most vital resources for industry and energy.</w:t>
      </w:r>
      <w:r w:rsidR="00AB0D44" w:rsidRPr="007407B4">
        <w:rPr>
          <w:b/>
          <w:bCs/>
          <w:sz w:val="24"/>
          <w:szCs w:val="24"/>
        </w:rPr>
        <w:t xml:space="preserve"> </w:t>
      </w:r>
      <w:r w:rsidR="004C5383" w:rsidRPr="007407B4">
        <w:rPr>
          <w:b/>
          <w:bCs/>
          <w:sz w:val="24"/>
          <w:szCs w:val="24"/>
        </w:rPr>
        <w:t xml:space="preserve">Sulphate-reducing bacteria (SRB) convert sulphate to </w:t>
      </w:r>
      <w:proofErr w:type="spellStart"/>
      <w:r w:rsidR="004C5383" w:rsidRPr="007407B4">
        <w:rPr>
          <w:b/>
          <w:bCs/>
          <w:sz w:val="24"/>
          <w:szCs w:val="24"/>
        </w:rPr>
        <w:t>sulphide</w:t>
      </w:r>
      <w:proofErr w:type="spellEnd"/>
      <w:r w:rsidR="004C5383" w:rsidRPr="007407B4">
        <w:rPr>
          <w:b/>
          <w:bCs/>
          <w:sz w:val="24"/>
          <w:szCs w:val="24"/>
        </w:rPr>
        <w:t>, a hazardous and corrosive compound that impacts metallurgy, capital and operating costs, and operational safety.</w:t>
      </w:r>
      <w:r w:rsidR="00AB0D44" w:rsidRPr="007407B4">
        <w:rPr>
          <w:b/>
          <w:bCs/>
          <w:sz w:val="24"/>
          <w:szCs w:val="24"/>
        </w:rPr>
        <w:t xml:space="preserve"> Reservoir souring is the process where a reservoir that previously did not contain any hydrogen sulfide (H2S) begins to produce sour fluids containing H2S due to microorganisms. </w:t>
      </w:r>
      <w:r w:rsidR="00F866A9" w:rsidRPr="007407B4">
        <w:rPr>
          <w:b/>
          <w:bCs/>
          <w:sz w:val="24"/>
          <w:szCs w:val="24"/>
        </w:rPr>
        <w:t>The genetic, enzymatic, and physiological aspects of the sulfate-reduction process have been thoroughly studied in pure cultures within laboratory settings. Additionally, DNA sequencing has led to the discovery of new groups of microorganisms, such as archaea, that can contribute to reservoir souring.</w:t>
      </w:r>
      <w:r w:rsidR="002176EF" w:rsidRPr="007407B4">
        <w:rPr>
          <w:b/>
          <w:bCs/>
          <w:sz w:val="24"/>
          <w:szCs w:val="24"/>
        </w:rPr>
        <w:t xml:space="preserve"> </w:t>
      </w:r>
      <w:r w:rsidR="000B7CBC" w:rsidRPr="007407B4">
        <w:rPr>
          <w:b/>
          <w:bCs/>
          <w:sz w:val="24"/>
          <w:szCs w:val="24"/>
        </w:rPr>
        <w:t xml:space="preserve">Reservoir souring is primarily caused by </w:t>
      </w:r>
      <w:r w:rsidR="002176EF" w:rsidRPr="007407B4">
        <w:rPr>
          <w:b/>
          <w:bCs/>
          <w:sz w:val="24"/>
          <w:szCs w:val="24"/>
        </w:rPr>
        <w:t xml:space="preserve">sulfate reducing </w:t>
      </w:r>
      <w:r w:rsidR="000B7CBC" w:rsidRPr="007407B4">
        <w:rPr>
          <w:b/>
          <w:bCs/>
          <w:sz w:val="24"/>
          <w:szCs w:val="24"/>
        </w:rPr>
        <w:t>m</w:t>
      </w:r>
      <w:r w:rsidR="002176EF" w:rsidRPr="007407B4">
        <w:rPr>
          <w:b/>
          <w:bCs/>
          <w:sz w:val="24"/>
          <w:szCs w:val="24"/>
        </w:rPr>
        <w:t>icroorganisms</w:t>
      </w:r>
      <w:r w:rsidR="000B7CBC" w:rsidRPr="007407B4">
        <w:rPr>
          <w:b/>
          <w:bCs/>
          <w:sz w:val="24"/>
          <w:szCs w:val="24"/>
        </w:rPr>
        <w:t>, which leads to the formation of H2S in oil reservoirs during water flooding, although both biotic and abiotic processes are involved.</w:t>
      </w:r>
      <w:r w:rsidR="003607A8" w:rsidRPr="007407B4">
        <w:rPr>
          <w:b/>
          <w:bCs/>
          <w:sz w:val="24"/>
          <w:szCs w:val="24"/>
        </w:rPr>
        <w:t xml:space="preserve"> This review discusses the occurrence of reservoir souring due to specific types of sulfur-reducing microorganisms and outlines strategies for managing this issue through the injection of various chemicals.</w:t>
      </w:r>
    </w:p>
    <w:p w:rsidR="00237924" w:rsidRPr="007407B4" w:rsidRDefault="00237924" w:rsidP="007407B4">
      <w:pPr>
        <w:spacing w:after="0" w:line="360" w:lineRule="auto"/>
        <w:jc w:val="both"/>
        <w:rPr>
          <w:b/>
          <w:bCs/>
          <w:sz w:val="24"/>
          <w:szCs w:val="24"/>
        </w:rPr>
      </w:pPr>
    </w:p>
    <w:p w:rsidR="00ED675F" w:rsidRPr="007407B4" w:rsidRDefault="00ED675F" w:rsidP="00CE59BC">
      <w:pPr>
        <w:pStyle w:val="ListParagraph"/>
        <w:numPr>
          <w:ilvl w:val="0"/>
          <w:numId w:val="1"/>
        </w:numPr>
        <w:spacing w:after="0" w:line="240" w:lineRule="auto"/>
        <w:ind w:left="0"/>
        <w:jc w:val="both"/>
        <w:rPr>
          <w:b/>
          <w:bCs/>
          <w:sz w:val="24"/>
          <w:szCs w:val="24"/>
        </w:rPr>
      </w:pPr>
      <w:r w:rsidRPr="007407B4">
        <w:rPr>
          <w:b/>
          <w:bCs/>
          <w:sz w:val="24"/>
          <w:szCs w:val="24"/>
        </w:rPr>
        <w:t>Introduction</w:t>
      </w:r>
    </w:p>
    <w:p w:rsidR="006243C5" w:rsidRPr="007407B4" w:rsidRDefault="00ED675F" w:rsidP="008576CB">
      <w:pPr>
        <w:spacing w:after="0" w:line="240" w:lineRule="auto"/>
        <w:jc w:val="both"/>
        <w:rPr>
          <w:b/>
          <w:bCs/>
          <w:sz w:val="24"/>
          <w:szCs w:val="24"/>
        </w:rPr>
      </w:pPr>
      <w:r w:rsidRPr="007407B4">
        <w:rPr>
          <w:b/>
          <w:bCs/>
          <w:sz w:val="24"/>
          <w:szCs w:val="24"/>
        </w:rPr>
        <w:t>Microbial communities and their activities in petroleum reservoirs are crucial for understanding the biogeochemical processes and organisms that operate under the harsh conditions of pressure and temperature. Additionally, they are crucial for developing new technologies and methods for bioremediation of petroleum-contaminated areas (</w:t>
      </w:r>
      <w:r w:rsidRPr="007407B4">
        <w:rPr>
          <w:b/>
          <w:bCs/>
          <w:color w:val="FF0000"/>
          <w:sz w:val="24"/>
          <w:szCs w:val="24"/>
        </w:rPr>
        <w:t>Hosseini et al., 2025</w:t>
      </w:r>
      <w:r w:rsidR="00B5152B">
        <w:rPr>
          <w:b/>
          <w:bCs/>
          <w:color w:val="FF0000"/>
          <w:sz w:val="24"/>
          <w:szCs w:val="24"/>
        </w:rPr>
        <w:t xml:space="preserve">; </w:t>
      </w:r>
      <w:proofErr w:type="spellStart"/>
      <w:r w:rsidR="00B5152B">
        <w:rPr>
          <w:b/>
          <w:bCs/>
          <w:color w:val="FF0000"/>
          <w:sz w:val="24"/>
          <w:szCs w:val="24"/>
        </w:rPr>
        <w:t>Koshlaf</w:t>
      </w:r>
      <w:proofErr w:type="spellEnd"/>
      <w:r w:rsidR="00B5152B" w:rsidRPr="00B5152B">
        <w:rPr>
          <w:b/>
          <w:bCs/>
          <w:color w:val="FF0000"/>
          <w:sz w:val="24"/>
          <w:szCs w:val="24"/>
        </w:rPr>
        <w:t>, Ball</w:t>
      </w:r>
      <w:r w:rsidR="00B5152B">
        <w:rPr>
          <w:b/>
          <w:bCs/>
          <w:color w:val="FF0000"/>
          <w:sz w:val="24"/>
          <w:szCs w:val="24"/>
        </w:rPr>
        <w:t>, 2017</w:t>
      </w:r>
      <w:r w:rsidRPr="00B5152B">
        <w:rPr>
          <w:b/>
          <w:bCs/>
          <w:color w:val="FF0000"/>
          <w:sz w:val="24"/>
          <w:szCs w:val="24"/>
        </w:rPr>
        <w:t>)</w:t>
      </w:r>
      <w:r w:rsidRPr="007407B4">
        <w:rPr>
          <w:b/>
          <w:bCs/>
          <w:sz w:val="24"/>
          <w:szCs w:val="24"/>
        </w:rPr>
        <w:t>, managing reservoir souring (</w:t>
      </w:r>
      <w:r w:rsidRPr="007407B4">
        <w:rPr>
          <w:b/>
          <w:bCs/>
          <w:color w:val="FF0000"/>
          <w:sz w:val="24"/>
          <w:szCs w:val="24"/>
        </w:rPr>
        <w:t>Szymczak et al., 2020</w:t>
      </w:r>
      <w:r w:rsidRPr="007407B4">
        <w:rPr>
          <w:b/>
          <w:bCs/>
          <w:sz w:val="24"/>
          <w:szCs w:val="24"/>
        </w:rPr>
        <w:t xml:space="preserve">), and addressing corrosion in oil production systems (Shah, Muthalif,2025), as well as enhancing microbial energy recovery </w:t>
      </w:r>
      <w:r w:rsidRPr="007407B4">
        <w:rPr>
          <w:b/>
          <w:bCs/>
          <w:color w:val="00B050"/>
          <w:sz w:val="24"/>
          <w:szCs w:val="24"/>
        </w:rPr>
        <w:t>(</w:t>
      </w:r>
      <w:proofErr w:type="spellStart"/>
      <w:r w:rsidRPr="007407B4">
        <w:rPr>
          <w:b/>
          <w:bCs/>
          <w:color w:val="FF0000"/>
          <w:sz w:val="24"/>
          <w:szCs w:val="24"/>
        </w:rPr>
        <w:t>Iwogbemi</w:t>
      </w:r>
      <w:proofErr w:type="spellEnd"/>
      <w:r w:rsidRPr="007407B4">
        <w:rPr>
          <w:b/>
          <w:bCs/>
          <w:color w:val="FF0000"/>
          <w:sz w:val="24"/>
          <w:szCs w:val="24"/>
        </w:rPr>
        <w:t>, 2025</w:t>
      </w:r>
      <w:r w:rsidRPr="007407B4">
        <w:rPr>
          <w:b/>
          <w:bCs/>
          <w:color w:val="00B050"/>
          <w:sz w:val="24"/>
          <w:szCs w:val="24"/>
        </w:rPr>
        <w:t>).</w:t>
      </w:r>
      <w:r w:rsidR="00237924" w:rsidRPr="007407B4">
        <w:rPr>
          <w:b/>
          <w:bCs/>
          <w:color w:val="00B050"/>
          <w:sz w:val="24"/>
          <w:szCs w:val="24"/>
        </w:rPr>
        <w:t xml:space="preserve"> </w:t>
      </w:r>
      <w:r w:rsidRPr="007407B4">
        <w:rPr>
          <w:b/>
          <w:bCs/>
          <w:sz w:val="24"/>
          <w:szCs w:val="24"/>
        </w:rPr>
        <w:t>The investigation of microbial metabolisms in deep underground environments is best performed in petroleum reservoirs (</w:t>
      </w:r>
      <w:r w:rsidR="004663F5" w:rsidRPr="004663F5">
        <w:rPr>
          <w:b/>
          <w:bCs/>
          <w:color w:val="FF0000"/>
          <w:sz w:val="24"/>
          <w:szCs w:val="24"/>
        </w:rPr>
        <w:t xml:space="preserve">Ramy et al., 2025; </w:t>
      </w:r>
      <w:proofErr w:type="spellStart"/>
      <w:r w:rsidRPr="007407B4">
        <w:rPr>
          <w:b/>
          <w:bCs/>
          <w:color w:val="FF0000"/>
          <w:sz w:val="24"/>
          <w:szCs w:val="24"/>
        </w:rPr>
        <w:t>Trutschel</w:t>
      </w:r>
      <w:proofErr w:type="spellEnd"/>
      <w:r w:rsidRPr="007407B4">
        <w:rPr>
          <w:b/>
          <w:bCs/>
          <w:color w:val="FF0000"/>
          <w:sz w:val="24"/>
          <w:szCs w:val="24"/>
        </w:rPr>
        <w:t xml:space="preserve"> et al., 2022</w:t>
      </w:r>
      <w:r w:rsidRPr="007407B4">
        <w:rPr>
          <w:b/>
          <w:bCs/>
          <w:sz w:val="24"/>
          <w:szCs w:val="24"/>
        </w:rPr>
        <w:t xml:space="preserve">), which can be seen as a natural bioreactor. The geochemistry of oil reservoir habitats is significantly influenced by the activities of microorganisms. The relationship between </w:t>
      </w:r>
      <w:r w:rsidRPr="007407B4">
        <w:rPr>
          <w:b/>
          <w:bCs/>
          <w:sz w:val="24"/>
          <w:szCs w:val="24"/>
        </w:rPr>
        <w:lastRenderedPageBreak/>
        <w:t>microbial metabolic processes and carbon turnover, element cycling, carbon capture, utilization, and sequestration in petroleum reservoirs is interesting (</w:t>
      </w:r>
      <w:r w:rsidR="0024233C" w:rsidRPr="0024233C">
        <w:rPr>
          <w:b/>
          <w:bCs/>
          <w:color w:val="FF0000"/>
          <w:sz w:val="24"/>
          <w:szCs w:val="24"/>
        </w:rPr>
        <w:t xml:space="preserve">Qiao et al., 2025; </w:t>
      </w:r>
      <w:r w:rsidRPr="007407B4">
        <w:rPr>
          <w:b/>
          <w:bCs/>
          <w:color w:val="FF0000"/>
          <w:sz w:val="24"/>
          <w:szCs w:val="24"/>
        </w:rPr>
        <w:t>Wu et al, 2024</w:t>
      </w:r>
      <w:r w:rsidRPr="007407B4">
        <w:rPr>
          <w:b/>
          <w:bCs/>
          <w:sz w:val="24"/>
          <w:szCs w:val="24"/>
        </w:rPr>
        <w:t>). This includes aspects such as microbial enhanced oil recovery and the prevention of microbiologically influenced corrosion in crude oil fields</w:t>
      </w:r>
      <w:r w:rsidR="0089352A">
        <w:rPr>
          <w:b/>
          <w:bCs/>
          <w:sz w:val="24"/>
          <w:szCs w:val="24"/>
        </w:rPr>
        <w:t xml:space="preserve"> (</w:t>
      </w:r>
      <w:r w:rsidR="0089352A" w:rsidRPr="0089352A">
        <w:rPr>
          <w:b/>
          <w:bCs/>
          <w:color w:val="FF0000"/>
          <w:sz w:val="24"/>
          <w:szCs w:val="24"/>
        </w:rPr>
        <w:t>Odeyemi, Alaba, 2024</w:t>
      </w:r>
      <w:r w:rsidR="0089352A">
        <w:rPr>
          <w:b/>
          <w:bCs/>
          <w:sz w:val="24"/>
          <w:szCs w:val="24"/>
        </w:rPr>
        <w:t>)</w:t>
      </w:r>
      <w:r w:rsidRPr="007407B4">
        <w:rPr>
          <w:b/>
          <w:bCs/>
          <w:sz w:val="24"/>
          <w:szCs w:val="24"/>
        </w:rPr>
        <w:t>.</w:t>
      </w:r>
      <w:r w:rsidR="001A3345">
        <w:rPr>
          <w:b/>
          <w:bCs/>
          <w:sz w:val="24"/>
          <w:szCs w:val="24"/>
        </w:rPr>
        <w:t xml:space="preserve"> </w:t>
      </w:r>
      <w:r w:rsidRPr="007407B4">
        <w:rPr>
          <w:b/>
          <w:bCs/>
          <w:sz w:val="24"/>
          <w:szCs w:val="24"/>
        </w:rPr>
        <w:t>The microbial enhanced oil recovery technique (MEOT) is vital for extracting residual oil from reservoirs that are close to their economic limits, especially those with high water cut, low permeability, and heavy oil that traditional methods cannot economically recover (</w:t>
      </w:r>
      <w:r w:rsidRPr="007407B4">
        <w:rPr>
          <w:b/>
          <w:bCs/>
          <w:color w:val="FF0000"/>
          <w:sz w:val="24"/>
          <w:szCs w:val="24"/>
        </w:rPr>
        <w:t>Das et al., 2025</w:t>
      </w:r>
      <w:r w:rsidRPr="007407B4">
        <w:rPr>
          <w:b/>
          <w:bCs/>
          <w:sz w:val="24"/>
          <w:szCs w:val="24"/>
        </w:rPr>
        <w:t>).</w:t>
      </w:r>
      <w:r w:rsidR="00237924" w:rsidRPr="007407B4">
        <w:rPr>
          <w:b/>
          <w:bCs/>
          <w:sz w:val="24"/>
          <w:szCs w:val="24"/>
        </w:rPr>
        <w:t xml:space="preserve"> </w:t>
      </w:r>
      <w:r w:rsidRPr="007407B4">
        <w:rPr>
          <w:b/>
          <w:bCs/>
          <w:sz w:val="24"/>
          <w:szCs w:val="24"/>
        </w:rPr>
        <w:t>Research on microbial enhanced oil recovery has extensively explored the dominant microbial communities found in petroleum reservoirs, the metabolic products that can improve oil recovery, and various methods applicable to different reservoir conditions (</w:t>
      </w:r>
      <w:r w:rsidRPr="007407B4">
        <w:rPr>
          <w:b/>
          <w:bCs/>
          <w:color w:val="FF0000"/>
          <w:sz w:val="24"/>
          <w:szCs w:val="24"/>
        </w:rPr>
        <w:t>Cabral et al., 2021</w:t>
      </w:r>
      <w:r w:rsidRPr="007407B4">
        <w:rPr>
          <w:b/>
          <w:bCs/>
          <w:sz w:val="24"/>
          <w:szCs w:val="24"/>
        </w:rPr>
        <w:t>). This technique shows promise in several areas, including microbial water flooding, altering microbial permeability profiles, and the microbial huff and puff method. It is recognized as one of the most economical and environmentally friendly approaches to oil recovery (</w:t>
      </w:r>
      <w:proofErr w:type="spellStart"/>
      <w:r w:rsidRPr="007407B4">
        <w:rPr>
          <w:b/>
          <w:bCs/>
          <w:color w:val="FF0000"/>
          <w:sz w:val="24"/>
          <w:szCs w:val="24"/>
        </w:rPr>
        <w:t>Ariadji</w:t>
      </w:r>
      <w:proofErr w:type="spellEnd"/>
      <w:r w:rsidRPr="007407B4">
        <w:rPr>
          <w:b/>
          <w:bCs/>
          <w:color w:val="FF0000"/>
          <w:sz w:val="24"/>
          <w:szCs w:val="24"/>
        </w:rPr>
        <w:t xml:space="preserve"> et al., 2017)</w:t>
      </w:r>
      <w:r w:rsidRPr="007407B4">
        <w:rPr>
          <w:b/>
          <w:bCs/>
          <w:sz w:val="24"/>
          <w:szCs w:val="24"/>
        </w:rPr>
        <w:t>.</w:t>
      </w:r>
      <w:r w:rsidR="00237924" w:rsidRPr="007407B4">
        <w:rPr>
          <w:b/>
          <w:bCs/>
          <w:sz w:val="24"/>
          <w:szCs w:val="24"/>
        </w:rPr>
        <w:t xml:space="preserve"> </w:t>
      </w:r>
      <w:r w:rsidRPr="007407B4">
        <w:rPr>
          <w:b/>
          <w:bCs/>
          <w:sz w:val="24"/>
          <w:szCs w:val="24"/>
        </w:rPr>
        <w:t>The primary processes involved in microbial water flooding include the reduction of oil-water interfacial tensions due to the action of biosurfactants and the alteration of the wettability of oil-bearing rocks. The modification of the microbial permeability profile is largely influenced by the increased volume of fluid flow resulting from biomass accumulation in the high-permeability zones of heterogeneous reservoirs (</w:t>
      </w:r>
      <w:r w:rsidRPr="007407B4">
        <w:rPr>
          <w:b/>
          <w:bCs/>
          <w:color w:val="FF0000"/>
          <w:sz w:val="24"/>
          <w:szCs w:val="24"/>
        </w:rPr>
        <w:t>Zhang et al., 2012</w:t>
      </w:r>
      <w:r w:rsidRPr="007407B4">
        <w:rPr>
          <w:b/>
          <w:bCs/>
          <w:sz w:val="24"/>
          <w:szCs w:val="24"/>
        </w:rPr>
        <w:t>).</w:t>
      </w:r>
      <w:r w:rsidR="00237924" w:rsidRPr="007407B4">
        <w:rPr>
          <w:b/>
          <w:bCs/>
          <w:sz w:val="24"/>
          <w:szCs w:val="24"/>
        </w:rPr>
        <w:t xml:space="preserve"> </w:t>
      </w:r>
      <w:r w:rsidRPr="007407B4">
        <w:rPr>
          <w:b/>
          <w:bCs/>
          <w:sz w:val="24"/>
          <w:szCs w:val="24"/>
        </w:rPr>
        <w:t>Both culture-dependent and culture-independent methods have identified a variety of microorganisms involved in the bioconversion of CO2 to CH4 in reservoirs, regardless of temperature conditions. The effectiveness of CO2 conversion pathways was further confirmed by a functional gene-based study of microbial communities in oil reservoirs. This research highlights the significant potential for transforming CO2 into methane energy within oil reservoirs (</w:t>
      </w:r>
      <w:proofErr w:type="spellStart"/>
      <w:r w:rsidRPr="007407B4">
        <w:rPr>
          <w:b/>
          <w:bCs/>
          <w:color w:val="FF0000"/>
          <w:sz w:val="24"/>
          <w:szCs w:val="24"/>
        </w:rPr>
        <w:t>Kennes</w:t>
      </w:r>
      <w:proofErr w:type="spellEnd"/>
      <w:r w:rsidRPr="007407B4">
        <w:rPr>
          <w:b/>
          <w:bCs/>
          <w:color w:val="FF0000"/>
          <w:sz w:val="24"/>
          <w:szCs w:val="24"/>
        </w:rPr>
        <w:t>, 2018</w:t>
      </w:r>
      <w:r w:rsidRPr="007407B4">
        <w:rPr>
          <w:b/>
          <w:bCs/>
          <w:sz w:val="24"/>
          <w:szCs w:val="24"/>
        </w:rPr>
        <w:t>).</w:t>
      </w:r>
      <w:r w:rsidR="008576CB">
        <w:rPr>
          <w:b/>
          <w:bCs/>
          <w:sz w:val="24"/>
          <w:szCs w:val="24"/>
        </w:rPr>
        <w:t xml:space="preserve"> </w:t>
      </w:r>
      <w:r w:rsidRPr="007407B4">
        <w:rPr>
          <w:b/>
          <w:bCs/>
          <w:sz w:val="24"/>
          <w:szCs w:val="24"/>
        </w:rPr>
        <w:t>Significant research has been conducted both in laboratories and oilfields on the microbial populations and methanogenic metabolic processes present in oil reservoirs. Microorganisms, electron donors, and their thermodynamic and kinetic behavior are crucial components of the methanogenesis process, which involves the bioconversion of CO2 to methane in these environments (</w:t>
      </w:r>
      <w:r w:rsidRPr="007407B4">
        <w:rPr>
          <w:b/>
          <w:bCs/>
          <w:color w:val="FF0000"/>
          <w:sz w:val="24"/>
          <w:szCs w:val="24"/>
        </w:rPr>
        <w:t>Okoro</w:t>
      </w:r>
      <w:r w:rsidR="003E0D01" w:rsidRPr="007407B4">
        <w:rPr>
          <w:b/>
          <w:bCs/>
          <w:color w:val="FF0000"/>
          <w:sz w:val="24"/>
          <w:szCs w:val="24"/>
        </w:rPr>
        <w:t xml:space="preserve"> et al.,</w:t>
      </w:r>
      <w:r w:rsidRPr="007407B4">
        <w:rPr>
          <w:b/>
          <w:bCs/>
          <w:color w:val="FF0000"/>
          <w:sz w:val="24"/>
          <w:szCs w:val="24"/>
        </w:rPr>
        <w:t xml:space="preserve"> 2026</w:t>
      </w:r>
      <w:r w:rsidRPr="007407B4">
        <w:rPr>
          <w:b/>
          <w:bCs/>
          <w:sz w:val="24"/>
          <w:szCs w:val="24"/>
        </w:rPr>
        <w:t>). Among these factors, the availability of electron donors appears to be the most important and limiting step in the process.</w:t>
      </w:r>
      <w:r w:rsidR="00C27C88" w:rsidRPr="007407B4">
        <w:rPr>
          <w:b/>
          <w:bCs/>
          <w:sz w:val="24"/>
          <w:szCs w:val="24"/>
        </w:rPr>
        <w:t xml:space="preserve"> </w:t>
      </w:r>
      <w:r w:rsidRPr="007407B4">
        <w:rPr>
          <w:b/>
          <w:bCs/>
          <w:sz w:val="24"/>
          <w:szCs w:val="24"/>
        </w:rPr>
        <w:t>Sulfate-reducing microorganisms (SRM) have been identified in underground petroleum reservoirs and related oil-well pipelines. These bacteria can be anaerobic, heterotrophic, autotrophic, or partially tolerant to oxygen, allowing them to adapt to various environmental conditions such as temperature, salinity, and pressure</w:t>
      </w:r>
      <w:r w:rsidRPr="007407B4">
        <w:rPr>
          <w:b/>
          <w:bCs/>
          <w:color w:val="00B050"/>
          <w:sz w:val="24"/>
          <w:szCs w:val="24"/>
        </w:rPr>
        <w:t xml:space="preserve"> </w:t>
      </w:r>
      <w:r w:rsidRPr="007407B4">
        <w:rPr>
          <w:b/>
          <w:bCs/>
          <w:sz w:val="24"/>
          <w:szCs w:val="24"/>
        </w:rPr>
        <w:t>(</w:t>
      </w:r>
      <w:r w:rsidRPr="007407B4">
        <w:rPr>
          <w:b/>
          <w:bCs/>
          <w:color w:val="FF0000"/>
          <w:sz w:val="24"/>
          <w:szCs w:val="24"/>
        </w:rPr>
        <w:t>Zhou et al., 2025</w:t>
      </w:r>
      <w:r w:rsidRPr="007407B4">
        <w:rPr>
          <w:b/>
          <w:bCs/>
          <w:sz w:val="24"/>
          <w:szCs w:val="24"/>
        </w:rPr>
        <w:t>).</w:t>
      </w:r>
      <w:r w:rsidR="00C27C88" w:rsidRPr="007407B4">
        <w:rPr>
          <w:b/>
          <w:bCs/>
          <w:sz w:val="24"/>
          <w:szCs w:val="24"/>
        </w:rPr>
        <w:t xml:space="preserve"> </w:t>
      </w:r>
      <w:r w:rsidRPr="007407B4">
        <w:rPr>
          <w:b/>
          <w:bCs/>
          <w:sz w:val="24"/>
          <w:szCs w:val="24"/>
        </w:rPr>
        <w:t xml:space="preserve">Members of the microbial communities associated with Proteobacteria, </w:t>
      </w:r>
      <w:proofErr w:type="spellStart"/>
      <w:r w:rsidRPr="007407B4">
        <w:rPr>
          <w:b/>
          <w:bCs/>
          <w:sz w:val="24"/>
          <w:szCs w:val="24"/>
        </w:rPr>
        <w:t>Nitrospira</w:t>
      </w:r>
      <w:proofErr w:type="spellEnd"/>
      <w:r w:rsidRPr="007407B4">
        <w:rPr>
          <w:b/>
          <w:bCs/>
          <w:sz w:val="24"/>
          <w:szCs w:val="24"/>
        </w:rPr>
        <w:t xml:space="preserve">, Firmicutes, </w:t>
      </w:r>
      <w:proofErr w:type="spellStart"/>
      <w:r w:rsidRPr="007407B4">
        <w:rPr>
          <w:b/>
          <w:bCs/>
          <w:sz w:val="24"/>
          <w:szCs w:val="24"/>
        </w:rPr>
        <w:t>Thermodesulfobacteria</w:t>
      </w:r>
      <w:proofErr w:type="spellEnd"/>
      <w:r w:rsidRPr="007407B4">
        <w:rPr>
          <w:b/>
          <w:bCs/>
          <w:sz w:val="24"/>
          <w:szCs w:val="24"/>
        </w:rPr>
        <w:t xml:space="preserve">, </w:t>
      </w:r>
      <w:proofErr w:type="spellStart"/>
      <w:r w:rsidRPr="007407B4">
        <w:rPr>
          <w:b/>
          <w:bCs/>
          <w:sz w:val="24"/>
          <w:szCs w:val="24"/>
        </w:rPr>
        <w:t>Euryarchaeota</w:t>
      </w:r>
      <w:proofErr w:type="spellEnd"/>
      <w:r w:rsidRPr="007407B4">
        <w:rPr>
          <w:b/>
          <w:bCs/>
          <w:sz w:val="24"/>
          <w:szCs w:val="24"/>
        </w:rPr>
        <w:t xml:space="preserve">, and </w:t>
      </w:r>
      <w:proofErr w:type="spellStart"/>
      <w:r w:rsidRPr="007407B4">
        <w:rPr>
          <w:b/>
          <w:bCs/>
          <w:sz w:val="24"/>
          <w:szCs w:val="24"/>
        </w:rPr>
        <w:t>Crenarchaeota</w:t>
      </w:r>
      <w:proofErr w:type="spellEnd"/>
      <w:r w:rsidRPr="007407B4">
        <w:rPr>
          <w:b/>
          <w:bCs/>
          <w:sz w:val="24"/>
          <w:szCs w:val="24"/>
        </w:rPr>
        <w:t xml:space="preserve"> were primarily found in petroleum reservoirs. Sulfate-reducing microorganisms are crucial for the biogeochemical cycles of carbon, nitrogen, and sulfur, and they play a significant role in strategies for exploiting petroleum reservoirs (</w:t>
      </w:r>
      <w:r w:rsidRPr="007407B4">
        <w:rPr>
          <w:b/>
          <w:bCs/>
          <w:color w:val="FF0000"/>
          <w:sz w:val="24"/>
          <w:szCs w:val="24"/>
        </w:rPr>
        <w:t>Demin et al., 2024</w:t>
      </w:r>
      <w:r w:rsidRPr="007407B4">
        <w:rPr>
          <w:b/>
          <w:bCs/>
          <w:sz w:val="24"/>
          <w:szCs w:val="24"/>
        </w:rPr>
        <w:t>).</w:t>
      </w:r>
      <w:r w:rsidR="006E4885">
        <w:rPr>
          <w:b/>
          <w:bCs/>
          <w:sz w:val="24"/>
          <w:szCs w:val="24"/>
        </w:rPr>
        <w:t xml:space="preserve"> </w:t>
      </w:r>
      <w:r w:rsidRPr="007407B4">
        <w:rPr>
          <w:b/>
          <w:bCs/>
          <w:sz w:val="24"/>
          <w:szCs w:val="24"/>
        </w:rPr>
        <w:t xml:space="preserve">In the meantime, sulfate-reducing microorganisms (SRM) may contribute to microbially induced corrosion (MIC), reservoir souring, and the biodegradation of crude oil in petroleum reservoirs. They do this by oxidizing hydrogen </w:t>
      </w:r>
      <w:r w:rsidRPr="007407B4">
        <w:rPr>
          <w:b/>
          <w:bCs/>
          <w:sz w:val="24"/>
          <w:szCs w:val="24"/>
        </w:rPr>
        <w:lastRenderedPageBreak/>
        <w:t>(H</w:t>
      </w:r>
      <w:r w:rsidRPr="007407B4">
        <w:rPr>
          <w:b/>
          <w:bCs/>
          <w:sz w:val="24"/>
          <w:szCs w:val="24"/>
          <w:vertAlign w:val="subscript"/>
        </w:rPr>
        <w:t>2</w:t>
      </w:r>
      <w:r w:rsidRPr="007407B4">
        <w:rPr>
          <w:b/>
          <w:bCs/>
          <w:sz w:val="24"/>
          <w:szCs w:val="24"/>
        </w:rPr>
        <w:t>) or organic matter, which includes crude oil hydrocarbons, volatile fatty acids, alcohols, aromatic compounds, and others, through various sulfate reduction processes that produce hydrogen sulfide (H2S) (</w:t>
      </w:r>
      <w:r w:rsidRPr="007407B4">
        <w:rPr>
          <w:b/>
          <w:bCs/>
          <w:color w:val="FF0000"/>
          <w:sz w:val="24"/>
          <w:szCs w:val="24"/>
        </w:rPr>
        <w:t>Khan et al., 2021</w:t>
      </w:r>
      <w:r w:rsidRPr="007407B4">
        <w:rPr>
          <w:b/>
          <w:bCs/>
          <w:sz w:val="24"/>
          <w:szCs w:val="24"/>
        </w:rPr>
        <w:t>).</w:t>
      </w:r>
      <w:r w:rsidR="00C27C88" w:rsidRPr="007407B4">
        <w:rPr>
          <w:b/>
          <w:bCs/>
          <w:sz w:val="24"/>
          <w:szCs w:val="24"/>
        </w:rPr>
        <w:t xml:space="preserve"> </w:t>
      </w:r>
      <w:r w:rsidRPr="007407B4">
        <w:rPr>
          <w:b/>
          <w:bCs/>
          <w:sz w:val="24"/>
          <w:szCs w:val="24"/>
        </w:rPr>
        <w:t>To mitigate souring and biocorrosion in oilfields, a range of inhibitory techniques, such as injecting biocides or other inhibitors like nitrate or perchlorate, has been implemented. To effectively address reservoir souring and MIC, it is beneficial to select specific inhibitory techniques based on the composition of the SRM population and the functional mechanisms in different oil reservoirs (</w:t>
      </w:r>
      <w:proofErr w:type="spellStart"/>
      <w:r w:rsidRPr="007407B4">
        <w:rPr>
          <w:b/>
          <w:bCs/>
          <w:color w:val="FF0000"/>
          <w:sz w:val="24"/>
          <w:szCs w:val="24"/>
        </w:rPr>
        <w:t>Labena</w:t>
      </w:r>
      <w:proofErr w:type="spellEnd"/>
      <w:r w:rsidRPr="007407B4">
        <w:rPr>
          <w:b/>
          <w:bCs/>
          <w:color w:val="FF0000"/>
          <w:sz w:val="24"/>
          <w:szCs w:val="24"/>
        </w:rPr>
        <w:t xml:space="preserve"> et al., 2023</w:t>
      </w:r>
      <w:r w:rsidRPr="007407B4">
        <w:rPr>
          <w:b/>
          <w:bCs/>
          <w:sz w:val="24"/>
          <w:szCs w:val="24"/>
        </w:rPr>
        <w:t>).</w:t>
      </w:r>
      <w:r w:rsidR="00C27C88" w:rsidRPr="007407B4">
        <w:rPr>
          <w:b/>
          <w:bCs/>
          <w:sz w:val="24"/>
          <w:szCs w:val="24"/>
        </w:rPr>
        <w:t xml:space="preserve"> </w:t>
      </w:r>
      <w:r w:rsidR="00125B3B" w:rsidRPr="007407B4">
        <w:rPr>
          <w:b/>
          <w:bCs/>
          <w:sz w:val="24"/>
          <w:szCs w:val="24"/>
        </w:rPr>
        <w:t xml:space="preserve">The current manuscript focuses </w:t>
      </w:r>
      <w:r w:rsidR="00BD2218" w:rsidRPr="007407B4">
        <w:rPr>
          <w:b/>
          <w:bCs/>
          <w:sz w:val="24"/>
          <w:szCs w:val="24"/>
        </w:rPr>
        <w:t xml:space="preserve">briefly </w:t>
      </w:r>
      <w:r w:rsidR="00125B3B" w:rsidRPr="007407B4">
        <w:rPr>
          <w:b/>
          <w:bCs/>
          <w:sz w:val="24"/>
          <w:szCs w:val="24"/>
        </w:rPr>
        <w:t xml:space="preserve">on </w:t>
      </w:r>
      <w:r w:rsidR="00BD2218" w:rsidRPr="007407B4">
        <w:rPr>
          <w:b/>
          <w:bCs/>
          <w:sz w:val="24"/>
          <w:szCs w:val="24"/>
        </w:rPr>
        <w:t xml:space="preserve">the </w:t>
      </w:r>
      <w:r w:rsidR="00125B3B" w:rsidRPr="007407B4">
        <w:rPr>
          <w:b/>
          <w:bCs/>
          <w:sz w:val="24"/>
          <w:szCs w:val="24"/>
        </w:rPr>
        <w:t>biological souring and mitigation strategies in oil reservoirs, as well as the microorganisms involved in these processes.</w:t>
      </w:r>
    </w:p>
    <w:p w:rsidR="00125B3B" w:rsidRPr="007407B4" w:rsidRDefault="00125B3B" w:rsidP="00CE59BC">
      <w:pPr>
        <w:spacing w:after="0" w:line="240" w:lineRule="auto"/>
        <w:jc w:val="both"/>
        <w:rPr>
          <w:b/>
          <w:bCs/>
          <w:sz w:val="24"/>
          <w:szCs w:val="24"/>
        </w:rPr>
      </w:pPr>
    </w:p>
    <w:p w:rsidR="00125B3B" w:rsidRPr="007407B4" w:rsidRDefault="00125B3B" w:rsidP="00CE59BC">
      <w:pPr>
        <w:pStyle w:val="ListParagraph"/>
        <w:numPr>
          <w:ilvl w:val="0"/>
          <w:numId w:val="1"/>
        </w:numPr>
        <w:spacing w:after="0" w:line="240" w:lineRule="auto"/>
        <w:ind w:left="0"/>
        <w:jc w:val="both"/>
        <w:rPr>
          <w:b/>
          <w:bCs/>
          <w:color w:val="00B050"/>
          <w:sz w:val="24"/>
          <w:szCs w:val="24"/>
        </w:rPr>
      </w:pPr>
      <w:r w:rsidRPr="007407B4">
        <w:rPr>
          <w:b/>
          <w:bCs/>
          <w:sz w:val="24"/>
          <w:szCs w:val="24"/>
        </w:rPr>
        <w:t>Keywords: biological souring; oil reservoir; microorganisms; cor</w:t>
      </w:r>
      <w:r w:rsidR="00B11FF6" w:rsidRPr="007407B4">
        <w:rPr>
          <w:b/>
          <w:bCs/>
          <w:sz w:val="24"/>
          <w:szCs w:val="24"/>
        </w:rPr>
        <w:t>r</w:t>
      </w:r>
      <w:r w:rsidRPr="007407B4">
        <w:rPr>
          <w:b/>
          <w:bCs/>
          <w:sz w:val="24"/>
          <w:szCs w:val="24"/>
        </w:rPr>
        <w:t>osion</w:t>
      </w:r>
      <w:r w:rsidR="00237924" w:rsidRPr="007407B4">
        <w:rPr>
          <w:b/>
          <w:bCs/>
          <w:sz w:val="24"/>
          <w:szCs w:val="24"/>
        </w:rPr>
        <w:t>.</w:t>
      </w:r>
      <w:r w:rsidRPr="007407B4">
        <w:rPr>
          <w:b/>
          <w:bCs/>
          <w:sz w:val="24"/>
          <w:szCs w:val="24"/>
        </w:rPr>
        <w:t xml:space="preserve"> </w:t>
      </w:r>
    </w:p>
    <w:p w:rsidR="006243C5" w:rsidRPr="007407B4" w:rsidRDefault="006243C5" w:rsidP="007407B4">
      <w:pPr>
        <w:spacing w:after="0" w:line="360" w:lineRule="auto"/>
        <w:jc w:val="both"/>
        <w:rPr>
          <w:b/>
          <w:bCs/>
          <w:sz w:val="24"/>
          <w:szCs w:val="24"/>
        </w:rPr>
      </w:pPr>
    </w:p>
    <w:p w:rsidR="00ED675F" w:rsidRPr="002D5684" w:rsidRDefault="00ED675F" w:rsidP="00CE59BC">
      <w:pPr>
        <w:pStyle w:val="ListParagraph"/>
        <w:numPr>
          <w:ilvl w:val="0"/>
          <w:numId w:val="1"/>
        </w:numPr>
        <w:spacing w:after="0" w:line="240" w:lineRule="auto"/>
        <w:ind w:left="0"/>
        <w:jc w:val="both"/>
        <w:rPr>
          <w:b/>
          <w:bCs/>
          <w:sz w:val="24"/>
          <w:szCs w:val="24"/>
        </w:rPr>
      </w:pPr>
      <w:r w:rsidRPr="002D5684">
        <w:rPr>
          <w:b/>
          <w:bCs/>
          <w:sz w:val="24"/>
          <w:szCs w:val="24"/>
        </w:rPr>
        <w:t>Reservoir souring</w:t>
      </w:r>
    </w:p>
    <w:p w:rsidR="002B6D18" w:rsidRPr="002D5684" w:rsidRDefault="00ED675F" w:rsidP="006E4885">
      <w:pPr>
        <w:spacing w:after="0" w:line="240" w:lineRule="auto"/>
        <w:jc w:val="both"/>
        <w:rPr>
          <w:b/>
          <w:bCs/>
          <w:sz w:val="24"/>
          <w:szCs w:val="24"/>
        </w:rPr>
      </w:pPr>
      <w:r w:rsidRPr="007407B4">
        <w:rPr>
          <w:b/>
          <w:bCs/>
          <w:sz w:val="24"/>
          <w:szCs w:val="24"/>
        </w:rPr>
        <w:t>Reservoir souring is a significant and unacceptable threat that must not be overlooked in the oil and gas industry. Its impacts on operational efficiency and environmental safety are serious and demand immediate attention. The process in which microorganisms, primarily sulfate-reducing bacteria (SRB), convert sulfate ions in formation water into hydrogen sulfide (H2S) gas is known as reservoir souring, or microbial-induced corrosion (MIC). In the oil and gas industry, H2S presents significant challenges due to its highly corrosive nature, toxicity, and unpleasant odor</w:t>
      </w:r>
      <w:r w:rsidR="00EB5687" w:rsidRPr="007407B4">
        <w:rPr>
          <w:b/>
          <w:bCs/>
          <w:sz w:val="24"/>
          <w:szCs w:val="24"/>
        </w:rPr>
        <w:t xml:space="preserve"> </w:t>
      </w:r>
      <w:r w:rsidR="00EB5687" w:rsidRPr="007407B4">
        <w:rPr>
          <w:b/>
          <w:bCs/>
          <w:color w:val="00B050"/>
          <w:sz w:val="24"/>
          <w:szCs w:val="24"/>
        </w:rPr>
        <w:t>(</w:t>
      </w:r>
      <w:r w:rsidR="00260B73" w:rsidRPr="00260B73">
        <w:rPr>
          <w:b/>
          <w:bCs/>
          <w:color w:val="FF0000"/>
          <w:sz w:val="24"/>
          <w:szCs w:val="24"/>
        </w:rPr>
        <w:t xml:space="preserve">Harshita et al., 2026; </w:t>
      </w:r>
      <w:r w:rsidR="007138EE" w:rsidRPr="00260B73">
        <w:rPr>
          <w:b/>
          <w:bCs/>
          <w:color w:val="FF0000"/>
          <w:sz w:val="24"/>
          <w:szCs w:val="24"/>
        </w:rPr>
        <w:t xml:space="preserve">Priya et al., 2025; </w:t>
      </w:r>
      <w:proofErr w:type="spellStart"/>
      <w:r w:rsidR="00EB5687" w:rsidRPr="007407B4">
        <w:rPr>
          <w:b/>
          <w:bCs/>
          <w:color w:val="FF0000"/>
          <w:sz w:val="24"/>
          <w:szCs w:val="24"/>
        </w:rPr>
        <w:t>Dolfing</w:t>
      </w:r>
      <w:proofErr w:type="spellEnd"/>
      <w:r w:rsidR="00EB5687" w:rsidRPr="007407B4">
        <w:rPr>
          <w:b/>
          <w:bCs/>
          <w:color w:val="FF0000"/>
          <w:sz w:val="24"/>
          <w:szCs w:val="24"/>
        </w:rPr>
        <w:t>, Hubert, 2017</w:t>
      </w:r>
      <w:r w:rsidR="00EB5687" w:rsidRPr="007407B4">
        <w:rPr>
          <w:b/>
          <w:bCs/>
          <w:color w:val="00B050"/>
          <w:sz w:val="24"/>
          <w:szCs w:val="24"/>
        </w:rPr>
        <w:t>)</w:t>
      </w:r>
      <w:r w:rsidRPr="007407B4">
        <w:rPr>
          <w:b/>
          <w:bCs/>
          <w:color w:val="00B050"/>
          <w:sz w:val="24"/>
          <w:szCs w:val="24"/>
        </w:rPr>
        <w:t>.</w:t>
      </w:r>
      <w:r w:rsidR="006E4885">
        <w:rPr>
          <w:b/>
          <w:bCs/>
          <w:color w:val="00B050"/>
          <w:sz w:val="24"/>
          <w:szCs w:val="24"/>
        </w:rPr>
        <w:t xml:space="preserve"> </w:t>
      </w:r>
      <w:r w:rsidR="00641F2A" w:rsidRPr="002D5684">
        <w:rPr>
          <w:b/>
          <w:bCs/>
          <w:sz w:val="24"/>
          <w:szCs w:val="24"/>
        </w:rPr>
        <w:t>Reservoir souring refers to the biological production of hydrogen sulfide (H2S) by sulfate-reducing bacteria (SRB) in oil reservoirs, usually triggered by seawater flooding. Since H2S is both toxic and corrosive, reservoir souring presents significant economic and environmental challenges. As a result, extensive research has been conducted over the past few decades to understand the biological mechanisms underlying reservoir souring</w:t>
      </w:r>
      <w:r w:rsidR="00AF2892" w:rsidRPr="002D5684">
        <w:rPr>
          <w:b/>
          <w:bCs/>
          <w:sz w:val="24"/>
          <w:szCs w:val="24"/>
        </w:rPr>
        <w:t xml:space="preserve"> </w:t>
      </w:r>
      <w:r w:rsidR="00AF2892">
        <w:rPr>
          <w:b/>
          <w:bCs/>
          <w:color w:val="00B050"/>
          <w:sz w:val="24"/>
          <w:szCs w:val="24"/>
        </w:rPr>
        <w:t>(</w:t>
      </w:r>
      <w:r w:rsidR="00AF2892" w:rsidRPr="001A0067">
        <w:rPr>
          <w:b/>
          <w:bCs/>
          <w:color w:val="FF0000"/>
          <w:sz w:val="24"/>
          <w:szCs w:val="24"/>
        </w:rPr>
        <w:t>Vance, Thrasher, 2007</w:t>
      </w:r>
      <w:r w:rsidR="00AF2892">
        <w:rPr>
          <w:b/>
          <w:bCs/>
          <w:color w:val="00B050"/>
          <w:sz w:val="24"/>
          <w:szCs w:val="24"/>
        </w:rPr>
        <w:t>)</w:t>
      </w:r>
      <w:r w:rsidR="00641F2A" w:rsidRPr="00641F2A">
        <w:rPr>
          <w:b/>
          <w:bCs/>
          <w:color w:val="00B050"/>
          <w:sz w:val="24"/>
          <w:szCs w:val="24"/>
        </w:rPr>
        <w:t>.</w:t>
      </w:r>
      <w:r w:rsidR="001A0067">
        <w:rPr>
          <w:b/>
          <w:bCs/>
          <w:color w:val="00B050"/>
          <w:sz w:val="24"/>
          <w:szCs w:val="24"/>
        </w:rPr>
        <w:t xml:space="preserve"> </w:t>
      </w:r>
      <w:r w:rsidR="0097033E" w:rsidRPr="002D5684">
        <w:rPr>
          <w:b/>
          <w:bCs/>
          <w:sz w:val="24"/>
          <w:szCs w:val="24"/>
        </w:rPr>
        <w:t>To predict field-scale reactions based on laboratory findings, researchers often utilize reservoir souring models. These investigations into souring are conducted using three types of inoculums: backflow water from an injection well, produced water, and proxy inoculums.</w:t>
      </w:r>
      <w:r w:rsidR="001A0067" w:rsidRPr="002D5684">
        <w:rPr>
          <w:b/>
          <w:bCs/>
          <w:sz w:val="24"/>
          <w:szCs w:val="24"/>
        </w:rPr>
        <w:t xml:space="preserve"> </w:t>
      </w:r>
      <w:r w:rsidR="00402237" w:rsidRPr="002D5684">
        <w:rPr>
          <w:b/>
          <w:bCs/>
          <w:sz w:val="24"/>
          <w:szCs w:val="24"/>
        </w:rPr>
        <w:t>Researchers often utilize reservoir souring models to predict field-scale responses based on laboratory findings. Three types of inoculums used in these souring studies include generated water, backflow water from an injection well, and proxy inoculums.</w:t>
      </w:r>
    </w:p>
    <w:p w:rsidR="00A2559B" w:rsidRPr="002D5684" w:rsidRDefault="0097033E" w:rsidP="001A0067">
      <w:pPr>
        <w:spacing w:after="0" w:line="240" w:lineRule="auto"/>
        <w:jc w:val="both"/>
        <w:rPr>
          <w:b/>
          <w:bCs/>
          <w:sz w:val="24"/>
          <w:szCs w:val="24"/>
        </w:rPr>
      </w:pPr>
      <w:r w:rsidRPr="002D5684">
        <w:rPr>
          <w:b/>
          <w:bCs/>
          <w:sz w:val="24"/>
          <w:szCs w:val="24"/>
        </w:rPr>
        <w:t xml:space="preserve"> </w:t>
      </w:r>
      <w:r w:rsidR="002B6D18" w:rsidRPr="002D5684">
        <w:rPr>
          <w:b/>
          <w:bCs/>
          <w:sz w:val="24"/>
          <w:szCs w:val="24"/>
        </w:rPr>
        <w:t>When a reservoir containing production and injection wells is injected with seawater that is colder than the reservoir temperature, fluid samples can be collected from a few accessible sampling locations. These samples represent the fluid in the reservoir and are used in reservoir sourcing experiments.</w:t>
      </w:r>
      <w:r w:rsidR="001A0067" w:rsidRPr="002D5684">
        <w:rPr>
          <w:b/>
          <w:bCs/>
          <w:sz w:val="24"/>
          <w:szCs w:val="24"/>
        </w:rPr>
        <w:t xml:space="preserve"> </w:t>
      </w:r>
      <w:r w:rsidR="00A2559B" w:rsidRPr="002D5684">
        <w:rPr>
          <w:b/>
          <w:bCs/>
          <w:sz w:val="24"/>
          <w:szCs w:val="24"/>
        </w:rPr>
        <w:t>The collected water samples offer valuable insights into how the indigenous microbiome of the reservoir interacts with the injected water microbiome. However, since the conditions in the well can differ significantly from those in the aquifer, it has been shown that there is a notable difference between the biota found in groundwater and the samples obtained from groundwater wells.</w:t>
      </w:r>
    </w:p>
    <w:p w:rsidR="006E4885" w:rsidRPr="007407B4" w:rsidRDefault="006E4885" w:rsidP="001A0067">
      <w:pPr>
        <w:spacing w:after="0" w:line="240" w:lineRule="auto"/>
        <w:jc w:val="both"/>
        <w:rPr>
          <w:b/>
          <w:bCs/>
          <w:color w:val="00B050"/>
          <w:sz w:val="24"/>
          <w:szCs w:val="24"/>
        </w:rPr>
      </w:pPr>
    </w:p>
    <w:p w:rsidR="00644111" w:rsidRDefault="00644111" w:rsidP="00ED675F">
      <w:pPr>
        <w:spacing w:after="0" w:line="240" w:lineRule="auto"/>
        <w:jc w:val="both"/>
        <w:rPr>
          <w:b/>
          <w:bCs/>
          <w:color w:val="00B05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p>
    <w:p w:rsidR="00F63FB3" w:rsidRDefault="00F63FB3" w:rsidP="00F63FB3">
      <w:pPr>
        <w:spacing w:after="0" w:line="240" w:lineRule="auto"/>
        <w:jc w:val="center"/>
        <w:rPr>
          <w:b/>
          <w:bCs/>
          <w:noProof/>
          <w:color w:val="FF0000"/>
        </w:rPr>
      </w:pPr>
      <w:r>
        <w:rPr>
          <w:b/>
          <w:bCs/>
          <w:noProof/>
          <w:color w:val="FF0000"/>
        </w:rPr>
        <mc:AlternateContent>
          <mc:Choice Requires="wps">
            <w:drawing>
              <wp:anchor distT="0" distB="0" distL="114300" distR="114300" simplePos="0" relativeHeight="251660288" behindDoc="0" locked="0" layoutInCell="1" allowOverlap="1" wp14:anchorId="75280414" wp14:editId="1B317B30">
                <wp:simplePos x="0" y="0"/>
                <wp:positionH relativeFrom="column">
                  <wp:posOffset>2181225</wp:posOffset>
                </wp:positionH>
                <wp:positionV relativeFrom="paragraph">
                  <wp:posOffset>1186180</wp:posOffset>
                </wp:positionV>
                <wp:extent cx="1076325" cy="9429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07632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02C" w:rsidRPr="00C72A76" w:rsidRDefault="00CD702C"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702C"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reservoir</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80414" id="Rounded Rectangle 6" o:spid="_x0000_s1026" style="position:absolute;left:0;text-align:left;margin-left:171.75pt;margin-top:93.4pt;width:84.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" fillcolor="#5b9bd5 [3204]" strokecolor="#1f4d78 [1604]" strokeweight="1pt">
                <v:stroke joinstyle="miter"/>
                <v:textbox>
                  <w:txbxContent>
                    <w:p w:rsidR="00CD702C" w:rsidRPr="00C72A76" w:rsidRDefault="00CD702C"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Symptoms</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D702C"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reservoir</w:t>
                      </w:r>
                    </w:p>
                    <w:p w:rsidR="00C72A76" w:rsidRPr="00C72A76" w:rsidRDefault="00C72A76" w:rsidP="00CD702C">
                      <w:pPr>
                        <w:spacing w:after="0"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A76">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D702C" w:rsidRPr="00CD702C" w:rsidRDefault="00CD702C" w:rsidP="00CD702C">
                      <w:pPr>
                        <w:spacing w:after="0" w:line="240"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702C">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noProof/>
        </w:rPr>
        <w:drawing>
          <wp:inline distT="0" distB="0" distL="0" distR="0" wp14:anchorId="554F419B" wp14:editId="5C94B2A5">
            <wp:extent cx="5486400" cy="3200400"/>
            <wp:effectExtent l="0" t="3810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63FB3" w:rsidRDefault="00F63FB3" w:rsidP="00F63FB3">
      <w:pPr>
        <w:spacing w:after="0" w:line="240" w:lineRule="auto"/>
        <w:jc w:val="center"/>
        <w:rPr>
          <w:b/>
          <w:bCs/>
          <w:noProof/>
          <w:color w:val="FF0000"/>
        </w:rPr>
      </w:pPr>
    </w:p>
    <w:p w:rsidR="002D5684" w:rsidRDefault="002D5684" w:rsidP="00F63FB3">
      <w:pPr>
        <w:spacing w:after="0" w:line="240" w:lineRule="auto"/>
        <w:jc w:val="center"/>
        <w:rPr>
          <w:b/>
          <w:bCs/>
          <w:noProof/>
          <w:color w:val="FF0000"/>
        </w:rPr>
      </w:pPr>
    </w:p>
    <w:p w:rsidR="00F63FB3" w:rsidRDefault="00F63FB3" w:rsidP="00644111">
      <w:pPr>
        <w:spacing w:after="0" w:line="240" w:lineRule="auto"/>
        <w:rPr>
          <w:b/>
          <w:bCs/>
          <w:noProof/>
          <w:color w:val="FF0000"/>
        </w:rPr>
      </w:pPr>
    </w:p>
    <w:p w:rsidR="00F63FB3" w:rsidRPr="00624D86" w:rsidRDefault="00F67517" w:rsidP="00644111">
      <w:pPr>
        <w:spacing w:after="0" w:line="240" w:lineRule="auto"/>
        <w:rPr>
          <w:b/>
          <w:bCs/>
          <w:noProof/>
          <w:sz w:val="28"/>
          <w:szCs w:val="28"/>
        </w:rPr>
      </w:pPr>
      <w:r w:rsidRPr="00624D86">
        <w:rPr>
          <w:b/>
          <w:bCs/>
          <w:noProof/>
          <w:sz w:val="28"/>
          <w:szCs w:val="28"/>
        </w:rPr>
        <w:t>Fig 1: Symptoms of reservoir souring.</w:t>
      </w:r>
    </w:p>
    <w:p w:rsidR="00631C8B" w:rsidRPr="00624D86" w:rsidRDefault="00631C8B" w:rsidP="00644111">
      <w:pPr>
        <w:spacing w:after="0" w:line="240" w:lineRule="auto"/>
        <w:rPr>
          <w:b/>
          <w:bCs/>
          <w:noProof/>
          <w:sz w:val="28"/>
          <w:szCs w:val="28"/>
        </w:rPr>
      </w:pPr>
    </w:p>
    <w:p w:rsidR="00F63FB3" w:rsidRPr="00624D86" w:rsidRDefault="00F63FB3" w:rsidP="00644111">
      <w:pPr>
        <w:spacing w:after="0" w:line="240" w:lineRule="auto"/>
        <w:rPr>
          <w:b/>
          <w:bCs/>
          <w:noProof/>
        </w:rPr>
      </w:pPr>
    </w:p>
    <w:p w:rsidR="00644111" w:rsidRPr="007407B4" w:rsidRDefault="00644111" w:rsidP="00CE59BC">
      <w:pPr>
        <w:pStyle w:val="ListParagraph"/>
        <w:numPr>
          <w:ilvl w:val="0"/>
          <w:numId w:val="1"/>
        </w:numPr>
        <w:spacing w:after="0" w:line="240" w:lineRule="auto"/>
        <w:ind w:left="0"/>
        <w:rPr>
          <w:b/>
          <w:bCs/>
          <w:sz w:val="24"/>
          <w:szCs w:val="24"/>
        </w:rPr>
      </w:pPr>
      <w:r w:rsidRPr="007407B4">
        <w:rPr>
          <w:b/>
          <w:bCs/>
          <w:sz w:val="24"/>
          <w:szCs w:val="24"/>
        </w:rPr>
        <w:t>Causes of reservoir souring</w:t>
      </w:r>
    </w:p>
    <w:p w:rsidR="00644111" w:rsidRDefault="00644111" w:rsidP="00D70B04">
      <w:pPr>
        <w:spacing w:after="0" w:line="240" w:lineRule="auto"/>
        <w:jc w:val="both"/>
        <w:rPr>
          <w:b/>
          <w:bCs/>
          <w:color w:val="00B050"/>
          <w:sz w:val="24"/>
          <w:szCs w:val="24"/>
        </w:rPr>
      </w:pPr>
      <w:r w:rsidRPr="007407B4">
        <w:rPr>
          <w:b/>
          <w:bCs/>
          <w:sz w:val="24"/>
          <w:szCs w:val="24"/>
        </w:rPr>
        <w:t>In the oil and gas industry, reservoir souring is a common and costly issue, especially during secondary recovery processes. The primary cause of this problem is the activity of sulfate-reducing bacteria (SRB) and sulfate-reducing archaea (SRA). These microorganisms break down sulfate ions in water, which leads to the production of hydrogen sulfide (H2S)</w:t>
      </w:r>
      <w:r w:rsidR="00631C8B" w:rsidRPr="007407B4">
        <w:rPr>
          <w:b/>
          <w:bCs/>
          <w:sz w:val="24"/>
          <w:szCs w:val="24"/>
        </w:rPr>
        <w:t xml:space="preserve"> </w:t>
      </w:r>
      <w:r w:rsidR="00631C8B" w:rsidRPr="007407B4">
        <w:rPr>
          <w:b/>
          <w:bCs/>
          <w:color w:val="00B050"/>
          <w:sz w:val="24"/>
          <w:szCs w:val="24"/>
        </w:rPr>
        <w:t>(</w:t>
      </w:r>
      <w:r w:rsidR="0007700F" w:rsidRPr="0007700F">
        <w:rPr>
          <w:b/>
          <w:bCs/>
          <w:color w:val="FF0000"/>
          <w:sz w:val="24"/>
          <w:szCs w:val="24"/>
        </w:rPr>
        <w:t>Sindi et a</w:t>
      </w:r>
      <w:r w:rsidR="0007700F">
        <w:rPr>
          <w:b/>
          <w:bCs/>
          <w:color w:val="FF0000"/>
          <w:sz w:val="24"/>
          <w:szCs w:val="24"/>
        </w:rPr>
        <w:t>l,</w:t>
      </w:r>
      <w:r w:rsidR="0007700F" w:rsidRPr="0007700F">
        <w:rPr>
          <w:b/>
          <w:bCs/>
          <w:color w:val="FF0000"/>
          <w:sz w:val="24"/>
          <w:szCs w:val="24"/>
        </w:rPr>
        <w:t xml:space="preserve"> 2025; </w:t>
      </w:r>
      <w:r w:rsidR="00631C8B" w:rsidRPr="007407B4">
        <w:rPr>
          <w:b/>
          <w:bCs/>
          <w:color w:val="FF0000"/>
          <w:sz w:val="24"/>
          <w:szCs w:val="24"/>
        </w:rPr>
        <w:t>Vance, Thrasher, 2005</w:t>
      </w:r>
      <w:r w:rsidR="00D70B04">
        <w:rPr>
          <w:b/>
          <w:bCs/>
          <w:color w:val="FF0000"/>
          <w:sz w:val="24"/>
          <w:szCs w:val="24"/>
        </w:rPr>
        <w:t xml:space="preserve">; </w:t>
      </w:r>
      <w:r w:rsidR="00D70B04" w:rsidRPr="00D70B04">
        <w:rPr>
          <w:b/>
          <w:bCs/>
          <w:color w:val="FF0000"/>
          <w:sz w:val="24"/>
          <w:szCs w:val="24"/>
        </w:rPr>
        <w:t>Vance, Thrasher</w:t>
      </w:r>
      <w:r w:rsidR="00D70B04">
        <w:rPr>
          <w:b/>
          <w:bCs/>
          <w:color w:val="FF0000"/>
          <w:sz w:val="24"/>
          <w:szCs w:val="24"/>
        </w:rPr>
        <w:t>, 2007</w:t>
      </w:r>
      <w:r w:rsidR="00631C8B" w:rsidRPr="007407B4">
        <w:rPr>
          <w:b/>
          <w:bCs/>
          <w:color w:val="00B050"/>
          <w:sz w:val="24"/>
          <w:szCs w:val="24"/>
        </w:rPr>
        <w:t>)</w:t>
      </w:r>
      <w:r w:rsidRPr="007407B4">
        <w:rPr>
          <w:b/>
          <w:bCs/>
          <w:color w:val="00B050"/>
          <w:sz w:val="24"/>
          <w:szCs w:val="24"/>
        </w:rPr>
        <w:t>.</w:t>
      </w:r>
    </w:p>
    <w:p w:rsidR="003F3F8F" w:rsidRPr="002D5684" w:rsidRDefault="003F3F8F" w:rsidP="00D70B04">
      <w:pPr>
        <w:spacing w:after="0" w:line="240" w:lineRule="auto"/>
        <w:jc w:val="both"/>
        <w:rPr>
          <w:b/>
          <w:bCs/>
          <w:sz w:val="24"/>
          <w:szCs w:val="24"/>
        </w:rPr>
      </w:pPr>
      <w:r w:rsidRPr="002D5684">
        <w:rPr>
          <w:b/>
          <w:bCs/>
          <w:sz w:val="24"/>
          <w:szCs w:val="24"/>
        </w:rPr>
        <w:t>The generation of hydrogen sulfide (H2S), a hazardous and corrosive gas, from previously sweet (H2S-free) oil and gas reserves is known as reservoir souring. This process is often associated with saltwater injection, a technique commonly used in secondary oil recovery to enhance oil production and maintain reservoir pressure. The introduction of seawater, which is rich in sulfate, can stimulate the growth of sulfate-reducing microorganisms (SRMs) that produce H2S.</w:t>
      </w:r>
    </w:p>
    <w:p w:rsidR="00644111" w:rsidRPr="007407B4" w:rsidRDefault="00644111" w:rsidP="00CE59BC">
      <w:pPr>
        <w:spacing w:after="0" w:line="240" w:lineRule="auto"/>
        <w:jc w:val="both"/>
        <w:rPr>
          <w:b/>
          <w:bCs/>
          <w:color w:val="00B050"/>
          <w:sz w:val="24"/>
          <w:szCs w:val="24"/>
        </w:rPr>
      </w:pPr>
    </w:p>
    <w:p w:rsidR="00ED675F" w:rsidRPr="007407B4" w:rsidRDefault="00ED675F" w:rsidP="00CE59BC">
      <w:pPr>
        <w:pStyle w:val="ListParagraph"/>
        <w:numPr>
          <w:ilvl w:val="0"/>
          <w:numId w:val="1"/>
        </w:numPr>
        <w:spacing w:after="0" w:line="240" w:lineRule="auto"/>
        <w:ind w:left="0"/>
        <w:jc w:val="both"/>
        <w:rPr>
          <w:b/>
          <w:bCs/>
          <w:sz w:val="24"/>
          <w:szCs w:val="24"/>
        </w:rPr>
      </w:pPr>
      <w:r w:rsidRPr="007407B4">
        <w:rPr>
          <w:b/>
          <w:bCs/>
          <w:sz w:val="24"/>
          <w:szCs w:val="24"/>
        </w:rPr>
        <w:t>Strategies for Managing Reservoir Souring</w:t>
      </w:r>
      <w:r w:rsidR="0089237A" w:rsidRPr="007407B4">
        <w:rPr>
          <w:b/>
          <w:bCs/>
          <w:sz w:val="24"/>
          <w:szCs w:val="24"/>
        </w:rPr>
        <w:t xml:space="preserve"> by b</w:t>
      </w:r>
      <w:r w:rsidRPr="007407B4">
        <w:rPr>
          <w:b/>
          <w:bCs/>
          <w:sz w:val="24"/>
          <w:szCs w:val="24"/>
        </w:rPr>
        <w:t>iocide and nitrate injection</w:t>
      </w:r>
    </w:p>
    <w:p w:rsidR="000C18F8" w:rsidRPr="002D5684" w:rsidRDefault="00ED675F" w:rsidP="001A3345">
      <w:pPr>
        <w:spacing w:after="0" w:line="240" w:lineRule="auto"/>
        <w:jc w:val="both"/>
        <w:rPr>
          <w:b/>
          <w:bCs/>
          <w:sz w:val="24"/>
          <w:szCs w:val="24"/>
        </w:rPr>
      </w:pPr>
      <w:r w:rsidRPr="007407B4">
        <w:rPr>
          <w:b/>
          <w:bCs/>
          <w:sz w:val="24"/>
          <w:szCs w:val="24"/>
        </w:rPr>
        <w:lastRenderedPageBreak/>
        <w:t xml:space="preserve">Biocides are substances specifically designed to inhibit the growth of sulfate-reducing bacteria and other microorganisms associated with souring. Regular injection of biocide into the reservoir effectively controls microbial activity and prevents souring. Nitrate acts as an alternate electron acceptor for </w:t>
      </w:r>
      <w:r w:rsidR="0089237A" w:rsidRPr="007407B4">
        <w:rPr>
          <w:b/>
          <w:bCs/>
          <w:sz w:val="24"/>
          <w:szCs w:val="24"/>
        </w:rPr>
        <w:t>sulfate reducing bacteria (</w:t>
      </w:r>
      <w:r w:rsidRPr="007407B4">
        <w:rPr>
          <w:b/>
          <w:bCs/>
          <w:sz w:val="24"/>
          <w:szCs w:val="24"/>
        </w:rPr>
        <w:t>SRB</w:t>
      </w:r>
      <w:r w:rsidR="0089237A" w:rsidRPr="007407B4">
        <w:rPr>
          <w:b/>
          <w:bCs/>
          <w:sz w:val="24"/>
          <w:szCs w:val="24"/>
        </w:rPr>
        <w:t>)</w:t>
      </w:r>
      <w:r w:rsidRPr="007407B4">
        <w:rPr>
          <w:b/>
          <w:bCs/>
          <w:sz w:val="24"/>
          <w:szCs w:val="24"/>
        </w:rPr>
        <w:t>, diverting their metabolic pathways away from H</w:t>
      </w:r>
      <w:r w:rsidRPr="007407B4">
        <w:rPr>
          <w:b/>
          <w:bCs/>
          <w:sz w:val="24"/>
          <w:szCs w:val="24"/>
          <w:vertAlign w:val="subscript"/>
        </w:rPr>
        <w:t>2</w:t>
      </w:r>
      <w:r w:rsidRPr="007407B4">
        <w:rPr>
          <w:b/>
          <w:bCs/>
          <w:sz w:val="24"/>
          <w:szCs w:val="24"/>
        </w:rPr>
        <w:t xml:space="preserve">S production. Injecting nitrate into the reservoir can </w:t>
      </w:r>
      <w:r w:rsidR="0090324C" w:rsidRPr="007407B4">
        <w:rPr>
          <w:b/>
          <w:bCs/>
          <w:sz w:val="24"/>
          <w:szCs w:val="24"/>
        </w:rPr>
        <w:t xml:space="preserve">also </w:t>
      </w:r>
      <w:r w:rsidRPr="007407B4">
        <w:rPr>
          <w:b/>
          <w:bCs/>
          <w:sz w:val="24"/>
          <w:szCs w:val="24"/>
        </w:rPr>
        <w:t xml:space="preserve">decrease the generation of souring agents. In addition, monitoring and Management of Reservoirs is an important task to continuously monitor reservoir conditions, including water chemistry and microbiological activity. Rapid action, such as adjusting pH levels or employing water injection techniques, may be taken upon early detection of souring to </w:t>
      </w:r>
      <w:r w:rsidR="00817B66" w:rsidRPr="007407B4">
        <w:rPr>
          <w:b/>
          <w:bCs/>
          <w:sz w:val="24"/>
          <w:szCs w:val="24"/>
        </w:rPr>
        <w:t xml:space="preserve">prevent or mitigate its effects </w:t>
      </w:r>
      <w:r w:rsidR="00817B66" w:rsidRPr="009436CE">
        <w:rPr>
          <w:b/>
          <w:bCs/>
          <w:color w:val="FF0000"/>
          <w:sz w:val="24"/>
          <w:szCs w:val="24"/>
        </w:rPr>
        <w:t>(</w:t>
      </w:r>
      <w:r w:rsidR="009436CE" w:rsidRPr="009436CE">
        <w:rPr>
          <w:b/>
          <w:bCs/>
          <w:color w:val="FF0000"/>
          <w:sz w:val="24"/>
          <w:szCs w:val="24"/>
        </w:rPr>
        <w:t xml:space="preserve">Dabral et al., 2025; </w:t>
      </w:r>
      <w:r w:rsidR="00817B66" w:rsidRPr="007407B4">
        <w:rPr>
          <w:b/>
          <w:bCs/>
          <w:color w:val="FF0000"/>
          <w:sz w:val="24"/>
          <w:szCs w:val="24"/>
        </w:rPr>
        <w:t>Carlson, Hubert, 2019</w:t>
      </w:r>
      <w:r w:rsidR="00D70B04">
        <w:rPr>
          <w:b/>
          <w:bCs/>
          <w:color w:val="FF0000"/>
          <w:sz w:val="24"/>
          <w:szCs w:val="24"/>
        </w:rPr>
        <w:t xml:space="preserve">; </w:t>
      </w:r>
      <w:r w:rsidR="00D70B04" w:rsidRPr="00D70B04">
        <w:rPr>
          <w:b/>
          <w:bCs/>
          <w:color w:val="FF0000"/>
          <w:sz w:val="24"/>
          <w:szCs w:val="24"/>
        </w:rPr>
        <w:t>Kaster</w:t>
      </w:r>
      <w:r w:rsidR="00D70B04">
        <w:rPr>
          <w:b/>
          <w:bCs/>
          <w:color w:val="FF0000"/>
          <w:sz w:val="24"/>
          <w:szCs w:val="24"/>
        </w:rPr>
        <w:t xml:space="preserve"> et al., 2014</w:t>
      </w:r>
      <w:r w:rsidR="00817B66" w:rsidRPr="002D5684">
        <w:rPr>
          <w:b/>
          <w:bCs/>
          <w:sz w:val="24"/>
          <w:szCs w:val="24"/>
        </w:rPr>
        <w:t>).</w:t>
      </w:r>
      <w:r w:rsidR="001A3345" w:rsidRPr="002D5684">
        <w:rPr>
          <w:b/>
          <w:bCs/>
          <w:sz w:val="24"/>
          <w:szCs w:val="24"/>
        </w:rPr>
        <w:t xml:space="preserve"> </w:t>
      </w:r>
      <w:r w:rsidR="000C18F8" w:rsidRPr="002D5684">
        <w:rPr>
          <w:b/>
          <w:bCs/>
          <w:sz w:val="24"/>
          <w:szCs w:val="24"/>
        </w:rPr>
        <w:t>In the oil and gas sector, sourcing reservoirs remains a challenging issue, especially in older assets where hydrogen sulfide (H2S) and microorganisms from the reservoir can significantly compromise the integrity of producing wells and equipment. Nitrate treatment is commonly used to manage sulfate-reducing bacteria (SRB) activity in reservoirs; however, it is not always effective due to insufficient understanding of the subsurface conditions and the increasing quantities required over time.</w:t>
      </w:r>
      <w:r w:rsidR="007912B6" w:rsidRPr="002D5684">
        <w:rPr>
          <w:b/>
          <w:bCs/>
          <w:sz w:val="24"/>
          <w:szCs w:val="24"/>
        </w:rPr>
        <w:t xml:space="preserve"> Designing an effective nitrate treatment plan requires a comprehensive understanding of the microbial reactions involved, particularly those related to the diverse microbial communities within the reservoir. It is also important to understand how nitrate inhibits the souring process. Nitrate promotes the growth of nitrate-reducing bacteria that can outcompete sulfate-reducing bacteria, thereby decreasing hydrogen sulfide production and alleviating souring. This integrated knowledge is essential for optimizing treatment strategies and ensuring the integrity of the reservoir</w:t>
      </w:r>
      <w:r w:rsidR="00326A9C" w:rsidRPr="002D5684">
        <w:rPr>
          <w:b/>
          <w:bCs/>
          <w:sz w:val="24"/>
          <w:szCs w:val="24"/>
        </w:rPr>
        <w:t xml:space="preserve"> (</w:t>
      </w:r>
      <w:r w:rsidR="00326A9C" w:rsidRPr="002D5684">
        <w:rPr>
          <w:b/>
          <w:bCs/>
          <w:color w:val="FF0000"/>
          <w:sz w:val="24"/>
          <w:szCs w:val="24"/>
        </w:rPr>
        <w:t>Gutierrez et al., 2009).</w:t>
      </w:r>
    </w:p>
    <w:p w:rsidR="001A3345" w:rsidRDefault="001A3345" w:rsidP="001A3345">
      <w:pPr>
        <w:spacing w:after="0" w:line="240" w:lineRule="auto"/>
        <w:jc w:val="both"/>
        <w:rPr>
          <w:b/>
          <w:bCs/>
          <w:color w:val="00B050"/>
          <w:sz w:val="24"/>
          <w:szCs w:val="24"/>
        </w:rPr>
      </w:pPr>
    </w:p>
    <w:p w:rsidR="001D6E50" w:rsidRDefault="001D6E50" w:rsidP="00ED675F">
      <w:pPr>
        <w:spacing w:after="0" w:line="240" w:lineRule="auto"/>
        <w:jc w:val="both"/>
        <w:rPr>
          <w:b/>
          <w:bCs/>
          <w:color w:val="00B050"/>
        </w:rPr>
      </w:pPr>
      <w:r>
        <w:rPr>
          <w:b/>
          <w:bCs/>
          <w:noProof/>
          <w:color w:val="00B050"/>
        </w:rPr>
        <w:lastRenderedPageBreak/>
        <mc:AlternateContent>
          <mc:Choice Requires="wps">
            <w:drawing>
              <wp:anchor distT="0" distB="0" distL="114300" distR="114300" simplePos="0" relativeHeight="251659264" behindDoc="0" locked="0" layoutInCell="1" allowOverlap="1">
                <wp:simplePos x="0" y="0"/>
                <wp:positionH relativeFrom="column">
                  <wp:posOffset>2143126</wp:posOffset>
                </wp:positionH>
                <wp:positionV relativeFrom="paragraph">
                  <wp:posOffset>1340485</wp:posOffset>
                </wp:positionV>
                <wp:extent cx="1200150" cy="1219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200150" cy="12192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168.75pt;margin-top:105.55pt;width:94.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" fillcolor="#00b050" strokecolor="#1f4d78 [1604]" strokeweight="1pt">
                <v:stroke joinstyle="miter"/>
                <v:textbox>
                  <w:txbxContent>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Managing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reservoir </w:t>
                      </w:r>
                    </w:p>
                    <w:p w:rsidR="001D6E50" w:rsidRPr="001D6E50" w:rsidRDefault="001D6E50" w:rsidP="001D6E50">
                      <w:pPr>
                        <w:spacing w:after="0" w:line="240" w:lineRule="auto"/>
                        <w:jc w:val="cente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E5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souring</w:t>
                      </w:r>
                    </w:p>
                  </w:txbxContent>
                </v:textbox>
              </v:roundrect>
            </w:pict>
          </mc:Fallback>
        </mc:AlternateContent>
      </w:r>
      <w:r>
        <w:rPr>
          <w:b/>
          <w:bCs/>
          <w:noProof/>
          <w:color w:val="00B050"/>
        </w:rPr>
        <w:drawing>
          <wp:inline distT="0" distB="0" distL="0" distR="0" wp14:anchorId="79C034A5">
            <wp:extent cx="536257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3743325"/>
                    </a:xfrm>
                    <a:prstGeom prst="rect">
                      <a:avLst/>
                    </a:prstGeom>
                    <a:noFill/>
                  </pic:spPr>
                </pic:pic>
              </a:graphicData>
            </a:graphic>
          </wp:inline>
        </w:drawing>
      </w:r>
    </w:p>
    <w:p w:rsidR="001D6E50" w:rsidRDefault="001D6E50" w:rsidP="001D6E50">
      <w:pPr>
        <w:spacing w:after="0" w:line="240" w:lineRule="auto"/>
        <w:jc w:val="center"/>
        <w:rPr>
          <w:b/>
          <w:bCs/>
          <w:color w:val="00B050"/>
        </w:rPr>
      </w:pPr>
    </w:p>
    <w:p w:rsidR="001D6E50" w:rsidRDefault="001D6E50" w:rsidP="00ED675F">
      <w:pPr>
        <w:spacing w:after="0" w:line="240" w:lineRule="auto"/>
        <w:jc w:val="both"/>
        <w:rPr>
          <w:b/>
          <w:bCs/>
          <w:color w:val="00B050"/>
        </w:rPr>
      </w:pPr>
    </w:p>
    <w:p w:rsidR="001D6E50" w:rsidRDefault="006A60E2" w:rsidP="00ED675F">
      <w:pPr>
        <w:spacing w:after="0" w:line="240" w:lineRule="auto"/>
        <w:jc w:val="both"/>
        <w:rPr>
          <w:b/>
          <w:bCs/>
          <w:sz w:val="28"/>
          <w:szCs w:val="28"/>
        </w:rPr>
      </w:pPr>
      <w:r w:rsidRPr="006A60E2">
        <w:rPr>
          <w:b/>
          <w:bCs/>
          <w:sz w:val="28"/>
          <w:szCs w:val="28"/>
        </w:rPr>
        <w:t>Fig. 2:  Strategies for Managing Reservoir Souring.</w:t>
      </w:r>
    </w:p>
    <w:p w:rsidR="000515CD" w:rsidRDefault="000515CD" w:rsidP="00ED675F">
      <w:pPr>
        <w:spacing w:after="0" w:line="240" w:lineRule="auto"/>
        <w:jc w:val="both"/>
        <w:rPr>
          <w:b/>
          <w:bCs/>
          <w:sz w:val="28"/>
          <w:szCs w:val="28"/>
        </w:rPr>
      </w:pPr>
    </w:p>
    <w:p w:rsidR="00F92086" w:rsidRPr="007407B4" w:rsidRDefault="00F92086" w:rsidP="00CE59BC">
      <w:pPr>
        <w:pStyle w:val="ListParagraph"/>
        <w:numPr>
          <w:ilvl w:val="0"/>
          <w:numId w:val="1"/>
        </w:numPr>
        <w:spacing w:after="0" w:line="240" w:lineRule="auto"/>
        <w:ind w:left="0"/>
        <w:jc w:val="both"/>
        <w:rPr>
          <w:b/>
          <w:bCs/>
          <w:sz w:val="24"/>
          <w:szCs w:val="24"/>
        </w:rPr>
      </w:pPr>
      <w:r w:rsidRPr="007407B4">
        <w:rPr>
          <w:b/>
          <w:bCs/>
          <w:sz w:val="24"/>
          <w:szCs w:val="24"/>
        </w:rPr>
        <w:t>Reservoir Souring and the Formation of Hydrogen Sulfide</w:t>
      </w:r>
    </w:p>
    <w:p w:rsidR="000072E8" w:rsidRDefault="00F92086" w:rsidP="00930E88">
      <w:pPr>
        <w:spacing w:after="0" w:line="240" w:lineRule="auto"/>
        <w:jc w:val="both"/>
        <w:rPr>
          <w:b/>
          <w:bCs/>
          <w:sz w:val="24"/>
          <w:szCs w:val="24"/>
        </w:rPr>
      </w:pPr>
      <w:r w:rsidRPr="007407B4">
        <w:rPr>
          <w:b/>
          <w:bCs/>
          <w:sz w:val="24"/>
          <w:szCs w:val="24"/>
        </w:rPr>
        <w:t>A variety of organic compounds, such as alcohols, polar aromatic hydrocarbons, and saturated hydrocarbons, can reduce aqueous sulfate produced from saltwater, pore water, or the degradation of solid calcium sulfate at temperatures exceeding 250 °C.</w:t>
      </w:r>
      <w:r w:rsidR="00EE2FB1" w:rsidRPr="007407B4">
        <w:rPr>
          <w:b/>
          <w:bCs/>
          <w:sz w:val="24"/>
          <w:szCs w:val="24"/>
        </w:rPr>
        <w:t xml:space="preserve"> </w:t>
      </w:r>
      <w:r w:rsidRPr="007407B4">
        <w:rPr>
          <w:b/>
          <w:bCs/>
          <w:sz w:val="24"/>
          <w:szCs w:val="24"/>
        </w:rPr>
        <w:t>High concentrations of hydrogen sulfide (H2S) in reservoir fluids may result from a process known as thermochemical sulfate reduction (TSR), which involves thermal redox reactions. Experiments have been conducted to investigate the reactions involved, potential products, and the effects of temperature, the type of oxidant, the presence of sulfur species and metal cations, and pH on the rate of TSR. This phenomenon is widely documented in the field.</w:t>
      </w:r>
      <w:r w:rsidR="00EE2FB1" w:rsidRPr="007407B4">
        <w:rPr>
          <w:b/>
          <w:bCs/>
          <w:sz w:val="24"/>
          <w:szCs w:val="24"/>
        </w:rPr>
        <w:t xml:space="preserve"> </w:t>
      </w:r>
      <w:r w:rsidR="00AE0DB5" w:rsidRPr="007407B4">
        <w:rPr>
          <w:b/>
          <w:bCs/>
          <w:sz w:val="24"/>
          <w:szCs w:val="24"/>
        </w:rPr>
        <w:t>H2S is produced by the thermolysis of aliphatic organic sulfides, such as tetrahydrothiophene, and by aromatic thiophene-type organosulfur compounds like thiophene in heavy oil</w:t>
      </w:r>
      <w:r w:rsidR="00C34E87">
        <w:rPr>
          <w:b/>
          <w:bCs/>
          <w:sz w:val="24"/>
          <w:szCs w:val="24"/>
        </w:rPr>
        <w:t xml:space="preserve"> (</w:t>
      </w:r>
      <w:r w:rsidR="00C34E87" w:rsidRPr="004D5061">
        <w:rPr>
          <w:b/>
          <w:bCs/>
          <w:color w:val="FF0000"/>
          <w:sz w:val="24"/>
          <w:szCs w:val="24"/>
        </w:rPr>
        <w:t>Guo, Liu, 2024</w:t>
      </w:r>
      <w:r w:rsidR="0096291A">
        <w:rPr>
          <w:b/>
          <w:bCs/>
          <w:sz w:val="24"/>
          <w:szCs w:val="24"/>
        </w:rPr>
        <w:t>).</w:t>
      </w:r>
      <w:r w:rsidR="00930E88">
        <w:rPr>
          <w:b/>
          <w:bCs/>
          <w:sz w:val="24"/>
          <w:szCs w:val="24"/>
        </w:rPr>
        <w:t xml:space="preserve"> </w:t>
      </w:r>
      <w:r w:rsidR="00930E88" w:rsidRPr="00930E88">
        <w:rPr>
          <w:b/>
          <w:bCs/>
          <w:sz w:val="24"/>
          <w:szCs w:val="24"/>
        </w:rPr>
        <w:t xml:space="preserve">Some oil reservoirs are classified as sour due to non-biogenic processes. These processes include the thermophilic decomposition of sulfur-containing hydrocarbons, the dissolution of pyrite, and thermochemical sulfate reduction. Several factors influence these mechanisms, such as the type of reservoir rock, the composition of the oil, thermal maturity, high temperatures, and </w:t>
      </w:r>
      <w:proofErr w:type="spellStart"/>
      <w:r w:rsidR="00930E88" w:rsidRPr="00930E88">
        <w:rPr>
          <w:b/>
          <w:bCs/>
          <w:sz w:val="24"/>
          <w:szCs w:val="24"/>
        </w:rPr>
        <w:t>aquathermolysis</w:t>
      </w:r>
      <w:proofErr w:type="spellEnd"/>
      <w:r w:rsidR="00930E88" w:rsidRPr="00930E88">
        <w:rPr>
          <w:b/>
          <w:bCs/>
          <w:sz w:val="24"/>
          <w:szCs w:val="24"/>
        </w:rPr>
        <w:t xml:space="preserve"> during thermal recovery operations.</w:t>
      </w: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0072E8" w:rsidRDefault="000072E8" w:rsidP="00C34E87">
      <w:pPr>
        <w:spacing w:after="0" w:line="240" w:lineRule="auto"/>
        <w:jc w:val="both"/>
        <w:rPr>
          <w:b/>
          <w:bCs/>
          <w:sz w:val="24"/>
          <w:szCs w:val="24"/>
        </w:rPr>
      </w:pPr>
    </w:p>
    <w:p w:rsidR="0096291A" w:rsidRPr="007407B4" w:rsidRDefault="0096291A" w:rsidP="00C34E87">
      <w:pPr>
        <w:spacing w:after="0" w:line="240" w:lineRule="auto"/>
        <w:jc w:val="both"/>
        <w:rPr>
          <w:b/>
          <w:bCs/>
          <w:sz w:val="24"/>
          <w:szCs w:val="24"/>
        </w:rPr>
      </w:pPr>
    </w:p>
    <w:p w:rsidR="00ED675F" w:rsidRDefault="00CD1BEF" w:rsidP="00CE59BC">
      <w:pPr>
        <w:pStyle w:val="ListParagraph"/>
        <w:numPr>
          <w:ilvl w:val="0"/>
          <w:numId w:val="1"/>
        </w:numPr>
        <w:spacing w:after="0" w:line="240" w:lineRule="auto"/>
        <w:ind w:left="0"/>
        <w:jc w:val="both"/>
        <w:rPr>
          <w:b/>
          <w:bCs/>
          <w:sz w:val="24"/>
          <w:szCs w:val="24"/>
        </w:rPr>
      </w:pPr>
      <w:r w:rsidRPr="007407B4">
        <w:rPr>
          <w:b/>
          <w:bCs/>
          <w:sz w:val="24"/>
          <w:szCs w:val="24"/>
        </w:rPr>
        <w:t>R</w:t>
      </w:r>
      <w:r w:rsidR="00A5175D" w:rsidRPr="007407B4">
        <w:rPr>
          <w:b/>
          <w:bCs/>
          <w:sz w:val="24"/>
          <w:szCs w:val="24"/>
        </w:rPr>
        <w:t>eservoir management</w:t>
      </w:r>
      <w:r w:rsidR="00AA3466" w:rsidRPr="007407B4">
        <w:rPr>
          <w:b/>
          <w:bCs/>
          <w:sz w:val="24"/>
          <w:szCs w:val="24"/>
        </w:rPr>
        <w:t xml:space="preserve"> and </w:t>
      </w:r>
      <w:r w:rsidR="00522982" w:rsidRPr="007407B4">
        <w:rPr>
          <w:b/>
          <w:bCs/>
          <w:sz w:val="24"/>
          <w:szCs w:val="24"/>
        </w:rPr>
        <w:t>monitoring</w:t>
      </w:r>
    </w:p>
    <w:p w:rsidR="00736ECC" w:rsidRDefault="003C4F5B" w:rsidP="001A3345">
      <w:pPr>
        <w:pStyle w:val="ListParagraph"/>
        <w:spacing w:after="0" w:line="240" w:lineRule="auto"/>
        <w:ind w:left="0"/>
        <w:jc w:val="both"/>
        <w:rPr>
          <w:b/>
          <w:bCs/>
          <w:sz w:val="24"/>
          <w:szCs w:val="24"/>
        </w:rPr>
      </w:pPr>
      <w:r w:rsidRPr="003C4F5B">
        <w:rPr>
          <w:b/>
          <w:bCs/>
          <w:sz w:val="24"/>
          <w:szCs w:val="24"/>
        </w:rPr>
        <w:t>Reservoir management is central to the economic viability of petroleum operations, directly influencing production rates, recovery factors and long</w:t>
      </w:r>
      <w:r w:rsidRPr="003C4F5B">
        <w:rPr>
          <w:rFonts w:ascii="MS Gothic" w:eastAsia="MS Gothic" w:hAnsi="MS Gothic" w:cs="MS Gothic" w:hint="eastAsia"/>
          <w:b/>
          <w:bCs/>
          <w:sz w:val="24"/>
          <w:szCs w:val="24"/>
        </w:rPr>
        <w:t>‑</w:t>
      </w:r>
      <w:r w:rsidRPr="003C4F5B">
        <w:rPr>
          <w:b/>
          <w:bCs/>
          <w:sz w:val="24"/>
          <w:szCs w:val="24"/>
        </w:rPr>
        <w:t>term asset value. Decisions about drilling, completion and production optimization involve billions of dollars in capital and operating expenditures and carry substantial safety and environmental implications. As the industry faces aging assets, volatile markets and increasingly stringent regulations, timely and accurate reservoir analysis has become an operational imperative.</w:t>
      </w:r>
      <w:r w:rsidR="001A3345">
        <w:rPr>
          <w:b/>
          <w:bCs/>
          <w:sz w:val="24"/>
          <w:szCs w:val="24"/>
        </w:rPr>
        <w:t xml:space="preserve"> </w:t>
      </w:r>
      <w:r w:rsidR="00140096" w:rsidRPr="007407B4">
        <w:rPr>
          <w:b/>
          <w:bCs/>
          <w:sz w:val="24"/>
          <w:szCs w:val="24"/>
        </w:rPr>
        <w:t>The goal of reservoir management is to maximize the recovery of oil and gas while minimizing capital expenditures and operational costs. This is an integrated, dynamic, and ongoing process that involves the efficient use of interdisciplinary human, technical, and financial resources</w:t>
      </w:r>
      <w:r w:rsidR="00F96E39" w:rsidRPr="007407B4">
        <w:rPr>
          <w:b/>
          <w:bCs/>
          <w:sz w:val="24"/>
          <w:szCs w:val="24"/>
        </w:rPr>
        <w:t xml:space="preserve"> (</w:t>
      </w:r>
      <w:r w:rsidR="00F96E39" w:rsidRPr="007407B4">
        <w:rPr>
          <w:b/>
          <w:bCs/>
          <w:color w:val="FF0000"/>
          <w:sz w:val="24"/>
          <w:szCs w:val="24"/>
        </w:rPr>
        <w:t>Satter, Iqbal</w:t>
      </w:r>
      <w:r w:rsidR="00EE7C56" w:rsidRPr="007407B4">
        <w:rPr>
          <w:b/>
          <w:bCs/>
          <w:color w:val="FF0000"/>
          <w:sz w:val="24"/>
          <w:szCs w:val="24"/>
        </w:rPr>
        <w:t>,</w:t>
      </w:r>
      <w:r w:rsidR="00F96E39" w:rsidRPr="007407B4">
        <w:rPr>
          <w:b/>
          <w:bCs/>
          <w:color w:val="FF0000"/>
          <w:sz w:val="24"/>
          <w:szCs w:val="24"/>
        </w:rPr>
        <w:t xml:space="preserve"> 2016</w:t>
      </w:r>
      <w:r w:rsidR="00EE7C56" w:rsidRPr="007407B4">
        <w:rPr>
          <w:b/>
          <w:bCs/>
          <w:sz w:val="24"/>
          <w:szCs w:val="24"/>
        </w:rPr>
        <w:t>)</w:t>
      </w:r>
      <w:r w:rsidR="00140096" w:rsidRPr="007407B4">
        <w:rPr>
          <w:b/>
          <w:bCs/>
          <w:sz w:val="24"/>
          <w:szCs w:val="24"/>
        </w:rPr>
        <w:t>. Additionally, it requires frequent adjustments to management plans based on the performance of the reservoir.</w:t>
      </w:r>
      <w:r w:rsidR="00592FFC" w:rsidRPr="007407B4">
        <w:rPr>
          <w:b/>
          <w:bCs/>
          <w:sz w:val="24"/>
          <w:szCs w:val="24"/>
        </w:rPr>
        <w:t xml:space="preserve"> Furthermore, the reservoir management process includes economic, legal, social, and environmental aspects.</w:t>
      </w:r>
      <w:r w:rsidR="00BD23AA" w:rsidRPr="007407B4">
        <w:rPr>
          <w:b/>
          <w:bCs/>
          <w:sz w:val="24"/>
          <w:szCs w:val="24"/>
        </w:rPr>
        <w:t xml:space="preserve"> R</w:t>
      </w:r>
      <w:r w:rsidR="00592FFC" w:rsidRPr="007407B4">
        <w:rPr>
          <w:b/>
          <w:bCs/>
          <w:sz w:val="24"/>
          <w:szCs w:val="24"/>
        </w:rPr>
        <w:t>eservoir management is an ongoing process that involves the continuous collection and analysis of data in real-time to enhance procedures and improve well efficiency. Commonly gathered information includes well rates, the water-to-oil ratio, bottom hole pressure, and the composition of produced water</w:t>
      </w:r>
      <w:r w:rsidR="00BD23AA" w:rsidRPr="007407B4">
        <w:rPr>
          <w:b/>
          <w:bCs/>
          <w:sz w:val="24"/>
          <w:szCs w:val="24"/>
        </w:rPr>
        <w:t xml:space="preserve"> (</w:t>
      </w:r>
      <w:r w:rsidR="00BD23AA" w:rsidRPr="007407B4">
        <w:rPr>
          <w:b/>
          <w:bCs/>
          <w:color w:val="FF0000"/>
          <w:sz w:val="24"/>
          <w:szCs w:val="24"/>
        </w:rPr>
        <w:t>Thakur, 1996</w:t>
      </w:r>
      <w:r w:rsidR="00BD23AA" w:rsidRPr="007407B4">
        <w:rPr>
          <w:b/>
          <w:bCs/>
          <w:sz w:val="24"/>
          <w:szCs w:val="24"/>
        </w:rPr>
        <w:t>).</w:t>
      </w:r>
      <w:r w:rsidR="00006716" w:rsidRPr="007407B4">
        <w:rPr>
          <w:b/>
          <w:bCs/>
          <w:sz w:val="24"/>
          <w:szCs w:val="24"/>
        </w:rPr>
        <w:t xml:space="preserve"> </w:t>
      </w:r>
      <w:r w:rsidR="00ED78C2" w:rsidRPr="007407B4">
        <w:rPr>
          <w:b/>
          <w:bCs/>
          <w:sz w:val="24"/>
          <w:szCs w:val="24"/>
        </w:rPr>
        <w:t>As technology continues to advance, particularly in areas like artificial intelligence, machine learning, and the internet, reservoir monitoring is likely to experience significant innovation in the future</w:t>
      </w:r>
      <w:r w:rsidR="00BE331F" w:rsidRPr="007407B4">
        <w:rPr>
          <w:b/>
          <w:bCs/>
          <w:sz w:val="24"/>
          <w:szCs w:val="24"/>
        </w:rPr>
        <w:t xml:space="preserve"> (</w:t>
      </w:r>
      <w:r w:rsidR="00BE331F" w:rsidRPr="007407B4">
        <w:rPr>
          <w:b/>
          <w:bCs/>
          <w:color w:val="FF0000"/>
          <w:sz w:val="24"/>
          <w:szCs w:val="24"/>
        </w:rPr>
        <w:t>Aliev et al., 2023</w:t>
      </w:r>
      <w:r w:rsidR="00F22552" w:rsidRPr="007407B4">
        <w:rPr>
          <w:b/>
          <w:bCs/>
          <w:color w:val="FF0000"/>
          <w:sz w:val="24"/>
          <w:szCs w:val="24"/>
        </w:rPr>
        <w:t>; Ma et al., 2023</w:t>
      </w:r>
      <w:r w:rsidR="00BE331F" w:rsidRPr="007407B4">
        <w:rPr>
          <w:b/>
          <w:bCs/>
          <w:sz w:val="24"/>
          <w:szCs w:val="24"/>
        </w:rPr>
        <w:t>)</w:t>
      </w:r>
      <w:r w:rsidR="00ED78C2" w:rsidRPr="007407B4">
        <w:rPr>
          <w:b/>
          <w:bCs/>
          <w:sz w:val="24"/>
          <w:szCs w:val="24"/>
        </w:rPr>
        <w:t>. These technologies are expected to enhance real-time analysis and automate data collection, leading to greater accuracy in managing production processes and providing deeper insights</w:t>
      </w:r>
      <w:r w:rsidR="00B63396" w:rsidRPr="007407B4">
        <w:rPr>
          <w:b/>
          <w:bCs/>
          <w:sz w:val="24"/>
          <w:szCs w:val="24"/>
        </w:rPr>
        <w:t xml:space="preserve"> (</w:t>
      </w:r>
      <w:r w:rsidR="00B63396" w:rsidRPr="007407B4">
        <w:rPr>
          <w:b/>
          <w:bCs/>
          <w:color w:val="FF0000"/>
          <w:sz w:val="24"/>
          <w:szCs w:val="24"/>
        </w:rPr>
        <w:t>Ge et al., 2025</w:t>
      </w:r>
      <w:r w:rsidR="00B63396" w:rsidRPr="007407B4">
        <w:rPr>
          <w:b/>
          <w:bCs/>
          <w:sz w:val="24"/>
          <w:szCs w:val="24"/>
        </w:rPr>
        <w:t>)</w:t>
      </w:r>
      <w:r w:rsidR="00ED78C2" w:rsidRPr="007407B4">
        <w:rPr>
          <w:b/>
          <w:bCs/>
          <w:sz w:val="24"/>
          <w:szCs w:val="24"/>
        </w:rPr>
        <w:t>.</w:t>
      </w:r>
      <w:r w:rsidR="00006716" w:rsidRPr="007407B4">
        <w:rPr>
          <w:b/>
          <w:bCs/>
          <w:sz w:val="24"/>
          <w:szCs w:val="24"/>
        </w:rPr>
        <w:t xml:space="preserve"> </w:t>
      </w:r>
      <w:r w:rsidR="006B2F79" w:rsidRPr="007407B4">
        <w:rPr>
          <w:b/>
          <w:bCs/>
          <w:sz w:val="24"/>
          <w:szCs w:val="24"/>
        </w:rPr>
        <w:t>Industry experts suggest that incorporating AI could enhance predictive models, leading to better reservoir management and proactive problem-solving. As this technology continues to evolve, operators will be more equipped to address emerging challenges and take ad</w:t>
      </w:r>
      <w:r w:rsidR="00F22552" w:rsidRPr="007407B4">
        <w:rPr>
          <w:b/>
          <w:bCs/>
          <w:sz w:val="24"/>
          <w:szCs w:val="24"/>
        </w:rPr>
        <w:t xml:space="preserve"> </w:t>
      </w:r>
      <w:proofErr w:type="spellStart"/>
      <w:r w:rsidR="00F22552" w:rsidRPr="007407B4">
        <w:rPr>
          <w:b/>
          <w:bCs/>
          <w:sz w:val="24"/>
          <w:szCs w:val="24"/>
        </w:rPr>
        <w:t>a</w:t>
      </w:r>
      <w:r w:rsidR="006B2F79" w:rsidRPr="007407B4">
        <w:rPr>
          <w:b/>
          <w:bCs/>
          <w:sz w:val="24"/>
          <w:szCs w:val="24"/>
        </w:rPr>
        <w:t>vantage</w:t>
      </w:r>
      <w:proofErr w:type="spellEnd"/>
      <w:r w:rsidR="006B2F79" w:rsidRPr="007407B4">
        <w:rPr>
          <w:b/>
          <w:bCs/>
          <w:sz w:val="24"/>
          <w:szCs w:val="24"/>
        </w:rPr>
        <w:t xml:space="preserve"> of opportunities for sustainable resource utilization</w:t>
      </w:r>
      <w:r w:rsidR="0034071E" w:rsidRPr="007407B4">
        <w:rPr>
          <w:b/>
          <w:bCs/>
          <w:sz w:val="24"/>
          <w:szCs w:val="24"/>
        </w:rPr>
        <w:t xml:space="preserve"> (</w:t>
      </w:r>
      <w:r w:rsidR="0034071E" w:rsidRPr="007407B4">
        <w:rPr>
          <w:b/>
          <w:bCs/>
          <w:color w:val="FF0000"/>
          <w:sz w:val="24"/>
          <w:szCs w:val="24"/>
        </w:rPr>
        <w:t>Shao et al., 2025</w:t>
      </w:r>
      <w:r w:rsidR="0034071E" w:rsidRPr="007407B4">
        <w:rPr>
          <w:b/>
          <w:bCs/>
          <w:sz w:val="24"/>
          <w:szCs w:val="24"/>
        </w:rPr>
        <w:t>).</w:t>
      </w:r>
    </w:p>
    <w:p w:rsidR="001B5137" w:rsidRDefault="001B5137" w:rsidP="00CE59BC">
      <w:pPr>
        <w:spacing w:after="0" w:line="240" w:lineRule="auto"/>
        <w:jc w:val="both"/>
        <w:rPr>
          <w:b/>
          <w:bCs/>
          <w:sz w:val="24"/>
          <w:szCs w:val="24"/>
        </w:rPr>
      </w:pPr>
    </w:p>
    <w:p w:rsidR="001B5137" w:rsidRPr="001B5137" w:rsidRDefault="001B5137" w:rsidP="001B5137">
      <w:pPr>
        <w:spacing w:after="0" w:line="240" w:lineRule="auto"/>
        <w:rPr>
          <w:b/>
          <w:bCs/>
          <w:sz w:val="24"/>
          <w:szCs w:val="24"/>
        </w:rPr>
      </w:pPr>
      <w:r w:rsidRPr="001B5137">
        <w:rPr>
          <w:b/>
          <w:bCs/>
          <w:sz w:val="24"/>
          <w:szCs w:val="24"/>
        </w:rPr>
        <w:t>Importance of Reservoir management for sustaining oil production</w:t>
      </w:r>
    </w:p>
    <w:p w:rsidR="001B5137" w:rsidRPr="007407B4" w:rsidRDefault="001B5137" w:rsidP="00A16E97">
      <w:pPr>
        <w:spacing w:after="0" w:line="240" w:lineRule="auto"/>
        <w:jc w:val="both"/>
        <w:rPr>
          <w:b/>
          <w:bCs/>
          <w:sz w:val="24"/>
          <w:szCs w:val="24"/>
        </w:rPr>
      </w:pPr>
      <w:r w:rsidRPr="001B5137">
        <w:rPr>
          <w:b/>
          <w:bCs/>
          <w:sz w:val="24"/>
          <w:szCs w:val="24"/>
        </w:rPr>
        <w:t>Reservoir management plays a crucial role in the oil and gas industry, serving as a cornerstone for sustaining future oil production. By optimizing oil recovery, minimizing operating costs, prolonging the lifespan of oilfields, and achieving sustainability objectives, effective reservoir management enables oil companies to ensure a reliable supply of oil to meet global energy demands in a sustainable way</w:t>
      </w:r>
      <w:r w:rsidR="00E67318">
        <w:rPr>
          <w:b/>
          <w:bCs/>
          <w:sz w:val="24"/>
          <w:szCs w:val="24"/>
        </w:rPr>
        <w:t xml:space="preserve"> (</w:t>
      </w:r>
      <w:r w:rsidR="00E67318" w:rsidRPr="00E67318">
        <w:rPr>
          <w:b/>
          <w:bCs/>
          <w:color w:val="FF0000"/>
          <w:sz w:val="24"/>
          <w:szCs w:val="24"/>
        </w:rPr>
        <w:t>Guo, Liu, 2024</w:t>
      </w:r>
      <w:r w:rsidR="00E67318">
        <w:rPr>
          <w:b/>
          <w:bCs/>
          <w:sz w:val="24"/>
          <w:szCs w:val="24"/>
        </w:rPr>
        <w:t>)</w:t>
      </w:r>
      <w:r w:rsidRPr="001B5137">
        <w:rPr>
          <w:b/>
          <w:bCs/>
          <w:sz w:val="24"/>
          <w:szCs w:val="24"/>
        </w:rPr>
        <w:t>. The amount of oil that can be extracted from a reservoir can be increased through reservoir management strategies such as enhanced oil recovery (EOR)</w:t>
      </w:r>
      <w:r w:rsidR="00BD4A9B">
        <w:rPr>
          <w:b/>
          <w:bCs/>
          <w:sz w:val="24"/>
          <w:szCs w:val="24"/>
        </w:rPr>
        <w:t xml:space="preserve"> (</w:t>
      </w:r>
      <w:r w:rsidR="00BD4A9B" w:rsidRPr="00BD4A9B">
        <w:rPr>
          <w:b/>
          <w:bCs/>
          <w:color w:val="FF0000"/>
          <w:sz w:val="24"/>
          <w:szCs w:val="24"/>
        </w:rPr>
        <w:t>Das, et al., 2025</w:t>
      </w:r>
      <w:r w:rsidR="00BD4A9B">
        <w:rPr>
          <w:b/>
          <w:bCs/>
          <w:sz w:val="24"/>
          <w:szCs w:val="24"/>
        </w:rPr>
        <w:t>)</w:t>
      </w:r>
      <w:r w:rsidRPr="001B5137">
        <w:rPr>
          <w:b/>
          <w:bCs/>
          <w:sz w:val="24"/>
          <w:szCs w:val="24"/>
        </w:rPr>
        <w:t xml:space="preserve">. By injecting gases or chemicals into the reservoir, EOR can help mobilize more oil and aid </w:t>
      </w:r>
      <w:r w:rsidRPr="001B5137">
        <w:rPr>
          <w:b/>
          <w:bCs/>
          <w:sz w:val="24"/>
          <w:szCs w:val="24"/>
        </w:rPr>
        <w:lastRenderedPageBreak/>
        <w:t>in its extraction. In addition to increasing the total quantity of oil produced, this approach can also prolong the life of the reservoir. Effective reservoir management can help lower the operating costs linked to oil production. By monitoring reservoir performance and optimizing production processes, oil companies can pinpoint areas where expenses can be minimized. For instance, they may find ways to decrease the amount of water or gas injected into the reservoir or improve the use of artificial lift systems to reduce energy consumption</w:t>
      </w:r>
      <w:r w:rsidR="00A16E97">
        <w:rPr>
          <w:b/>
          <w:bCs/>
          <w:sz w:val="24"/>
          <w:szCs w:val="24"/>
        </w:rPr>
        <w:t xml:space="preserve"> </w:t>
      </w:r>
      <w:r w:rsidR="00A16E97" w:rsidRPr="00A16E97">
        <w:rPr>
          <w:b/>
          <w:bCs/>
          <w:color w:val="FF0000"/>
          <w:sz w:val="24"/>
          <w:szCs w:val="24"/>
        </w:rPr>
        <w:t>(Ma, et al., 2025</w:t>
      </w:r>
      <w:r w:rsidR="00A16E97">
        <w:rPr>
          <w:b/>
          <w:bCs/>
          <w:sz w:val="24"/>
          <w:szCs w:val="24"/>
        </w:rPr>
        <w:t>)</w:t>
      </w:r>
      <w:r w:rsidRPr="001B5137">
        <w:rPr>
          <w:b/>
          <w:bCs/>
          <w:sz w:val="24"/>
          <w:szCs w:val="24"/>
        </w:rPr>
        <w:t>. Effective reservoir management can help to extend the life of oilfields, allowing them to continue producing oil for longer periods of time. This can help to ensure a steady supply of oil to meet the world's energy needs, even as demand continues to rise. By managing reservoir pressure, optimizing production processes, and implementing EOR techniques, oil companies can help to maximize the amount of oil that can be produced from a given reservoir. Effective reservoir management is essential for achieving sustainability goals in the oil and gas industry. By minimizing the environmental impact of oil production, companies can operate in a responsible and sustainable manner. For instance, they can reduce greenhouse gas emissions by optimizing production processes or by capturing and storing carbon dioxide</w:t>
      </w:r>
      <w:r w:rsidR="00D33264">
        <w:rPr>
          <w:b/>
          <w:bCs/>
          <w:sz w:val="24"/>
          <w:szCs w:val="24"/>
        </w:rPr>
        <w:t xml:space="preserve"> </w:t>
      </w:r>
      <w:r w:rsidR="00D33264" w:rsidRPr="00D33264">
        <w:rPr>
          <w:b/>
          <w:bCs/>
          <w:color w:val="FF0000"/>
          <w:sz w:val="24"/>
          <w:szCs w:val="24"/>
        </w:rPr>
        <w:t>(Dabral et al., 2025</w:t>
      </w:r>
      <w:r w:rsidR="00D33264">
        <w:rPr>
          <w:b/>
          <w:bCs/>
          <w:sz w:val="24"/>
          <w:szCs w:val="24"/>
        </w:rPr>
        <w:t>)</w:t>
      </w:r>
      <w:r w:rsidRPr="001B5137">
        <w:rPr>
          <w:b/>
          <w:bCs/>
          <w:sz w:val="24"/>
          <w:szCs w:val="24"/>
        </w:rPr>
        <w:t>.</w:t>
      </w:r>
      <w:r w:rsidR="00DF748B">
        <w:rPr>
          <w:b/>
          <w:bCs/>
          <w:sz w:val="24"/>
          <w:szCs w:val="24"/>
        </w:rPr>
        <w:t xml:space="preserve"> </w:t>
      </w:r>
      <w:r w:rsidR="00DF748B" w:rsidRPr="00DF748B">
        <w:rPr>
          <w:b/>
          <w:bCs/>
          <w:sz w:val="24"/>
          <w:szCs w:val="24"/>
        </w:rPr>
        <w:t>The petroleum industry faces a significant risk from biogenic souring of reservoirs, which occurs when hydrogen sulfide (H2S) is formed due to anaerobic microbial activity from sulfate-reducing microorganisms (SRMs). H2S is highly toxic, flammable, and corrosive, making it a serious threat that can lead to catastrophic damage to reservoirs and related surface facilities.</w:t>
      </w:r>
    </w:p>
    <w:p w:rsidR="00006716" w:rsidRDefault="00006716" w:rsidP="00CE59BC">
      <w:pPr>
        <w:spacing w:after="0" w:line="240" w:lineRule="auto"/>
        <w:jc w:val="both"/>
        <w:rPr>
          <w:b/>
          <w:bCs/>
        </w:rPr>
      </w:pPr>
    </w:p>
    <w:p w:rsidR="00006716" w:rsidRDefault="00006716" w:rsidP="00006716">
      <w:pPr>
        <w:spacing w:after="0" w:line="240" w:lineRule="auto"/>
        <w:jc w:val="both"/>
        <w:rPr>
          <w:b/>
          <w:bCs/>
        </w:rPr>
      </w:pPr>
    </w:p>
    <w:p w:rsidR="00006716" w:rsidRDefault="00006716" w:rsidP="00006716">
      <w:pPr>
        <w:spacing w:after="0" w:line="240" w:lineRule="auto"/>
        <w:jc w:val="center"/>
        <w:rPr>
          <w:b/>
          <w:bCs/>
        </w:rPr>
      </w:pPr>
      <w:r>
        <w:rPr>
          <w:b/>
          <w:bCs/>
          <w:noProof/>
          <w:sz w:val="28"/>
          <w:szCs w:val="28"/>
        </w:rPr>
        <w:drawing>
          <wp:inline distT="0" distB="0" distL="0" distR="0" wp14:anchorId="301BC8FC" wp14:editId="34FA4191">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06716" w:rsidRDefault="00006716" w:rsidP="00ED675F">
      <w:pPr>
        <w:spacing w:after="0" w:line="240" w:lineRule="auto"/>
        <w:jc w:val="both"/>
        <w:rPr>
          <w:b/>
          <w:bCs/>
        </w:rPr>
      </w:pPr>
    </w:p>
    <w:p w:rsidR="00006716" w:rsidRDefault="00006716" w:rsidP="00ED675F">
      <w:pPr>
        <w:spacing w:after="0" w:line="240" w:lineRule="auto"/>
        <w:jc w:val="both"/>
        <w:rPr>
          <w:b/>
          <w:bCs/>
        </w:rPr>
      </w:pPr>
    </w:p>
    <w:p w:rsidR="00006716" w:rsidRDefault="00006716" w:rsidP="00ED675F">
      <w:pPr>
        <w:spacing w:after="0" w:line="240" w:lineRule="auto"/>
        <w:jc w:val="both"/>
        <w:rPr>
          <w:b/>
          <w:bCs/>
        </w:rPr>
      </w:pPr>
    </w:p>
    <w:p w:rsidR="00006716" w:rsidRDefault="00006716" w:rsidP="00ED675F">
      <w:pPr>
        <w:spacing w:after="0" w:line="240" w:lineRule="auto"/>
        <w:jc w:val="both"/>
        <w:rPr>
          <w:b/>
          <w:bCs/>
          <w:sz w:val="28"/>
          <w:szCs w:val="28"/>
        </w:rPr>
      </w:pPr>
      <w:r w:rsidRPr="00006716">
        <w:rPr>
          <w:b/>
          <w:bCs/>
          <w:sz w:val="28"/>
          <w:szCs w:val="28"/>
        </w:rPr>
        <w:t>Fig 3: Summary of the main objectives of the reservoir management activities.</w:t>
      </w:r>
    </w:p>
    <w:p w:rsidR="00AA5E08" w:rsidRDefault="00AA5E08" w:rsidP="00ED675F">
      <w:pPr>
        <w:spacing w:after="0" w:line="240" w:lineRule="auto"/>
        <w:jc w:val="both"/>
        <w:rPr>
          <w:b/>
          <w:bCs/>
          <w:sz w:val="28"/>
          <w:szCs w:val="28"/>
        </w:rPr>
      </w:pPr>
    </w:p>
    <w:p w:rsidR="00AA5E08" w:rsidRPr="00AA5E08" w:rsidRDefault="00AA5E08" w:rsidP="00AA5E08">
      <w:pPr>
        <w:spacing w:after="0" w:line="240" w:lineRule="auto"/>
        <w:jc w:val="both"/>
        <w:rPr>
          <w:b/>
          <w:bCs/>
          <w:sz w:val="24"/>
          <w:szCs w:val="24"/>
        </w:rPr>
      </w:pPr>
      <w:r w:rsidRPr="00AA5E08">
        <w:rPr>
          <w:b/>
          <w:bCs/>
          <w:sz w:val="24"/>
          <w:szCs w:val="24"/>
        </w:rPr>
        <w:t>Key Elements of Effective Reservoir Management</w:t>
      </w:r>
    </w:p>
    <w:p w:rsidR="00AA5E08" w:rsidRPr="00AA5E08" w:rsidRDefault="00AA5E08" w:rsidP="00C9428E">
      <w:pPr>
        <w:spacing w:after="0" w:line="240" w:lineRule="auto"/>
        <w:jc w:val="both"/>
        <w:rPr>
          <w:b/>
          <w:bCs/>
          <w:sz w:val="24"/>
          <w:szCs w:val="24"/>
        </w:rPr>
      </w:pPr>
      <w:r w:rsidRPr="00AA5E08">
        <w:rPr>
          <w:b/>
          <w:bCs/>
          <w:sz w:val="24"/>
          <w:szCs w:val="24"/>
        </w:rPr>
        <w:t>Optimizing oil and gas production in reservoirs to ensure maximum recovery and sustainability is a critical aspect of the oil and gas industry. This process involves several key tasks, such as monitoring well performance, predicting reservoir behavior, and implementing strategies to maximize production</w:t>
      </w:r>
      <w:r w:rsidR="00C9428E">
        <w:rPr>
          <w:b/>
          <w:bCs/>
          <w:sz w:val="24"/>
          <w:szCs w:val="24"/>
        </w:rPr>
        <w:t xml:space="preserve"> (</w:t>
      </w:r>
      <w:r w:rsidR="00C9428E" w:rsidRPr="00C9428E">
        <w:rPr>
          <w:b/>
          <w:bCs/>
          <w:color w:val="FF0000"/>
          <w:sz w:val="24"/>
          <w:szCs w:val="24"/>
        </w:rPr>
        <w:t>Rajput, Pathak</w:t>
      </w:r>
      <w:r w:rsidR="00C9428E">
        <w:rPr>
          <w:b/>
          <w:bCs/>
          <w:sz w:val="24"/>
          <w:szCs w:val="24"/>
        </w:rPr>
        <w:t xml:space="preserve">, </w:t>
      </w:r>
      <w:r w:rsidR="00C9428E" w:rsidRPr="00C9428E">
        <w:rPr>
          <w:b/>
          <w:bCs/>
          <w:color w:val="FF0000"/>
          <w:sz w:val="24"/>
          <w:szCs w:val="24"/>
        </w:rPr>
        <w:t>2025</w:t>
      </w:r>
      <w:r w:rsidR="00C9428E">
        <w:rPr>
          <w:b/>
          <w:bCs/>
          <w:sz w:val="24"/>
          <w:szCs w:val="24"/>
        </w:rPr>
        <w:t>)</w:t>
      </w:r>
      <w:r w:rsidRPr="00AA5E08">
        <w:rPr>
          <w:b/>
          <w:bCs/>
          <w:sz w:val="24"/>
          <w:szCs w:val="24"/>
        </w:rPr>
        <w:t>.</w:t>
      </w:r>
    </w:p>
    <w:p w:rsidR="00AA5E08" w:rsidRPr="00AA5E08" w:rsidRDefault="00AA5E08" w:rsidP="006E4885">
      <w:pPr>
        <w:spacing w:after="0" w:line="240" w:lineRule="auto"/>
        <w:rPr>
          <w:b/>
          <w:bCs/>
          <w:sz w:val="24"/>
          <w:szCs w:val="24"/>
        </w:rPr>
      </w:pPr>
      <w:r w:rsidRPr="00AA5E08">
        <w:rPr>
          <w:b/>
          <w:bCs/>
          <w:sz w:val="24"/>
          <w:szCs w:val="24"/>
        </w:rPr>
        <w:t xml:space="preserve">The key elements of reservoir management are intricate and require the integration of various fields, including production engineering, geology, geophysics, and reservoir engineering as </w:t>
      </w:r>
      <w:proofErr w:type="gramStart"/>
      <w:r w:rsidRPr="00AA5E08">
        <w:rPr>
          <w:b/>
          <w:bCs/>
          <w:sz w:val="24"/>
          <w:szCs w:val="24"/>
        </w:rPr>
        <w:t>follow</w:t>
      </w:r>
      <w:r w:rsidR="006E4885">
        <w:rPr>
          <w:b/>
          <w:bCs/>
          <w:sz w:val="24"/>
          <w:szCs w:val="24"/>
        </w:rPr>
        <w:t xml:space="preserve"> </w:t>
      </w:r>
      <w:r w:rsidRPr="00AA5E08">
        <w:rPr>
          <w:b/>
          <w:bCs/>
          <w:sz w:val="24"/>
          <w:szCs w:val="24"/>
        </w:rPr>
        <w:t>:</w:t>
      </w:r>
      <w:proofErr w:type="gramEnd"/>
      <w:r w:rsidRPr="00AA5E08">
        <w:rPr>
          <w:b/>
          <w:bCs/>
          <w:sz w:val="24"/>
          <w:szCs w:val="24"/>
        </w:rPr>
        <w:t>-</w:t>
      </w:r>
    </w:p>
    <w:p w:rsidR="00AA5E08" w:rsidRPr="00AA5E08" w:rsidRDefault="001A3345" w:rsidP="001A3345">
      <w:pPr>
        <w:spacing w:after="0" w:line="240" w:lineRule="auto"/>
        <w:jc w:val="both"/>
        <w:rPr>
          <w:b/>
          <w:bCs/>
          <w:sz w:val="24"/>
          <w:szCs w:val="24"/>
        </w:rPr>
      </w:pPr>
      <w:r>
        <w:rPr>
          <w:b/>
          <w:bCs/>
          <w:sz w:val="24"/>
          <w:szCs w:val="24"/>
        </w:rPr>
        <w:t>a)</w:t>
      </w:r>
      <w:r w:rsidR="00AA5E08" w:rsidRPr="00AA5E08">
        <w:rPr>
          <w:b/>
          <w:bCs/>
          <w:sz w:val="24"/>
          <w:szCs w:val="24"/>
        </w:rPr>
        <w:tab/>
        <w:t>Reservoir characterization involves gathering information to understand the key features of a reservoir, such as rock type, permeability, porosity, and hydrocarbon volume. A comprehensive understanding of these characteristics is essential for developing effective management plans. This information plays a crucial role in the process. For instance, utilizing seismic data can help identify the locations of gas and oil deposits within the reservoir</w:t>
      </w:r>
      <w:r w:rsidR="00EA0A42">
        <w:rPr>
          <w:b/>
          <w:bCs/>
          <w:sz w:val="24"/>
          <w:szCs w:val="24"/>
        </w:rPr>
        <w:t xml:space="preserve"> (</w:t>
      </w:r>
      <w:proofErr w:type="spellStart"/>
      <w:r w:rsidR="00EA0A42" w:rsidRPr="00EA0A42">
        <w:rPr>
          <w:b/>
          <w:bCs/>
          <w:color w:val="FF0000"/>
          <w:sz w:val="24"/>
          <w:szCs w:val="24"/>
        </w:rPr>
        <w:t>Nabawy</w:t>
      </w:r>
      <w:proofErr w:type="spellEnd"/>
      <w:r w:rsidR="00EA0A42" w:rsidRPr="00EA0A42">
        <w:rPr>
          <w:b/>
          <w:bCs/>
          <w:color w:val="FF0000"/>
          <w:sz w:val="24"/>
          <w:szCs w:val="24"/>
        </w:rPr>
        <w:t>, Bassem, 2025</w:t>
      </w:r>
      <w:r w:rsidR="00687A2E">
        <w:rPr>
          <w:b/>
          <w:bCs/>
          <w:color w:val="FF0000"/>
          <w:sz w:val="24"/>
          <w:szCs w:val="24"/>
        </w:rPr>
        <w:t>;</w:t>
      </w:r>
      <w:r w:rsidR="00687A2E" w:rsidRPr="00687A2E">
        <w:t xml:space="preserve"> </w:t>
      </w:r>
      <w:proofErr w:type="spellStart"/>
      <w:r w:rsidR="00687A2E" w:rsidRPr="00687A2E">
        <w:rPr>
          <w:b/>
          <w:bCs/>
          <w:color w:val="FF0000"/>
          <w:sz w:val="24"/>
          <w:szCs w:val="24"/>
        </w:rPr>
        <w:t>Shib</w:t>
      </w:r>
      <w:proofErr w:type="spellEnd"/>
      <w:r w:rsidR="00687A2E" w:rsidRPr="00687A2E">
        <w:rPr>
          <w:b/>
          <w:bCs/>
          <w:color w:val="FF0000"/>
          <w:sz w:val="24"/>
          <w:szCs w:val="24"/>
        </w:rPr>
        <w:t>, Vijay</w:t>
      </w:r>
      <w:r w:rsidR="005D4899">
        <w:rPr>
          <w:b/>
          <w:bCs/>
          <w:color w:val="FF0000"/>
          <w:sz w:val="24"/>
          <w:szCs w:val="24"/>
        </w:rPr>
        <w:t>, 2023</w:t>
      </w:r>
      <w:r w:rsidR="00EA0A42" w:rsidRPr="00687A2E">
        <w:rPr>
          <w:b/>
          <w:bCs/>
          <w:color w:val="FF0000"/>
          <w:sz w:val="24"/>
          <w:szCs w:val="24"/>
        </w:rPr>
        <w:t>)</w:t>
      </w:r>
      <w:r w:rsidR="00AA5E08" w:rsidRPr="00AA5E08">
        <w:rPr>
          <w:b/>
          <w:bCs/>
          <w:sz w:val="24"/>
          <w:szCs w:val="24"/>
        </w:rPr>
        <w:t>.</w:t>
      </w:r>
    </w:p>
    <w:p w:rsidR="00AA5E08" w:rsidRPr="00AA5E08" w:rsidRDefault="001A3345" w:rsidP="001A3345">
      <w:pPr>
        <w:spacing w:after="0" w:line="240" w:lineRule="auto"/>
        <w:jc w:val="both"/>
        <w:rPr>
          <w:b/>
          <w:bCs/>
          <w:sz w:val="24"/>
          <w:szCs w:val="24"/>
        </w:rPr>
      </w:pPr>
      <w:r>
        <w:rPr>
          <w:b/>
          <w:bCs/>
          <w:sz w:val="24"/>
          <w:szCs w:val="24"/>
        </w:rPr>
        <w:t>b)</w:t>
      </w:r>
      <w:r w:rsidR="00AA5E08" w:rsidRPr="00AA5E08">
        <w:rPr>
          <w:b/>
          <w:bCs/>
          <w:sz w:val="24"/>
          <w:szCs w:val="24"/>
        </w:rPr>
        <w:tab/>
        <w:t>Reservoir Monitoring: This involves the continuous monitoring and evaluation of the reservoir's performance, such as the production rate, pressure, and temperature. The data obtained from monitoring can help in identifying changes in the reservoir's behavior, such as the depletion of oil and gas reserves</w:t>
      </w:r>
      <w:r w:rsidR="00661D61">
        <w:rPr>
          <w:b/>
          <w:bCs/>
          <w:sz w:val="24"/>
          <w:szCs w:val="24"/>
        </w:rPr>
        <w:t xml:space="preserve"> </w:t>
      </w:r>
      <w:r w:rsidR="00661D61" w:rsidRPr="00661D61">
        <w:rPr>
          <w:b/>
          <w:bCs/>
          <w:color w:val="FF0000"/>
          <w:sz w:val="24"/>
          <w:szCs w:val="24"/>
        </w:rPr>
        <w:t>(Ge et al., 2025)</w:t>
      </w:r>
      <w:r w:rsidR="00AA5E08" w:rsidRPr="00661D61">
        <w:rPr>
          <w:b/>
          <w:bCs/>
          <w:color w:val="FF0000"/>
          <w:sz w:val="24"/>
          <w:szCs w:val="24"/>
        </w:rPr>
        <w:t>.</w:t>
      </w:r>
    </w:p>
    <w:p w:rsidR="00AA5E08" w:rsidRPr="00AA5E08" w:rsidRDefault="001A3345" w:rsidP="001A3345">
      <w:pPr>
        <w:spacing w:after="0" w:line="240" w:lineRule="auto"/>
        <w:jc w:val="both"/>
        <w:rPr>
          <w:b/>
          <w:bCs/>
          <w:sz w:val="24"/>
          <w:szCs w:val="24"/>
        </w:rPr>
      </w:pPr>
      <w:r>
        <w:rPr>
          <w:b/>
          <w:bCs/>
          <w:sz w:val="24"/>
          <w:szCs w:val="24"/>
        </w:rPr>
        <w:t>c)</w:t>
      </w:r>
      <w:r w:rsidR="00AA5E08" w:rsidRPr="00AA5E08">
        <w:rPr>
          <w:b/>
          <w:bCs/>
          <w:sz w:val="24"/>
          <w:szCs w:val="24"/>
        </w:rPr>
        <w:tab/>
        <w:t>Reservoir simulation involves modeling the behavior of a reservoir under different conditions using numerical methods. This process can help predict future reservoir behavior, including the remaining oil and gas reserves and expected production rates. For example, reservoir simulation can be used to identify the optimal location for drilling wells to maximize output</w:t>
      </w:r>
      <w:r w:rsidR="00661D61">
        <w:rPr>
          <w:b/>
          <w:bCs/>
          <w:sz w:val="24"/>
          <w:szCs w:val="24"/>
        </w:rPr>
        <w:t xml:space="preserve"> (</w:t>
      </w:r>
      <w:proofErr w:type="spellStart"/>
      <w:r w:rsidR="00661D61" w:rsidRPr="00661D61">
        <w:rPr>
          <w:b/>
          <w:bCs/>
          <w:color w:val="FF0000"/>
          <w:sz w:val="24"/>
          <w:szCs w:val="24"/>
        </w:rPr>
        <w:t>Saradva</w:t>
      </w:r>
      <w:proofErr w:type="spellEnd"/>
      <w:r w:rsidR="00661D61" w:rsidRPr="00661D61">
        <w:rPr>
          <w:b/>
          <w:bCs/>
          <w:color w:val="FF0000"/>
          <w:sz w:val="24"/>
          <w:szCs w:val="24"/>
        </w:rPr>
        <w:t xml:space="preserve">, </w:t>
      </w:r>
      <w:proofErr w:type="spellStart"/>
      <w:r w:rsidR="00661D61" w:rsidRPr="00661D61">
        <w:rPr>
          <w:b/>
          <w:bCs/>
          <w:color w:val="FF0000"/>
          <w:sz w:val="24"/>
          <w:szCs w:val="24"/>
        </w:rPr>
        <w:t>Harshil</w:t>
      </w:r>
      <w:proofErr w:type="spellEnd"/>
      <w:r w:rsidR="00661D61" w:rsidRPr="00661D61">
        <w:rPr>
          <w:b/>
          <w:bCs/>
          <w:color w:val="FF0000"/>
          <w:sz w:val="24"/>
          <w:szCs w:val="24"/>
        </w:rPr>
        <w:t>, 2025</w:t>
      </w:r>
      <w:r w:rsidR="00661D61">
        <w:rPr>
          <w:b/>
          <w:bCs/>
          <w:sz w:val="24"/>
          <w:szCs w:val="24"/>
        </w:rPr>
        <w:t>)</w:t>
      </w:r>
      <w:r w:rsidR="00AA5E08" w:rsidRPr="00AA5E08">
        <w:rPr>
          <w:b/>
          <w:bCs/>
          <w:sz w:val="24"/>
          <w:szCs w:val="24"/>
        </w:rPr>
        <w:t>.</w:t>
      </w:r>
    </w:p>
    <w:p w:rsidR="00AA5E08" w:rsidRPr="00AA5E08" w:rsidRDefault="001A3345" w:rsidP="001A3345">
      <w:pPr>
        <w:spacing w:after="0" w:line="240" w:lineRule="auto"/>
        <w:jc w:val="both"/>
        <w:rPr>
          <w:b/>
          <w:bCs/>
          <w:sz w:val="24"/>
          <w:szCs w:val="24"/>
        </w:rPr>
      </w:pPr>
      <w:r>
        <w:rPr>
          <w:b/>
          <w:bCs/>
          <w:sz w:val="24"/>
          <w:szCs w:val="24"/>
        </w:rPr>
        <w:t>d)</w:t>
      </w:r>
      <w:r w:rsidR="00AA5E08" w:rsidRPr="00AA5E08">
        <w:rPr>
          <w:b/>
          <w:bCs/>
          <w:sz w:val="24"/>
          <w:szCs w:val="24"/>
        </w:rPr>
        <w:tab/>
        <w:t>The process of developing and implementing strategies to optimize the extraction of gas and oil from a reservoir is referred to as reservoir management. This may include secondary and tertiary recovery methods, such as gas injection and water flooding. These techniques are designed to enhance the flow of gas and oil to the surface and increase the pressure within the reservoir</w:t>
      </w:r>
      <w:r w:rsidR="00661D61">
        <w:rPr>
          <w:b/>
          <w:bCs/>
          <w:sz w:val="24"/>
          <w:szCs w:val="24"/>
        </w:rPr>
        <w:t xml:space="preserve"> (</w:t>
      </w:r>
      <w:r w:rsidR="00661D61" w:rsidRPr="00661D61">
        <w:rPr>
          <w:b/>
          <w:bCs/>
          <w:color w:val="FF0000"/>
          <w:sz w:val="24"/>
          <w:szCs w:val="24"/>
        </w:rPr>
        <w:t>Holm et al.,2025</w:t>
      </w:r>
      <w:r w:rsidR="00661D61">
        <w:rPr>
          <w:b/>
          <w:bCs/>
          <w:sz w:val="24"/>
          <w:szCs w:val="24"/>
        </w:rPr>
        <w:t>)</w:t>
      </w:r>
      <w:r w:rsidR="00AA5E08" w:rsidRPr="00AA5E08">
        <w:rPr>
          <w:b/>
          <w:bCs/>
          <w:sz w:val="24"/>
          <w:szCs w:val="24"/>
        </w:rPr>
        <w:t>.</w:t>
      </w:r>
    </w:p>
    <w:p w:rsidR="00AA5E08" w:rsidRDefault="001A3345" w:rsidP="001A3345">
      <w:pPr>
        <w:spacing w:after="0" w:line="240" w:lineRule="auto"/>
        <w:jc w:val="both"/>
        <w:rPr>
          <w:b/>
          <w:bCs/>
          <w:sz w:val="24"/>
          <w:szCs w:val="24"/>
        </w:rPr>
      </w:pPr>
      <w:r>
        <w:rPr>
          <w:b/>
          <w:bCs/>
          <w:sz w:val="24"/>
          <w:szCs w:val="24"/>
        </w:rPr>
        <w:t>e)</w:t>
      </w:r>
      <w:r w:rsidR="00AA5E08" w:rsidRPr="00AA5E08">
        <w:rPr>
          <w:b/>
          <w:bCs/>
          <w:sz w:val="24"/>
          <w:szCs w:val="24"/>
        </w:rPr>
        <w:tab/>
        <w:t>To maximize the production of oil and gas, effective reservoir management involves complex elements that require the integration of multiple disciplines. Gaining a thorough understanding of the reservoir and implementing efficient management techniques can be enhanced through reservoir characterization, monitoring, simul</w:t>
      </w:r>
      <w:r w:rsidR="007D11C3">
        <w:rPr>
          <w:b/>
          <w:bCs/>
          <w:sz w:val="24"/>
          <w:szCs w:val="24"/>
        </w:rPr>
        <w:t>ation, and management practices (</w:t>
      </w:r>
      <w:r w:rsidR="007D11C3" w:rsidRPr="007D11C3">
        <w:rPr>
          <w:b/>
          <w:bCs/>
          <w:color w:val="FF0000"/>
          <w:sz w:val="24"/>
          <w:szCs w:val="24"/>
        </w:rPr>
        <w:t>Paulraj et al., 2025</w:t>
      </w:r>
      <w:r w:rsidR="007D11C3">
        <w:rPr>
          <w:b/>
          <w:bCs/>
          <w:sz w:val="24"/>
          <w:szCs w:val="24"/>
        </w:rPr>
        <w:t>)</w:t>
      </w:r>
      <w:r w:rsidR="000E55B9">
        <w:rPr>
          <w:b/>
          <w:bCs/>
          <w:sz w:val="24"/>
          <w:szCs w:val="24"/>
        </w:rPr>
        <w:t>.</w:t>
      </w:r>
    </w:p>
    <w:p w:rsidR="000E55B9" w:rsidRDefault="000E55B9" w:rsidP="00AA5E08">
      <w:pPr>
        <w:spacing w:after="0" w:line="240" w:lineRule="auto"/>
        <w:jc w:val="both"/>
        <w:rPr>
          <w:b/>
          <w:bCs/>
          <w:sz w:val="24"/>
          <w:szCs w:val="24"/>
        </w:rPr>
      </w:pPr>
    </w:p>
    <w:p w:rsidR="000E55B9" w:rsidRDefault="000E55B9" w:rsidP="00AA5E08">
      <w:pPr>
        <w:spacing w:after="0" w:line="240" w:lineRule="auto"/>
        <w:jc w:val="both"/>
        <w:rPr>
          <w:b/>
          <w:bCs/>
          <w:sz w:val="24"/>
          <w:szCs w:val="24"/>
        </w:rPr>
      </w:pPr>
      <w:r>
        <w:rPr>
          <w:b/>
          <w:bCs/>
          <w:sz w:val="24"/>
          <w:szCs w:val="24"/>
        </w:rPr>
        <w:t>Latest development of reservoir souring</w:t>
      </w:r>
    </w:p>
    <w:p w:rsidR="009F3AD6" w:rsidRDefault="00525BA8" w:rsidP="001A3345">
      <w:pPr>
        <w:spacing w:after="0" w:line="240" w:lineRule="auto"/>
        <w:jc w:val="both"/>
        <w:rPr>
          <w:b/>
          <w:bCs/>
          <w:sz w:val="24"/>
          <w:szCs w:val="24"/>
        </w:rPr>
      </w:pPr>
      <w:r w:rsidRPr="00525BA8">
        <w:rPr>
          <w:b/>
          <w:bCs/>
          <w:sz w:val="24"/>
          <w:szCs w:val="24"/>
        </w:rPr>
        <w:t xml:space="preserve">Research conducted in laboratory settings has thoroughly examined the genetic, enzymatic, and physiological aspects of sulfate reduction using pure cultures. Moreover, DNA sequencing has identified novel microbial taxa, including certain </w:t>
      </w:r>
      <w:r w:rsidRPr="00525BA8">
        <w:rPr>
          <w:b/>
          <w:bCs/>
          <w:sz w:val="24"/>
          <w:szCs w:val="24"/>
        </w:rPr>
        <w:lastRenderedPageBreak/>
        <w:t>archaea, that can contribute to reservoir souring. Although many recent advancements in microbial management and detection have emerged, many of the techniques still in use today are over a century old.</w:t>
      </w:r>
      <w:r w:rsidR="001A3345">
        <w:rPr>
          <w:b/>
          <w:bCs/>
          <w:sz w:val="24"/>
          <w:szCs w:val="24"/>
        </w:rPr>
        <w:t xml:space="preserve"> </w:t>
      </w:r>
      <w:r w:rsidR="009F3AD6" w:rsidRPr="009F3AD6">
        <w:rPr>
          <w:b/>
          <w:bCs/>
          <w:sz w:val="24"/>
          <w:szCs w:val="24"/>
        </w:rPr>
        <w:t>Alongside established methods, we now consider new and emerging mitigation technologies that can be used to prevent reservoir souring. In managing microbial reservoir souring, both modeling and prediction are essential yet often underutilized tools.</w:t>
      </w:r>
      <w:r w:rsidR="001A3345">
        <w:rPr>
          <w:b/>
          <w:bCs/>
          <w:sz w:val="24"/>
          <w:szCs w:val="24"/>
        </w:rPr>
        <w:t xml:space="preserve"> </w:t>
      </w:r>
      <w:r w:rsidR="009F3AD6" w:rsidRPr="009F3AD6">
        <w:rPr>
          <w:b/>
          <w:bCs/>
          <w:sz w:val="24"/>
          <w:szCs w:val="24"/>
        </w:rPr>
        <w:t>Models must take into account partitioning and mineral scavenging, in addition to microbial hydrogen sulfide (H2S) production, to be truly predictive. The rise of "big data," fueled by the increased integration of sensors in digital oil fields and advancements in DNA sequencing through next-generation sequencing (NGS), presents a rare opportunity to develop and refine microbial reservoir souring models. Consequently, we analyze various reservoir souring models and explore their potential applications.</w:t>
      </w:r>
    </w:p>
    <w:p w:rsidR="00764EB9" w:rsidRDefault="00764EB9" w:rsidP="00AA5E08">
      <w:pPr>
        <w:spacing w:after="0" w:line="240" w:lineRule="auto"/>
        <w:jc w:val="both"/>
        <w:rPr>
          <w:b/>
          <w:bCs/>
          <w:sz w:val="24"/>
          <w:szCs w:val="24"/>
        </w:rPr>
      </w:pPr>
    </w:p>
    <w:p w:rsidR="00764EB9" w:rsidRDefault="00764EB9" w:rsidP="00AA5E08">
      <w:pPr>
        <w:spacing w:after="0" w:line="240" w:lineRule="auto"/>
        <w:jc w:val="both"/>
        <w:rPr>
          <w:b/>
          <w:bCs/>
          <w:sz w:val="24"/>
          <w:szCs w:val="24"/>
        </w:rPr>
      </w:pPr>
      <w:r w:rsidRPr="00764EB9">
        <w:rPr>
          <w:b/>
          <w:bCs/>
          <w:sz w:val="24"/>
          <w:szCs w:val="24"/>
        </w:rPr>
        <w:t>Microbial reservoir souring mechanisms</w:t>
      </w:r>
    </w:p>
    <w:p w:rsidR="00421C1F" w:rsidRDefault="00764EB9" w:rsidP="001A3345">
      <w:pPr>
        <w:spacing w:after="0" w:line="240" w:lineRule="auto"/>
        <w:jc w:val="both"/>
        <w:rPr>
          <w:b/>
          <w:bCs/>
          <w:sz w:val="24"/>
          <w:szCs w:val="24"/>
        </w:rPr>
      </w:pPr>
      <w:r w:rsidRPr="00764EB9">
        <w:rPr>
          <w:b/>
          <w:bCs/>
          <w:sz w:val="24"/>
          <w:szCs w:val="24"/>
        </w:rPr>
        <w:t>Reservoir souring is caused by both biological and non-biological processes. However, the primary mechanism for the formation of hydrogen sulfide (H2S) in oil reservoirs, especially as a result of water flooding, is the reduction of sulfate by microorganisms (Vance and Thrasher, 2005). Several factors influence this process, including the water supply, sulfate concentrations, available carbon sources, other nutrients, trace metals, temperature, pressure, salinity, and the presence of a functional sulfate-reducing population (SRP).</w:t>
      </w:r>
      <w:r w:rsidR="001A3345">
        <w:rPr>
          <w:b/>
          <w:bCs/>
          <w:sz w:val="24"/>
          <w:szCs w:val="24"/>
        </w:rPr>
        <w:t xml:space="preserve"> </w:t>
      </w:r>
      <w:r w:rsidR="00421C1F" w:rsidRPr="00421C1F">
        <w:rPr>
          <w:b/>
          <w:bCs/>
          <w:sz w:val="24"/>
          <w:szCs w:val="24"/>
        </w:rPr>
        <w:t>Reservoir souring can lead to significant economic impacts, especially considering an anticipated 2% cost increase for sour service materials at the design stage of any project. If sour service materials need to be retrofitted, the costs can increase dramatically (</w:t>
      </w:r>
      <w:r w:rsidR="00421C1F" w:rsidRPr="001A3345">
        <w:rPr>
          <w:b/>
          <w:bCs/>
          <w:color w:val="FF0000"/>
          <w:sz w:val="24"/>
          <w:szCs w:val="24"/>
        </w:rPr>
        <w:t>Vance and Thrasher, 2005</w:t>
      </w:r>
      <w:r w:rsidR="00421C1F" w:rsidRPr="00421C1F">
        <w:rPr>
          <w:b/>
          <w:bCs/>
          <w:sz w:val="24"/>
          <w:szCs w:val="24"/>
        </w:rPr>
        <w:t>). These expenses are substantial, particularly since many oil and gas megaprojects exceed $1 billion USD in total cost. Additionally, the consequences of reservoir souring contribute to the already high costs associated with corrosion in the oil and gas industry. It is estimated that corrosion will cost the upstream sector approximately $1.4 billion annually in the United States alone.</w:t>
      </w:r>
    </w:p>
    <w:p w:rsidR="00423D44" w:rsidRDefault="00423D44" w:rsidP="00AA5E08">
      <w:pPr>
        <w:spacing w:after="0" w:line="240" w:lineRule="auto"/>
        <w:jc w:val="both"/>
        <w:rPr>
          <w:b/>
          <w:bCs/>
          <w:sz w:val="24"/>
          <w:szCs w:val="24"/>
        </w:rPr>
      </w:pPr>
    </w:p>
    <w:p w:rsidR="00423D44" w:rsidRDefault="00423D44" w:rsidP="00AA5E08">
      <w:pPr>
        <w:spacing w:after="0" w:line="240" w:lineRule="auto"/>
        <w:jc w:val="both"/>
        <w:rPr>
          <w:b/>
          <w:bCs/>
          <w:sz w:val="24"/>
          <w:szCs w:val="24"/>
        </w:rPr>
      </w:pPr>
      <w:r w:rsidRPr="00423D44">
        <w:rPr>
          <w:b/>
          <w:bCs/>
          <w:sz w:val="24"/>
          <w:szCs w:val="24"/>
        </w:rPr>
        <w:t>Regulation of Sulfide Accumulation in High-Temperature Oil Reservoirs</w:t>
      </w:r>
    </w:p>
    <w:p w:rsidR="00BD2224" w:rsidRPr="00AE55CE" w:rsidRDefault="00F457E9" w:rsidP="00AD5E03">
      <w:pPr>
        <w:spacing w:after="0" w:line="240" w:lineRule="auto"/>
        <w:jc w:val="both"/>
        <w:rPr>
          <w:b/>
          <w:bCs/>
          <w:sz w:val="24"/>
          <w:szCs w:val="24"/>
        </w:rPr>
      </w:pPr>
      <w:r w:rsidRPr="00F457E9">
        <w:rPr>
          <w:b/>
          <w:bCs/>
          <w:sz w:val="24"/>
          <w:szCs w:val="24"/>
        </w:rPr>
        <w:t>The rich availability of electron donors, along with high salinity, elevated temperatures, and significant pressure, creates unique environments for microorganisms within oil reserves (</w:t>
      </w:r>
      <w:proofErr w:type="spellStart"/>
      <w:r w:rsidRPr="00A03D8B">
        <w:rPr>
          <w:b/>
          <w:bCs/>
          <w:color w:val="FF0000"/>
          <w:sz w:val="24"/>
          <w:szCs w:val="24"/>
        </w:rPr>
        <w:t>Pannekens</w:t>
      </w:r>
      <w:proofErr w:type="spellEnd"/>
      <w:r w:rsidRPr="00A03D8B">
        <w:rPr>
          <w:b/>
          <w:bCs/>
          <w:color w:val="FF0000"/>
          <w:sz w:val="24"/>
          <w:szCs w:val="24"/>
        </w:rPr>
        <w:t xml:space="preserve"> et al. 2019</w:t>
      </w:r>
      <w:r w:rsidRPr="00F457E9">
        <w:rPr>
          <w:b/>
          <w:bCs/>
          <w:sz w:val="24"/>
          <w:szCs w:val="24"/>
        </w:rPr>
        <w:t>). In the presence of sulfate, processes such as fermentation, methanogenesis, and sulfate reduction play a crucial role in shaping microbial communities in pristine oil reserves.</w:t>
      </w:r>
      <w:r w:rsidR="001A3345">
        <w:rPr>
          <w:b/>
          <w:bCs/>
          <w:sz w:val="24"/>
          <w:szCs w:val="24"/>
        </w:rPr>
        <w:t xml:space="preserve"> </w:t>
      </w:r>
      <w:r w:rsidR="00EA5355" w:rsidRPr="00EA5355">
        <w:rPr>
          <w:b/>
          <w:bCs/>
          <w:sz w:val="24"/>
          <w:szCs w:val="24"/>
        </w:rPr>
        <w:t>While nitrate and oxygen are typically absent from subterranean oil reserves, they can be introduced during secondary oil recovery when saltwater is injected into the reservoir to maintain stable pressure (Gieg 2018).</w:t>
      </w:r>
      <w:r w:rsidR="001A3345">
        <w:rPr>
          <w:b/>
          <w:bCs/>
          <w:sz w:val="24"/>
          <w:szCs w:val="24"/>
        </w:rPr>
        <w:t xml:space="preserve"> </w:t>
      </w:r>
      <w:r w:rsidR="002B3EDE" w:rsidRPr="002B3EDE">
        <w:rPr>
          <w:b/>
          <w:bCs/>
          <w:sz w:val="24"/>
          <w:szCs w:val="24"/>
        </w:rPr>
        <w:t>In the Danish section of the North Sea, the reservoir rock for Halfdan oil production is located 2000 meters below the seafloor and has a temperature exceeding 80 degrees Celsius (</w:t>
      </w:r>
      <w:r w:rsidR="002B3EDE" w:rsidRPr="007D62E7">
        <w:rPr>
          <w:b/>
          <w:bCs/>
          <w:color w:val="FF0000"/>
          <w:sz w:val="24"/>
          <w:szCs w:val="24"/>
        </w:rPr>
        <w:t>Gittel et al. 2009</w:t>
      </w:r>
      <w:r w:rsidR="002B3EDE" w:rsidRPr="002B3EDE">
        <w:rPr>
          <w:b/>
          <w:bCs/>
          <w:sz w:val="24"/>
          <w:szCs w:val="24"/>
        </w:rPr>
        <w:t>).</w:t>
      </w:r>
      <w:r w:rsidR="001A3345">
        <w:rPr>
          <w:b/>
          <w:bCs/>
          <w:sz w:val="24"/>
          <w:szCs w:val="24"/>
        </w:rPr>
        <w:t xml:space="preserve"> </w:t>
      </w:r>
      <w:r w:rsidR="00C40901" w:rsidRPr="00C40901">
        <w:rPr>
          <w:b/>
          <w:bCs/>
          <w:sz w:val="24"/>
          <w:szCs w:val="24"/>
        </w:rPr>
        <w:t xml:space="preserve">The temperature of the reservoir decreases due to water injection, creating a temperature gradient from the injection site to the areas where oil and water are produced. As the injected cold saltwater, which has a temperature of 6 to 8 °C, descends into the reservoir, it warms by 2 to 3 °C for every 100 </w:t>
      </w:r>
      <w:r w:rsidR="00C40901" w:rsidRPr="00C40901">
        <w:rPr>
          <w:b/>
          <w:bCs/>
          <w:sz w:val="24"/>
          <w:szCs w:val="24"/>
        </w:rPr>
        <w:lastRenderedPageBreak/>
        <w:t>meters of depth. By the time it</w:t>
      </w:r>
      <w:r w:rsidR="00AE55CE">
        <w:rPr>
          <w:b/>
          <w:bCs/>
          <w:sz w:val="24"/>
          <w:szCs w:val="24"/>
        </w:rPr>
        <w:t xml:space="preserve"> reaches a depth of 2000 meters.</w:t>
      </w:r>
      <w:r w:rsidR="00C40901" w:rsidRPr="00C40901">
        <w:rPr>
          <w:b/>
          <w:bCs/>
          <w:sz w:val="24"/>
          <w:szCs w:val="24"/>
        </w:rPr>
        <w:t xml:space="preserve"> </w:t>
      </w:r>
      <w:r w:rsidR="00AE55CE" w:rsidRPr="00AE55CE">
        <w:rPr>
          <w:b/>
          <w:bCs/>
          <w:sz w:val="24"/>
          <w:szCs w:val="24"/>
        </w:rPr>
        <w:t>e water injection lowers the reservoir temperature, creating a temperature gradient from the injection site to the oil and water production zones.</w:t>
      </w:r>
      <w:r w:rsidR="00AD5E03">
        <w:rPr>
          <w:b/>
          <w:bCs/>
          <w:sz w:val="24"/>
          <w:szCs w:val="24"/>
        </w:rPr>
        <w:t xml:space="preserve"> </w:t>
      </w:r>
      <w:r w:rsidR="00BD2224" w:rsidRPr="00BD2224">
        <w:rPr>
          <w:b/>
          <w:bCs/>
          <w:sz w:val="24"/>
          <w:szCs w:val="24"/>
        </w:rPr>
        <w:t>As the injected water moves through the reservoir, it heats up to nearly the formation temperature of 80 °C. After passing through the reservoir, the oil and water mixture gradually cools to 60 °C as it rises to the surface.</w:t>
      </w:r>
    </w:p>
    <w:p w:rsidR="00DD3D2A" w:rsidRDefault="008B36FC" w:rsidP="00AD5E03">
      <w:pPr>
        <w:spacing w:after="0" w:line="240" w:lineRule="auto"/>
        <w:jc w:val="both"/>
        <w:rPr>
          <w:b/>
          <w:bCs/>
          <w:sz w:val="24"/>
          <w:szCs w:val="24"/>
        </w:rPr>
      </w:pPr>
      <w:r w:rsidRPr="008B36FC">
        <w:rPr>
          <w:b/>
          <w:bCs/>
          <w:sz w:val="24"/>
          <w:szCs w:val="24"/>
        </w:rPr>
        <w:t>In oilfields, nitrate is commonly used as a souring mitigation agent (</w:t>
      </w:r>
      <w:r w:rsidRPr="00F96B31">
        <w:rPr>
          <w:b/>
          <w:bCs/>
          <w:color w:val="FF0000"/>
          <w:sz w:val="24"/>
          <w:szCs w:val="24"/>
        </w:rPr>
        <w:t>Johnson et al., 2017</w:t>
      </w:r>
      <w:r w:rsidRPr="008B36FC">
        <w:rPr>
          <w:b/>
          <w:bCs/>
          <w:sz w:val="24"/>
          <w:szCs w:val="24"/>
        </w:rPr>
        <w:t>). Field studies have shown that injecting 5 mM of nitrate can reduce sulfide buildup by 50–80% (</w:t>
      </w:r>
      <w:r w:rsidRPr="00FD211A">
        <w:rPr>
          <w:b/>
          <w:bCs/>
          <w:color w:val="FF0000"/>
          <w:sz w:val="24"/>
          <w:szCs w:val="24"/>
        </w:rPr>
        <w:t xml:space="preserve">Telang et al., 1997; </w:t>
      </w:r>
      <w:proofErr w:type="spellStart"/>
      <w:r w:rsidRPr="00FD211A">
        <w:rPr>
          <w:b/>
          <w:bCs/>
          <w:color w:val="FF0000"/>
          <w:sz w:val="24"/>
          <w:szCs w:val="24"/>
        </w:rPr>
        <w:t>Jeneman</w:t>
      </w:r>
      <w:proofErr w:type="spellEnd"/>
      <w:r w:rsidRPr="00FD211A">
        <w:rPr>
          <w:b/>
          <w:bCs/>
          <w:color w:val="FF0000"/>
          <w:sz w:val="24"/>
          <w:szCs w:val="24"/>
        </w:rPr>
        <w:t xml:space="preserve"> et al., 1999</w:t>
      </w:r>
      <w:r w:rsidRPr="008B36FC">
        <w:rPr>
          <w:b/>
          <w:bCs/>
          <w:sz w:val="24"/>
          <w:szCs w:val="24"/>
        </w:rPr>
        <w:t>).</w:t>
      </w:r>
      <w:r w:rsidR="00AD5E03">
        <w:rPr>
          <w:b/>
          <w:bCs/>
          <w:sz w:val="24"/>
          <w:szCs w:val="24"/>
        </w:rPr>
        <w:t xml:space="preserve"> </w:t>
      </w:r>
      <w:r w:rsidR="00DD3D2A" w:rsidRPr="00DD3D2A">
        <w:rPr>
          <w:b/>
          <w:bCs/>
          <w:sz w:val="24"/>
          <w:szCs w:val="24"/>
        </w:rPr>
        <w:t xml:space="preserve">There are four potential ways in which nitrate helps to prevent the buildup of sulfide in oil reserves. First, nitrate-reducing bacteria gradually convert nitrate into either ammonia or dinitrogen. This process leads to a temporary accumulation of nitrite in the environment, which may inhibit the growth of sulfate-reducing microbes (SRM). Research by </w:t>
      </w:r>
      <w:r w:rsidR="00DD3D2A" w:rsidRPr="00D70F6C">
        <w:rPr>
          <w:b/>
          <w:bCs/>
          <w:color w:val="FF0000"/>
          <w:sz w:val="24"/>
          <w:szCs w:val="24"/>
        </w:rPr>
        <w:t>Greene et al. (2003</w:t>
      </w:r>
      <w:r w:rsidR="00DD3D2A" w:rsidRPr="00DD3D2A">
        <w:rPr>
          <w:b/>
          <w:bCs/>
          <w:sz w:val="24"/>
          <w:szCs w:val="24"/>
        </w:rPr>
        <w:t>) indicates that the activity of nitrite reductase in these strains is negatively correlated with how effectively nitrite suppresses the activity of SRM in pure cultures.</w:t>
      </w:r>
    </w:p>
    <w:p w:rsidR="00D70F6C" w:rsidRDefault="00C61471" w:rsidP="00AD5E03">
      <w:pPr>
        <w:spacing w:after="0" w:line="240" w:lineRule="auto"/>
        <w:jc w:val="both"/>
        <w:rPr>
          <w:b/>
          <w:bCs/>
          <w:sz w:val="24"/>
          <w:szCs w:val="24"/>
        </w:rPr>
      </w:pPr>
      <w:r>
        <w:rPr>
          <w:b/>
          <w:bCs/>
          <w:sz w:val="24"/>
          <w:szCs w:val="24"/>
        </w:rPr>
        <w:t xml:space="preserve">ii) </w:t>
      </w:r>
      <w:r w:rsidRPr="00C61471">
        <w:rPr>
          <w:b/>
          <w:bCs/>
          <w:sz w:val="24"/>
          <w:szCs w:val="24"/>
        </w:rPr>
        <w:t>Some sulfate-reducing microorganisms (SRM) may preferentially utilize nitrate and nitrite as electron acceptors instead of sulfate. Consequently, their presence can inhibit sulfate-reducing processes (</w:t>
      </w:r>
      <w:r w:rsidRPr="00C61471">
        <w:rPr>
          <w:b/>
          <w:bCs/>
          <w:color w:val="FF0000"/>
          <w:sz w:val="24"/>
          <w:szCs w:val="24"/>
        </w:rPr>
        <w:t>Marietou 2016</w:t>
      </w:r>
      <w:r w:rsidRPr="00C61471">
        <w:rPr>
          <w:b/>
          <w:bCs/>
          <w:sz w:val="24"/>
          <w:szCs w:val="24"/>
        </w:rPr>
        <w:t>).</w:t>
      </w:r>
    </w:p>
    <w:p w:rsidR="00C61471" w:rsidRDefault="00C61471" w:rsidP="00AD5E03">
      <w:pPr>
        <w:spacing w:after="0" w:line="240" w:lineRule="auto"/>
        <w:jc w:val="both"/>
        <w:rPr>
          <w:b/>
          <w:bCs/>
          <w:sz w:val="24"/>
          <w:szCs w:val="24"/>
        </w:rPr>
      </w:pPr>
      <w:r>
        <w:rPr>
          <w:b/>
          <w:bCs/>
          <w:sz w:val="24"/>
          <w:szCs w:val="24"/>
        </w:rPr>
        <w:t xml:space="preserve">iii) </w:t>
      </w:r>
      <w:r w:rsidRPr="00C61471">
        <w:rPr>
          <w:b/>
          <w:bCs/>
          <w:sz w:val="24"/>
          <w:szCs w:val="24"/>
        </w:rPr>
        <w:t>Competitive exclusion occurs when heterotrophic nitrate-reducing microbes outcompete sulfate-reducing organisms (SRM) for the same electron donors (</w:t>
      </w:r>
      <w:r w:rsidRPr="00173F66">
        <w:rPr>
          <w:b/>
          <w:bCs/>
          <w:color w:val="FF0000"/>
          <w:sz w:val="24"/>
          <w:szCs w:val="24"/>
        </w:rPr>
        <w:t xml:space="preserve">Hubert and </w:t>
      </w:r>
      <w:proofErr w:type="spellStart"/>
      <w:r w:rsidRPr="00173F66">
        <w:rPr>
          <w:b/>
          <w:bCs/>
          <w:color w:val="FF0000"/>
          <w:sz w:val="24"/>
          <w:szCs w:val="24"/>
        </w:rPr>
        <w:t>Voordouw</w:t>
      </w:r>
      <w:proofErr w:type="spellEnd"/>
      <w:r w:rsidRPr="00173F66">
        <w:rPr>
          <w:b/>
          <w:bCs/>
          <w:color w:val="FF0000"/>
          <w:sz w:val="24"/>
          <w:szCs w:val="24"/>
        </w:rPr>
        <w:t xml:space="preserve"> 2007</w:t>
      </w:r>
      <w:r w:rsidRPr="00C61471">
        <w:rPr>
          <w:b/>
          <w:bCs/>
          <w:sz w:val="24"/>
          <w:szCs w:val="24"/>
        </w:rPr>
        <w:t>).</w:t>
      </w:r>
    </w:p>
    <w:p w:rsidR="00173F66" w:rsidRDefault="00173F66" w:rsidP="00AD5E03">
      <w:pPr>
        <w:spacing w:after="0" w:line="240" w:lineRule="auto"/>
        <w:jc w:val="both"/>
        <w:rPr>
          <w:b/>
          <w:bCs/>
          <w:sz w:val="24"/>
          <w:szCs w:val="24"/>
        </w:rPr>
      </w:pPr>
      <w:r>
        <w:rPr>
          <w:b/>
          <w:bCs/>
          <w:sz w:val="24"/>
          <w:szCs w:val="24"/>
        </w:rPr>
        <w:t xml:space="preserve">iv)  </w:t>
      </w:r>
      <w:r w:rsidRPr="00173F66">
        <w:rPr>
          <w:b/>
          <w:bCs/>
          <w:sz w:val="24"/>
          <w:szCs w:val="24"/>
        </w:rPr>
        <w:t>Lastly, nitrate injection may enhance the development and activity of autotrophic nitrate-reducing, sulfide-oxidizing bacteria (NR-SOB), which inhibit sulfate-reducing microorganisms (SRM) by producing nitrite and preventing sulfide accumulation in the reservoir, thereby avoiding souring and corrosion (</w:t>
      </w:r>
      <w:r w:rsidRPr="00796EA1">
        <w:rPr>
          <w:b/>
          <w:bCs/>
          <w:color w:val="FF0000"/>
          <w:sz w:val="24"/>
          <w:szCs w:val="24"/>
        </w:rPr>
        <w:t>Greene et al. 2003</w:t>
      </w:r>
      <w:r w:rsidRPr="00173F66">
        <w:rPr>
          <w:b/>
          <w:bCs/>
          <w:sz w:val="24"/>
          <w:szCs w:val="24"/>
        </w:rPr>
        <w:t>).</w:t>
      </w:r>
    </w:p>
    <w:p w:rsidR="00C61471" w:rsidRPr="00AE55CE" w:rsidRDefault="00C61471" w:rsidP="00C61471">
      <w:pPr>
        <w:spacing w:after="0" w:line="240" w:lineRule="auto"/>
        <w:rPr>
          <w:b/>
          <w:bCs/>
          <w:sz w:val="24"/>
          <w:szCs w:val="24"/>
        </w:rPr>
      </w:pPr>
    </w:p>
    <w:p w:rsidR="00DD3818" w:rsidRPr="007407B4" w:rsidRDefault="00DD3818" w:rsidP="00CE59BC">
      <w:pPr>
        <w:pStyle w:val="ListParagraph"/>
        <w:numPr>
          <w:ilvl w:val="0"/>
          <w:numId w:val="1"/>
        </w:numPr>
        <w:spacing w:after="0" w:line="240" w:lineRule="auto"/>
        <w:ind w:left="0"/>
        <w:jc w:val="both"/>
        <w:rPr>
          <w:b/>
          <w:bCs/>
          <w:sz w:val="24"/>
          <w:szCs w:val="24"/>
        </w:rPr>
      </w:pPr>
      <w:r w:rsidRPr="007407B4">
        <w:rPr>
          <w:b/>
          <w:bCs/>
          <w:sz w:val="24"/>
          <w:szCs w:val="24"/>
        </w:rPr>
        <w:t>Conclusion</w:t>
      </w:r>
    </w:p>
    <w:p w:rsidR="00687A2E" w:rsidRDefault="00DD3818" w:rsidP="00687A2E">
      <w:pPr>
        <w:spacing w:after="0" w:line="240" w:lineRule="auto"/>
        <w:jc w:val="both"/>
        <w:rPr>
          <w:b/>
          <w:bCs/>
          <w:sz w:val="24"/>
          <w:szCs w:val="24"/>
        </w:rPr>
      </w:pPr>
      <w:r w:rsidRPr="007407B4">
        <w:rPr>
          <w:b/>
          <w:bCs/>
          <w:sz w:val="24"/>
          <w:szCs w:val="24"/>
        </w:rPr>
        <w:t>Effective reservoir monitoring is essential for generating oil and gas. Operators can optimize production while maintaining environmental responsibility by adopting advanced monitoring techniques and technologies. Embracing these innovations is crucial as industry practices evolve to ensure the long-term viability and efficiency of reservoir management. Seeking guidance from service providers can help you successfully integrate these technologies into your business processes.</w:t>
      </w:r>
      <w:r w:rsidR="00687A2E">
        <w:rPr>
          <w:b/>
          <w:bCs/>
          <w:sz w:val="24"/>
          <w:szCs w:val="24"/>
        </w:rPr>
        <w:t xml:space="preserve"> </w:t>
      </w:r>
      <w:r w:rsidR="00687A2E" w:rsidRPr="00687A2E">
        <w:rPr>
          <w:b/>
          <w:bCs/>
          <w:sz w:val="24"/>
          <w:szCs w:val="24"/>
        </w:rPr>
        <w:t>In conclusion, the ongoing advancements in reservoir engineering are driving significant improvements in oil and gas recovery. The combination of enhanced recovery techniques, advanced modeling tools, machine learning, and real-time monitoring is leading to more efficient and sustainable production. As these technologies continue to evolve, the oil and gas industry will be better equipped to meet the growing global demand for energy while minimizing its environmental impact.</w:t>
      </w:r>
    </w:p>
    <w:p w:rsidR="00C35560" w:rsidRDefault="00C35560" w:rsidP="00687A2E">
      <w:pPr>
        <w:spacing w:after="0" w:line="240" w:lineRule="auto"/>
        <w:jc w:val="both"/>
        <w:rPr>
          <w:b/>
          <w:bCs/>
          <w:sz w:val="24"/>
          <w:szCs w:val="24"/>
        </w:rPr>
      </w:pPr>
    </w:p>
    <w:p w:rsidR="00C35560" w:rsidRDefault="00C35560" w:rsidP="00687A2E">
      <w:pPr>
        <w:spacing w:after="0" w:line="240" w:lineRule="auto"/>
        <w:jc w:val="both"/>
        <w:rPr>
          <w:b/>
          <w:bCs/>
          <w:sz w:val="24"/>
          <w:szCs w:val="24"/>
        </w:rPr>
      </w:pPr>
      <w:bookmarkStart w:id="0" w:name="_GoBack"/>
      <w:bookmarkEnd w:id="0"/>
    </w:p>
    <w:p w:rsidR="00687A2E" w:rsidRPr="007407B4" w:rsidRDefault="00687A2E" w:rsidP="00CE59BC">
      <w:pPr>
        <w:spacing w:after="0" w:line="240" w:lineRule="auto"/>
        <w:jc w:val="both"/>
        <w:rPr>
          <w:b/>
          <w:bCs/>
          <w:sz w:val="24"/>
          <w:szCs w:val="24"/>
        </w:rPr>
      </w:pPr>
    </w:p>
    <w:p w:rsidR="00ED675F" w:rsidRDefault="00ED675F" w:rsidP="00CE59BC">
      <w:pPr>
        <w:spacing w:after="0" w:line="240" w:lineRule="auto"/>
        <w:jc w:val="both"/>
        <w:rPr>
          <w:b/>
          <w:bCs/>
          <w:sz w:val="24"/>
          <w:szCs w:val="24"/>
        </w:rPr>
      </w:pPr>
      <w:r w:rsidRPr="007407B4">
        <w:rPr>
          <w:b/>
          <w:bCs/>
          <w:sz w:val="24"/>
          <w:szCs w:val="24"/>
        </w:rPr>
        <w:t>Ref</w:t>
      </w:r>
      <w:r w:rsidR="00A45ECD" w:rsidRPr="007407B4">
        <w:rPr>
          <w:b/>
          <w:bCs/>
          <w:sz w:val="24"/>
          <w:szCs w:val="24"/>
        </w:rPr>
        <w:t>erences</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lastRenderedPageBreak/>
        <w:t>Aliev</w:t>
      </w:r>
      <w:proofErr w:type="spellEnd"/>
      <w:r w:rsidRPr="00F664DA">
        <w:rPr>
          <w:b/>
          <w:bCs/>
          <w:sz w:val="24"/>
          <w:szCs w:val="24"/>
        </w:rPr>
        <w:t xml:space="preserve"> TA, </w:t>
      </w:r>
      <w:proofErr w:type="spellStart"/>
      <w:r w:rsidRPr="00F664DA">
        <w:rPr>
          <w:b/>
          <w:bCs/>
          <w:sz w:val="24"/>
          <w:szCs w:val="24"/>
        </w:rPr>
        <w:t>Guluyev</w:t>
      </w:r>
      <w:proofErr w:type="spellEnd"/>
      <w:r w:rsidRPr="00F664DA">
        <w:rPr>
          <w:b/>
          <w:bCs/>
          <w:sz w:val="24"/>
          <w:szCs w:val="24"/>
        </w:rPr>
        <w:t xml:space="preserve"> GA, </w:t>
      </w:r>
      <w:proofErr w:type="spellStart"/>
      <w:r w:rsidRPr="00F664DA">
        <w:rPr>
          <w:b/>
          <w:bCs/>
          <w:sz w:val="24"/>
          <w:szCs w:val="24"/>
        </w:rPr>
        <w:t>Rzayev</w:t>
      </w:r>
      <w:proofErr w:type="spellEnd"/>
      <w:r w:rsidRPr="00F664DA">
        <w:rPr>
          <w:b/>
          <w:bCs/>
          <w:sz w:val="24"/>
          <w:szCs w:val="24"/>
        </w:rPr>
        <w:t xml:space="preserve"> </w:t>
      </w:r>
      <w:proofErr w:type="spellStart"/>
      <w:r w:rsidRPr="00F664DA">
        <w:rPr>
          <w:b/>
          <w:bCs/>
          <w:sz w:val="24"/>
          <w:szCs w:val="24"/>
        </w:rPr>
        <w:t>AsH</w:t>
      </w:r>
      <w:proofErr w:type="spellEnd"/>
      <w:r w:rsidRPr="00F664DA">
        <w:rPr>
          <w:b/>
          <w:bCs/>
          <w:sz w:val="24"/>
          <w:szCs w:val="24"/>
        </w:rPr>
        <w:t xml:space="preserve">, Pashayev FH, </w:t>
      </w:r>
      <w:proofErr w:type="spellStart"/>
      <w:r w:rsidRPr="00F664DA">
        <w:rPr>
          <w:b/>
          <w:bCs/>
          <w:sz w:val="24"/>
          <w:szCs w:val="24"/>
        </w:rPr>
        <w:t>Rzayeva</w:t>
      </w:r>
      <w:proofErr w:type="spellEnd"/>
      <w:r w:rsidRPr="00F664DA">
        <w:rPr>
          <w:b/>
          <w:bCs/>
          <w:sz w:val="24"/>
          <w:szCs w:val="24"/>
        </w:rPr>
        <w:t xml:space="preserve"> NE, </w:t>
      </w:r>
      <w:proofErr w:type="spellStart"/>
      <w:r w:rsidRPr="00F664DA">
        <w:rPr>
          <w:b/>
          <w:bCs/>
          <w:sz w:val="24"/>
          <w:szCs w:val="24"/>
        </w:rPr>
        <w:t>Gadimov</w:t>
      </w:r>
      <w:proofErr w:type="spellEnd"/>
      <w:r w:rsidRPr="00F664DA">
        <w:rPr>
          <w:b/>
          <w:bCs/>
          <w:sz w:val="24"/>
          <w:szCs w:val="24"/>
        </w:rPr>
        <w:t xml:space="preserve"> RM. (2023). A technology for monitoring the onset of malfunctions in oil field reservoir pressure maintenance equipment. Informatics and Control Problems 43 (1): 1-12. </w:t>
      </w:r>
      <w:hyperlink r:id="rId18" w:history="1">
        <w:r w:rsidRPr="00F664DA">
          <w:rPr>
            <w:rStyle w:val="Hyperlink"/>
            <w:b/>
            <w:bCs/>
            <w:sz w:val="24"/>
            <w:szCs w:val="24"/>
          </w:rPr>
          <w:t>https://doi.org/10.54381/icp.2023.1.01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Ariadji</w:t>
      </w:r>
      <w:proofErr w:type="spellEnd"/>
      <w:r w:rsidRPr="00F664DA">
        <w:rPr>
          <w:b/>
          <w:bCs/>
          <w:sz w:val="24"/>
          <w:szCs w:val="24"/>
        </w:rPr>
        <w:t xml:space="preserve">, T., Astuti, D. I., </w:t>
      </w:r>
      <w:proofErr w:type="spellStart"/>
      <w:r w:rsidRPr="00F664DA">
        <w:rPr>
          <w:b/>
          <w:bCs/>
          <w:sz w:val="24"/>
          <w:szCs w:val="24"/>
        </w:rPr>
        <w:t>Aditiawati</w:t>
      </w:r>
      <w:proofErr w:type="spellEnd"/>
      <w:r w:rsidRPr="00F664DA">
        <w:rPr>
          <w:b/>
          <w:bCs/>
          <w:sz w:val="24"/>
          <w:szCs w:val="24"/>
        </w:rPr>
        <w:t xml:space="preserve">, P., </w:t>
      </w:r>
      <w:proofErr w:type="spellStart"/>
      <w:r w:rsidRPr="00F664DA">
        <w:rPr>
          <w:b/>
          <w:bCs/>
          <w:sz w:val="24"/>
          <w:szCs w:val="24"/>
        </w:rPr>
        <w:t>Purwasena</w:t>
      </w:r>
      <w:proofErr w:type="spellEnd"/>
      <w:r w:rsidRPr="00F664DA">
        <w:rPr>
          <w:b/>
          <w:bCs/>
          <w:sz w:val="24"/>
          <w:szCs w:val="24"/>
        </w:rPr>
        <w:t xml:space="preserve">, I. A., </w:t>
      </w:r>
      <w:proofErr w:type="spellStart"/>
      <w:r w:rsidRPr="00F664DA">
        <w:rPr>
          <w:b/>
          <w:bCs/>
          <w:sz w:val="24"/>
          <w:szCs w:val="24"/>
        </w:rPr>
        <w:t>Persada</w:t>
      </w:r>
      <w:proofErr w:type="spellEnd"/>
      <w:r w:rsidRPr="00F664DA">
        <w:rPr>
          <w:b/>
          <w:bCs/>
          <w:sz w:val="24"/>
          <w:szCs w:val="24"/>
        </w:rPr>
        <w:t xml:space="preserve">, G. P., Soeparmono, M. R., Amirudin, N. H., </w:t>
      </w:r>
      <w:proofErr w:type="spellStart"/>
      <w:r w:rsidRPr="00F664DA">
        <w:rPr>
          <w:b/>
          <w:bCs/>
          <w:sz w:val="24"/>
          <w:szCs w:val="24"/>
        </w:rPr>
        <w:t>Ananggadipa</w:t>
      </w:r>
      <w:proofErr w:type="spellEnd"/>
      <w:r w:rsidRPr="00F664DA">
        <w:rPr>
          <w:b/>
          <w:bCs/>
          <w:sz w:val="24"/>
          <w:szCs w:val="24"/>
        </w:rPr>
        <w:t xml:space="preserve">, A. A., </w:t>
      </w:r>
      <w:proofErr w:type="spellStart"/>
      <w:r w:rsidRPr="00F664DA">
        <w:rPr>
          <w:b/>
          <w:bCs/>
          <w:sz w:val="24"/>
          <w:szCs w:val="24"/>
        </w:rPr>
        <w:t>Sasongko</w:t>
      </w:r>
      <w:proofErr w:type="spellEnd"/>
      <w:r w:rsidRPr="00F664DA">
        <w:rPr>
          <w:b/>
          <w:bCs/>
          <w:sz w:val="24"/>
          <w:szCs w:val="24"/>
        </w:rPr>
        <w:t xml:space="preserve">, S. Y., </w:t>
      </w:r>
      <w:proofErr w:type="spellStart"/>
      <w:r w:rsidRPr="00F664DA">
        <w:rPr>
          <w:b/>
          <w:bCs/>
          <w:sz w:val="24"/>
          <w:szCs w:val="24"/>
        </w:rPr>
        <w:t>Abqory</w:t>
      </w:r>
      <w:proofErr w:type="spellEnd"/>
      <w:r w:rsidRPr="00F664DA">
        <w:rPr>
          <w:b/>
          <w:bCs/>
          <w:sz w:val="24"/>
          <w:szCs w:val="24"/>
        </w:rPr>
        <w:t xml:space="preserve">, M. H., </w:t>
      </w:r>
      <w:proofErr w:type="spellStart"/>
      <w:r w:rsidRPr="00F664DA">
        <w:rPr>
          <w:b/>
          <w:bCs/>
          <w:sz w:val="24"/>
          <w:szCs w:val="24"/>
        </w:rPr>
        <w:t>Ardianto</w:t>
      </w:r>
      <w:proofErr w:type="spellEnd"/>
      <w:r w:rsidRPr="00F664DA">
        <w:rPr>
          <w:b/>
          <w:bCs/>
          <w:sz w:val="24"/>
          <w:szCs w:val="24"/>
        </w:rPr>
        <w:t xml:space="preserve">, R. N., </w:t>
      </w:r>
      <w:proofErr w:type="spellStart"/>
      <w:r w:rsidRPr="00F664DA">
        <w:rPr>
          <w:b/>
          <w:bCs/>
          <w:sz w:val="24"/>
          <w:szCs w:val="24"/>
        </w:rPr>
        <w:t>Subiantoro</w:t>
      </w:r>
      <w:proofErr w:type="spellEnd"/>
      <w:r w:rsidRPr="00F664DA">
        <w:rPr>
          <w:b/>
          <w:bCs/>
          <w:sz w:val="24"/>
          <w:szCs w:val="24"/>
        </w:rPr>
        <w:t xml:space="preserve">, E., and G. H. Aditya. "Microbial Huff and Puff Project at </w:t>
      </w:r>
      <w:proofErr w:type="spellStart"/>
      <w:r w:rsidRPr="00F664DA">
        <w:rPr>
          <w:b/>
          <w:bCs/>
          <w:sz w:val="24"/>
          <w:szCs w:val="24"/>
        </w:rPr>
        <w:t>Mangunjaya</w:t>
      </w:r>
      <w:proofErr w:type="spellEnd"/>
      <w:r w:rsidRPr="00F664DA">
        <w:rPr>
          <w:b/>
          <w:bCs/>
          <w:sz w:val="24"/>
          <w:szCs w:val="24"/>
        </w:rPr>
        <w:t xml:space="preserve"> Field Wells: The First in Indonesia Towards Successful MEOR Implementation." Paper presented at the SPE/IATMI Asia Pacific Oil &amp; Gas Conference and Exhibition, Jakarta, Indonesia, October 2017. </w:t>
      </w:r>
      <w:proofErr w:type="spellStart"/>
      <w:r w:rsidRPr="00F664DA">
        <w:rPr>
          <w:b/>
          <w:bCs/>
          <w:sz w:val="24"/>
          <w:szCs w:val="24"/>
        </w:rPr>
        <w:t>doi</w:t>
      </w:r>
      <w:proofErr w:type="spellEnd"/>
      <w:r w:rsidRPr="00F664DA">
        <w:rPr>
          <w:b/>
          <w:bCs/>
          <w:sz w:val="24"/>
          <w:szCs w:val="24"/>
        </w:rPr>
        <w:t xml:space="preserve">: </w:t>
      </w:r>
      <w:hyperlink r:id="rId19" w:history="1">
        <w:r w:rsidRPr="00F664DA">
          <w:rPr>
            <w:rStyle w:val="Hyperlink"/>
            <w:b/>
            <w:bCs/>
            <w:sz w:val="24"/>
            <w:szCs w:val="24"/>
          </w:rPr>
          <w:t>https://doi.org/10.2118/186361-MS</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Cabral, L., </w:t>
      </w:r>
      <w:proofErr w:type="spellStart"/>
      <w:r w:rsidRPr="00F664DA">
        <w:rPr>
          <w:b/>
          <w:bCs/>
          <w:sz w:val="24"/>
          <w:szCs w:val="24"/>
        </w:rPr>
        <w:t>Giovanella</w:t>
      </w:r>
      <w:proofErr w:type="spellEnd"/>
      <w:r w:rsidRPr="00F664DA">
        <w:rPr>
          <w:b/>
          <w:bCs/>
          <w:sz w:val="24"/>
          <w:szCs w:val="24"/>
        </w:rPr>
        <w:t xml:space="preserve">, P., </w:t>
      </w:r>
      <w:proofErr w:type="spellStart"/>
      <w:r w:rsidRPr="00F664DA">
        <w:rPr>
          <w:b/>
          <w:bCs/>
          <w:sz w:val="24"/>
          <w:szCs w:val="24"/>
        </w:rPr>
        <w:t>Pellizzer</w:t>
      </w:r>
      <w:proofErr w:type="spellEnd"/>
      <w:r w:rsidRPr="00F664DA">
        <w:rPr>
          <w:b/>
          <w:bCs/>
          <w:sz w:val="24"/>
          <w:szCs w:val="24"/>
        </w:rPr>
        <w:t xml:space="preserve">, E. P., Teramoto, E. H., Kiang, C. H., &amp; Sette, L. D. (2021). Microbial communities in petroleum-contaminated sites: Structure and metabolisms. Chemosphere, 286, 131752. </w:t>
      </w:r>
      <w:hyperlink r:id="rId20" w:history="1">
        <w:r w:rsidRPr="00F664DA">
          <w:rPr>
            <w:rStyle w:val="Hyperlink"/>
            <w:b/>
            <w:bCs/>
            <w:sz w:val="24"/>
            <w:szCs w:val="24"/>
          </w:rPr>
          <w:t>https://doi.org/10.1016/j.chemosphere.2021.131752</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Carlson, H.K., Hubert, C.R.J. (2019). Mechanisms and Monitoring of Oil Reservoir Souring Control by Nitrate or Perchlorate Injection. In: </w:t>
      </w:r>
      <w:proofErr w:type="spellStart"/>
      <w:r w:rsidRPr="00F664DA">
        <w:rPr>
          <w:b/>
          <w:bCs/>
          <w:sz w:val="24"/>
          <w:szCs w:val="24"/>
        </w:rPr>
        <w:t>McGenity</w:t>
      </w:r>
      <w:proofErr w:type="spellEnd"/>
      <w:r w:rsidRPr="00F664DA">
        <w:rPr>
          <w:b/>
          <w:bCs/>
          <w:sz w:val="24"/>
          <w:szCs w:val="24"/>
        </w:rPr>
        <w:t xml:space="preserve">, T. (eds) Microbial Communities Utilizing Hydrocarbons and Lipids: Members, Metagenomics and </w:t>
      </w:r>
      <w:proofErr w:type="gramStart"/>
      <w:r w:rsidRPr="00F664DA">
        <w:rPr>
          <w:b/>
          <w:bCs/>
          <w:sz w:val="24"/>
          <w:szCs w:val="24"/>
        </w:rPr>
        <w:t>Ecophysiology .</w:t>
      </w:r>
      <w:proofErr w:type="gramEnd"/>
      <w:r w:rsidRPr="00F664DA">
        <w:rPr>
          <w:b/>
          <w:bCs/>
          <w:sz w:val="24"/>
          <w:szCs w:val="24"/>
        </w:rPr>
        <w:t xml:space="preserve"> Handbook of Hydrocarbon and Lipid </w:t>
      </w:r>
      <w:proofErr w:type="gramStart"/>
      <w:r w:rsidRPr="00F664DA">
        <w:rPr>
          <w:b/>
          <w:bCs/>
          <w:sz w:val="24"/>
          <w:szCs w:val="24"/>
        </w:rPr>
        <w:t>Microbiology .</w:t>
      </w:r>
      <w:proofErr w:type="gramEnd"/>
      <w:r w:rsidRPr="00F664DA">
        <w:rPr>
          <w:b/>
          <w:bCs/>
          <w:sz w:val="24"/>
          <w:szCs w:val="24"/>
        </w:rPr>
        <w:t xml:space="preserve"> Springer, Cham. </w:t>
      </w:r>
      <w:hyperlink r:id="rId21" w:history="1">
        <w:r w:rsidRPr="00F664DA">
          <w:rPr>
            <w:rStyle w:val="Hyperlink"/>
            <w:b/>
            <w:bCs/>
            <w:sz w:val="24"/>
            <w:szCs w:val="24"/>
          </w:rPr>
          <w:t>https://doi.org/10.1007/978-3-319-60063-5_17-1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Dabral R; Sandhu H.A.S.; Trivedi M.</w:t>
      </w:r>
      <w:r w:rsidRPr="00D33264">
        <w:t xml:space="preserve"> </w:t>
      </w:r>
      <w:r w:rsidRPr="00F664DA">
        <w:rPr>
          <w:b/>
          <w:bCs/>
          <w:sz w:val="24"/>
          <w:szCs w:val="24"/>
        </w:rPr>
        <w:t xml:space="preserve">Claudia Cherubini (2025). Optimal operation of reservoir for sustainable water management using multi-criteria decision-making approach. Journal of </w:t>
      </w:r>
      <w:proofErr w:type="spellStart"/>
      <w:r w:rsidRPr="00F664DA">
        <w:rPr>
          <w:b/>
          <w:bCs/>
          <w:sz w:val="24"/>
          <w:szCs w:val="24"/>
        </w:rPr>
        <w:t>Hydroinformatics</w:t>
      </w:r>
      <w:proofErr w:type="spellEnd"/>
      <w:r w:rsidRPr="00F664DA">
        <w:rPr>
          <w:b/>
          <w:bCs/>
          <w:sz w:val="24"/>
          <w:szCs w:val="24"/>
        </w:rPr>
        <w:t xml:space="preserve"> (2025) 27 (5): 878–899. </w:t>
      </w:r>
      <w:hyperlink r:id="rId22" w:history="1">
        <w:r w:rsidRPr="00F664DA">
          <w:rPr>
            <w:rStyle w:val="Hyperlink"/>
            <w:b/>
            <w:bCs/>
            <w:sz w:val="24"/>
            <w:szCs w:val="24"/>
          </w:rPr>
          <w:t>https://doi.org/10.2166/hydro.2025.006</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Das, A., Das, N., Pandey, P. et al. Microbial enhanced oil recovery: process perspectives, challenges, and advanced technologies for its efficient applications and feasibility. Arch Microbiol 207, 106 (2025). </w:t>
      </w:r>
      <w:hyperlink r:id="rId23" w:history="1">
        <w:r w:rsidRPr="00F664DA">
          <w:rPr>
            <w:rStyle w:val="Hyperlink"/>
            <w:b/>
            <w:bCs/>
            <w:sz w:val="24"/>
            <w:szCs w:val="24"/>
          </w:rPr>
          <w:t>https://doi.org/10.1007/s00203-025-04307-1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Demin KA, </w:t>
      </w:r>
      <w:proofErr w:type="spellStart"/>
      <w:r w:rsidRPr="00F664DA">
        <w:rPr>
          <w:b/>
          <w:bCs/>
          <w:sz w:val="24"/>
          <w:szCs w:val="24"/>
        </w:rPr>
        <w:t>Prazdnova</w:t>
      </w:r>
      <w:proofErr w:type="spellEnd"/>
      <w:r w:rsidRPr="00F664DA">
        <w:rPr>
          <w:b/>
          <w:bCs/>
          <w:sz w:val="24"/>
          <w:szCs w:val="24"/>
        </w:rPr>
        <w:t xml:space="preserve"> EV, </w:t>
      </w:r>
      <w:proofErr w:type="spellStart"/>
      <w:r w:rsidRPr="00F664DA">
        <w:rPr>
          <w:b/>
          <w:bCs/>
          <w:sz w:val="24"/>
          <w:szCs w:val="24"/>
        </w:rPr>
        <w:t>Minkina</w:t>
      </w:r>
      <w:proofErr w:type="spellEnd"/>
      <w:r w:rsidRPr="00F664DA">
        <w:rPr>
          <w:b/>
          <w:bCs/>
          <w:sz w:val="24"/>
          <w:szCs w:val="24"/>
        </w:rPr>
        <w:t xml:space="preserve"> TM, </w:t>
      </w:r>
      <w:proofErr w:type="spellStart"/>
      <w:r w:rsidRPr="00F664DA">
        <w:rPr>
          <w:b/>
          <w:bCs/>
          <w:sz w:val="24"/>
          <w:szCs w:val="24"/>
        </w:rPr>
        <w:t>Gorovtsov</w:t>
      </w:r>
      <w:proofErr w:type="spellEnd"/>
      <w:r w:rsidRPr="00F664DA">
        <w:rPr>
          <w:b/>
          <w:bCs/>
          <w:sz w:val="24"/>
          <w:szCs w:val="24"/>
        </w:rPr>
        <w:t xml:space="preserve"> AV. (2024). Sulfate-reducing bacteria unearthed: ecological functions of the diverse prokaryotic group in terrestrial environments. Appl Environ Microbiol. 90(4</w:t>
      </w:r>
      <w:proofErr w:type="gramStart"/>
      <w:r w:rsidRPr="00F664DA">
        <w:rPr>
          <w:b/>
          <w:bCs/>
          <w:sz w:val="24"/>
          <w:szCs w:val="24"/>
        </w:rPr>
        <w:t>):e</w:t>
      </w:r>
      <w:proofErr w:type="gramEnd"/>
      <w:r w:rsidRPr="00F664DA">
        <w:rPr>
          <w:b/>
          <w:bCs/>
          <w:sz w:val="24"/>
          <w:szCs w:val="24"/>
        </w:rPr>
        <w:t xml:space="preserve">0139023. </w:t>
      </w:r>
      <w:proofErr w:type="spellStart"/>
      <w:r w:rsidRPr="00F664DA">
        <w:rPr>
          <w:b/>
          <w:bCs/>
          <w:sz w:val="24"/>
          <w:szCs w:val="24"/>
        </w:rPr>
        <w:t>Epub</w:t>
      </w:r>
      <w:proofErr w:type="spellEnd"/>
      <w:r w:rsidRPr="00F664DA">
        <w:rPr>
          <w:b/>
          <w:bCs/>
          <w:sz w:val="24"/>
          <w:szCs w:val="24"/>
        </w:rPr>
        <w:t xml:space="preserve"> 2024 Mar 29. PMID: 38551370; PMCID: PMC11022543. </w:t>
      </w:r>
      <w:hyperlink r:id="rId24" w:history="1">
        <w:r w:rsidRPr="00F664DA">
          <w:rPr>
            <w:rStyle w:val="Hyperlink"/>
            <w:b/>
            <w:bCs/>
            <w:sz w:val="24"/>
            <w:szCs w:val="24"/>
          </w:rPr>
          <w:t>https://doi:10.1128/aem.01390-23</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Dolfing</w:t>
      </w:r>
      <w:proofErr w:type="spellEnd"/>
      <w:r w:rsidRPr="00F664DA">
        <w:rPr>
          <w:b/>
          <w:bCs/>
          <w:sz w:val="24"/>
          <w:szCs w:val="24"/>
        </w:rPr>
        <w:t xml:space="preserve"> J, Hubert CRJ. (2017). Using Thermodynamics to Predict the Outcomes of Nitrate-Based Oil Reservoir Souring Control Interventions. Front Microbiol. </w:t>
      </w:r>
      <w:proofErr w:type="gramStart"/>
      <w:r w:rsidRPr="00F664DA">
        <w:rPr>
          <w:b/>
          <w:bCs/>
          <w:sz w:val="24"/>
          <w:szCs w:val="24"/>
        </w:rPr>
        <w:t>19;8:2575</w:t>
      </w:r>
      <w:proofErr w:type="gramEnd"/>
      <w:r w:rsidRPr="00F664DA">
        <w:rPr>
          <w:b/>
          <w:bCs/>
          <w:sz w:val="24"/>
          <w:szCs w:val="24"/>
        </w:rPr>
        <w:t xml:space="preserve">. PMID: 29312252; PMCID: PMC5742191. </w:t>
      </w:r>
      <w:hyperlink r:id="rId25" w:history="1">
        <w:r w:rsidRPr="00F664DA">
          <w:rPr>
            <w:rStyle w:val="Hyperlink"/>
            <w:b/>
            <w:bCs/>
            <w:sz w:val="24"/>
            <w:szCs w:val="24"/>
          </w:rPr>
          <w:t>https://doi:10.3389/fmicb.2017.02575</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Ge, L., Wei, Y., Min, C., Yang, Q., &amp; Tian, G. (2025). Research status and prospect of intelligent wells reservoir monitoring technology. Nondestructive Testing and Evaluation, 1–43. </w:t>
      </w:r>
      <w:hyperlink r:id="rId26" w:history="1">
        <w:r w:rsidRPr="00F664DA">
          <w:rPr>
            <w:rStyle w:val="Hyperlink"/>
            <w:b/>
            <w:bCs/>
            <w:sz w:val="24"/>
            <w:szCs w:val="24"/>
          </w:rPr>
          <w:t>https://doi.org/10.1080/10589759.2025.2528931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rStyle w:val="Hyperlink"/>
          <w:b/>
          <w:bCs/>
          <w:sz w:val="24"/>
          <w:szCs w:val="24"/>
        </w:rPr>
      </w:pPr>
      <w:r w:rsidRPr="00F664DA">
        <w:rPr>
          <w:b/>
          <w:bCs/>
          <w:sz w:val="24"/>
          <w:szCs w:val="24"/>
        </w:rPr>
        <w:lastRenderedPageBreak/>
        <w:t xml:space="preserve">Ge, L., Wei, Y., Min, C., Yang, Q., &amp; Tian, G. (2025). Research status and prospect of intelligent wells reservoir monitoring technology. Nondestructive Testing and Evaluation, 1–43. </w:t>
      </w:r>
      <w:hyperlink r:id="rId27" w:history="1">
        <w:r w:rsidRPr="00F664DA">
          <w:rPr>
            <w:rStyle w:val="Hyperlink"/>
            <w:b/>
            <w:bCs/>
            <w:sz w:val="24"/>
            <w:szCs w:val="24"/>
          </w:rPr>
          <w:t>https://doi.org/10.1080/10589759.2025.2528931</w:t>
        </w:r>
      </w:hyperlink>
      <w:r w:rsidRPr="00F664DA">
        <w:rPr>
          <w:rStyle w:val="Hyperlink"/>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EA5355">
        <w:rPr>
          <w:b/>
          <w:bCs/>
          <w:sz w:val="24"/>
          <w:szCs w:val="24"/>
        </w:rPr>
        <w:t xml:space="preserve">Gieg LM (2018) Microbial communities in oil shales, biodegraded </w:t>
      </w:r>
      <w:proofErr w:type="spellStart"/>
      <w:r w:rsidRPr="00EA5355">
        <w:rPr>
          <w:b/>
          <w:bCs/>
          <w:sz w:val="24"/>
          <w:szCs w:val="24"/>
        </w:rPr>
        <w:t>andheavy</w:t>
      </w:r>
      <w:proofErr w:type="spellEnd"/>
      <w:r w:rsidRPr="00EA5355">
        <w:rPr>
          <w:b/>
          <w:bCs/>
          <w:sz w:val="24"/>
          <w:szCs w:val="24"/>
        </w:rPr>
        <w:t xml:space="preserve"> oil reservoirs, and bitumen deposits. In: </w:t>
      </w:r>
      <w:proofErr w:type="spellStart"/>
      <w:r w:rsidRPr="00EA5355">
        <w:rPr>
          <w:b/>
          <w:bCs/>
          <w:sz w:val="24"/>
          <w:szCs w:val="24"/>
        </w:rPr>
        <w:t>McGenity</w:t>
      </w:r>
      <w:proofErr w:type="spellEnd"/>
      <w:r w:rsidRPr="00EA5355">
        <w:rPr>
          <w:b/>
          <w:bCs/>
          <w:sz w:val="24"/>
          <w:szCs w:val="24"/>
        </w:rPr>
        <w:t xml:space="preserve"> T (ed)Microbial communities utilizing hydrocarbons and lipids: </w:t>
      </w:r>
      <w:proofErr w:type="spellStart"/>
      <w:proofErr w:type="gramStart"/>
      <w:r w:rsidRPr="00EA5355">
        <w:rPr>
          <w:b/>
          <w:bCs/>
          <w:sz w:val="24"/>
          <w:szCs w:val="24"/>
        </w:rPr>
        <w:t>members,Metagenomics</w:t>
      </w:r>
      <w:proofErr w:type="spellEnd"/>
      <w:proofErr w:type="gramEnd"/>
      <w:r w:rsidRPr="00EA5355">
        <w:rPr>
          <w:b/>
          <w:bCs/>
          <w:sz w:val="24"/>
          <w:szCs w:val="24"/>
        </w:rPr>
        <w:t xml:space="preserve"> and Ecophysiology. Handbook of Hydrocarbon </w:t>
      </w:r>
      <w:proofErr w:type="spellStart"/>
      <w:r w:rsidRPr="00EA5355">
        <w:rPr>
          <w:b/>
          <w:bCs/>
          <w:sz w:val="24"/>
          <w:szCs w:val="24"/>
        </w:rPr>
        <w:t>andLipid</w:t>
      </w:r>
      <w:proofErr w:type="spellEnd"/>
      <w:r w:rsidRPr="00EA5355">
        <w:rPr>
          <w:b/>
          <w:bCs/>
          <w:sz w:val="24"/>
          <w:szCs w:val="24"/>
        </w:rPr>
        <w:t xml:space="preserve"> Microbiology. Springer, Cham</w:t>
      </w:r>
      <w:r>
        <w:rPr>
          <w:b/>
          <w:bCs/>
          <w:sz w:val="24"/>
          <w:szCs w:val="24"/>
        </w:rPr>
        <w:t>.</w:t>
      </w:r>
    </w:p>
    <w:p w:rsidR="00E61363" w:rsidRPr="00827985" w:rsidRDefault="00E61363" w:rsidP="009E1CE3">
      <w:pPr>
        <w:pStyle w:val="ListParagraph"/>
        <w:numPr>
          <w:ilvl w:val="0"/>
          <w:numId w:val="3"/>
        </w:numPr>
        <w:spacing w:after="0" w:line="240" w:lineRule="auto"/>
        <w:jc w:val="both"/>
        <w:rPr>
          <w:b/>
          <w:bCs/>
          <w:sz w:val="24"/>
          <w:szCs w:val="24"/>
        </w:rPr>
      </w:pPr>
      <w:r w:rsidRPr="00827985">
        <w:rPr>
          <w:b/>
          <w:bCs/>
          <w:sz w:val="24"/>
          <w:szCs w:val="24"/>
        </w:rPr>
        <w:t>Gittel A, Kofoed MV, Sørensen KB, Ingvorsen K, Schramm A (2012)</w:t>
      </w:r>
      <w:r>
        <w:rPr>
          <w:b/>
          <w:bCs/>
          <w:sz w:val="24"/>
          <w:szCs w:val="24"/>
        </w:rPr>
        <w:t xml:space="preserve"> </w:t>
      </w:r>
      <w:r w:rsidRPr="00827985">
        <w:rPr>
          <w:b/>
          <w:bCs/>
          <w:sz w:val="24"/>
          <w:szCs w:val="24"/>
        </w:rPr>
        <w:t xml:space="preserve">Succession of </w:t>
      </w:r>
      <w:proofErr w:type="spellStart"/>
      <w:r w:rsidRPr="00827985">
        <w:rPr>
          <w:b/>
          <w:bCs/>
          <w:sz w:val="24"/>
          <w:szCs w:val="24"/>
        </w:rPr>
        <w:t>Deferribacteres</w:t>
      </w:r>
      <w:proofErr w:type="spellEnd"/>
      <w:r w:rsidRPr="00827985">
        <w:rPr>
          <w:b/>
          <w:bCs/>
          <w:sz w:val="24"/>
          <w:szCs w:val="24"/>
        </w:rPr>
        <w:t xml:space="preserve"> and </w:t>
      </w:r>
      <w:proofErr w:type="spellStart"/>
      <w:r w:rsidRPr="00827985">
        <w:rPr>
          <w:b/>
          <w:bCs/>
          <w:sz w:val="24"/>
          <w:szCs w:val="24"/>
        </w:rPr>
        <w:t>Epsilonproteobacteria</w:t>
      </w:r>
      <w:proofErr w:type="spellEnd"/>
      <w:r w:rsidRPr="00827985">
        <w:rPr>
          <w:b/>
          <w:bCs/>
          <w:sz w:val="24"/>
          <w:szCs w:val="24"/>
        </w:rPr>
        <w:t xml:space="preserve"> through </w:t>
      </w:r>
      <w:proofErr w:type="spellStart"/>
      <w:r w:rsidRPr="00827985">
        <w:rPr>
          <w:b/>
          <w:bCs/>
          <w:sz w:val="24"/>
          <w:szCs w:val="24"/>
        </w:rPr>
        <w:t>anitrate</w:t>
      </w:r>
      <w:proofErr w:type="spellEnd"/>
      <w:r w:rsidRPr="00827985">
        <w:rPr>
          <w:b/>
          <w:bCs/>
          <w:sz w:val="24"/>
          <w:szCs w:val="24"/>
        </w:rPr>
        <w:t xml:space="preserve">-treated high-temperature oil production facility. Syst </w:t>
      </w:r>
      <w:proofErr w:type="spellStart"/>
      <w:r w:rsidRPr="00827985">
        <w:rPr>
          <w:b/>
          <w:bCs/>
          <w:sz w:val="24"/>
          <w:szCs w:val="24"/>
        </w:rPr>
        <w:t>ApplMicrobiol</w:t>
      </w:r>
      <w:proofErr w:type="spellEnd"/>
      <w:r w:rsidRPr="00827985">
        <w:rPr>
          <w:b/>
          <w:bCs/>
          <w:sz w:val="24"/>
          <w:szCs w:val="24"/>
        </w:rPr>
        <w:t xml:space="preserve"> 35:165–174 </w:t>
      </w:r>
    </w:p>
    <w:p w:rsidR="00E61363" w:rsidRDefault="00E61363" w:rsidP="009E1CE3">
      <w:pPr>
        <w:pStyle w:val="ListParagraph"/>
        <w:numPr>
          <w:ilvl w:val="0"/>
          <w:numId w:val="3"/>
        </w:numPr>
        <w:spacing w:after="0" w:line="240" w:lineRule="auto"/>
        <w:jc w:val="both"/>
        <w:rPr>
          <w:b/>
          <w:bCs/>
          <w:sz w:val="24"/>
          <w:szCs w:val="24"/>
        </w:rPr>
      </w:pPr>
      <w:r w:rsidRPr="00796EA1">
        <w:rPr>
          <w:b/>
          <w:bCs/>
          <w:sz w:val="24"/>
          <w:szCs w:val="24"/>
        </w:rPr>
        <w:t xml:space="preserve">Greene EA, Hubert C, Nemati M, </w:t>
      </w:r>
      <w:proofErr w:type="spellStart"/>
      <w:r w:rsidRPr="00796EA1">
        <w:rPr>
          <w:b/>
          <w:bCs/>
          <w:sz w:val="24"/>
          <w:szCs w:val="24"/>
        </w:rPr>
        <w:t>Jenneman</w:t>
      </w:r>
      <w:proofErr w:type="spellEnd"/>
      <w:r w:rsidRPr="00796EA1">
        <w:rPr>
          <w:b/>
          <w:bCs/>
          <w:sz w:val="24"/>
          <w:szCs w:val="24"/>
        </w:rPr>
        <w:t xml:space="preserve"> GE, </w:t>
      </w:r>
      <w:proofErr w:type="spellStart"/>
      <w:r w:rsidRPr="00796EA1">
        <w:rPr>
          <w:b/>
          <w:bCs/>
          <w:sz w:val="24"/>
          <w:szCs w:val="24"/>
        </w:rPr>
        <w:t>Voordouw</w:t>
      </w:r>
      <w:proofErr w:type="spellEnd"/>
      <w:r w:rsidRPr="00796EA1">
        <w:rPr>
          <w:b/>
          <w:bCs/>
          <w:sz w:val="24"/>
          <w:szCs w:val="24"/>
        </w:rPr>
        <w:t xml:space="preserve"> G (2003), Nitrite reductase activity of sulphate-reducing bacteria prevents their inhibition by nitrate-reducing, </w:t>
      </w:r>
      <w:proofErr w:type="spellStart"/>
      <w:r w:rsidRPr="00796EA1">
        <w:rPr>
          <w:b/>
          <w:bCs/>
          <w:sz w:val="24"/>
          <w:szCs w:val="24"/>
        </w:rPr>
        <w:t>sulphide</w:t>
      </w:r>
      <w:proofErr w:type="spellEnd"/>
      <w:r w:rsidRPr="00796EA1">
        <w:rPr>
          <w:b/>
          <w:bCs/>
          <w:sz w:val="24"/>
          <w:szCs w:val="24"/>
        </w:rPr>
        <w:t>-oxidizing bacteria. Environ Microbiol 5:607–617</w:t>
      </w:r>
      <w:r>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4E2582">
        <w:rPr>
          <w:b/>
          <w:bCs/>
          <w:sz w:val="24"/>
          <w:szCs w:val="24"/>
        </w:rPr>
        <w:t xml:space="preserve">Greene EA, Hubert C, Nemati M, </w:t>
      </w:r>
      <w:proofErr w:type="spellStart"/>
      <w:r w:rsidRPr="004E2582">
        <w:rPr>
          <w:b/>
          <w:bCs/>
          <w:sz w:val="24"/>
          <w:szCs w:val="24"/>
        </w:rPr>
        <w:t>Jenneman</w:t>
      </w:r>
      <w:proofErr w:type="spellEnd"/>
      <w:r w:rsidRPr="004E2582">
        <w:rPr>
          <w:b/>
          <w:bCs/>
          <w:sz w:val="24"/>
          <w:szCs w:val="24"/>
        </w:rPr>
        <w:t xml:space="preserve"> GE, </w:t>
      </w:r>
      <w:proofErr w:type="spellStart"/>
      <w:r w:rsidRPr="004E2582">
        <w:rPr>
          <w:b/>
          <w:bCs/>
          <w:sz w:val="24"/>
          <w:szCs w:val="24"/>
        </w:rPr>
        <w:t>Voordouw</w:t>
      </w:r>
      <w:proofErr w:type="spellEnd"/>
      <w:r w:rsidRPr="004E2582">
        <w:rPr>
          <w:b/>
          <w:bCs/>
          <w:sz w:val="24"/>
          <w:szCs w:val="24"/>
        </w:rPr>
        <w:t xml:space="preserve"> G (2003).</w:t>
      </w:r>
      <w:r>
        <w:rPr>
          <w:b/>
          <w:bCs/>
          <w:sz w:val="24"/>
          <w:szCs w:val="24"/>
        </w:rPr>
        <w:t xml:space="preserve"> </w:t>
      </w:r>
      <w:r w:rsidRPr="004E2582">
        <w:rPr>
          <w:b/>
          <w:bCs/>
          <w:sz w:val="24"/>
          <w:szCs w:val="24"/>
        </w:rPr>
        <w:t xml:space="preserve">Nitrite reductase activity of sulphate-reducing bacteria prevents their inhibition by nitrate-reducing, </w:t>
      </w:r>
      <w:proofErr w:type="spellStart"/>
      <w:r w:rsidRPr="004E2582">
        <w:rPr>
          <w:b/>
          <w:bCs/>
          <w:sz w:val="24"/>
          <w:szCs w:val="24"/>
        </w:rPr>
        <w:t>sulphide</w:t>
      </w:r>
      <w:proofErr w:type="spellEnd"/>
      <w:r w:rsidRPr="004E2582">
        <w:rPr>
          <w:b/>
          <w:bCs/>
          <w:sz w:val="24"/>
          <w:szCs w:val="24"/>
        </w:rPr>
        <w:t>-oxidizing bacteria. Environ</w:t>
      </w:r>
      <w:r>
        <w:rPr>
          <w:b/>
          <w:bCs/>
          <w:sz w:val="24"/>
          <w:szCs w:val="24"/>
        </w:rPr>
        <w:t xml:space="preserve"> </w:t>
      </w:r>
      <w:r w:rsidRPr="004E2582">
        <w:rPr>
          <w:b/>
          <w:bCs/>
          <w:sz w:val="24"/>
          <w:szCs w:val="24"/>
        </w:rPr>
        <w:t>Microbiol 5:607–617</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Guo, Y., &amp; Liu, L. (2024). Reservoir Control Operations and Water Resources Management. Water, 16(20), 3000. </w:t>
      </w:r>
      <w:hyperlink r:id="rId28" w:history="1">
        <w:r w:rsidRPr="00F664DA">
          <w:rPr>
            <w:rStyle w:val="Hyperlink"/>
            <w:b/>
            <w:bCs/>
            <w:sz w:val="24"/>
            <w:szCs w:val="24"/>
          </w:rPr>
          <w:t>https://doi.org/10.3390/w16203000</w:t>
        </w:r>
      </w:hyperlink>
      <w:r w:rsidRPr="00F664DA">
        <w:rPr>
          <w:b/>
          <w:bCs/>
          <w:sz w:val="24"/>
          <w:szCs w:val="24"/>
        </w:rPr>
        <w:t>.</w:t>
      </w:r>
    </w:p>
    <w:p w:rsidR="00E61363" w:rsidRPr="00326A9C" w:rsidRDefault="00E61363" w:rsidP="009E1CE3">
      <w:pPr>
        <w:pStyle w:val="ListParagraph"/>
        <w:numPr>
          <w:ilvl w:val="0"/>
          <w:numId w:val="3"/>
        </w:numPr>
        <w:spacing w:after="0" w:line="240" w:lineRule="auto"/>
        <w:jc w:val="both"/>
        <w:rPr>
          <w:b/>
          <w:bCs/>
          <w:sz w:val="24"/>
          <w:szCs w:val="24"/>
        </w:rPr>
      </w:pPr>
      <w:r w:rsidRPr="00326A9C">
        <w:rPr>
          <w:b/>
          <w:bCs/>
          <w:sz w:val="24"/>
          <w:szCs w:val="24"/>
        </w:rPr>
        <w:t>Gutierrez, O., Park, D., Sharma, K.R. and Yuan, Z. (2009) Effects of long-term pH elevation on the sulfate-reducing and methanogenic activities of anaerobic sewer biofilms. Water research 43, 2549-2557.</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Harshita, Chandra, S., Banerjee, S., Pandit, S., Jadhav, D. A., Gill, H. S., … Rajeev, M. (2026). Sulfate-reducing bacteria as natural </w:t>
      </w:r>
      <w:proofErr w:type="spellStart"/>
      <w:r w:rsidRPr="00F664DA">
        <w:rPr>
          <w:b/>
          <w:bCs/>
          <w:sz w:val="24"/>
          <w:szCs w:val="24"/>
        </w:rPr>
        <w:t>bioelectrochemical</w:t>
      </w:r>
      <w:proofErr w:type="spellEnd"/>
      <w:r w:rsidRPr="00F664DA">
        <w:rPr>
          <w:b/>
          <w:bCs/>
          <w:sz w:val="24"/>
          <w:szCs w:val="24"/>
        </w:rPr>
        <w:t xml:space="preserve"> catalysts: unveiling their role in extracellular electron transfer. Biocatalysis and Biotransformation, 1–24. </w:t>
      </w:r>
      <w:hyperlink r:id="rId29" w:history="1">
        <w:r w:rsidRPr="00F664DA">
          <w:rPr>
            <w:rStyle w:val="Hyperlink"/>
            <w:b/>
            <w:bCs/>
            <w:sz w:val="24"/>
            <w:szCs w:val="24"/>
          </w:rPr>
          <w:t>https://doi.org/10.1080/10242422.2026.2615663</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Holm, Casper &amp; Kringelum, Louise &amp; Anand, Amitabh. (2025). Creating effective strategy implementation:  a systematic review of managerial and organizational levers. Review of Managerial Science.  20. 673-705. </w:t>
      </w:r>
      <w:hyperlink r:id="rId30" w:history="1">
        <w:r w:rsidRPr="00F664DA">
          <w:rPr>
            <w:rStyle w:val="Hyperlink"/>
            <w:b/>
            <w:bCs/>
            <w:sz w:val="24"/>
            <w:szCs w:val="24"/>
          </w:rPr>
          <w:t>https://10.1007/s11846-025-00880-3</w:t>
        </w:r>
      </w:hyperlink>
      <w:r w:rsidRPr="00F664DA">
        <w:rPr>
          <w:b/>
          <w:bCs/>
          <w:sz w:val="24"/>
          <w:szCs w:val="24"/>
        </w:rPr>
        <w:t>.</w:t>
      </w:r>
    </w:p>
    <w:p w:rsidR="00E61363" w:rsidRPr="00CA6139" w:rsidRDefault="00E61363" w:rsidP="009E1CE3">
      <w:pPr>
        <w:pStyle w:val="ListParagraph"/>
        <w:numPr>
          <w:ilvl w:val="0"/>
          <w:numId w:val="3"/>
        </w:numPr>
        <w:spacing w:after="0" w:line="240" w:lineRule="auto"/>
        <w:jc w:val="both"/>
        <w:rPr>
          <w:b/>
          <w:bCs/>
          <w:sz w:val="24"/>
          <w:szCs w:val="24"/>
        </w:rPr>
      </w:pPr>
      <w:r w:rsidRPr="00CA6139">
        <w:rPr>
          <w:b/>
          <w:bCs/>
          <w:sz w:val="24"/>
          <w:szCs w:val="24"/>
        </w:rPr>
        <w:t xml:space="preserve">Hosseini, S., Sharifi, R. &amp; Habibi, A. (2025). Efficient bioremediation of crude oil contaminated soil by a consortium of in-situ biosurfactant producing hydrocarbon-degraders. Sci Rep 15, 19852. </w:t>
      </w:r>
      <w:hyperlink r:id="rId31" w:history="1">
        <w:r w:rsidRPr="00CA6139">
          <w:rPr>
            <w:rStyle w:val="Hyperlink"/>
            <w:b/>
            <w:bCs/>
            <w:sz w:val="24"/>
            <w:szCs w:val="24"/>
          </w:rPr>
          <w:t>https://doi.org/10.1038/s41598-025-05035-8</w:t>
        </w:r>
      </w:hyperlink>
      <w:r w:rsidRPr="00CA6139">
        <w:rPr>
          <w:b/>
          <w:bCs/>
          <w:sz w:val="24"/>
          <w:szCs w:val="24"/>
        </w:rPr>
        <w:t xml:space="preserve">. ISSN 0048-9697, </w:t>
      </w:r>
      <w:hyperlink r:id="rId32" w:history="1">
        <w:r w:rsidRPr="00CA6139">
          <w:rPr>
            <w:rStyle w:val="Hyperlink"/>
            <w:b/>
            <w:bCs/>
            <w:sz w:val="24"/>
            <w:szCs w:val="24"/>
          </w:rPr>
          <w:t>https://doi.org/10.1016/j.scitotenv.2025.180226</w:t>
        </w:r>
      </w:hyperlink>
      <w:r w:rsidRPr="00CA6139">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496665">
        <w:rPr>
          <w:b/>
          <w:bCs/>
          <w:sz w:val="24"/>
          <w:szCs w:val="24"/>
        </w:rPr>
        <w:t xml:space="preserve">Hubert C, </w:t>
      </w:r>
      <w:proofErr w:type="spellStart"/>
      <w:r w:rsidRPr="00496665">
        <w:rPr>
          <w:b/>
          <w:bCs/>
          <w:sz w:val="24"/>
          <w:szCs w:val="24"/>
        </w:rPr>
        <w:t>Voordouw</w:t>
      </w:r>
      <w:proofErr w:type="spellEnd"/>
      <w:r w:rsidRPr="00496665">
        <w:rPr>
          <w:b/>
          <w:bCs/>
          <w:sz w:val="24"/>
          <w:szCs w:val="24"/>
        </w:rPr>
        <w:t xml:space="preserve"> G (2007) Oil field souring control by nitrate</w:t>
      </w:r>
      <w:r>
        <w:rPr>
          <w:b/>
          <w:bCs/>
          <w:sz w:val="24"/>
          <w:szCs w:val="24"/>
        </w:rPr>
        <w:t xml:space="preserve"> </w:t>
      </w:r>
      <w:r w:rsidRPr="00496665">
        <w:rPr>
          <w:b/>
          <w:bCs/>
          <w:sz w:val="24"/>
          <w:szCs w:val="24"/>
        </w:rPr>
        <w:t xml:space="preserve">reducing </w:t>
      </w:r>
      <w:proofErr w:type="spellStart"/>
      <w:r w:rsidRPr="00496665">
        <w:rPr>
          <w:b/>
          <w:bCs/>
          <w:sz w:val="24"/>
          <w:szCs w:val="24"/>
        </w:rPr>
        <w:t>Sulfurospirillum</w:t>
      </w:r>
      <w:proofErr w:type="spellEnd"/>
      <w:r w:rsidRPr="00496665">
        <w:rPr>
          <w:b/>
          <w:bCs/>
          <w:sz w:val="24"/>
          <w:szCs w:val="24"/>
        </w:rPr>
        <w:t xml:space="preserve"> spp. that outcompete sulfate-reducing bacteria for organic electron donors. Appl Environ Microbiol 73: 2644–2652</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Iwogbemi</w:t>
      </w:r>
      <w:proofErr w:type="spellEnd"/>
      <w:r w:rsidRPr="00F664DA">
        <w:rPr>
          <w:b/>
          <w:bCs/>
          <w:sz w:val="24"/>
          <w:szCs w:val="24"/>
        </w:rPr>
        <w:t xml:space="preserve"> A.O. (2025) Microbial Enhanced Oil Recovery (MEOR): Innovations in Sustainable Oil Extraction, International Journal of Petroleum and Gas Engineering Research, 8 (1), 1-1, </w:t>
      </w:r>
      <w:hyperlink r:id="rId33" w:history="1">
        <w:r w:rsidRPr="00F664DA">
          <w:rPr>
            <w:rStyle w:val="Hyperlink"/>
            <w:b/>
            <w:bCs/>
            <w:sz w:val="24"/>
            <w:szCs w:val="24"/>
          </w:rPr>
          <w:t>https://doi.org/10.37745/ijpger.17v8n1112</w:t>
        </w:r>
      </w:hyperlink>
      <w:r w:rsidRPr="00F664DA">
        <w:rPr>
          <w:b/>
          <w:bCs/>
          <w:sz w:val="24"/>
          <w:szCs w:val="24"/>
        </w:rPr>
        <w:t>.</w:t>
      </w:r>
    </w:p>
    <w:p w:rsidR="00E61363" w:rsidRDefault="00E61363" w:rsidP="009E1CE3">
      <w:pPr>
        <w:pStyle w:val="ListParagraph"/>
        <w:numPr>
          <w:ilvl w:val="0"/>
          <w:numId w:val="3"/>
        </w:numPr>
        <w:jc w:val="both"/>
        <w:rPr>
          <w:b/>
          <w:bCs/>
          <w:sz w:val="24"/>
          <w:szCs w:val="24"/>
        </w:rPr>
      </w:pPr>
      <w:r w:rsidRPr="00AD723F">
        <w:rPr>
          <w:b/>
          <w:bCs/>
          <w:sz w:val="24"/>
          <w:szCs w:val="24"/>
        </w:rPr>
        <w:t>Jenneman GE, Moffitt PD, Bala GA, Webb RH (1999) Sulfide removal</w:t>
      </w:r>
      <w:r>
        <w:rPr>
          <w:b/>
          <w:bCs/>
          <w:sz w:val="24"/>
          <w:szCs w:val="24"/>
        </w:rPr>
        <w:t xml:space="preserve"> </w:t>
      </w:r>
      <w:r w:rsidRPr="00AD723F">
        <w:rPr>
          <w:b/>
          <w:bCs/>
          <w:sz w:val="24"/>
          <w:szCs w:val="24"/>
        </w:rPr>
        <w:t>in reservoir brine by indigenous bacteria. SPE Prod Facil 14:219–</w:t>
      </w:r>
      <w:r>
        <w:rPr>
          <w:b/>
          <w:bCs/>
          <w:sz w:val="24"/>
          <w:szCs w:val="24"/>
        </w:rPr>
        <w:t xml:space="preserve"> </w:t>
      </w:r>
      <w:r w:rsidRPr="00AD723F">
        <w:rPr>
          <w:b/>
          <w:bCs/>
          <w:sz w:val="24"/>
          <w:szCs w:val="24"/>
        </w:rPr>
        <w:t>225</w:t>
      </w:r>
      <w:r>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8B36FC">
        <w:rPr>
          <w:b/>
          <w:bCs/>
          <w:sz w:val="24"/>
          <w:szCs w:val="24"/>
        </w:rPr>
        <w:lastRenderedPageBreak/>
        <w:t xml:space="preserve">Johnson RJ, </w:t>
      </w:r>
      <w:proofErr w:type="spellStart"/>
      <w:r w:rsidRPr="008B36FC">
        <w:rPr>
          <w:b/>
          <w:bCs/>
          <w:sz w:val="24"/>
          <w:szCs w:val="24"/>
        </w:rPr>
        <w:t>Folwell</w:t>
      </w:r>
      <w:proofErr w:type="spellEnd"/>
      <w:r w:rsidRPr="008B36FC">
        <w:rPr>
          <w:b/>
          <w:bCs/>
          <w:sz w:val="24"/>
          <w:szCs w:val="24"/>
        </w:rPr>
        <w:t xml:space="preserve"> BD, </w:t>
      </w:r>
      <w:proofErr w:type="spellStart"/>
      <w:r w:rsidRPr="008B36FC">
        <w:rPr>
          <w:b/>
          <w:bCs/>
          <w:sz w:val="24"/>
          <w:szCs w:val="24"/>
        </w:rPr>
        <w:t>Wirekoh</w:t>
      </w:r>
      <w:proofErr w:type="spellEnd"/>
      <w:r w:rsidRPr="008B36FC">
        <w:rPr>
          <w:b/>
          <w:bCs/>
          <w:sz w:val="24"/>
          <w:szCs w:val="24"/>
        </w:rPr>
        <w:t xml:space="preserve"> A, </w:t>
      </w:r>
      <w:proofErr w:type="spellStart"/>
      <w:r w:rsidRPr="008B36FC">
        <w:rPr>
          <w:b/>
          <w:bCs/>
          <w:sz w:val="24"/>
          <w:szCs w:val="24"/>
        </w:rPr>
        <w:t>Frenzel</w:t>
      </w:r>
      <w:proofErr w:type="spellEnd"/>
      <w:r w:rsidRPr="008B36FC">
        <w:rPr>
          <w:b/>
          <w:bCs/>
          <w:sz w:val="24"/>
          <w:szCs w:val="24"/>
        </w:rPr>
        <w:t xml:space="preserve"> M, Skovhus TL (2017). Reservoir souring–latest developments for application and mitigation. J </w:t>
      </w:r>
      <w:proofErr w:type="spellStart"/>
      <w:r w:rsidRPr="008B36FC">
        <w:rPr>
          <w:b/>
          <w:bCs/>
          <w:sz w:val="24"/>
          <w:szCs w:val="24"/>
        </w:rPr>
        <w:t>Biotechnol</w:t>
      </w:r>
      <w:proofErr w:type="spellEnd"/>
      <w:r w:rsidRPr="008B36FC">
        <w:rPr>
          <w:b/>
          <w:bCs/>
          <w:sz w:val="24"/>
          <w:szCs w:val="24"/>
        </w:rPr>
        <w:t xml:space="preserve"> 256:57–67</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Kaster, K. M., et al. "Souring: A Critical Review." Journal of Petroleum Technology, vol. 66, no. 3, 2014, pp. 28–38, </w:t>
      </w:r>
      <w:hyperlink r:id="rId34" w:history="1">
        <w:r w:rsidRPr="00F664DA">
          <w:rPr>
            <w:rStyle w:val="Hyperlink"/>
            <w:b/>
            <w:bCs/>
            <w:sz w:val="24"/>
            <w:szCs w:val="24"/>
          </w:rPr>
          <w:t>https://doi:10.2118/0314-0028-JPT</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Kennes</w:t>
      </w:r>
      <w:proofErr w:type="spellEnd"/>
      <w:r w:rsidRPr="00F664DA">
        <w:rPr>
          <w:b/>
          <w:bCs/>
          <w:sz w:val="24"/>
          <w:szCs w:val="24"/>
        </w:rPr>
        <w:t xml:space="preserve">, Christian. (2018). Bioconversion Processes. Fermentation. 4. 21. 10.3390/fermentation4020021. </w:t>
      </w:r>
      <w:hyperlink r:id="rId35" w:history="1">
        <w:r w:rsidRPr="00F664DA">
          <w:rPr>
            <w:rStyle w:val="Hyperlink"/>
            <w:b/>
            <w:bCs/>
            <w:sz w:val="24"/>
            <w:szCs w:val="24"/>
          </w:rPr>
          <w:t>https://doi:10.3390/fermentation4020021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Khan, MAA, Hussain M and. </w:t>
      </w:r>
      <w:proofErr w:type="spellStart"/>
      <w:r w:rsidRPr="00F664DA">
        <w:rPr>
          <w:b/>
          <w:bCs/>
          <w:sz w:val="24"/>
          <w:szCs w:val="24"/>
        </w:rPr>
        <w:t>Djavanrood</w:t>
      </w:r>
      <w:proofErr w:type="spellEnd"/>
      <w:r w:rsidRPr="00F664DA">
        <w:rPr>
          <w:b/>
          <w:bCs/>
          <w:sz w:val="24"/>
          <w:szCs w:val="24"/>
        </w:rPr>
        <w:t xml:space="preserve"> F (2021). Microbiologically influenced corrosion in oil and gas industries: A review. Int. J. </w:t>
      </w:r>
      <w:proofErr w:type="spellStart"/>
      <w:r w:rsidRPr="00F664DA">
        <w:rPr>
          <w:b/>
          <w:bCs/>
          <w:sz w:val="24"/>
          <w:szCs w:val="24"/>
        </w:rPr>
        <w:t>Corros</w:t>
      </w:r>
      <w:proofErr w:type="spellEnd"/>
      <w:r w:rsidRPr="00F664DA">
        <w:rPr>
          <w:b/>
          <w:bCs/>
          <w:sz w:val="24"/>
          <w:szCs w:val="24"/>
        </w:rPr>
        <w:t xml:space="preserve">. Scale Inhib.,10(1), 80–106. </w:t>
      </w:r>
      <w:hyperlink r:id="rId36" w:history="1">
        <w:r w:rsidRPr="00F664DA">
          <w:rPr>
            <w:rStyle w:val="Hyperlink"/>
            <w:b/>
            <w:bCs/>
            <w:sz w:val="24"/>
            <w:szCs w:val="24"/>
          </w:rPr>
          <w:t>https://doi:10.17675/2305-6894-2021-10-1-5</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Koshlaf</w:t>
      </w:r>
      <w:proofErr w:type="spellEnd"/>
      <w:r w:rsidRPr="00F664DA">
        <w:rPr>
          <w:b/>
          <w:bCs/>
          <w:sz w:val="24"/>
          <w:szCs w:val="24"/>
        </w:rPr>
        <w:t xml:space="preserve"> E, Ball AS. Soil bioremediation approaches for petroleum hydrocarbon polluted environments. AIMS Microbiol. 2017 Jan 19;3(1):25-49. PMID: 31294147; PMCID: PMC6604977. </w:t>
      </w:r>
      <w:hyperlink r:id="rId37" w:history="1">
        <w:r w:rsidRPr="00F664DA">
          <w:rPr>
            <w:rStyle w:val="Hyperlink"/>
            <w:b/>
            <w:bCs/>
            <w:sz w:val="24"/>
            <w:szCs w:val="24"/>
          </w:rPr>
          <w:t>https://doi:10.3934/microbiol.2017.1.25</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Labena</w:t>
      </w:r>
      <w:proofErr w:type="spellEnd"/>
      <w:r w:rsidRPr="00F664DA">
        <w:rPr>
          <w:b/>
          <w:bCs/>
          <w:sz w:val="24"/>
          <w:szCs w:val="24"/>
        </w:rPr>
        <w:t xml:space="preserve"> A, </w:t>
      </w:r>
      <w:proofErr w:type="spellStart"/>
      <w:r w:rsidRPr="00F664DA">
        <w:rPr>
          <w:b/>
          <w:bCs/>
          <w:sz w:val="24"/>
          <w:szCs w:val="24"/>
        </w:rPr>
        <w:t>Husien</w:t>
      </w:r>
      <w:proofErr w:type="spellEnd"/>
      <w:r w:rsidRPr="00F664DA">
        <w:rPr>
          <w:b/>
          <w:bCs/>
          <w:sz w:val="24"/>
          <w:szCs w:val="24"/>
        </w:rPr>
        <w:t xml:space="preserve"> S, Elhady R, Chapter 13 - Biological souring and mitigation strategies in oil reservoirs, Editor(s): Sanket Joshi, Prashant Jadhawar, Asheesh Kumar, Challenges and Recent Advances in Sustainable Oil and Gas Recovery and Transportation, Gulf Professional Publishing, 2023, Pages 283-301, ISBN 9780323993043, </w:t>
      </w:r>
      <w:hyperlink r:id="rId38" w:history="1">
        <w:r w:rsidRPr="00F664DA">
          <w:rPr>
            <w:rStyle w:val="Hyperlink"/>
            <w:b/>
            <w:bCs/>
            <w:sz w:val="24"/>
            <w:szCs w:val="24"/>
          </w:rPr>
          <w:t>https://doi.org/10.1016/B978-0-323-99304-3.00009-1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Ma, C.; Xu, X.; Yang, J.; Cheng, L. (2023). Safety Monitoring and Management of Reservoir and Dams. Water 2023, 15, 1078. </w:t>
      </w:r>
      <w:hyperlink r:id="rId39" w:history="1">
        <w:r w:rsidRPr="00F664DA">
          <w:rPr>
            <w:rStyle w:val="Hyperlink"/>
            <w:b/>
            <w:bCs/>
            <w:sz w:val="24"/>
            <w:szCs w:val="24"/>
          </w:rPr>
          <w:t>https://doi.org/10.3390/w15061078</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Ma, Xiaoyu &amp; Wang, </w:t>
      </w:r>
      <w:proofErr w:type="spellStart"/>
      <w:r w:rsidRPr="00F664DA">
        <w:rPr>
          <w:b/>
          <w:bCs/>
          <w:sz w:val="24"/>
          <w:szCs w:val="24"/>
        </w:rPr>
        <w:t>Jida</w:t>
      </w:r>
      <w:proofErr w:type="spellEnd"/>
      <w:r w:rsidRPr="00F664DA">
        <w:rPr>
          <w:b/>
          <w:bCs/>
          <w:sz w:val="24"/>
          <w:szCs w:val="24"/>
        </w:rPr>
        <w:t xml:space="preserve"> &amp; </w:t>
      </w:r>
      <w:proofErr w:type="spellStart"/>
      <w:r w:rsidRPr="00F664DA">
        <w:rPr>
          <w:b/>
          <w:bCs/>
          <w:sz w:val="24"/>
          <w:szCs w:val="24"/>
        </w:rPr>
        <w:t>Gharari</w:t>
      </w:r>
      <w:proofErr w:type="spellEnd"/>
      <w:r w:rsidRPr="00F664DA">
        <w:rPr>
          <w:b/>
          <w:bCs/>
          <w:sz w:val="24"/>
          <w:szCs w:val="24"/>
        </w:rPr>
        <w:t>, S. &amp; Mizukami, Naoki &amp; Lettenmaier, Dennis. (2025).  Monitoring reservoir storage using SWOT satellite observations and reservoir operation models. R</w:t>
      </w:r>
      <w:hyperlink r:id="rId40" w:history="1">
        <w:r w:rsidRPr="00F664DA">
          <w:rPr>
            <w:rStyle w:val="Hyperlink"/>
            <w:b/>
            <w:bCs/>
            <w:sz w:val="24"/>
            <w:szCs w:val="24"/>
          </w:rPr>
          <w:t>https://10.22541/essoar.175095716.62626354/v1</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C61471">
        <w:rPr>
          <w:b/>
          <w:bCs/>
          <w:sz w:val="24"/>
          <w:szCs w:val="24"/>
        </w:rPr>
        <w:t xml:space="preserve">Marietou A (2016) Nitrate reduction in sulfate-reducing bacteria. FEMS Microbiol Lett </w:t>
      </w:r>
      <w:proofErr w:type="gramStart"/>
      <w:r w:rsidRPr="00C61471">
        <w:rPr>
          <w:b/>
          <w:bCs/>
          <w:sz w:val="24"/>
          <w:szCs w:val="24"/>
        </w:rPr>
        <w:t>363:fnw</w:t>
      </w:r>
      <w:proofErr w:type="gramEnd"/>
      <w:r w:rsidRPr="00C61471">
        <w:rPr>
          <w:b/>
          <w:bCs/>
          <w:sz w:val="24"/>
          <w:szCs w:val="24"/>
        </w:rPr>
        <w:t>155</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Nabawy</w:t>
      </w:r>
      <w:proofErr w:type="spellEnd"/>
      <w:r w:rsidRPr="00F664DA">
        <w:rPr>
          <w:b/>
          <w:bCs/>
          <w:sz w:val="24"/>
          <w:szCs w:val="24"/>
        </w:rPr>
        <w:t xml:space="preserve">, Bassem. (2025). New approaches in reservoir characterization utilizing conventional and special core analyses: a comprehensive review. Journal of Umm Al-Qura University for Applied Sciences. 1-32. </w:t>
      </w:r>
      <w:hyperlink r:id="rId41" w:history="1">
        <w:r w:rsidRPr="00F664DA">
          <w:rPr>
            <w:rStyle w:val="Hyperlink"/>
            <w:b/>
            <w:bCs/>
            <w:sz w:val="24"/>
            <w:szCs w:val="24"/>
          </w:rPr>
          <w:t>https://10.1007/s43994-025-00225-6</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Odeyemi, Olushola &amp; Alaba, Peter. (2024). Microbiologically Influenced Corrosion in Oil Fields: Mechanisms, Detection, and Mitigation Strategies. </w:t>
      </w:r>
      <w:hyperlink r:id="rId42" w:history="1">
        <w:r w:rsidRPr="00F664DA">
          <w:rPr>
            <w:rStyle w:val="Hyperlink"/>
            <w:b/>
            <w:bCs/>
            <w:sz w:val="24"/>
            <w:szCs w:val="24"/>
          </w:rPr>
          <w:t>https://doi:10.5772/intechopen.1005181</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Okoro, C., </w:t>
      </w:r>
      <w:proofErr w:type="spellStart"/>
      <w:r w:rsidRPr="00F664DA">
        <w:rPr>
          <w:b/>
          <w:bCs/>
          <w:sz w:val="24"/>
          <w:szCs w:val="24"/>
        </w:rPr>
        <w:t>Ekeng</w:t>
      </w:r>
      <w:proofErr w:type="spellEnd"/>
      <w:r w:rsidRPr="00F664DA">
        <w:rPr>
          <w:b/>
          <w:bCs/>
          <w:sz w:val="24"/>
          <w:szCs w:val="24"/>
        </w:rPr>
        <w:t xml:space="preserve">, E., Ohwo, S. et al. (2026). Anaerobic biodegradation and activities of methanogens, acetogens, sulphate and nitrate reducing bacteria in aged oil wells from low sulphate oil producing environment. Biodegradation 37, 14. </w:t>
      </w:r>
      <w:hyperlink r:id="rId43" w:history="1">
        <w:r w:rsidRPr="00F664DA">
          <w:rPr>
            <w:rStyle w:val="Hyperlink"/>
            <w:b/>
            <w:bCs/>
            <w:sz w:val="24"/>
            <w:szCs w:val="24"/>
          </w:rPr>
          <w:t>https://doi.org/10.1007/s10532-025-10224-3</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proofErr w:type="spellStart"/>
      <w:r w:rsidRPr="00367247">
        <w:rPr>
          <w:b/>
          <w:bCs/>
          <w:sz w:val="24"/>
          <w:szCs w:val="24"/>
        </w:rPr>
        <w:t>Pannekens</w:t>
      </w:r>
      <w:proofErr w:type="spellEnd"/>
      <w:r w:rsidRPr="00367247">
        <w:rPr>
          <w:b/>
          <w:bCs/>
          <w:sz w:val="24"/>
          <w:szCs w:val="24"/>
        </w:rPr>
        <w:t xml:space="preserve"> M, Kroll L, Müller H, Mbow FT, Meckenstock RU (2019) </w:t>
      </w:r>
      <w:proofErr w:type="spellStart"/>
      <w:r w:rsidRPr="00367247">
        <w:rPr>
          <w:b/>
          <w:bCs/>
          <w:sz w:val="24"/>
          <w:szCs w:val="24"/>
        </w:rPr>
        <w:t>Oilreservoirs</w:t>
      </w:r>
      <w:proofErr w:type="spellEnd"/>
      <w:r w:rsidRPr="00367247">
        <w:rPr>
          <w:b/>
          <w:bCs/>
          <w:sz w:val="24"/>
          <w:szCs w:val="24"/>
        </w:rPr>
        <w:t xml:space="preserve">, an exceptional habitat for microorganisms. </w:t>
      </w:r>
      <w:proofErr w:type="spellStart"/>
      <w:r w:rsidRPr="00367247">
        <w:rPr>
          <w:b/>
          <w:bCs/>
          <w:sz w:val="24"/>
          <w:szCs w:val="24"/>
        </w:rPr>
        <w:t>NewBiotechnol</w:t>
      </w:r>
      <w:proofErr w:type="spellEnd"/>
      <w:r w:rsidRPr="00367247">
        <w:rPr>
          <w:b/>
          <w:bCs/>
          <w:sz w:val="24"/>
          <w:szCs w:val="24"/>
        </w:rPr>
        <w:t xml:space="preserve"> 49:1–9</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lastRenderedPageBreak/>
        <w:t xml:space="preserve">Paulraj, Balachandar &amp; Bhatt, Sachin &amp; Shivarudra, Ashwini &amp; </w:t>
      </w:r>
      <w:proofErr w:type="spellStart"/>
      <w:r w:rsidRPr="00F664DA">
        <w:rPr>
          <w:b/>
          <w:bCs/>
          <w:sz w:val="24"/>
          <w:szCs w:val="24"/>
        </w:rPr>
        <w:t>Kavuri</w:t>
      </w:r>
      <w:proofErr w:type="spellEnd"/>
      <w:r w:rsidRPr="00F664DA">
        <w:rPr>
          <w:b/>
          <w:bCs/>
          <w:sz w:val="24"/>
          <w:szCs w:val="24"/>
        </w:rPr>
        <w:t xml:space="preserve">, </w:t>
      </w:r>
      <w:proofErr w:type="spellStart"/>
      <w:r w:rsidRPr="00F664DA">
        <w:rPr>
          <w:b/>
          <w:bCs/>
          <w:sz w:val="24"/>
          <w:szCs w:val="24"/>
        </w:rPr>
        <w:t>Swethasri</w:t>
      </w:r>
      <w:proofErr w:type="spellEnd"/>
      <w:r w:rsidRPr="00F664DA">
        <w:rPr>
          <w:b/>
          <w:bCs/>
          <w:sz w:val="24"/>
          <w:szCs w:val="24"/>
        </w:rPr>
        <w:t xml:space="preserve"> &amp; </w:t>
      </w:r>
      <w:proofErr w:type="spellStart"/>
      <w:r w:rsidRPr="00F664DA">
        <w:rPr>
          <w:b/>
          <w:bCs/>
          <w:sz w:val="24"/>
          <w:szCs w:val="24"/>
        </w:rPr>
        <w:t>Mehra</w:t>
      </w:r>
      <w:proofErr w:type="spellEnd"/>
      <w:r w:rsidRPr="00F664DA">
        <w:rPr>
          <w:b/>
          <w:bCs/>
          <w:sz w:val="24"/>
          <w:szCs w:val="24"/>
        </w:rPr>
        <w:t>, Ankur. (2025).  Innovative Strategies for Optimizing Operational Efficiency in Tech-Driven Organizations.</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Priya Saxena, Dipayan Samanta, Etienne Z. </w:t>
      </w:r>
      <w:proofErr w:type="spellStart"/>
      <w:r w:rsidRPr="00F664DA">
        <w:rPr>
          <w:b/>
          <w:bCs/>
          <w:sz w:val="24"/>
          <w:szCs w:val="24"/>
        </w:rPr>
        <w:t>Gnimpieba</w:t>
      </w:r>
      <w:proofErr w:type="spellEnd"/>
      <w:r w:rsidRPr="00F664DA">
        <w:rPr>
          <w:b/>
          <w:bCs/>
          <w:sz w:val="24"/>
          <w:szCs w:val="24"/>
        </w:rPr>
        <w:t>, Kian Mau Goh, Rajesh K. Sani (2025). Sulfate-reducing bacteria: Unraveling biofilm complexity, stress adaptation, and strategies for corrosion control, Science of The Total Environment, 998, 180226,</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Qiao, L., Wang, J., Wei, S. et al. The soil microbial carbon pump for carbon sequestration. Environ Chem Lett 23, 1145–1151 (2025). </w:t>
      </w:r>
      <w:hyperlink r:id="rId44" w:history="1">
        <w:r w:rsidRPr="00F664DA">
          <w:rPr>
            <w:rStyle w:val="Hyperlink"/>
            <w:b/>
            <w:bCs/>
            <w:sz w:val="24"/>
            <w:szCs w:val="24"/>
          </w:rPr>
          <w:t>https://doi.org/10.1007/s10311-025-01861-4</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rStyle w:val="Hyperlink"/>
          <w:b/>
          <w:bCs/>
          <w:sz w:val="24"/>
          <w:szCs w:val="24"/>
        </w:rPr>
      </w:pPr>
      <w:r w:rsidRPr="00F664DA">
        <w:rPr>
          <w:b/>
          <w:bCs/>
          <w:sz w:val="24"/>
          <w:szCs w:val="24"/>
        </w:rPr>
        <w:t xml:space="preserve">Rajput, S., Pathak, R.K. (2025). Reservoir Engineering Excellence: A Geoscientist’s Blueprint. In: Seismic Exploration to Reservoir Excellence. Springer, Singapore. </w:t>
      </w:r>
      <w:hyperlink r:id="rId45" w:history="1">
        <w:r w:rsidRPr="00F664DA">
          <w:rPr>
            <w:rStyle w:val="Hyperlink"/>
            <w:b/>
            <w:bCs/>
            <w:sz w:val="24"/>
            <w:szCs w:val="24"/>
          </w:rPr>
          <w:t>https://doi.org/10.1007/978-981-96-1293-2_9</w:t>
        </w:r>
      </w:hyperlink>
      <w:r w:rsidRPr="00F664DA">
        <w:rPr>
          <w:rStyle w:val="Hyperlink"/>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Ramy</w:t>
      </w:r>
      <w:proofErr w:type="spellEnd"/>
      <w:r w:rsidRPr="00F664DA">
        <w:rPr>
          <w:b/>
          <w:bCs/>
          <w:sz w:val="24"/>
          <w:szCs w:val="24"/>
        </w:rPr>
        <w:t xml:space="preserve">, Charbel &amp; </w:t>
      </w:r>
      <w:proofErr w:type="spellStart"/>
      <w:r w:rsidRPr="00F664DA">
        <w:rPr>
          <w:b/>
          <w:bCs/>
          <w:sz w:val="24"/>
          <w:szCs w:val="24"/>
        </w:rPr>
        <w:t>Ripeanu</w:t>
      </w:r>
      <w:proofErr w:type="spellEnd"/>
      <w:r w:rsidRPr="00F664DA">
        <w:rPr>
          <w:b/>
          <w:bCs/>
          <w:sz w:val="24"/>
          <w:szCs w:val="24"/>
        </w:rPr>
        <w:t xml:space="preserve">, Razvan George &amp; </w:t>
      </w:r>
      <w:proofErr w:type="spellStart"/>
      <w:r w:rsidRPr="00F664DA">
        <w:rPr>
          <w:b/>
          <w:bCs/>
          <w:sz w:val="24"/>
          <w:szCs w:val="24"/>
        </w:rPr>
        <w:t>Nassreddine</w:t>
      </w:r>
      <w:proofErr w:type="spellEnd"/>
      <w:r w:rsidRPr="00F664DA">
        <w:rPr>
          <w:b/>
          <w:bCs/>
          <w:sz w:val="24"/>
          <w:szCs w:val="24"/>
        </w:rPr>
        <w:t xml:space="preserve">, Salim &amp; </w:t>
      </w:r>
      <w:proofErr w:type="spellStart"/>
      <w:r w:rsidRPr="00F664DA">
        <w:rPr>
          <w:b/>
          <w:bCs/>
          <w:sz w:val="24"/>
          <w:szCs w:val="24"/>
        </w:rPr>
        <w:t>Tanase</w:t>
      </w:r>
      <w:proofErr w:type="spellEnd"/>
      <w:r w:rsidRPr="00F664DA">
        <w:rPr>
          <w:b/>
          <w:bCs/>
          <w:sz w:val="24"/>
          <w:szCs w:val="24"/>
        </w:rPr>
        <w:t xml:space="preserve">, Maria &amp; </w:t>
      </w:r>
      <w:proofErr w:type="spellStart"/>
      <w:r w:rsidRPr="00F664DA">
        <w:rPr>
          <w:b/>
          <w:bCs/>
          <w:sz w:val="24"/>
          <w:szCs w:val="24"/>
        </w:rPr>
        <w:t>Zouein</w:t>
      </w:r>
      <w:proofErr w:type="spellEnd"/>
      <w:r w:rsidRPr="00F664DA">
        <w:rPr>
          <w:b/>
          <w:bCs/>
          <w:sz w:val="24"/>
          <w:szCs w:val="24"/>
        </w:rPr>
        <w:t xml:space="preserve">, Elias &amp; </w:t>
      </w:r>
      <w:proofErr w:type="spellStart"/>
      <w:r w:rsidRPr="00F664DA">
        <w:rPr>
          <w:b/>
          <w:bCs/>
          <w:sz w:val="24"/>
          <w:szCs w:val="24"/>
        </w:rPr>
        <w:t>Diniță</w:t>
      </w:r>
      <w:proofErr w:type="spellEnd"/>
      <w:r w:rsidRPr="00F664DA">
        <w:rPr>
          <w:b/>
          <w:bCs/>
          <w:sz w:val="24"/>
          <w:szCs w:val="24"/>
        </w:rPr>
        <w:t xml:space="preserve">, Alin &amp; Muresan, Constantin. (2025). Recent Advances in Stimulation Techniques for Unconventional Oil Reservoir and Simulation of Fluid Dynamics Using Predictive Model of Flow Production. Processes. 13. 1-41. </w:t>
      </w:r>
      <w:hyperlink r:id="rId46" w:history="1">
        <w:r w:rsidRPr="00F664DA">
          <w:rPr>
            <w:rStyle w:val="Hyperlink"/>
            <w:b/>
            <w:bCs/>
            <w:sz w:val="24"/>
            <w:szCs w:val="24"/>
          </w:rPr>
          <w:t>https://10.3390/pr13041138</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Saradva</w:t>
      </w:r>
      <w:proofErr w:type="spellEnd"/>
      <w:r w:rsidRPr="00F664DA">
        <w:rPr>
          <w:b/>
          <w:bCs/>
          <w:sz w:val="24"/>
          <w:szCs w:val="24"/>
        </w:rPr>
        <w:t xml:space="preserve">, </w:t>
      </w:r>
      <w:proofErr w:type="spellStart"/>
      <w:r w:rsidRPr="00F664DA">
        <w:rPr>
          <w:b/>
          <w:bCs/>
          <w:sz w:val="24"/>
          <w:szCs w:val="24"/>
        </w:rPr>
        <w:t>Harshil</w:t>
      </w:r>
      <w:proofErr w:type="spellEnd"/>
      <w:r w:rsidRPr="00F664DA">
        <w:rPr>
          <w:b/>
          <w:bCs/>
          <w:sz w:val="24"/>
          <w:szCs w:val="24"/>
        </w:rPr>
        <w:t xml:space="preserve">. "Technology Focus: Reservoir Simulation (July 2025)." J Pet Technol 77 (2025): 1–2. </w:t>
      </w:r>
      <w:proofErr w:type="spellStart"/>
      <w:r w:rsidRPr="00F664DA">
        <w:rPr>
          <w:b/>
          <w:bCs/>
          <w:sz w:val="24"/>
          <w:szCs w:val="24"/>
        </w:rPr>
        <w:t>doi</w:t>
      </w:r>
      <w:proofErr w:type="spellEnd"/>
      <w:r w:rsidRPr="00F664DA">
        <w:rPr>
          <w:b/>
          <w:bCs/>
          <w:sz w:val="24"/>
          <w:szCs w:val="24"/>
        </w:rPr>
        <w:t xml:space="preserve">: </w:t>
      </w:r>
      <w:hyperlink r:id="rId47" w:history="1">
        <w:r w:rsidRPr="00F664DA">
          <w:rPr>
            <w:rStyle w:val="Hyperlink"/>
            <w:b/>
            <w:bCs/>
            <w:sz w:val="24"/>
            <w:szCs w:val="24"/>
          </w:rPr>
          <w:t>https://doi.org/10.2118/0725-0008-JPT</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Satter A, Iqbal GM. (2016). 8 - Petroleum reservoir management processes, Editor(s): Abdus Satter, Ghulam M. Iqbal, Reservoir Engineering, Gulf Professional Publishing, Pages 137-153, ISBN 9780128002193, </w:t>
      </w:r>
      <w:hyperlink r:id="rId48" w:history="1">
        <w:r w:rsidRPr="00F664DA">
          <w:rPr>
            <w:rStyle w:val="Hyperlink"/>
            <w:b/>
            <w:bCs/>
            <w:sz w:val="24"/>
            <w:szCs w:val="24"/>
          </w:rPr>
          <w:t>https://doi.org/10.1016/B978-0-12-800219-3.00008-5</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Shah BA, </w:t>
      </w:r>
      <w:proofErr w:type="spellStart"/>
      <w:r w:rsidRPr="00F664DA">
        <w:rPr>
          <w:b/>
          <w:bCs/>
          <w:sz w:val="24"/>
          <w:szCs w:val="24"/>
        </w:rPr>
        <w:t>Muthalif</w:t>
      </w:r>
      <w:proofErr w:type="spellEnd"/>
      <w:r w:rsidRPr="00F664DA">
        <w:rPr>
          <w:b/>
          <w:bCs/>
          <w:sz w:val="24"/>
          <w:szCs w:val="24"/>
        </w:rPr>
        <w:t xml:space="preserve"> AG (2025), "A comprehensive review on corrosion management in oil and gas pipeline: methods and technologies for corrosion prevention, inspection and monitoring". Anti-Corrosion Methods and Materials, Vol. 72 No. 5 pp. 681–701, </w:t>
      </w:r>
      <w:hyperlink r:id="rId49" w:history="1">
        <w:r w:rsidRPr="00F664DA">
          <w:rPr>
            <w:rStyle w:val="Hyperlink"/>
            <w:b/>
            <w:bCs/>
            <w:sz w:val="24"/>
            <w:szCs w:val="24"/>
          </w:rPr>
          <w:t>https://doi.org/10.1108/ACMM-09-2024-3085</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Shao, S., Zhou, F., Wang, Y., &amp; Wu, J.  (2025). An Integrated Multi-Sensor Information System for Real-Time Reservoir Monitoring and Management. Sensors, 25(18), 5730. </w:t>
      </w:r>
      <w:hyperlink r:id="rId50" w:history="1">
        <w:r w:rsidRPr="00F664DA">
          <w:rPr>
            <w:rStyle w:val="Hyperlink"/>
            <w:b/>
            <w:bCs/>
            <w:sz w:val="24"/>
            <w:szCs w:val="24"/>
          </w:rPr>
          <w:t>https://doi.org/10.3390/s25185730</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Shib Sankar Ganguli, Vijay Prasad Dimri, Chapter One - Reservoir characterization: State-of-the-art, key challenges and ways forward, Editor(s): Shib Sankar Ganguli, Vijay Prasad Dimri, Developments in Structural Geology and Tectonics, Elsevier, Volume 6, 2023, Pages 1-35, ISSN 2542-9000, ISBN 9780323995931, </w:t>
      </w:r>
      <w:hyperlink r:id="rId51" w:history="1">
        <w:r w:rsidRPr="00F664DA">
          <w:rPr>
            <w:rStyle w:val="Hyperlink"/>
            <w:b/>
            <w:bCs/>
            <w:sz w:val="24"/>
            <w:szCs w:val="24"/>
          </w:rPr>
          <w:t>https://doi.org/10.1016/B978-0-323-99593-1</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Sindi, Mohammed &amp; Zhu, Xiangyang &amp; Sherry, Angela &amp; Gray, Neil &amp; </w:t>
      </w:r>
      <w:proofErr w:type="spellStart"/>
      <w:r w:rsidRPr="00F664DA">
        <w:rPr>
          <w:b/>
          <w:bCs/>
          <w:sz w:val="24"/>
          <w:szCs w:val="24"/>
        </w:rPr>
        <w:t>Christgen</w:t>
      </w:r>
      <w:proofErr w:type="spellEnd"/>
      <w:r w:rsidRPr="00F664DA">
        <w:rPr>
          <w:b/>
          <w:bCs/>
          <w:sz w:val="24"/>
          <w:szCs w:val="24"/>
        </w:rPr>
        <w:t xml:space="preserve">, </w:t>
      </w:r>
      <w:proofErr w:type="spellStart"/>
      <w:r w:rsidRPr="00F664DA">
        <w:rPr>
          <w:b/>
          <w:bCs/>
          <w:sz w:val="24"/>
          <w:szCs w:val="24"/>
        </w:rPr>
        <w:t>Beate</w:t>
      </w:r>
      <w:proofErr w:type="spellEnd"/>
      <w:r w:rsidRPr="00F664DA">
        <w:rPr>
          <w:b/>
          <w:bCs/>
          <w:sz w:val="24"/>
          <w:szCs w:val="24"/>
        </w:rPr>
        <w:t xml:space="preserve"> &amp; Head, Ian. (2025). Effects of Produced Water Re-Injection (PWRI) on Reservoir Souring and Microbial Community Dynamics. </w:t>
      </w:r>
      <w:hyperlink r:id="rId52" w:history="1">
        <w:r w:rsidRPr="00F664DA">
          <w:rPr>
            <w:rStyle w:val="Hyperlink"/>
            <w:b/>
            <w:bCs/>
            <w:sz w:val="24"/>
            <w:szCs w:val="24"/>
          </w:rPr>
          <w:t>https://10.1201/9781003469643-12</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lastRenderedPageBreak/>
        <w:t xml:space="preserve">Szymczak, A., Ryo, M., Roy, J., &amp; </w:t>
      </w:r>
      <w:proofErr w:type="spellStart"/>
      <w:r w:rsidRPr="00F664DA">
        <w:rPr>
          <w:b/>
          <w:bCs/>
          <w:sz w:val="24"/>
          <w:szCs w:val="24"/>
        </w:rPr>
        <w:t>Rillig</w:t>
      </w:r>
      <w:proofErr w:type="spellEnd"/>
      <w:r w:rsidRPr="00F664DA">
        <w:rPr>
          <w:b/>
          <w:bCs/>
          <w:sz w:val="24"/>
          <w:szCs w:val="24"/>
        </w:rPr>
        <w:t xml:space="preserve">, M. C. (2020). Diversity of Growth Responses of Soil Saprobic Fungi to Recurring Heat Events. Frontiers in Microbiology, 11, 521701. </w:t>
      </w:r>
      <w:hyperlink r:id="rId53" w:history="1">
        <w:r w:rsidRPr="00F664DA">
          <w:rPr>
            <w:rStyle w:val="Hyperlink"/>
            <w:b/>
            <w:bCs/>
            <w:sz w:val="24"/>
            <w:szCs w:val="24"/>
          </w:rPr>
          <w:t>https://doi.org/10.3389/fmicb.2020.01326</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96B31">
        <w:rPr>
          <w:b/>
          <w:bCs/>
          <w:sz w:val="24"/>
          <w:szCs w:val="24"/>
        </w:rPr>
        <w:t xml:space="preserve">Telang AJ, Ebert S, Foght JM, Westlake D, </w:t>
      </w:r>
      <w:proofErr w:type="spellStart"/>
      <w:r w:rsidRPr="00F96B31">
        <w:rPr>
          <w:b/>
          <w:bCs/>
          <w:sz w:val="24"/>
          <w:szCs w:val="24"/>
        </w:rPr>
        <w:t>Jenneman</w:t>
      </w:r>
      <w:proofErr w:type="spellEnd"/>
      <w:r w:rsidRPr="00F96B31">
        <w:rPr>
          <w:b/>
          <w:bCs/>
          <w:sz w:val="24"/>
          <w:szCs w:val="24"/>
        </w:rPr>
        <w:t xml:space="preserve"> GE, </w:t>
      </w:r>
      <w:proofErr w:type="spellStart"/>
      <w:r w:rsidRPr="00F96B31">
        <w:rPr>
          <w:b/>
          <w:bCs/>
          <w:sz w:val="24"/>
          <w:szCs w:val="24"/>
        </w:rPr>
        <w:t>Gevertz</w:t>
      </w:r>
      <w:proofErr w:type="spellEnd"/>
      <w:r w:rsidRPr="00F96B31">
        <w:rPr>
          <w:b/>
          <w:bCs/>
          <w:sz w:val="24"/>
          <w:szCs w:val="24"/>
        </w:rPr>
        <w:t xml:space="preserve"> D, </w:t>
      </w:r>
      <w:proofErr w:type="spellStart"/>
      <w:r w:rsidRPr="00F96B31">
        <w:rPr>
          <w:b/>
          <w:bCs/>
          <w:sz w:val="24"/>
          <w:szCs w:val="24"/>
        </w:rPr>
        <w:t>Voordouw</w:t>
      </w:r>
      <w:proofErr w:type="spellEnd"/>
      <w:r w:rsidRPr="00F96B31">
        <w:rPr>
          <w:b/>
          <w:bCs/>
          <w:sz w:val="24"/>
          <w:szCs w:val="24"/>
        </w:rPr>
        <w:t xml:space="preserve"> G (1997) Effect of nitrate injection on the microbial community in an oil field as monitored by reverse sample genome probing. Appl Environ Microbiol 63:1785–1793</w:t>
      </w:r>
      <w:r>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Thakur GC (1996). What Is Reservoir Management</w:t>
      </w:r>
      <w:proofErr w:type="gramStart"/>
      <w:r w:rsidRPr="00F664DA">
        <w:rPr>
          <w:b/>
          <w:bCs/>
          <w:sz w:val="24"/>
          <w:szCs w:val="24"/>
        </w:rPr>
        <w:t>? .</w:t>
      </w:r>
      <w:proofErr w:type="gramEnd"/>
      <w:r w:rsidRPr="00F664DA">
        <w:rPr>
          <w:b/>
          <w:bCs/>
          <w:sz w:val="24"/>
          <w:szCs w:val="24"/>
        </w:rPr>
        <w:t xml:space="preserve"> J Pet Technol 48 (06): 520–525. Paper Number: SPE-26289-JPT. </w:t>
      </w:r>
      <w:hyperlink r:id="rId54" w:history="1">
        <w:r w:rsidRPr="00F664DA">
          <w:rPr>
            <w:rStyle w:val="Hyperlink"/>
            <w:b/>
            <w:bCs/>
            <w:sz w:val="24"/>
            <w:szCs w:val="24"/>
          </w:rPr>
          <w:t>https://doi.org/10.2118/26289-JPT</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proofErr w:type="spellStart"/>
      <w:r w:rsidRPr="00F664DA">
        <w:rPr>
          <w:b/>
          <w:bCs/>
          <w:sz w:val="24"/>
          <w:szCs w:val="24"/>
        </w:rPr>
        <w:t>Trutschel</w:t>
      </w:r>
      <w:proofErr w:type="spellEnd"/>
      <w:r w:rsidRPr="00F664DA">
        <w:rPr>
          <w:b/>
          <w:bCs/>
          <w:sz w:val="24"/>
          <w:szCs w:val="24"/>
        </w:rPr>
        <w:t xml:space="preserve">, L. R., Chadwick, G. L., Kruger, B., Blank, J. G., Brazelton, W. J., Dart, E. R., &amp; Rowe, A. R. (2022). Investigation of microbial metabolisms in an extremely high pH marine-like terrestrial </w:t>
      </w:r>
      <w:proofErr w:type="spellStart"/>
      <w:r w:rsidRPr="00F664DA">
        <w:rPr>
          <w:b/>
          <w:bCs/>
          <w:sz w:val="24"/>
          <w:szCs w:val="24"/>
        </w:rPr>
        <w:t>serpentinizing</w:t>
      </w:r>
      <w:proofErr w:type="spellEnd"/>
      <w:r w:rsidRPr="00F664DA">
        <w:rPr>
          <w:b/>
          <w:bCs/>
          <w:sz w:val="24"/>
          <w:szCs w:val="24"/>
        </w:rPr>
        <w:t xml:space="preserve"> system: Ney Springs. Science of The Total Environment, 836, 155492. </w:t>
      </w:r>
      <w:hyperlink r:id="rId55" w:history="1">
        <w:r w:rsidRPr="00F664DA">
          <w:rPr>
            <w:rStyle w:val="Hyperlink"/>
            <w:b/>
            <w:bCs/>
            <w:sz w:val="24"/>
            <w:szCs w:val="24"/>
          </w:rPr>
          <w:t>https://doi.org/10.1016/j.scitotenv.2022.155492</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Vance I, Thrasher, DR. (2005). Reservoir Souring: Mechanisms and Prevention. 123-142. </w:t>
      </w:r>
      <w:hyperlink r:id="rId56" w:history="1">
        <w:r w:rsidRPr="00F664DA">
          <w:rPr>
            <w:rStyle w:val="Hyperlink"/>
            <w:b/>
            <w:bCs/>
            <w:sz w:val="24"/>
            <w:szCs w:val="24"/>
          </w:rPr>
          <w:t>https://doi.org/10.1128/9781555817589.ch7</w:t>
        </w:r>
      </w:hyperlink>
      <w:r w:rsidRPr="00F664DA">
        <w:rPr>
          <w:b/>
          <w:bCs/>
          <w:sz w:val="24"/>
          <w:szCs w:val="24"/>
        </w:rPr>
        <w:t>.</w:t>
      </w:r>
    </w:p>
    <w:p w:rsidR="00E61363" w:rsidRPr="00F664DA"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Vance, I., &amp; Thrasher, D. R. "Reservoir Souring: Mechanisms and Prevention." Journal of Petroleum Science and Engineering, vol. 55, no. 1-2, 2007, pp. 115–126, </w:t>
      </w:r>
      <w:hyperlink r:id="rId57" w:history="1">
        <w:r w:rsidRPr="00F664DA">
          <w:rPr>
            <w:rStyle w:val="Hyperlink"/>
            <w:b/>
            <w:bCs/>
            <w:sz w:val="24"/>
            <w:szCs w:val="24"/>
          </w:rPr>
          <w:t>https://doi:10.1016/j.petrol.2006.04.014</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Wu, H., Cui, H., Fu, C., Li, R., Qi, F., Liu, Z., Yang, G., Xiao, K., &amp; Qiao, M. (2024). Unveiling the crucial role of soil microorganisms in carbon cycling: A review. Science of The Total Environment, 909, 168627. </w:t>
      </w:r>
      <w:hyperlink r:id="rId58" w:history="1">
        <w:r w:rsidRPr="00F664DA">
          <w:rPr>
            <w:rStyle w:val="Hyperlink"/>
            <w:b/>
            <w:bCs/>
            <w:sz w:val="24"/>
            <w:szCs w:val="24"/>
          </w:rPr>
          <w:t>https://doi.org/10.1016/j.scitotenv.2023.168627</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Zhang F, She YH, Chai LJ, Banat IM, Zhang XT, Shu FC, Wang ZL, Yu LJ, Hou DJ. (2012). Microbial diversity in long-term water-flooded oil reservoirs with different in situ temperatures in China. Sci Rep. </w:t>
      </w:r>
      <w:proofErr w:type="gramStart"/>
      <w:r w:rsidRPr="00F664DA">
        <w:rPr>
          <w:b/>
          <w:bCs/>
          <w:sz w:val="24"/>
          <w:szCs w:val="24"/>
        </w:rPr>
        <w:t>760..</w:t>
      </w:r>
      <w:proofErr w:type="gramEnd"/>
      <w:r w:rsidRPr="00F664DA">
        <w:rPr>
          <w:b/>
          <w:bCs/>
          <w:sz w:val="24"/>
          <w:szCs w:val="24"/>
        </w:rPr>
        <w:t xml:space="preserve"> </w:t>
      </w:r>
      <w:proofErr w:type="spellStart"/>
      <w:r w:rsidRPr="00F664DA">
        <w:rPr>
          <w:b/>
          <w:bCs/>
          <w:sz w:val="24"/>
          <w:szCs w:val="24"/>
        </w:rPr>
        <w:t>Epub</w:t>
      </w:r>
      <w:proofErr w:type="spellEnd"/>
      <w:r w:rsidRPr="00F664DA">
        <w:rPr>
          <w:b/>
          <w:bCs/>
          <w:sz w:val="24"/>
          <w:szCs w:val="24"/>
        </w:rPr>
        <w:t xml:space="preserve"> 2012 Oct 23. PMID: 23094135; PMCID: PMC3478584. </w:t>
      </w:r>
      <w:hyperlink r:id="rId59" w:history="1">
        <w:r w:rsidRPr="00F664DA">
          <w:rPr>
            <w:rStyle w:val="Hyperlink"/>
            <w:b/>
            <w:bCs/>
            <w:sz w:val="24"/>
            <w:szCs w:val="24"/>
          </w:rPr>
          <w:t>https://doi:10.1038/srep00760</w:t>
        </w:r>
      </w:hyperlink>
      <w:r w:rsidRPr="00F664DA">
        <w:rPr>
          <w:b/>
          <w:bCs/>
          <w:sz w:val="24"/>
          <w:szCs w:val="24"/>
        </w:rPr>
        <w:t>.</w:t>
      </w:r>
    </w:p>
    <w:p w:rsidR="00E61363" w:rsidRDefault="00E61363" w:rsidP="009E1CE3">
      <w:pPr>
        <w:pStyle w:val="ListParagraph"/>
        <w:numPr>
          <w:ilvl w:val="0"/>
          <w:numId w:val="3"/>
        </w:numPr>
        <w:spacing w:after="0" w:line="240" w:lineRule="auto"/>
        <w:jc w:val="both"/>
        <w:rPr>
          <w:b/>
          <w:bCs/>
          <w:sz w:val="24"/>
          <w:szCs w:val="24"/>
        </w:rPr>
      </w:pPr>
      <w:r w:rsidRPr="00F664DA">
        <w:rPr>
          <w:b/>
          <w:bCs/>
          <w:sz w:val="24"/>
          <w:szCs w:val="24"/>
        </w:rPr>
        <w:t xml:space="preserve">Zhou, L., Gao, J., Li, Y., Wu, J., Wang, B., Liu, Y., Yang, S., Gu, J., &amp; Mu, B. (2025). A new control strategy of sulfate-reducing microorganisms and corrosion rate from a high-temperature oil reservoir by nitrate/nitrite coupling with nitrate-reducing bacteria. International Biodeterioration &amp; Biodegradation, 201, 106065. </w:t>
      </w:r>
      <w:hyperlink r:id="rId60" w:history="1">
        <w:r w:rsidRPr="00F664DA">
          <w:rPr>
            <w:rStyle w:val="Hyperlink"/>
            <w:b/>
            <w:bCs/>
            <w:sz w:val="24"/>
            <w:szCs w:val="24"/>
          </w:rPr>
          <w:t>https://doi.org/10.1016/j.ibiod.2025.106065</w:t>
        </w:r>
      </w:hyperlink>
      <w:r w:rsidRPr="00F664DA">
        <w:rPr>
          <w:b/>
          <w:bCs/>
          <w:sz w:val="24"/>
          <w:szCs w:val="24"/>
        </w:rPr>
        <w:t>.</w:t>
      </w:r>
    </w:p>
    <w:sectPr w:rsidR="00E61363" w:rsidSect="008D3EC4">
      <w:headerReference w:type="even" r:id="rId61"/>
      <w:headerReference w:type="default" r:id="rId62"/>
      <w:footerReference w:type="even" r:id="rId63"/>
      <w:footerReference w:type="default" r:id="rId64"/>
      <w:headerReference w:type="first" r:id="rId65"/>
      <w:footerReference w:type="first" r:id="rId6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99D" w:rsidRDefault="0098299D" w:rsidP="002D5E8B">
      <w:pPr>
        <w:spacing w:after="0" w:line="240" w:lineRule="auto"/>
      </w:pPr>
      <w:r>
        <w:separator/>
      </w:r>
    </w:p>
  </w:endnote>
  <w:endnote w:type="continuationSeparator" w:id="0">
    <w:p w:rsidR="0098299D" w:rsidRDefault="0098299D" w:rsidP="002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885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7938"/>
      <w:docPartObj>
        <w:docPartGallery w:val="Page Numbers (Bottom of Page)"/>
        <w:docPartUnique/>
      </w:docPartObj>
    </w:sdtPr>
    <w:sdtEndPr>
      <w:rPr>
        <w:noProof/>
      </w:rPr>
    </w:sdtEndPr>
    <w:sdtContent>
      <w:p w:rsidR="003A3715" w:rsidRDefault="003A3715">
        <w:pPr>
          <w:pStyle w:val="Footer"/>
          <w:jc w:val="center"/>
        </w:pPr>
      </w:p>
      <w:p w:rsidR="003A3715" w:rsidRPr="003A3715" w:rsidRDefault="002D5E8B" w:rsidP="003A3715">
        <w:pPr>
          <w:pStyle w:val="Footer"/>
          <w:jc w:val="center"/>
          <w:rPr>
            <w:b/>
            <w:bCs/>
            <w:noProof/>
          </w:rPr>
        </w:pPr>
        <w:r w:rsidRPr="003A3715">
          <w:rPr>
            <w:b/>
            <w:bCs/>
          </w:rPr>
          <w:fldChar w:fldCharType="begin"/>
        </w:r>
        <w:r w:rsidRPr="003A3715">
          <w:rPr>
            <w:b/>
            <w:bCs/>
          </w:rPr>
          <w:instrText xml:space="preserve"> PAGE   \* MERGEFORMAT </w:instrText>
        </w:r>
        <w:r w:rsidRPr="003A3715">
          <w:rPr>
            <w:b/>
            <w:bCs/>
          </w:rPr>
          <w:fldChar w:fldCharType="separate"/>
        </w:r>
        <w:r w:rsidR="002D5684">
          <w:rPr>
            <w:b/>
            <w:bCs/>
            <w:noProof/>
          </w:rPr>
          <w:t>16</w:t>
        </w:r>
        <w:r w:rsidRPr="003A3715">
          <w:rPr>
            <w:b/>
            <w:bCs/>
            <w:noProof/>
          </w:rPr>
          <w:fldChar w:fldCharType="end"/>
        </w:r>
      </w:p>
      <w:p w:rsidR="002D5E8B" w:rsidRDefault="0098299D" w:rsidP="003A3715">
        <w:pPr>
          <w:pStyle w:val="Footer"/>
          <w:jc w:val="both"/>
        </w:pPr>
      </w:p>
    </w:sdtContent>
  </w:sdt>
  <w:p w:rsidR="002D5E8B" w:rsidRDefault="002D5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EC4" w:rsidRPr="00C35560" w:rsidRDefault="008D3EC4" w:rsidP="00C3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99D" w:rsidRDefault="0098299D" w:rsidP="002D5E8B">
      <w:pPr>
        <w:spacing w:after="0" w:line="240" w:lineRule="auto"/>
      </w:pPr>
      <w:r>
        <w:separator/>
      </w:r>
    </w:p>
  </w:footnote>
  <w:footnote w:type="continuationSeparator" w:id="0">
    <w:p w:rsidR="0098299D" w:rsidRDefault="0098299D" w:rsidP="002D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885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885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4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69" w:rsidRDefault="008853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1693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05045"/>
    <w:multiLevelType w:val="hybridMultilevel"/>
    <w:tmpl w:val="B978BF36"/>
    <w:lvl w:ilvl="0" w:tplc="02F6FBFC">
      <w:start w:val="1"/>
      <w:numFmt w:val="decimal"/>
      <w:lvlText w:val="%1."/>
      <w:lvlJc w:val="left"/>
      <w:pPr>
        <w:ind w:left="720" w:hanging="360"/>
      </w:pPr>
      <w:rPr>
        <w:rFonts w:hint="default"/>
        <w:color w:val="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F29D8"/>
    <w:multiLevelType w:val="hybridMultilevel"/>
    <w:tmpl w:val="78B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E0DE3"/>
    <w:multiLevelType w:val="hybridMultilevel"/>
    <w:tmpl w:val="F7A061A4"/>
    <w:lvl w:ilvl="0" w:tplc="66B483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E0"/>
    <w:rsid w:val="00005963"/>
    <w:rsid w:val="00006716"/>
    <w:rsid w:val="000072E8"/>
    <w:rsid w:val="00012DDE"/>
    <w:rsid w:val="00017488"/>
    <w:rsid w:val="00024B51"/>
    <w:rsid w:val="0003330D"/>
    <w:rsid w:val="000515CD"/>
    <w:rsid w:val="00051804"/>
    <w:rsid w:val="00051E00"/>
    <w:rsid w:val="0007700F"/>
    <w:rsid w:val="000B6FDD"/>
    <w:rsid w:val="000B7CBC"/>
    <w:rsid w:val="000C18F8"/>
    <w:rsid w:val="000D714D"/>
    <w:rsid w:val="000E55B9"/>
    <w:rsid w:val="00117101"/>
    <w:rsid w:val="00125B3B"/>
    <w:rsid w:val="00137455"/>
    <w:rsid w:val="00140096"/>
    <w:rsid w:val="00145004"/>
    <w:rsid w:val="00161110"/>
    <w:rsid w:val="0016140F"/>
    <w:rsid w:val="00167535"/>
    <w:rsid w:val="00173F66"/>
    <w:rsid w:val="001956FF"/>
    <w:rsid w:val="001964FC"/>
    <w:rsid w:val="001A0067"/>
    <w:rsid w:val="001A3345"/>
    <w:rsid w:val="001B5137"/>
    <w:rsid w:val="001C52F1"/>
    <w:rsid w:val="001D08A7"/>
    <w:rsid w:val="001D6E50"/>
    <w:rsid w:val="001F129E"/>
    <w:rsid w:val="001F3C44"/>
    <w:rsid w:val="0020329E"/>
    <w:rsid w:val="00206EB7"/>
    <w:rsid w:val="002079D2"/>
    <w:rsid w:val="002176EF"/>
    <w:rsid w:val="00223039"/>
    <w:rsid w:val="00237924"/>
    <w:rsid w:val="0024233C"/>
    <w:rsid w:val="00253B23"/>
    <w:rsid w:val="00260B73"/>
    <w:rsid w:val="002B3EDE"/>
    <w:rsid w:val="002B6D18"/>
    <w:rsid w:val="002D5684"/>
    <w:rsid w:val="002D5E8B"/>
    <w:rsid w:val="00300EDB"/>
    <w:rsid w:val="0030753A"/>
    <w:rsid w:val="00320CF6"/>
    <w:rsid w:val="00326A9C"/>
    <w:rsid w:val="0034071E"/>
    <w:rsid w:val="00351832"/>
    <w:rsid w:val="00360354"/>
    <w:rsid w:val="003607A8"/>
    <w:rsid w:val="00363665"/>
    <w:rsid w:val="003667ED"/>
    <w:rsid w:val="00367247"/>
    <w:rsid w:val="00371472"/>
    <w:rsid w:val="00384A38"/>
    <w:rsid w:val="00385556"/>
    <w:rsid w:val="003A3715"/>
    <w:rsid w:val="003A4292"/>
    <w:rsid w:val="003A7985"/>
    <w:rsid w:val="003C4F5B"/>
    <w:rsid w:val="003D5FE0"/>
    <w:rsid w:val="003E0D01"/>
    <w:rsid w:val="003F3F8F"/>
    <w:rsid w:val="00402237"/>
    <w:rsid w:val="00404CEB"/>
    <w:rsid w:val="00410F79"/>
    <w:rsid w:val="00421C1F"/>
    <w:rsid w:val="00423D44"/>
    <w:rsid w:val="00424482"/>
    <w:rsid w:val="004663F5"/>
    <w:rsid w:val="00496665"/>
    <w:rsid w:val="004A7F79"/>
    <w:rsid w:val="004C3992"/>
    <w:rsid w:val="004C5383"/>
    <w:rsid w:val="004D5061"/>
    <w:rsid w:val="004E2582"/>
    <w:rsid w:val="004F7318"/>
    <w:rsid w:val="004F7F6E"/>
    <w:rsid w:val="00522982"/>
    <w:rsid w:val="00525BA8"/>
    <w:rsid w:val="00540040"/>
    <w:rsid w:val="00592FFC"/>
    <w:rsid w:val="005D2A51"/>
    <w:rsid w:val="005D4899"/>
    <w:rsid w:val="005E04C7"/>
    <w:rsid w:val="005E59A1"/>
    <w:rsid w:val="005E7D46"/>
    <w:rsid w:val="005F5EFE"/>
    <w:rsid w:val="005F5F34"/>
    <w:rsid w:val="006165EF"/>
    <w:rsid w:val="006210DA"/>
    <w:rsid w:val="006243C5"/>
    <w:rsid w:val="00624D86"/>
    <w:rsid w:val="00631C8B"/>
    <w:rsid w:val="00641F2A"/>
    <w:rsid w:val="00644111"/>
    <w:rsid w:val="0064619E"/>
    <w:rsid w:val="00657F8F"/>
    <w:rsid w:val="00661D61"/>
    <w:rsid w:val="0066725F"/>
    <w:rsid w:val="00667C34"/>
    <w:rsid w:val="00687A2E"/>
    <w:rsid w:val="006A0812"/>
    <w:rsid w:val="006A60E2"/>
    <w:rsid w:val="006B2F79"/>
    <w:rsid w:val="006E4885"/>
    <w:rsid w:val="006F4056"/>
    <w:rsid w:val="00700AFD"/>
    <w:rsid w:val="007138EE"/>
    <w:rsid w:val="00736ECC"/>
    <w:rsid w:val="007407B4"/>
    <w:rsid w:val="00742A48"/>
    <w:rsid w:val="00750134"/>
    <w:rsid w:val="007510DC"/>
    <w:rsid w:val="007515E6"/>
    <w:rsid w:val="0075637C"/>
    <w:rsid w:val="00764EB9"/>
    <w:rsid w:val="007912B6"/>
    <w:rsid w:val="00795246"/>
    <w:rsid w:val="00796EA1"/>
    <w:rsid w:val="007A3C6E"/>
    <w:rsid w:val="007A4994"/>
    <w:rsid w:val="007A76F8"/>
    <w:rsid w:val="007B02ED"/>
    <w:rsid w:val="007B0B8E"/>
    <w:rsid w:val="007C0184"/>
    <w:rsid w:val="007D11C3"/>
    <w:rsid w:val="007D62E7"/>
    <w:rsid w:val="007F3940"/>
    <w:rsid w:val="00817B66"/>
    <w:rsid w:val="00822FFE"/>
    <w:rsid w:val="00826B31"/>
    <w:rsid w:val="00827985"/>
    <w:rsid w:val="00842515"/>
    <w:rsid w:val="00850CC2"/>
    <w:rsid w:val="008576CB"/>
    <w:rsid w:val="00861A97"/>
    <w:rsid w:val="0087089D"/>
    <w:rsid w:val="00885369"/>
    <w:rsid w:val="0089237A"/>
    <w:rsid w:val="0089352A"/>
    <w:rsid w:val="00895778"/>
    <w:rsid w:val="008B36FC"/>
    <w:rsid w:val="008C06EB"/>
    <w:rsid w:val="008D3EC4"/>
    <w:rsid w:val="008F13A4"/>
    <w:rsid w:val="008F6AE6"/>
    <w:rsid w:val="00902D34"/>
    <w:rsid w:val="0090324C"/>
    <w:rsid w:val="00915433"/>
    <w:rsid w:val="00930E88"/>
    <w:rsid w:val="00940755"/>
    <w:rsid w:val="009436CE"/>
    <w:rsid w:val="00950823"/>
    <w:rsid w:val="00956AF7"/>
    <w:rsid w:val="009604B7"/>
    <w:rsid w:val="00961234"/>
    <w:rsid w:val="0096291A"/>
    <w:rsid w:val="0097033E"/>
    <w:rsid w:val="00981347"/>
    <w:rsid w:val="0098299D"/>
    <w:rsid w:val="009852C5"/>
    <w:rsid w:val="00987C88"/>
    <w:rsid w:val="009A257C"/>
    <w:rsid w:val="009A73CD"/>
    <w:rsid w:val="009E1CE3"/>
    <w:rsid w:val="009E61AD"/>
    <w:rsid w:val="009F3AD6"/>
    <w:rsid w:val="009F3B00"/>
    <w:rsid w:val="00A03D8B"/>
    <w:rsid w:val="00A16E97"/>
    <w:rsid w:val="00A2559B"/>
    <w:rsid w:val="00A371E0"/>
    <w:rsid w:val="00A45ECD"/>
    <w:rsid w:val="00A5175D"/>
    <w:rsid w:val="00A573A0"/>
    <w:rsid w:val="00A85F08"/>
    <w:rsid w:val="00A87174"/>
    <w:rsid w:val="00AA3466"/>
    <w:rsid w:val="00AA5E08"/>
    <w:rsid w:val="00AB0D44"/>
    <w:rsid w:val="00AB29AE"/>
    <w:rsid w:val="00AB7D50"/>
    <w:rsid w:val="00AD5E03"/>
    <w:rsid w:val="00AD723F"/>
    <w:rsid w:val="00AE0DB5"/>
    <w:rsid w:val="00AE55CE"/>
    <w:rsid w:val="00AE5EA2"/>
    <w:rsid w:val="00AF00AD"/>
    <w:rsid w:val="00AF2892"/>
    <w:rsid w:val="00AF776A"/>
    <w:rsid w:val="00B11FF6"/>
    <w:rsid w:val="00B15B2C"/>
    <w:rsid w:val="00B24ABA"/>
    <w:rsid w:val="00B3051F"/>
    <w:rsid w:val="00B5152B"/>
    <w:rsid w:val="00B52374"/>
    <w:rsid w:val="00B63396"/>
    <w:rsid w:val="00B817AC"/>
    <w:rsid w:val="00BB2625"/>
    <w:rsid w:val="00BB716A"/>
    <w:rsid w:val="00BC0593"/>
    <w:rsid w:val="00BC07B4"/>
    <w:rsid w:val="00BD2218"/>
    <w:rsid w:val="00BD2224"/>
    <w:rsid w:val="00BD23AA"/>
    <w:rsid w:val="00BD4A9B"/>
    <w:rsid w:val="00BE331F"/>
    <w:rsid w:val="00BF1B0F"/>
    <w:rsid w:val="00BF4046"/>
    <w:rsid w:val="00C27C88"/>
    <w:rsid w:val="00C34E87"/>
    <w:rsid w:val="00C35560"/>
    <w:rsid w:val="00C40901"/>
    <w:rsid w:val="00C4192A"/>
    <w:rsid w:val="00C534AD"/>
    <w:rsid w:val="00C61471"/>
    <w:rsid w:val="00C72A76"/>
    <w:rsid w:val="00C8423C"/>
    <w:rsid w:val="00C9428E"/>
    <w:rsid w:val="00CA6139"/>
    <w:rsid w:val="00CD1BEF"/>
    <w:rsid w:val="00CD702C"/>
    <w:rsid w:val="00CE59BC"/>
    <w:rsid w:val="00CF4B0A"/>
    <w:rsid w:val="00CF6462"/>
    <w:rsid w:val="00D01F70"/>
    <w:rsid w:val="00D04C59"/>
    <w:rsid w:val="00D14656"/>
    <w:rsid w:val="00D33264"/>
    <w:rsid w:val="00D422FB"/>
    <w:rsid w:val="00D462E5"/>
    <w:rsid w:val="00D5041C"/>
    <w:rsid w:val="00D60957"/>
    <w:rsid w:val="00D70B04"/>
    <w:rsid w:val="00D70F6C"/>
    <w:rsid w:val="00DC3C98"/>
    <w:rsid w:val="00DD3818"/>
    <w:rsid w:val="00DD3D2A"/>
    <w:rsid w:val="00DF748B"/>
    <w:rsid w:val="00E242EB"/>
    <w:rsid w:val="00E25547"/>
    <w:rsid w:val="00E43466"/>
    <w:rsid w:val="00E55E85"/>
    <w:rsid w:val="00E56459"/>
    <w:rsid w:val="00E61363"/>
    <w:rsid w:val="00E67318"/>
    <w:rsid w:val="00E6756B"/>
    <w:rsid w:val="00E67BEE"/>
    <w:rsid w:val="00E90261"/>
    <w:rsid w:val="00EA0A42"/>
    <w:rsid w:val="00EA499E"/>
    <w:rsid w:val="00EA50BD"/>
    <w:rsid w:val="00EA5355"/>
    <w:rsid w:val="00EA72C4"/>
    <w:rsid w:val="00EB4E61"/>
    <w:rsid w:val="00EB5687"/>
    <w:rsid w:val="00ED0A75"/>
    <w:rsid w:val="00ED675F"/>
    <w:rsid w:val="00ED78C2"/>
    <w:rsid w:val="00EE2FB1"/>
    <w:rsid w:val="00EE7C56"/>
    <w:rsid w:val="00EF3A2D"/>
    <w:rsid w:val="00EF649A"/>
    <w:rsid w:val="00F203AB"/>
    <w:rsid w:val="00F22552"/>
    <w:rsid w:val="00F263AB"/>
    <w:rsid w:val="00F27016"/>
    <w:rsid w:val="00F341DB"/>
    <w:rsid w:val="00F457E9"/>
    <w:rsid w:val="00F57BD1"/>
    <w:rsid w:val="00F607B6"/>
    <w:rsid w:val="00F63FB3"/>
    <w:rsid w:val="00F640D0"/>
    <w:rsid w:val="00F664DA"/>
    <w:rsid w:val="00F67517"/>
    <w:rsid w:val="00F743D4"/>
    <w:rsid w:val="00F866A9"/>
    <w:rsid w:val="00F92086"/>
    <w:rsid w:val="00F96B31"/>
    <w:rsid w:val="00F96E39"/>
    <w:rsid w:val="00FD211A"/>
    <w:rsid w:val="00FD6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C0D6AB4-49F0-4A3F-A353-844EB462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040"/>
    <w:rPr>
      <w:color w:val="0563C1" w:themeColor="hyperlink"/>
      <w:u w:val="single"/>
    </w:rPr>
  </w:style>
  <w:style w:type="paragraph" w:styleId="Header">
    <w:name w:val="header"/>
    <w:basedOn w:val="Normal"/>
    <w:link w:val="HeaderChar"/>
    <w:uiPriority w:val="99"/>
    <w:unhideWhenUsed/>
    <w:rsid w:val="002D5E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5E8B"/>
  </w:style>
  <w:style w:type="paragraph" w:styleId="Footer">
    <w:name w:val="footer"/>
    <w:basedOn w:val="Normal"/>
    <w:link w:val="FooterChar"/>
    <w:uiPriority w:val="99"/>
    <w:unhideWhenUsed/>
    <w:rsid w:val="002D5E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E8B"/>
  </w:style>
  <w:style w:type="paragraph" w:styleId="ListParagraph">
    <w:name w:val="List Paragraph"/>
    <w:basedOn w:val="Normal"/>
    <w:uiPriority w:val="34"/>
    <w:qFormat/>
    <w:rsid w:val="00AB7D50"/>
    <w:pPr>
      <w:ind w:left="720"/>
      <w:contextualSpacing/>
    </w:pPr>
  </w:style>
  <w:style w:type="character" w:styleId="UnresolvedMention">
    <w:name w:val="Unresolved Mention"/>
    <w:basedOn w:val="DefaultParagraphFont"/>
    <w:uiPriority w:val="99"/>
    <w:semiHidden/>
    <w:unhideWhenUsed/>
    <w:rsid w:val="00C3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589759.2025.2528931" TargetMode="External"/><Relationship Id="rId21" Type="http://schemas.openxmlformats.org/officeDocument/2006/relationships/hyperlink" Target="https://doi.org/10.1007/978-3-319-60063-5_17-1" TargetMode="External"/><Relationship Id="rId34" Type="http://schemas.openxmlformats.org/officeDocument/2006/relationships/hyperlink" Target="https://doi:10.2118/0314-0028-JPT" TargetMode="External"/><Relationship Id="rId42" Type="http://schemas.openxmlformats.org/officeDocument/2006/relationships/hyperlink" Target="https://doi:10.5772/intechopen.1005181" TargetMode="External"/><Relationship Id="rId47" Type="http://schemas.openxmlformats.org/officeDocument/2006/relationships/hyperlink" Target="https://doi.org/10.2118/0725-0008-JPT" TargetMode="External"/><Relationship Id="rId50" Type="http://schemas.openxmlformats.org/officeDocument/2006/relationships/hyperlink" Target="https://doi.org/10.3390/s25185730" TargetMode="External"/><Relationship Id="rId55" Type="http://schemas.openxmlformats.org/officeDocument/2006/relationships/hyperlink" Target="https://doi.org/10.1016/j.scitotenv.2022.155492"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doi.org/10.1080/10242422.2026.2615663" TargetMode="External"/><Relationship Id="rId11" Type="http://schemas.microsoft.com/office/2007/relationships/diagramDrawing" Target="diagrams/drawing1.xml"/><Relationship Id="rId24" Type="http://schemas.openxmlformats.org/officeDocument/2006/relationships/hyperlink" Target="https://doi:10.1128/aem.01390-23" TargetMode="External"/><Relationship Id="rId32" Type="http://schemas.openxmlformats.org/officeDocument/2006/relationships/hyperlink" Target="https://doi.org/10.1016/j.scitotenv.2025.180226" TargetMode="External"/><Relationship Id="rId37" Type="http://schemas.openxmlformats.org/officeDocument/2006/relationships/hyperlink" Target="https://doi:10.3934/microbiol.2017.1.25" TargetMode="External"/><Relationship Id="rId40" Type="http://schemas.openxmlformats.org/officeDocument/2006/relationships/hyperlink" Target="https://10.22541/essoar.175095716.62626354/v1" TargetMode="External"/><Relationship Id="rId45" Type="http://schemas.openxmlformats.org/officeDocument/2006/relationships/hyperlink" Target="https://doi.org/10.1007/978-981-96-1293-2_9" TargetMode="External"/><Relationship Id="rId53" Type="http://schemas.openxmlformats.org/officeDocument/2006/relationships/hyperlink" Target="https://doi.org/10.3389/fmicb.2020.01326" TargetMode="External"/><Relationship Id="rId58" Type="http://schemas.openxmlformats.org/officeDocument/2006/relationships/hyperlink" Target="https://doi.org/10.1016/j.scitotenv.2023.168627"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2118/186361-MS" TargetMode="External"/><Relationship Id="rId14" Type="http://schemas.openxmlformats.org/officeDocument/2006/relationships/diagramLayout" Target="diagrams/layout2.xml"/><Relationship Id="rId22" Type="http://schemas.openxmlformats.org/officeDocument/2006/relationships/hyperlink" Target="https://doi.org/10.2166/hydro.2025.006" TargetMode="External"/><Relationship Id="rId27" Type="http://schemas.openxmlformats.org/officeDocument/2006/relationships/hyperlink" Target="https://doi.org/10.1080/10589759.2025.2528931" TargetMode="External"/><Relationship Id="rId30" Type="http://schemas.openxmlformats.org/officeDocument/2006/relationships/hyperlink" Target="https://10.1007/s11846-025-00880-3" TargetMode="External"/><Relationship Id="rId35" Type="http://schemas.openxmlformats.org/officeDocument/2006/relationships/hyperlink" Target="https://doi:10.3390/fermentation4020021" TargetMode="External"/><Relationship Id="rId43" Type="http://schemas.openxmlformats.org/officeDocument/2006/relationships/hyperlink" Target="https://doi.org/10.1007/s10532-025-10224-3" TargetMode="External"/><Relationship Id="rId48" Type="http://schemas.openxmlformats.org/officeDocument/2006/relationships/hyperlink" Target="https://doi.org/10.1016/B978-0-12-800219-3.00008-5" TargetMode="External"/><Relationship Id="rId56" Type="http://schemas.openxmlformats.org/officeDocument/2006/relationships/hyperlink" Target="https://doi.org/10.1128/9781555817589.ch7" TargetMode="External"/><Relationship Id="rId64" Type="http://schemas.openxmlformats.org/officeDocument/2006/relationships/footer" Target="footer2.xml"/><Relationship Id="rId8" Type="http://schemas.openxmlformats.org/officeDocument/2006/relationships/diagramLayout" Target="diagrams/layout1.xml"/><Relationship Id="rId51" Type="http://schemas.openxmlformats.org/officeDocument/2006/relationships/hyperlink" Target="https://doi.org/10.1016/B978-0-323-99593-1" TargetMode="External"/><Relationship Id="rId3"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2.xml"/><Relationship Id="rId25" Type="http://schemas.openxmlformats.org/officeDocument/2006/relationships/hyperlink" Target="https://doi:10.3389/fmicb.2017.02575" TargetMode="External"/><Relationship Id="rId33" Type="http://schemas.openxmlformats.org/officeDocument/2006/relationships/hyperlink" Target="https://doi.org/10.37745/ijpger.17v8n1112" TargetMode="External"/><Relationship Id="rId38" Type="http://schemas.openxmlformats.org/officeDocument/2006/relationships/hyperlink" Target="https://doi.org/10.1016/B978-0-323-99304-3.00009-1" TargetMode="External"/><Relationship Id="rId46" Type="http://schemas.openxmlformats.org/officeDocument/2006/relationships/hyperlink" Target="https://10.3390/pr13041138" TargetMode="External"/><Relationship Id="rId59" Type="http://schemas.openxmlformats.org/officeDocument/2006/relationships/hyperlink" Target="https://doi:10.1038/srep00760" TargetMode="External"/><Relationship Id="rId67" Type="http://schemas.openxmlformats.org/officeDocument/2006/relationships/fontTable" Target="fontTable.xml"/><Relationship Id="rId20" Type="http://schemas.openxmlformats.org/officeDocument/2006/relationships/hyperlink" Target="https://doi.org/10.1016/j.chemosphere.2021.131752" TargetMode="External"/><Relationship Id="rId41" Type="http://schemas.openxmlformats.org/officeDocument/2006/relationships/hyperlink" Target="https://10.1007/s43994-025-00225-6" TargetMode="External"/><Relationship Id="rId54" Type="http://schemas.openxmlformats.org/officeDocument/2006/relationships/hyperlink" Target="https://doi.org/10.2118/26289-JPT"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hyperlink" Target="https://doi.org/10.1007/s00203-025-04307-1" TargetMode="External"/><Relationship Id="rId28" Type="http://schemas.openxmlformats.org/officeDocument/2006/relationships/hyperlink" Target="https://doi.org/10.3390/w16203000" TargetMode="External"/><Relationship Id="rId36" Type="http://schemas.openxmlformats.org/officeDocument/2006/relationships/hyperlink" Target="https://doi:10.17675/2305-6894-2021-10-1-5" TargetMode="External"/><Relationship Id="rId49" Type="http://schemas.openxmlformats.org/officeDocument/2006/relationships/hyperlink" Target="https://doi.org/10.1108/ACMM-09-2024-3085" TargetMode="External"/><Relationship Id="rId57" Type="http://schemas.openxmlformats.org/officeDocument/2006/relationships/hyperlink" Target="https://doi:10.1016/j.petrol.2006.04.014" TargetMode="External"/><Relationship Id="rId10" Type="http://schemas.openxmlformats.org/officeDocument/2006/relationships/diagramColors" Target="diagrams/colors1.xml"/><Relationship Id="rId31" Type="http://schemas.openxmlformats.org/officeDocument/2006/relationships/hyperlink" Target="https://doi.org/10.1038/s41598-025-05035-8" TargetMode="External"/><Relationship Id="rId44" Type="http://schemas.openxmlformats.org/officeDocument/2006/relationships/hyperlink" Target="https://doi.org/10.1007/s10311-025-01861-4" TargetMode="External"/><Relationship Id="rId52" Type="http://schemas.openxmlformats.org/officeDocument/2006/relationships/hyperlink" Target="https://10.1201/9781003469643-12" TargetMode="External"/><Relationship Id="rId60" Type="http://schemas.openxmlformats.org/officeDocument/2006/relationships/hyperlink" Target="https://doi.org/10.1016/j.ibiod.2025.106065"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hyperlink" Target="https://doi.org/10.54381/icp.2023.1.01" TargetMode="External"/><Relationship Id="rId39" Type="http://schemas.openxmlformats.org/officeDocument/2006/relationships/hyperlink" Target="https://doi.org/10.3390/w1506107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ECDD3-4EDB-4ADD-B7F6-00455D5B2E46}"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BA000AA-B644-4351-92B8-2ED704E8D63B}">
      <dgm:prSet phldrT="[Text]" custT="1"/>
      <dgm:spPr>
        <a:xfrm>
          <a:off x="2044364" y="-30220"/>
          <a:ext cx="1314452"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200" b="1"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gm:t>
    </dgm:pt>
    <dgm:pt modelId="{DBCD33CD-63BB-481A-8FC3-CA2D2030C32A}" type="parTrans" cxnId="{E50514EC-B711-4EFE-AECE-88801D241546}">
      <dgm:prSet/>
      <dgm:spPr/>
      <dgm:t>
        <a:bodyPr/>
        <a:lstStyle/>
        <a:p>
          <a:endParaRPr lang="en-US"/>
        </a:p>
      </dgm:t>
    </dgm:pt>
    <dgm:pt modelId="{CE20E68E-B567-4DDB-B2F8-6D2C09D0FF6B}" type="sibTrans" cxnId="{E50514EC-B711-4EFE-AECE-88801D241546}">
      <dgm:prSet/>
      <dgm:spPr>
        <a:xfrm rot="2146813">
          <a:off x="3214280" y="723828"/>
          <a:ext cx="178179"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20E3F16-5381-4016-994A-9AA9A9F4AA82}">
      <dgm:prSet phldrT="[Text]" custT="1"/>
      <dgm:spPr>
        <a:xfrm>
          <a:off x="3318065" y="800102"/>
          <a:ext cx="1133520" cy="1011948"/>
        </a:xfrm>
        <a:prstGeom prst="ellipse">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a:lnSpc>
              <a:spcPct val="90000"/>
            </a:lnSpc>
            <a:spcAft>
              <a:spcPct val="35000"/>
            </a:spcAft>
          </a:pPr>
          <a:r>
            <a:rPr lang="en-US" sz="12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gm:t>
    </dgm:pt>
    <dgm:pt modelId="{78DD733E-AB46-4EF9-B1D0-3B911C6F0CE7}" type="parTrans" cxnId="{6EDC81EF-F1D7-4D70-BC17-34078AC07339}">
      <dgm:prSet/>
      <dgm:spPr/>
      <dgm:t>
        <a:bodyPr/>
        <a:lstStyle/>
        <a:p>
          <a:endParaRPr lang="en-US"/>
        </a:p>
      </dgm:t>
    </dgm:pt>
    <dgm:pt modelId="{06D9DE62-8A13-4859-9C30-328CCA7C6C8B}" type="sibTrans" cxnId="{6EDC81EF-F1D7-4D70-BC17-34078AC07339}">
      <dgm:prSet/>
      <dgm:spPr>
        <a:xfrm rot="6501416">
          <a:off x="3562375" y="1805945"/>
          <a:ext cx="204862"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D321B27-6924-4F29-816B-D3BFA658AA08}">
      <dgm:prSet phldrT="[Text]" custT="1"/>
      <dgm:spPr>
        <a:xfrm>
          <a:off x="1343025" y="2202701"/>
          <a:ext cx="1247288"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sz="1100" b="1">
              <a:ln>
                <a:solidFill>
                  <a:sysClr val="windowText" lastClr="000000"/>
                </a:solidFill>
              </a:ln>
              <a:solidFill>
                <a:sysClr val="windowText" lastClr="000000"/>
              </a:solidFill>
              <a:latin typeface="Calibri" panose="020F0502020204030204"/>
              <a:ea typeface="+mn-ea"/>
              <a:cs typeface="+mn-cs"/>
            </a:rPr>
            <a:t>After the injection of water at the production well</a:t>
          </a:r>
        </a:p>
      </dgm:t>
    </dgm:pt>
    <dgm:pt modelId="{FC00126F-D6C8-48C6-8014-630EE7859B2A}" type="parTrans" cxnId="{F57B8DE0-B4AB-4D4F-AFC2-0BBCD9D9075F}">
      <dgm:prSet/>
      <dgm:spPr/>
      <dgm:t>
        <a:bodyPr/>
        <a:lstStyle/>
        <a:p>
          <a:endParaRPr lang="en-US"/>
        </a:p>
      </dgm:t>
    </dgm:pt>
    <dgm:pt modelId="{E4513AE7-0698-48E3-B968-9B8A0292622F}" type="sibTrans" cxnId="{F57B8DE0-B4AB-4D4F-AFC2-0BBCD9D9075F}">
      <dgm:prSet/>
      <dgm:spPr>
        <a:xfrm rot="15141793">
          <a:off x="1685603" y="1905675"/>
          <a:ext cx="169575"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C741C2C7-3D1C-42BE-BCB2-028D2C6CFB13}">
      <dgm:prSet phldrT="[Text]"/>
      <dgm:spPr>
        <a:xfrm>
          <a:off x="1044336" y="645666"/>
          <a:ext cx="967085" cy="1320815"/>
        </a:xfrm>
        <a:prstGeom prst="ellipse">
          <a:avLst/>
        </a:prstGeom>
        <a:solidFill>
          <a:srgbClr val="ED7D31"/>
        </a:solidFill>
        <a:ln w="12700" cap="flat" cmpd="sng" algn="ctr">
          <a:solidFill>
            <a:srgbClr val="ED7D31"/>
          </a:solidFill>
          <a:prstDash val="solid"/>
          <a:miter lim="800000"/>
        </a:ln>
        <a:effectLst/>
      </dgm:spPr>
      <dgm:t>
        <a:bodyPr/>
        <a:lstStyle/>
        <a:p>
          <a:r>
            <a:rPr lang="en-US"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gm:t>
    </dgm:pt>
    <dgm:pt modelId="{BAD72D03-4E1B-48BC-BE14-4AA958BEDA20}" type="parTrans" cxnId="{D1D767B9-BFDC-4FE0-84E1-7AA40CCF0903}">
      <dgm:prSet/>
      <dgm:spPr/>
      <dgm:t>
        <a:bodyPr/>
        <a:lstStyle/>
        <a:p>
          <a:endParaRPr lang="en-US"/>
        </a:p>
      </dgm:t>
    </dgm:pt>
    <dgm:pt modelId="{ED092F5D-78AD-45D3-BF91-6D716D9ADEF2}" type="sibTrans" cxnId="{D1D767B9-BFDC-4FE0-84E1-7AA40CCF0903}">
      <dgm:prSet/>
      <dgm:spPr>
        <a:xfrm rot="19440000">
          <a:off x="1998729" y="734346"/>
          <a:ext cx="182891"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939903B4-3840-4623-A0B8-0A1D06651A69}">
      <dgm:prSet phldrT="[Text]" custT="1"/>
      <dgm:spPr>
        <a:xfrm>
          <a:off x="2720118" y="2141092"/>
          <a:ext cx="1413733" cy="1089527"/>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2C72D86A-3601-4792-9C1A-043300122225}" type="sibTrans" cxnId="{EAF7EF10-38DC-4B39-B496-9A025D5C08F1}">
      <dgm:prSet/>
      <dgm:spPr>
        <a:xfrm rot="10799087">
          <a:off x="2622765" y="2522864"/>
          <a:ext cx="68796" cy="326391"/>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66061F8-C0C4-4CF9-9D1A-28FFC3AC490E}" type="parTrans" cxnId="{EAF7EF10-38DC-4B39-B496-9A025D5C08F1}">
      <dgm:prSet/>
      <dgm:spPr/>
      <dgm:t>
        <a:bodyPr/>
        <a:lstStyle/>
        <a:p>
          <a:endParaRPr lang="en-US"/>
        </a:p>
      </dgm:t>
    </dgm:pt>
    <dgm:pt modelId="{2FD8916B-8B8A-4226-B5AE-8972C0708E0A}" type="pres">
      <dgm:prSet presAssocID="{D47ECDD3-4EDB-4ADD-B7F6-00455D5B2E46}" presName="cycle" presStyleCnt="0">
        <dgm:presLayoutVars>
          <dgm:dir/>
          <dgm:resizeHandles val="exact"/>
        </dgm:presLayoutVars>
      </dgm:prSet>
      <dgm:spPr/>
    </dgm:pt>
    <dgm:pt modelId="{A95234C9-B17F-4D1C-BD72-E2F7C04E70CD}" type="pres">
      <dgm:prSet presAssocID="{9BA000AA-B644-4351-92B8-2ED704E8D63B}" presName="node" presStyleLbl="node1" presStyleIdx="0" presStyleCnt="5" custScaleX="135919">
        <dgm:presLayoutVars>
          <dgm:bulletEnabled val="1"/>
        </dgm:presLayoutVars>
      </dgm:prSet>
      <dgm:spPr/>
    </dgm:pt>
    <dgm:pt modelId="{883D8E1B-6B5A-4044-9971-BF2452ED1332}" type="pres">
      <dgm:prSet presAssocID="{CE20E68E-B567-4DDB-B2F8-6D2C09D0FF6B}" presName="sibTrans" presStyleLbl="sibTrans2D1" presStyleIdx="0" presStyleCnt="5"/>
      <dgm:spPr/>
    </dgm:pt>
    <dgm:pt modelId="{DECF8076-A5ED-49FC-AFA5-EE30F817B900}" type="pres">
      <dgm:prSet presAssocID="{CE20E68E-B567-4DDB-B2F8-6D2C09D0FF6B}" presName="connectorText" presStyleLbl="sibTrans2D1" presStyleIdx="0" presStyleCnt="5"/>
      <dgm:spPr/>
    </dgm:pt>
    <dgm:pt modelId="{CA3AE518-0E5F-4107-AAFF-3D12EE100106}" type="pres">
      <dgm:prSet presAssocID="{620E3F16-5381-4016-994A-9AA9A9F4AA82}" presName="node" presStyleLbl="node1" presStyleIdx="1" presStyleCnt="5" custScaleX="117210" custScaleY="104639" custRadScaleRad="100734" custRadScaleInc="377">
        <dgm:presLayoutVars>
          <dgm:bulletEnabled val="1"/>
        </dgm:presLayoutVars>
      </dgm:prSet>
      <dgm:spPr/>
    </dgm:pt>
    <dgm:pt modelId="{E478B02D-173B-4621-9606-CC372D89C161}" type="pres">
      <dgm:prSet presAssocID="{06D9DE62-8A13-4859-9C30-328CCA7C6C8B}" presName="sibTrans" presStyleLbl="sibTrans2D1" presStyleIdx="1" presStyleCnt="5"/>
      <dgm:spPr/>
    </dgm:pt>
    <dgm:pt modelId="{1165FC41-4DF3-4C40-8224-0954FAAE9EFA}" type="pres">
      <dgm:prSet presAssocID="{06D9DE62-8A13-4859-9C30-328CCA7C6C8B}" presName="connectorText" presStyleLbl="sibTrans2D1" presStyleIdx="1" presStyleCnt="5"/>
      <dgm:spPr/>
    </dgm:pt>
    <dgm:pt modelId="{353D8935-A79B-433D-87F6-BA31F765B03B}" type="pres">
      <dgm:prSet presAssocID="{939903B4-3840-4623-A0B8-0A1D06651A69}" presName="node" presStyleLbl="node1" presStyleIdx="2" presStyleCnt="5" custScaleX="146185" custScaleY="112661">
        <dgm:presLayoutVars>
          <dgm:bulletEnabled val="1"/>
        </dgm:presLayoutVars>
      </dgm:prSet>
      <dgm:spPr/>
    </dgm:pt>
    <dgm:pt modelId="{BC1151F4-17F8-420D-B020-DAC1489F4E47}" type="pres">
      <dgm:prSet presAssocID="{2C72D86A-3601-4792-9C1A-043300122225}" presName="sibTrans" presStyleLbl="sibTrans2D1" presStyleIdx="2" presStyleCnt="5"/>
      <dgm:spPr/>
    </dgm:pt>
    <dgm:pt modelId="{4B6D20F1-FB96-455E-9F0E-56A9B280556C}" type="pres">
      <dgm:prSet presAssocID="{2C72D86A-3601-4792-9C1A-043300122225}" presName="connectorText" presStyleLbl="sibTrans2D1" presStyleIdx="2" presStyleCnt="5"/>
      <dgm:spPr/>
    </dgm:pt>
    <dgm:pt modelId="{8BB07666-4874-4E3D-8856-956AF24B1522}" type="pres">
      <dgm:prSet presAssocID="{6D321B27-6924-4F29-816B-D3BFA658AA08}" presName="node" presStyleLbl="node1" presStyleIdx="3" presStyleCnt="5" custScaleX="128974" custRadScaleRad="100481" custRadScaleInc="960">
        <dgm:presLayoutVars>
          <dgm:bulletEnabled val="1"/>
        </dgm:presLayoutVars>
      </dgm:prSet>
      <dgm:spPr/>
    </dgm:pt>
    <dgm:pt modelId="{89C90F11-00E7-4273-B904-A981520E5F92}" type="pres">
      <dgm:prSet presAssocID="{E4513AE7-0698-48E3-B968-9B8A0292622F}" presName="sibTrans" presStyleLbl="sibTrans2D1" presStyleIdx="3" presStyleCnt="5"/>
      <dgm:spPr/>
    </dgm:pt>
    <dgm:pt modelId="{A730A0E2-479A-4DAF-8019-64B5A238F1AE}" type="pres">
      <dgm:prSet presAssocID="{E4513AE7-0698-48E3-B968-9B8A0292622F}" presName="connectorText" presStyleLbl="sibTrans2D1" presStyleIdx="3" presStyleCnt="5"/>
      <dgm:spPr/>
    </dgm:pt>
    <dgm:pt modelId="{51A87731-24A4-4C8D-AABE-50BDA16185A7}" type="pres">
      <dgm:prSet presAssocID="{C741C2C7-3D1C-42BE-BCB2-028D2C6CFB13}" presName="node" presStyleLbl="node1" presStyleIdx="4" presStyleCnt="5" custScaleY="136577">
        <dgm:presLayoutVars>
          <dgm:bulletEnabled val="1"/>
        </dgm:presLayoutVars>
      </dgm:prSet>
      <dgm:spPr/>
    </dgm:pt>
    <dgm:pt modelId="{A81F7B6F-9F04-4BAB-A5CA-AF928F08F66C}" type="pres">
      <dgm:prSet presAssocID="{ED092F5D-78AD-45D3-BF91-6D716D9ADEF2}" presName="sibTrans" presStyleLbl="sibTrans2D1" presStyleIdx="4" presStyleCnt="5"/>
      <dgm:spPr/>
    </dgm:pt>
    <dgm:pt modelId="{34CD9998-419A-4AD3-AB28-EF5B1C001CBE}" type="pres">
      <dgm:prSet presAssocID="{ED092F5D-78AD-45D3-BF91-6D716D9ADEF2}" presName="connectorText" presStyleLbl="sibTrans2D1" presStyleIdx="4" presStyleCnt="5"/>
      <dgm:spPr/>
    </dgm:pt>
  </dgm:ptLst>
  <dgm:cxnLst>
    <dgm:cxn modelId="{EAF7EF10-38DC-4B39-B496-9A025D5C08F1}" srcId="{D47ECDD3-4EDB-4ADD-B7F6-00455D5B2E46}" destId="{939903B4-3840-4623-A0B8-0A1D06651A69}" srcOrd="2" destOrd="0" parTransId="{566061F8-C0C4-4CF9-9D1A-28FFC3AC490E}" sibTransId="{2C72D86A-3601-4792-9C1A-043300122225}"/>
    <dgm:cxn modelId="{5C4EED26-4A8D-4535-9432-7E4964BF06F9}" type="presOf" srcId="{CE20E68E-B567-4DDB-B2F8-6D2C09D0FF6B}" destId="{883D8E1B-6B5A-4044-9971-BF2452ED1332}" srcOrd="0" destOrd="0" presId="urn:microsoft.com/office/officeart/2005/8/layout/cycle2"/>
    <dgm:cxn modelId="{9B0DF928-FE25-49B5-9B28-F7C72009A9A2}" type="presOf" srcId="{E4513AE7-0698-48E3-B968-9B8A0292622F}" destId="{89C90F11-00E7-4273-B904-A981520E5F92}" srcOrd="0" destOrd="0" presId="urn:microsoft.com/office/officeart/2005/8/layout/cycle2"/>
    <dgm:cxn modelId="{19C98638-0C5C-46F6-BC61-8101CE192F17}" type="presOf" srcId="{620E3F16-5381-4016-994A-9AA9A9F4AA82}" destId="{CA3AE518-0E5F-4107-AAFF-3D12EE100106}" srcOrd="0" destOrd="0" presId="urn:microsoft.com/office/officeart/2005/8/layout/cycle2"/>
    <dgm:cxn modelId="{68498D43-BC1D-4D3B-8445-CDE736A3A520}" type="presOf" srcId="{9BA000AA-B644-4351-92B8-2ED704E8D63B}" destId="{A95234C9-B17F-4D1C-BD72-E2F7C04E70CD}" srcOrd="0" destOrd="0" presId="urn:microsoft.com/office/officeart/2005/8/layout/cycle2"/>
    <dgm:cxn modelId="{8649B76C-60F3-4E15-BF68-00B28D079BD5}" type="presOf" srcId="{ED092F5D-78AD-45D3-BF91-6D716D9ADEF2}" destId="{34CD9998-419A-4AD3-AB28-EF5B1C001CBE}" srcOrd="1" destOrd="0" presId="urn:microsoft.com/office/officeart/2005/8/layout/cycle2"/>
    <dgm:cxn modelId="{91A75F6F-2E2A-4FA0-A386-4E56870783E7}" type="presOf" srcId="{CE20E68E-B567-4DDB-B2F8-6D2C09D0FF6B}" destId="{DECF8076-A5ED-49FC-AFA5-EE30F817B900}" srcOrd="1" destOrd="0" presId="urn:microsoft.com/office/officeart/2005/8/layout/cycle2"/>
    <dgm:cxn modelId="{408E7850-027D-4DED-8CAC-5DB401FDE299}" type="presOf" srcId="{939903B4-3840-4623-A0B8-0A1D06651A69}" destId="{353D8935-A79B-433D-87F6-BA31F765B03B}" srcOrd="0" destOrd="0" presId="urn:microsoft.com/office/officeart/2005/8/layout/cycle2"/>
    <dgm:cxn modelId="{5839AB55-4BB3-4C3C-BB17-DF86CA3575CF}" type="presOf" srcId="{2C72D86A-3601-4792-9C1A-043300122225}" destId="{BC1151F4-17F8-420D-B020-DAC1489F4E47}" srcOrd="0" destOrd="0" presId="urn:microsoft.com/office/officeart/2005/8/layout/cycle2"/>
    <dgm:cxn modelId="{6D74C175-A32A-428D-8C07-0A4A6C1FCB6F}" type="presOf" srcId="{6D321B27-6924-4F29-816B-D3BFA658AA08}" destId="{8BB07666-4874-4E3D-8856-956AF24B1522}" srcOrd="0" destOrd="0" presId="urn:microsoft.com/office/officeart/2005/8/layout/cycle2"/>
    <dgm:cxn modelId="{6EFF3986-B80C-412A-945D-DED0D84B7A12}" type="presOf" srcId="{06D9DE62-8A13-4859-9C30-328CCA7C6C8B}" destId="{1165FC41-4DF3-4C40-8224-0954FAAE9EFA}" srcOrd="1" destOrd="0" presId="urn:microsoft.com/office/officeart/2005/8/layout/cycle2"/>
    <dgm:cxn modelId="{24DDDE88-15CD-4EEE-9106-9294DAC7D1A2}" type="presOf" srcId="{D47ECDD3-4EDB-4ADD-B7F6-00455D5B2E46}" destId="{2FD8916B-8B8A-4226-B5AE-8972C0708E0A}" srcOrd="0" destOrd="0" presId="urn:microsoft.com/office/officeart/2005/8/layout/cycle2"/>
    <dgm:cxn modelId="{AC7A0D89-9D0F-406A-954E-E55ADF60B000}" type="presOf" srcId="{06D9DE62-8A13-4859-9C30-328CCA7C6C8B}" destId="{E478B02D-173B-4621-9606-CC372D89C161}" srcOrd="0" destOrd="0" presId="urn:microsoft.com/office/officeart/2005/8/layout/cycle2"/>
    <dgm:cxn modelId="{63D5A08E-175E-4571-89BF-12E341659D5A}" type="presOf" srcId="{ED092F5D-78AD-45D3-BF91-6D716D9ADEF2}" destId="{A81F7B6F-9F04-4BAB-A5CA-AF928F08F66C}" srcOrd="0" destOrd="0" presId="urn:microsoft.com/office/officeart/2005/8/layout/cycle2"/>
    <dgm:cxn modelId="{23ED77B5-6FA4-4AA5-A241-1AE1F7494ADD}" type="presOf" srcId="{E4513AE7-0698-48E3-B968-9B8A0292622F}" destId="{A730A0E2-479A-4DAF-8019-64B5A238F1AE}" srcOrd="1" destOrd="0" presId="urn:microsoft.com/office/officeart/2005/8/layout/cycle2"/>
    <dgm:cxn modelId="{D1D767B9-BFDC-4FE0-84E1-7AA40CCF0903}" srcId="{D47ECDD3-4EDB-4ADD-B7F6-00455D5B2E46}" destId="{C741C2C7-3D1C-42BE-BCB2-028D2C6CFB13}" srcOrd="4" destOrd="0" parTransId="{BAD72D03-4E1B-48BC-BE14-4AA958BEDA20}" sibTransId="{ED092F5D-78AD-45D3-BF91-6D716D9ADEF2}"/>
    <dgm:cxn modelId="{BD252CBD-1B3E-4139-A491-F1FF4F1AF222}" type="presOf" srcId="{C741C2C7-3D1C-42BE-BCB2-028D2C6CFB13}" destId="{51A87731-24A4-4C8D-AABE-50BDA16185A7}" srcOrd="0" destOrd="0" presId="urn:microsoft.com/office/officeart/2005/8/layout/cycle2"/>
    <dgm:cxn modelId="{6490AEBF-6B2C-425F-89B4-B6811DFD6F64}" type="presOf" srcId="{2C72D86A-3601-4792-9C1A-043300122225}" destId="{4B6D20F1-FB96-455E-9F0E-56A9B280556C}" srcOrd="1" destOrd="0" presId="urn:microsoft.com/office/officeart/2005/8/layout/cycle2"/>
    <dgm:cxn modelId="{F57B8DE0-B4AB-4D4F-AFC2-0BBCD9D9075F}" srcId="{D47ECDD3-4EDB-4ADD-B7F6-00455D5B2E46}" destId="{6D321B27-6924-4F29-816B-D3BFA658AA08}" srcOrd="3" destOrd="0" parTransId="{FC00126F-D6C8-48C6-8014-630EE7859B2A}" sibTransId="{E4513AE7-0698-48E3-B968-9B8A0292622F}"/>
    <dgm:cxn modelId="{E50514EC-B711-4EFE-AECE-88801D241546}" srcId="{D47ECDD3-4EDB-4ADD-B7F6-00455D5B2E46}" destId="{9BA000AA-B644-4351-92B8-2ED704E8D63B}" srcOrd="0" destOrd="0" parTransId="{DBCD33CD-63BB-481A-8FC3-CA2D2030C32A}" sibTransId="{CE20E68E-B567-4DDB-B2F8-6D2C09D0FF6B}"/>
    <dgm:cxn modelId="{6EDC81EF-F1D7-4D70-BC17-34078AC07339}" srcId="{D47ECDD3-4EDB-4ADD-B7F6-00455D5B2E46}" destId="{620E3F16-5381-4016-994A-9AA9A9F4AA82}" srcOrd="1" destOrd="0" parTransId="{78DD733E-AB46-4EF9-B1D0-3B911C6F0CE7}" sibTransId="{06D9DE62-8A13-4859-9C30-328CCA7C6C8B}"/>
    <dgm:cxn modelId="{EB3E6DFD-C5E5-467F-8D43-1BD4A78E1351}" type="presParOf" srcId="{2FD8916B-8B8A-4226-B5AE-8972C0708E0A}" destId="{A95234C9-B17F-4D1C-BD72-E2F7C04E70CD}" srcOrd="0" destOrd="0" presId="urn:microsoft.com/office/officeart/2005/8/layout/cycle2"/>
    <dgm:cxn modelId="{125B3519-E05C-4805-9287-21F1973B3238}" type="presParOf" srcId="{2FD8916B-8B8A-4226-B5AE-8972C0708E0A}" destId="{883D8E1B-6B5A-4044-9971-BF2452ED1332}" srcOrd="1" destOrd="0" presId="urn:microsoft.com/office/officeart/2005/8/layout/cycle2"/>
    <dgm:cxn modelId="{461ACF07-69A5-44EC-9E28-CB6D312A7986}" type="presParOf" srcId="{883D8E1B-6B5A-4044-9971-BF2452ED1332}" destId="{DECF8076-A5ED-49FC-AFA5-EE30F817B900}" srcOrd="0" destOrd="0" presId="urn:microsoft.com/office/officeart/2005/8/layout/cycle2"/>
    <dgm:cxn modelId="{DF2306DB-8ADD-48C7-B0A3-344150E23708}" type="presParOf" srcId="{2FD8916B-8B8A-4226-B5AE-8972C0708E0A}" destId="{CA3AE518-0E5F-4107-AAFF-3D12EE100106}" srcOrd="2" destOrd="0" presId="urn:microsoft.com/office/officeart/2005/8/layout/cycle2"/>
    <dgm:cxn modelId="{2A0466EB-A4F4-47C0-8E33-2D31FB62CAB6}" type="presParOf" srcId="{2FD8916B-8B8A-4226-B5AE-8972C0708E0A}" destId="{E478B02D-173B-4621-9606-CC372D89C161}" srcOrd="3" destOrd="0" presId="urn:microsoft.com/office/officeart/2005/8/layout/cycle2"/>
    <dgm:cxn modelId="{E686E443-25AA-4290-929F-12ECFD94F919}" type="presParOf" srcId="{E478B02D-173B-4621-9606-CC372D89C161}" destId="{1165FC41-4DF3-4C40-8224-0954FAAE9EFA}" srcOrd="0" destOrd="0" presId="urn:microsoft.com/office/officeart/2005/8/layout/cycle2"/>
    <dgm:cxn modelId="{369A6664-CC8D-4CFA-83EC-965B37D793DB}" type="presParOf" srcId="{2FD8916B-8B8A-4226-B5AE-8972C0708E0A}" destId="{353D8935-A79B-433D-87F6-BA31F765B03B}" srcOrd="4" destOrd="0" presId="urn:microsoft.com/office/officeart/2005/8/layout/cycle2"/>
    <dgm:cxn modelId="{3063F4CD-73BE-4FA9-BC73-652B7825C5E6}" type="presParOf" srcId="{2FD8916B-8B8A-4226-B5AE-8972C0708E0A}" destId="{BC1151F4-17F8-420D-B020-DAC1489F4E47}" srcOrd="5" destOrd="0" presId="urn:microsoft.com/office/officeart/2005/8/layout/cycle2"/>
    <dgm:cxn modelId="{12EF4118-7300-4630-9C50-70B10768D74B}" type="presParOf" srcId="{BC1151F4-17F8-420D-B020-DAC1489F4E47}" destId="{4B6D20F1-FB96-455E-9F0E-56A9B280556C}" srcOrd="0" destOrd="0" presId="urn:microsoft.com/office/officeart/2005/8/layout/cycle2"/>
    <dgm:cxn modelId="{EB2CF9B6-C643-445C-9AA2-AEED9DA3F41C}" type="presParOf" srcId="{2FD8916B-8B8A-4226-B5AE-8972C0708E0A}" destId="{8BB07666-4874-4E3D-8856-956AF24B1522}" srcOrd="6" destOrd="0" presId="urn:microsoft.com/office/officeart/2005/8/layout/cycle2"/>
    <dgm:cxn modelId="{173BFD7B-BE49-4B26-88CC-1006A3E2C83A}" type="presParOf" srcId="{2FD8916B-8B8A-4226-B5AE-8972C0708E0A}" destId="{89C90F11-00E7-4273-B904-A981520E5F92}" srcOrd="7" destOrd="0" presId="urn:microsoft.com/office/officeart/2005/8/layout/cycle2"/>
    <dgm:cxn modelId="{9C9FC512-AAC5-4C36-871A-3DFFBCC45CCF}" type="presParOf" srcId="{89C90F11-00E7-4273-B904-A981520E5F92}" destId="{A730A0E2-479A-4DAF-8019-64B5A238F1AE}" srcOrd="0" destOrd="0" presId="urn:microsoft.com/office/officeart/2005/8/layout/cycle2"/>
    <dgm:cxn modelId="{289CB693-A896-409E-B634-65EA80CC4432}" type="presParOf" srcId="{2FD8916B-8B8A-4226-B5AE-8972C0708E0A}" destId="{51A87731-24A4-4C8D-AABE-50BDA16185A7}" srcOrd="8" destOrd="0" presId="urn:microsoft.com/office/officeart/2005/8/layout/cycle2"/>
    <dgm:cxn modelId="{B84F77DD-9083-4837-9EA9-AE67C6F4BEDE}" type="presParOf" srcId="{2FD8916B-8B8A-4226-B5AE-8972C0708E0A}" destId="{A81F7B6F-9F04-4BAB-A5CA-AF928F08F66C}" srcOrd="9" destOrd="0" presId="urn:microsoft.com/office/officeart/2005/8/layout/cycle2"/>
    <dgm:cxn modelId="{6F9093A8-9378-4D54-BB43-2FDBA4E3E999}" type="presParOf" srcId="{A81F7B6F-9F04-4BAB-A5CA-AF928F08F66C}" destId="{34CD9998-419A-4AD3-AB28-EF5B1C001CBE}"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1864AA-995B-44A7-9768-B18042FEFB1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5EC02F65-DCF2-4080-84E6-C3180652ED32}">
      <dgm:prSet phldrT="[Text]" custT="1"/>
      <dgm:spPr>
        <a:xfrm>
          <a:off x="1994884" y="1045666"/>
          <a:ext cx="1510216" cy="1109067"/>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r>
            <a:rPr lang="en-US" sz="14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gm:t>
    </dgm:pt>
    <dgm:pt modelId="{3CFEFA12-7468-4A0E-97D1-DE2F1C58A603}" type="parTrans" cxnId="{5D58A0A3-A089-419B-AC0D-495ACCD05119}">
      <dgm:prSet/>
      <dgm:spPr/>
      <dgm:t>
        <a:bodyPr/>
        <a:lstStyle/>
        <a:p>
          <a:endParaRPr lang="en-US"/>
        </a:p>
      </dgm:t>
    </dgm:pt>
    <dgm:pt modelId="{BB2E3006-935A-429A-B4C3-B0EF390EB514}" type="sibTrans" cxnId="{5D58A0A3-A089-419B-AC0D-495ACCD05119}">
      <dgm:prSet/>
      <dgm:spPr/>
      <dgm:t>
        <a:bodyPr/>
        <a:lstStyle/>
        <a:p>
          <a:endParaRPr lang="en-US"/>
        </a:p>
      </dgm:t>
    </dgm:pt>
    <dgm:pt modelId="{795271C0-33C4-453C-A228-D7B570BB6AAC}">
      <dgm:prSet phldrT="[Text]"/>
      <dgm:spPr>
        <a:xfrm>
          <a:off x="2361819" y="825"/>
          <a:ext cx="776347" cy="776347"/>
        </a:xfrm>
        <a:prstGeom prst="ellipse">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gm:t>
    </dgm:pt>
    <dgm:pt modelId="{64125AA2-1272-4155-BD9B-3EE0D483D30D}" type="parTrans" cxnId="{7FEA7D8B-9438-4D4D-8C85-296ABDBB9F95}">
      <dgm:prSet/>
      <dgm:spPr/>
      <dgm:t>
        <a:bodyPr/>
        <a:lstStyle/>
        <a:p>
          <a:endParaRPr lang="en-US"/>
        </a:p>
      </dgm:t>
    </dgm:pt>
    <dgm:pt modelId="{4AC2FC3B-3C03-4939-83DF-503F2CBEDB74}" type="sibTrans" cxnId="{7FEA7D8B-9438-4D4D-8C85-296ABDBB9F95}">
      <dgm:prSet/>
      <dgm:spPr>
        <a:xfrm>
          <a:off x="1510885" y="361050"/>
          <a:ext cx="2478299" cy="2478299"/>
        </a:xfrm>
        <a:prstGeom prst="blockArc">
          <a:avLst>
            <a:gd name="adj1" fmla="val 16199882"/>
            <a:gd name="adj2" fmla="val 19833830"/>
            <a:gd name="adj3" fmla="val 4511"/>
          </a:avLst>
        </a:prstGeom>
        <a:solidFill>
          <a:srgbClr val="5B9BD5">
            <a:tint val="60000"/>
            <a:hueOff val="0"/>
            <a:satOff val="0"/>
            <a:lumOff val="0"/>
            <a:alphaOff val="0"/>
          </a:srgbClr>
        </a:solidFill>
        <a:ln>
          <a:noFill/>
        </a:ln>
        <a:effectLst/>
      </dgm:spPr>
      <dgm:t>
        <a:bodyPr/>
        <a:lstStyle/>
        <a:p>
          <a:endParaRPr lang="en-US"/>
        </a:p>
      </dgm:t>
    </dgm:pt>
    <dgm:pt modelId="{6539339B-7C43-409F-BBC9-D56613499E27}">
      <dgm:prSet/>
      <dgm:spPr>
        <a:xfrm>
          <a:off x="2361819" y="2423227"/>
          <a:ext cx="776347" cy="776347"/>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gm:t>
    </dgm:pt>
    <dgm:pt modelId="{A8F0DDF6-1AA3-4E65-A0BB-017C66C521C3}" type="parTrans" cxnId="{2A35FEBD-CA89-4B7A-BB59-618A22D4E3D8}">
      <dgm:prSet/>
      <dgm:spPr/>
      <dgm:t>
        <a:bodyPr/>
        <a:lstStyle/>
        <a:p>
          <a:endParaRPr lang="en-US"/>
        </a:p>
      </dgm:t>
    </dgm:pt>
    <dgm:pt modelId="{5EA517E8-EAB7-4EB8-ADE7-2F99171D7C72}" type="sibTrans" cxnId="{2A35FEBD-CA89-4B7A-BB59-618A22D4E3D8}">
      <dgm:prSet/>
      <dgm:spPr>
        <a:xfrm>
          <a:off x="1510843" y="361050"/>
          <a:ext cx="2478299" cy="2478299"/>
        </a:xfrm>
        <a:prstGeom prst="blockArc">
          <a:avLst>
            <a:gd name="adj1" fmla="val 5400000"/>
            <a:gd name="adj2" fmla="val 9000000"/>
            <a:gd name="adj3" fmla="val 4511"/>
          </a:avLst>
        </a:prstGeom>
        <a:solidFill>
          <a:srgbClr val="5B9BD5">
            <a:tint val="60000"/>
            <a:hueOff val="0"/>
            <a:satOff val="0"/>
            <a:lumOff val="0"/>
            <a:alphaOff val="0"/>
          </a:srgbClr>
        </a:solidFill>
        <a:ln>
          <a:noFill/>
        </a:ln>
        <a:effectLst/>
      </dgm:spPr>
      <dgm:t>
        <a:bodyPr/>
        <a:lstStyle/>
        <a:p>
          <a:endParaRPr lang="en-US"/>
        </a:p>
      </dgm:t>
    </dgm:pt>
    <dgm:pt modelId="{B9D04969-8121-4802-BFF6-CB5C9D8D0017}">
      <dgm:prSet custT="1"/>
      <dgm:spPr>
        <a:xfrm>
          <a:off x="3342896" y="1847851"/>
          <a:ext cx="969199" cy="773039"/>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gm:t>
    </dgm:pt>
    <dgm:pt modelId="{1787DF32-B1CD-464C-9430-11B44DAC0460}" type="parTrans" cxnId="{5F4D849D-FF8F-4D4F-BCEA-D2159488E107}">
      <dgm:prSet/>
      <dgm:spPr/>
      <dgm:t>
        <a:bodyPr/>
        <a:lstStyle/>
        <a:p>
          <a:endParaRPr lang="en-US"/>
        </a:p>
      </dgm:t>
    </dgm:pt>
    <dgm:pt modelId="{B4A81123-7D55-4154-886A-8EA91EF5B181}" type="sibTrans" cxnId="{5F4D849D-FF8F-4D4F-BCEA-D2159488E107}">
      <dgm:prSet/>
      <dgm:spPr>
        <a:xfrm>
          <a:off x="1555923" y="361889"/>
          <a:ext cx="2478299" cy="2478299"/>
        </a:xfrm>
        <a:prstGeom prst="blockArc">
          <a:avLst>
            <a:gd name="adj1" fmla="val 1891602"/>
            <a:gd name="adj2" fmla="val 5527978"/>
            <a:gd name="adj3" fmla="val 4511"/>
          </a:avLst>
        </a:prstGeom>
        <a:solidFill>
          <a:srgbClr val="5B9BD5">
            <a:tint val="60000"/>
            <a:hueOff val="0"/>
            <a:satOff val="0"/>
            <a:lumOff val="0"/>
            <a:alphaOff val="0"/>
          </a:srgbClr>
        </a:solidFill>
        <a:ln>
          <a:noFill/>
        </a:ln>
        <a:effectLst/>
      </dgm:spPr>
      <dgm:t>
        <a:bodyPr/>
        <a:lstStyle/>
        <a:p>
          <a:endParaRPr lang="en-US"/>
        </a:p>
      </dgm:t>
    </dgm:pt>
    <dgm:pt modelId="{027A671B-6209-44CC-9BBA-56A7B2554A8C}">
      <dgm:prSet/>
      <dgm:spPr>
        <a:xfrm>
          <a:off x="1312888" y="606425"/>
          <a:ext cx="776347" cy="776347"/>
        </a:xfrm>
        <a:prstGeom prst="ellipse">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en-US"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gm:t>
    </dgm:pt>
    <dgm:pt modelId="{46964B91-AF4E-4F2E-95A9-8B0E6C400D38}" type="parTrans" cxnId="{42D2E5A8-ACFC-4D65-94A6-282475763A9F}">
      <dgm:prSet/>
      <dgm:spPr/>
      <dgm:t>
        <a:bodyPr/>
        <a:lstStyle/>
        <a:p>
          <a:endParaRPr lang="en-US"/>
        </a:p>
      </dgm:t>
    </dgm:pt>
    <dgm:pt modelId="{D5F701F6-1910-49CF-86F8-AF9E43378802}" type="sibTrans" cxnId="{42D2E5A8-ACFC-4D65-94A6-282475763A9F}">
      <dgm:prSet/>
      <dgm:spPr>
        <a:xfrm>
          <a:off x="1510843" y="361050"/>
          <a:ext cx="2478299" cy="2478299"/>
        </a:xfrm>
        <a:prstGeom prst="blockArc">
          <a:avLst>
            <a:gd name="adj1" fmla="val 12600000"/>
            <a:gd name="adj2" fmla="val 16200000"/>
            <a:gd name="adj3" fmla="val 4511"/>
          </a:avLst>
        </a:prstGeom>
        <a:solidFill>
          <a:srgbClr val="5B9BD5">
            <a:tint val="60000"/>
            <a:hueOff val="0"/>
            <a:satOff val="0"/>
            <a:lumOff val="0"/>
            <a:alphaOff val="0"/>
          </a:srgbClr>
        </a:solidFill>
        <a:ln>
          <a:noFill/>
        </a:ln>
        <a:effectLst/>
      </dgm:spPr>
      <dgm:t>
        <a:bodyPr/>
        <a:lstStyle/>
        <a:p>
          <a:endParaRPr lang="en-US"/>
        </a:p>
      </dgm:t>
    </dgm:pt>
    <dgm:pt modelId="{48FC5465-429B-4460-9C04-4849D7596A42}">
      <dgm:prSet custT="1"/>
      <dgm:spPr>
        <a:xfrm>
          <a:off x="3416700" y="616777"/>
          <a:ext cx="776347" cy="7763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7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gm:t>
    </dgm:pt>
    <dgm:pt modelId="{21B06558-712A-4B05-8D9D-502A0B80D1FF}" type="parTrans" cxnId="{521E51B5-BBB2-4CDB-B9DD-DAFD46D38F7F}">
      <dgm:prSet/>
      <dgm:spPr/>
      <dgm:t>
        <a:bodyPr/>
        <a:lstStyle/>
        <a:p>
          <a:endParaRPr lang="en-US"/>
        </a:p>
      </dgm:t>
    </dgm:pt>
    <dgm:pt modelId="{352C012F-2C52-4DED-8A51-ABDAEDBBDFC3}" type="sibTrans" cxnId="{521E51B5-BBB2-4CDB-B9DD-DAFD46D38F7F}">
      <dgm:prSet/>
      <dgm:spPr>
        <a:xfrm>
          <a:off x="1533655" y="399710"/>
          <a:ext cx="2478299" cy="2478299"/>
        </a:xfrm>
        <a:prstGeom prst="blockArc">
          <a:avLst>
            <a:gd name="adj1" fmla="val 19706477"/>
            <a:gd name="adj2" fmla="val 1767025"/>
            <a:gd name="adj3" fmla="val 4511"/>
          </a:avLst>
        </a:prstGeom>
        <a:solidFill>
          <a:srgbClr val="5B9BD5">
            <a:tint val="60000"/>
            <a:hueOff val="0"/>
            <a:satOff val="0"/>
            <a:lumOff val="0"/>
            <a:alphaOff val="0"/>
          </a:srgbClr>
        </a:solidFill>
        <a:ln>
          <a:noFill/>
        </a:ln>
        <a:effectLst/>
      </dgm:spPr>
      <dgm:t>
        <a:bodyPr/>
        <a:lstStyle/>
        <a:p>
          <a:endParaRPr lang="en-US"/>
        </a:p>
      </dgm:t>
    </dgm:pt>
    <dgm:pt modelId="{141CEC98-8479-4FB5-9C1C-28F790473FAA}">
      <dgm:prSet custT="1"/>
      <dgm:spPr>
        <a:xfrm>
          <a:off x="1202876" y="1817626"/>
          <a:ext cx="996371" cy="776347"/>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r>
            <a:rPr lang="en-US" sz="800" b="1"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gm:t>
    </dgm:pt>
    <dgm:pt modelId="{265DEF65-9A36-4A08-8F9A-0085D171501F}" type="parTrans" cxnId="{3DF8D30E-86C6-4C88-8893-712658A6408B}">
      <dgm:prSet/>
      <dgm:spPr/>
      <dgm:t>
        <a:bodyPr/>
        <a:lstStyle/>
        <a:p>
          <a:endParaRPr lang="en-US"/>
        </a:p>
      </dgm:t>
    </dgm:pt>
    <dgm:pt modelId="{8F448E6B-ABB4-4AA3-9E66-82EF094B18ED}" type="sibTrans" cxnId="{3DF8D30E-86C6-4C88-8893-712658A6408B}">
      <dgm:prSet/>
      <dgm:spPr>
        <a:xfrm>
          <a:off x="1510843" y="361050"/>
          <a:ext cx="2478299" cy="2478299"/>
        </a:xfrm>
        <a:prstGeom prst="blockArc">
          <a:avLst>
            <a:gd name="adj1" fmla="val 9000000"/>
            <a:gd name="adj2" fmla="val 12600000"/>
            <a:gd name="adj3" fmla="val 4511"/>
          </a:avLst>
        </a:prstGeom>
        <a:solidFill>
          <a:srgbClr val="5B9BD5">
            <a:tint val="60000"/>
            <a:hueOff val="0"/>
            <a:satOff val="0"/>
            <a:lumOff val="0"/>
            <a:alphaOff val="0"/>
          </a:srgbClr>
        </a:solidFill>
        <a:ln>
          <a:noFill/>
        </a:ln>
        <a:effectLst/>
      </dgm:spPr>
      <dgm:t>
        <a:bodyPr/>
        <a:lstStyle/>
        <a:p>
          <a:endParaRPr lang="en-US"/>
        </a:p>
      </dgm:t>
    </dgm:pt>
    <dgm:pt modelId="{CB87641C-6504-4B19-A8BA-4E50375EEC03}" type="pres">
      <dgm:prSet presAssocID="{671864AA-995B-44A7-9768-B18042FEFB1A}" presName="Name0" presStyleCnt="0">
        <dgm:presLayoutVars>
          <dgm:chMax val="1"/>
          <dgm:dir/>
          <dgm:animLvl val="ctr"/>
          <dgm:resizeHandles val="exact"/>
        </dgm:presLayoutVars>
      </dgm:prSet>
      <dgm:spPr/>
    </dgm:pt>
    <dgm:pt modelId="{BA5A4E07-853B-428E-885C-0FFAA96DA29D}" type="pres">
      <dgm:prSet presAssocID="{5EC02F65-DCF2-4080-84E6-C3180652ED32}" presName="centerShape" presStyleLbl="node0" presStyleIdx="0" presStyleCnt="1" custScaleX="136170"/>
      <dgm:spPr/>
    </dgm:pt>
    <dgm:pt modelId="{52D98537-723D-43E3-9AB8-AA8D23415A92}" type="pres">
      <dgm:prSet presAssocID="{795271C0-33C4-453C-A228-D7B570BB6AAC}" presName="node" presStyleLbl="node1" presStyleIdx="0" presStyleCnt="6">
        <dgm:presLayoutVars>
          <dgm:bulletEnabled val="1"/>
        </dgm:presLayoutVars>
      </dgm:prSet>
      <dgm:spPr/>
    </dgm:pt>
    <dgm:pt modelId="{5E5AA921-F6D7-4CFE-9C30-04FFDDD2F2ED}" type="pres">
      <dgm:prSet presAssocID="{795271C0-33C4-453C-A228-D7B570BB6AAC}" presName="dummy" presStyleCnt="0"/>
      <dgm:spPr/>
    </dgm:pt>
    <dgm:pt modelId="{C5C5219C-6E65-47AC-8498-E1EE64870929}" type="pres">
      <dgm:prSet presAssocID="{4AC2FC3B-3C03-4939-83DF-503F2CBEDB74}" presName="sibTrans" presStyleLbl="sibTrans2D1" presStyleIdx="0" presStyleCnt="6"/>
      <dgm:spPr/>
    </dgm:pt>
    <dgm:pt modelId="{19EAF0F7-E2E6-44E4-ACD9-543AADA8DACF}" type="pres">
      <dgm:prSet presAssocID="{48FC5465-429B-4460-9C04-4849D7596A42}" presName="node" presStyleLbl="node1" presStyleIdx="1" presStyleCnt="6" custRadScaleRad="100003" custRadScaleInc="2824">
        <dgm:presLayoutVars>
          <dgm:bulletEnabled val="1"/>
        </dgm:presLayoutVars>
      </dgm:prSet>
      <dgm:spPr/>
    </dgm:pt>
    <dgm:pt modelId="{CFADFE84-C0E3-4C65-84DD-BA7ABBFAA181}" type="pres">
      <dgm:prSet presAssocID="{48FC5465-429B-4460-9C04-4849D7596A42}" presName="dummy" presStyleCnt="0"/>
      <dgm:spPr/>
    </dgm:pt>
    <dgm:pt modelId="{95D95AF2-EAB6-47ED-BF29-13036A37FAA3}" type="pres">
      <dgm:prSet presAssocID="{352C012F-2C52-4DED-8A51-ABDAEDBBDFC3}" presName="sibTrans" presStyleLbl="sibTrans2D1" presStyleIdx="1" presStyleCnt="6"/>
      <dgm:spPr/>
    </dgm:pt>
    <dgm:pt modelId="{36DB76B7-6363-43FF-96C1-88881023C57C}" type="pres">
      <dgm:prSet presAssocID="{B9D04969-8121-4802-BFF6-CB5C9D8D0017}" presName="node" presStyleLbl="node1" presStyleIdx="2" presStyleCnt="6" custScaleX="124841" custScaleY="99574" custRadScaleRad="103226" custRadScaleInc="2396">
        <dgm:presLayoutVars>
          <dgm:bulletEnabled val="1"/>
        </dgm:presLayoutVars>
      </dgm:prSet>
      <dgm:spPr/>
    </dgm:pt>
    <dgm:pt modelId="{EB94A257-E6C8-4151-A667-1D44E3592819}" type="pres">
      <dgm:prSet presAssocID="{B9D04969-8121-4802-BFF6-CB5C9D8D0017}" presName="dummy" presStyleCnt="0"/>
      <dgm:spPr/>
    </dgm:pt>
    <dgm:pt modelId="{64158189-2877-426A-9FB1-41FC7BF06177}" type="pres">
      <dgm:prSet presAssocID="{B4A81123-7D55-4154-886A-8EA91EF5B181}" presName="sibTrans" presStyleLbl="sibTrans2D1" presStyleIdx="2" presStyleCnt="6"/>
      <dgm:spPr/>
    </dgm:pt>
    <dgm:pt modelId="{E1BB7B43-C9D2-40D6-8B7D-5C6530657FCC}" type="pres">
      <dgm:prSet presAssocID="{6539339B-7C43-409F-BBC9-D56613499E27}" presName="node" presStyleLbl="node1" presStyleIdx="3" presStyleCnt="6">
        <dgm:presLayoutVars>
          <dgm:bulletEnabled val="1"/>
        </dgm:presLayoutVars>
      </dgm:prSet>
      <dgm:spPr/>
    </dgm:pt>
    <dgm:pt modelId="{62797A03-4A21-45D9-8B6E-EA290787FC78}" type="pres">
      <dgm:prSet presAssocID="{6539339B-7C43-409F-BBC9-D56613499E27}" presName="dummy" presStyleCnt="0"/>
      <dgm:spPr/>
    </dgm:pt>
    <dgm:pt modelId="{22B0852A-F59A-4683-AAEE-2FBC214A0BFC}" type="pres">
      <dgm:prSet presAssocID="{5EA517E8-EAB7-4EB8-ADE7-2F99171D7C72}" presName="sibTrans" presStyleLbl="sibTrans2D1" presStyleIdx="3" presStyleCnt="6"/>
      <dgm:spPr/>
    </dgm:pt>
    <dgm:pt modelId="{C23A9318-DD47-49E9-84C9-0D30C5E80500}" type="pres">
      <dgm:prSet presAssocID="{141CEC98-8479-4FB5-9C1C-28F790473FAA}" presName="node" presStyleLbl="node1" presStyleIdx="4" presStyleCnt="6" custScaleX="128341">
        <dgm:presLayoutVars>
          <dgm:bulletEnabled val="1"/>
        </dgm:presLayoutVars>
      </dgm:prSet>
      <dgm:spPr/>
    </dgm:pt>
    <dgm:pt modelId="{F95346BF-E32B-4889-9B72-AC36A867CD80}" type="pres">
      <dgm:prSet presAssocID="{141CEC98-8479-4FB5-9C1C-28F790473FAA}" presName="dummy" presStyleCnt="0"/>
      <dgm:spPr/>
    </dgm:pt>
    <dgm:pt modelId="{82C90DFA-14D6-42DA-9845-B29288670AD3}" type="pres">
      <dgm:prSet presAssocID="{8F448E6B-ABB4-4AA3-9E66-82EF094B18ED}" presName="sibTrans" presStyleLbl="sibTrans2D1" presStyleIdx="4" presStyleCnt="6"/>
      <dgm:spPr/>
    </dgm:pt>
    <dgm:pt modelId="{3FC71C99-749B-470F-A14E-154228973E3D}" type="pres">
      <dgm:prSet presAssocID="{027A671B-6209-44CC-9BBA-56A7B2554A8C}" presName="node" presStyleLbl="node1" presStyleIdx="5" presStyleCnt="6">
        <dgm:presLayoutVars>
          <dgm:bulletEnabled val="1"/>
        </dgm:presLayoutVars>
      </dgm:prSet>
      <dgm:spPr/>
    </dgm:pt>
    <dgm:pt modelId="{D4E92FDB-01CD-4920-A976-A790E4513CD4}" type="pres">
      <dgm:prSet presAssocID="{027A671B-6209-44CC-9BBA-56A7B2554A8C}" presName="dummy" presStyleCnt="0"/>
      <dgm:spPr/>
    </dgm:pt>
    <dgm:pt modelId="{B5F5AB40-6E30-4C37-8A8E-5CF951F75F37}" type="pres">
      <dgm:prSet presAssocID="{D5F701F6-1910-49CF-86F8-AF9E43378802}" presName="sibTrans" presStyleLbl="sibTrans2D1" presStyleIdx="5" presStyleCnt="6"/>
      <dgm:spPr/>
    </dgm:pt>
  </dgm:ptLst>
  <dgm:cxnLst>
    <dgm:cxn modelId="{3DF8D30E-86C6-4C88-8893-712658A6408B}" srcId="{5EC02F65-DCF2-4080-84E6-C3180652ED32}" destId="{141CEC98-8479-4FB5-9C1C-28F790473FAA}" srcOrd="4" destOrd="0" parTransId="{265DEF65-9A36-4A08-8F9A-0085D171501F}" sibTransId="{8F448E6B-ABB4-4AA3-9E66-82EF094B18ED}"/>
    <dgm:cxn modelId="{880F8654-3C62-4FCA-8E7F-621BCEA06753}" type="presOf" srcId="{48FC5465-429B-4460-9C04-4849D7596A42}" destId="{19EAF0F7-E2E6-44E4-ACD9-543AADA8DACF}" srcOrd="0" destOrd="0" presId="urn:microsoft.com/office/officeart/2005/8/layout/radial6"/>
    <dgm:cxn modelId="{CAF66979-B44E-4E27-AD1A-5DC10A2F6E34}" type="presOf" srcId="{6539339B-7C43-409F-BBC9-D56613499E27}" destId="{E1BB7B43-C9D2-40D6-8B7D-5C6530657FCC}" srcOrd="0" destOrd="0" presId="urn:microsoft.com/office/officeart/2005/8/layout/radial6"/>
    <dgm:cxn modelId="{4BC18380-29F1-46B2-AC81-0A72B5DF1D75}" type="presOf" srcId="{027A671B-6209-44CC-9BBA-56A7B2554A8C}" destId="{3FC71C99-749B-470F-A14E-154228973E3D}" srcOrd="0" destOrd="0" presId="urn:microsoft.com/office/officeart/2005/8/layout/radial6"/>
    <dgm:cxn modelId="{2B733E84-2331-4F07-9F1A-719012020675}" type="presOf" srcId="{8F448E6B-ABB4-4AA3-9E66-82EF094B18ED}" destId="{82C90DFA-14D6-42DA-9845-B29288670AD3}" srcOrd="0" destOrd="0" presId="urn:microsoft.com/office/officeart/2005/8/layout/radial6"/>
    <dgm:cxn modelId="{3B7F3A89-E3AE-49D2-B824-ECE7E0806B1B}" type="presOf" srcId="{5EC02F65-DCF2-4080-84E6-C3180652ED32}" destId="{BA5A4E07-853B-428E-885C-0FFAA96DA29D}" srcOrd="0" destOrd="0" presId="urn:microsoft.com/office/officeart/2005/8/layout/radial6"/>
    <dgm:cxn modelId="{7FEA7D8B-9438-4D4D-8C85-296ABDBB9F95}" srcId="{5EC02F65-DCF2-4080-84E6-C3180652ED32}" destId="{795271C0-33C4-453C-A228-D7B570BB6AAC}" srcOrd="0" destOrd="0" parTransId="{64125AA2-1272-4155-BD9B-3EE0D483D30D}" sibTransId="{4AC2FC3B-3C03-4939-83DF-503F2CBEDB74}"/>
    <dgm:cxn modelId="{86561C94-FD43-4EF4-B0F9-03939A970230}" type="presOf" srcId="{671864AA-995B-44A7-9768-B18042FEFB1A}" destId="{CB87641C-6504-4B19-A8BA-4E50375EEC03}" srcOrd="0" destOrd="0" presId="urn:microsoft.com/office/officeart/2005/8/layout/radial6"/>
    <dgm:cxn modelId="{1E893694-E52B-4071-BE4F-7EBC14513452}" type="presOf" srcId="{D5F701F6-1910-49CF-86F8-AF9E43378802}" destId="{B5F5AB40-6E30-4C37-8A8E-5CF951F75F37}" srcOrd="0" destOrd="0" presId="urn:microsoft.com/office/officeart/2005/8/layout/radial6"/>
    <dgm:cxn modelId="{57CEE496-3094-4FE6-A2CB-5DD8D15F1B85}" type="presOf" srcId="{795271C0-33C4-453C-A228-D7B570BB6AAC}" destId="{52D98537-723D-43E3-9AB8-AA8D23415A92}" srcOrd="0" destOrd="0" presId="urn:microsoft.com/office/officeart/2005/8/layout/radial6"/>
    <dgm:cxn modelId="{5F4D849D-FF8F-4D4F-BCEA-D2159488E107}" srcId="{5EC02F65-DCF2-4080-84E6-C3180652ED32}" destId="{B9D04969-8121-4802-BFF6-CB5C9D8D0017}" srcOrd="2" destOrd="0" parTransId="{1787DF32-B1CD-464C-9430-11B44DAC0460}" sibTransId="{B4A81123-7D55-4154-886A-8EA91EF5B181}"/>
    <dgm:cxn modelId="{5D58A0A3-A089-419B-AC0D-495ACCD05119}" srcId="{671864AA-995B-44A7-9768-B18042FEFB1A}" destId="{5EC02F65-DCF2-4080-84E6-C3180652ED32}" srcOrd="0" destOrd="0" parTransId="{3CFEFA12-7468-4A0E-97D1-DE2F1C58A603}" sibTransId="{BB2E3006-935A-429A-B4C3-B0EF390EB514}"/>
    <dgm:cxn modelId="{42D2E5A8-ACFC-4D65-94A6-282475763A9F}" srcId="{5EC02F65-DCF2-4080-84E6-C3180652ED32}" destId="{027A671B-6209-44CC-9BBA-56A7B2554A8C}" srcOrd="5" destOrd="0" parTransId="{46964B91-AF4E-4F2E-95A9-8B0E6C400D38}" sibTransId="{D5F701F6-1910-49CF-86F8-AF9E43378802}"/>
    <dgm:cxn modelId="{ED90F0B2-8718-485D-B3B4-AEB09F4E9E72}" type="presOf" srcId="{5EA517E8-EAB7-4EB8-ADE7-2F99171D7C72}" destId="{22B0852A-F59A-4683-AAEE-2FBC214A0BFC}" srcOrd="0" destOrd="0" presId="urn:microsoft.com/office/officeart/2005/8/layout/radial6"/>
    <dgm:cxn modelId="{521E51B5-BBB2-4CDB-B9DD-DAFD46D38F7F}" srcId="{5EC02F65-DCF2-4080-84E6-C3180652ED32}" destId="{48FC5465-429B-4460-9C04-4849D7596A42}" srcOrd="1" destOrd="0" parTransId="{21B06558-712A-4B05-8D9D-502A0B80D1FF}" sibTransId="{352C012F-2C52-4DED-8A51-ABDAEDBBDFC3}"/>
    <dgm:cxn modelId="{8C420CBB-556B-4D7B-A6F3-9289A648DFD0}" type="presOf" srcId="{352C012F-2C52-4DED-8A51-ABDAEDBBDFC3}" destId="{95D95AF2-EAB6-47ED-BF29-13036A37FAA3}" srcOrd="0" destOrd="0" presId="urn:microsoft.com/office/officeart/2005/8/layout/radial6"/>
    <dgm:cxn modelId="{2A35FEBD-CA89-4B7A-BB59-618A22D4E3D8}" srcId="{5EC02F65-DCF2-4080-84E6-C3180652ED32}" destId="{6539339B-7C43-409F-BBC9-D56613499E27}" srcOrd="3" destOrd="0" parTransId="{A8F0DDF6-1AA3-4E65-A0BB-017C66C521C3}" sibTransId="{5EA517E8-EAB7-4EB8-ADE7-2F99171D7C72}"/>
    <dgm:cxn modelId="{71CD4ED5-3E1E-45D1-8A03-BA1C56E9F34F}" type="presOf" srcId="{4AC2FC3B-3C03-4939-83DF-503F2CBEDB74}" destId="{C5C5219C-6E65-47AC-8498-E1EE64870929}" srcOrd="0" destOrd="0" presId="urn:microsoft.com/office/officeart/2005/8/layout/radial6"/>
    <dgm:cxn modelId="{B8A094DA-169B-4FB9-888A-C9E2577B7DF0}" type="presOf" srcId="{B4A81123-7D55-4154-886A-8EA91EF5B181}" destId="{64158189-2877-426A-9FB1-41FC7BF06177}" srcOrd="0" destOrd="0" presId="urn:microsoft.com/office/officeart/2005/8/layout/radial6"/>
    <dgm:cxn modelId="{313A46F3-DCC9-460D-A822-1BCF03243C10}" type="presOf" srcId="{141CEC98-8479-4FB5-9C1C-28F790473FAA}" destId="{C23A9318-DD47-49E9-84C9-0D30C5E80500}" srcOrd="0" destOrd="0" presId="urn:microsoft.com/office/officeart/2005/8/layout/radial6"/>
    <dgm:cxn modelId="{9E2904F6-37F8-4826-843E-1618C80F2AE1}" type="presOf" srcId="{B9D04969-8121-4802-BFF6-CB5C9D8D0017}" destId="{36DB76B7-6363-43FF-96C1-88881023C57C}" srcOrd="0" destOrd="0" presId="urn:microsoft.com/office/officeart/2005/8/layout/radial6"/>
    <dgm:cxn modelId="{232A21D4-7816-4593-87BB-7E7A7CA67388}" type="presParOf" srcId="{CB87641C-6504-4B19-A8BA-4E50375EEC03}" destId="{BA5A4E07-853B-428E-885C-0FFAA96DA29D}" srcOrd="0" destOrd="0" presId="urn:microsoft.com/office/officeart/2005/8/layout/radial6"/>
    <dgm:cxn modelId="{A875FDD8-9788-40B0-A671-33FE8D2422E8}" type="presParOf" srcId="{CB87641C-6504-4B19-A8BA-4E50375EEC03}" destId="{52D98537-723D-43E3-9AB8-AA8D23415A92}" srcOrd="1" destOrd="0" presId="urn:microsoft.com/office/officeart/2005/8/layout/radial6"/>
    <dgm:cxn modelId="{5A36DF2D-FA6A-4249-9103-4F4A58588277}" type="presParOf" srcId="{CB87641C-6504-4B19-A8BA-4E50375EEC03}" destId="{5E5AA921-F6D7-4CFE-9C30-04FFDDD2F2ED}" srcOrd="2" destOrd="0" presId="urn:microsoft.com/office/officeart/2005/8/layout/radial6"/>
    <dgm:cxn modelId="{43ACC344-149F-48C8-BAC8-E2D0B38805D4}" type="presParOf" srcId="{CB87641C-6504-4B19-A8BA-4E50375EEC03}" destId="{C5C5219C-6E65-47AC-8498-E1EE64870929}" srcOrd="3" destOrd="0" presId="urn:microsoft.com/office/officeart/2005/8/layout/radial6"/>
    <dgm:cxn modelId="{65966786-FA60-45AD-B1F0-6751E5669D27}" type="presParOf" srcId="{CB87641C-6504-4B19-A8BA-4E50375EEC03}" destId="{19EAF0F7-E2E6-44E4-ACD9-543AADA8DACF}" srcOrd="4" destOrd="0" presId="urn:microsoft.com/office/officeart/2005/8/layout/radial6"/>
    <dgm:cxn modelId="{B1CE8704-4CC6-4D43-803D-818B7BF7E321}" type="presParOf" srcId="{CB87641C-6504-4B19-A8BA-4E50375EEC03}" destId="{CFADFE84-C0E3-4C65-84DD-BA7ABBFAA181}" srcOrd="5" destOrd="0" presId="urn:microsoft.com/office/officeart/2005/8/layout/radial6"/>
    <dgm:cxn modelId="{AE5B00F3-A248-405D-B50A-6B403B957F5D}" type="presParOf" srcId="{CB87641C-6504-4B19-A8BA-4E50375EEC03}" destId="{95D95AF2-EAB6-47ED-BF29-13036A37FAA3}" srcOrd="6" destOrd="0" presId="urn:microsoft.com/office/officeart/2005/8/layout/radial6"/>
    <dgm:cxn modelId="{3393A461-79CD-48D3-98B3-C445582C8E07}" type="presParOf" srcId="{CB87641C-6504-4B19-A8BA-4E50375EEC03}" destId="{36DB76B7-6363-43FF-96C1-88881023C57C}" srcOrd="7" destOrd="0" presId="urn:microsoft.com/office/officeart/2005/8/layout/radial6"/>
    <dgm:cxn modelId="{5C035B89-5EC7-4CCB-9CED-35D7BBC58537}" type="presParOf" srcId="{CB87641C-6504-4B19-A8BA-4E50375EEC03}" destId="{EB94A257-E6C8-4151-A667-1D44E3592819}" srcOrd="8" destOrd="0" presId="urn:microsoft.com/office/officeart/2005/8/layout/radial6"/>
    <dgm:cxn modelId="{993B2E50-CCC7-4671-A405-8BE32D7EE001}" type="presParOf" srcId="{CB87641C-6504-4B19-A8BA-4E50375EEC03}" destId="{64158189-2877-426A-9FB1-41FC7BF06177}" srcOrd="9" destOrd="0" presId="urn:microsoft.com/office/officeart/2005/8/layout/radial6"/>
    <dgm:cxn modelId="{9DFF42EC-534E-4AF2-82D6-992F0553F97B}" type="presParOf" srcId="{CB87641C-6504-4B19-A8BA-4E50375EEC03}" destId="{E1BB7B43-C9D2-40D6-8B7D-5C6530657FCC}" srcOrd="10" destOrd="0" presId="urn:microsoft.com/office/officeart/2005/8/layout/radial6"/>
    <dgm:cxn modelId="{8B3429C4-4CD6-4E56-AD17-C4E8CE51FA5B}" type="presParOf" srcId="{CB87641C-6504-4B19-A8BA-4E50375EEC03}" destId="{62797A03-4A21-45D9-8B6E-EA290787FC78}" srcOrd="11" destOrd="0" presId="urn:microsoft.com/office/officeart/2005/8/layout/radial6"/>
    <dgm:cxn modelId="{ECCE2C0A-A18A-4B04-845B-93DB4945762D}" type="presParOf" srcId="{CB87641C-6504-4B19-A8BA-4E50375EEC03}" destId="{22B0852A-F59A-4683-AAEE-2FBC214A0BFC}" srcOrd="12" destOrd="0" presId="urn:microsoft.com/office/officeart/2005/8/layout/radial6"/>
    <dgm:cxn modelId="{A4A04C37-3A6A-413A-9364-B316CA4164F4}" type="presParOf" srcId="{CB87641C-6504-4B19-A8BA-4E50375EEC03}" destId="{C23A9318-DD47-49E9-84C9-0D30C5E80500}" srcOrd="13" destOrd="0" presId="urn:microsoft.com/office/officeart/2005/8/layout/radial6"/>
    <dgm:cxn modelId="{B5971B0E-4E3A-4AEC-B37A-60BA31EF13DC}" type="presParOf" srcId="{CB87641C-6504-4B19-A8BA-4E50375EEC03}" destId="{F95346BF-E32B-4889-9B72-AC36A867CD80}" srcOrd="14" destOrd="0" presId="urn:microsoft.com/office/officeart/2005/8/layout/radial6"/>
    <dgm:cxn modelId="{4CCC02A3-978A-4558-9344-C00D01A6F8E6}" type="presParOf" srcId="{CB87641C-6504-4B19-A8BA-4E50375EEC03}" destId="{82C90DFA-14D6-42DA-9845-B29288670AD3}" srcOrd="15" destOrd="0" presId="urn:microsoft.com/office/officeart/2005/8/layout/radial6"/>
    <dgm:cxn modelId="{86441B23-5380-47C0-A6EB-F786D40D2D06}" type="presParOf" srcId="{CB87641C-6504-4B19-A8BA-4E50375EEC03}" destId="{3FC71C99-749B-470F-A14E-154228973E3D}" srcOrd="16" destOrd="0" presId="urn:microsoft.com/office/officeart/2005/8/layout/radial6"/>
    <dgm:cxn modelId="{3294F66D-A88F-4BFC-9D75-0F342D488924}" type="presParOf" srcId="{CB87641C-6504-4B19-A8BA-4E50375EEC03}" destId="{D4E92FDB-01CD-4920-A976-A790E4513CD4}" srcOrd="17" destOrd="0" presId="urn:microsoft.com/office/officeart/2005/8/layout/radial6"/>
    <dgm:cxn modelId="{2806508B-479C-4361-9970-8667C2798441}" type="presParOf" srcId="{CB87641C-6504-4B19-A8BA-4E50375EEC03}" destId="{B5F5AB40-6E30-4C37-8A8E-5CF951F75F37}" srcOrd="18"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5234C9-B17F-4D1C-BD72-E2F7C04E70CD}">
      <dsp:nvSpPr>
        <dsp:cNvPr id="0" name=""/>
        <dsp:cNvSpPr/>
      </dsp:nvSpPr>
      <dsp:spPr>
        <a:xfrm>
          <a:off x="2044364" y="-30220"/>
          <a:ext cx="1314452"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cap="none" spc="0">
              <a:ln w="11112">
                <a:solidFill>
                  <a:sysClr val="windowText" lastClr="000000"/>
                </a:solidFill>
                <a:prstDash val="solid"/>
              </a:ln>
              <a:solidFill>
                <a:sysClr val="windowText" lastClr="000000"/>
              </a:solidFill>
              <a:effectLst/>
              <a:latin typeface="Calibri" panose="020F0502020204030204"/>
              <a:ea typeface="+mn-ea"/>
              <a:cs typeface="+mn-cs"/>
            </a:rPr>
            <a:t>Increasing concentration of hydrogen sulfide</a:t>
          </a:r>
        </a:p>
      </dsp:txBody>
      <dsp:txXfrm>
        <a:off x="2236861" y="111406"/>
        <a:ext cx="929458" cy="683833"/>
      </dsp:txXfrm>
    </dsp:sp>
    <dsp:sp modelId="{883D8E1B-6B5A-4044-9971-BF2452ED1332}">
      <dsp:nvSpPr>
        <dsp:cNvPr id="0" name=""/>
        <dsp:cNvSpPr/>
      </dsp:nvSpPr>
      <dsp:spPr>
        <a:xfrm rot="2146813">
          <a:off x="3214280" y="723828"/>
          <a:ext cx="178179"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3219324" y="773479"/>
        <a:ext cx="124725" cy="195835"/>
      </dsp:txXfrm>
    </dsp:sp>
    <dsp:sp modelId="{CA3AE518-0E5F-4107-AAFF-3D12EE100106}">
      <dsp:nvSpPr>
        <dsp:cNvPr id="0" name=""/>
        <dsp:cNvSpPr/>
      </dsp:nvSpPr>
      <dsp:spPr>
        <a:xfrm>
          <a:off x="3318065" y="800102"/>
          <a:ext cx="1133520" cy="1011948"/>
        </a:xfrm>
        <a:prstGeom prst="ellipse">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ts val="0"/>
            </a:spcAft>
            <a:buNone/>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After the initiation of secondary</a:t>
          </a:r>
        </a:p>
        <a:p>
          <a:pPr marL="0" lvl="0" indent="0" algn="ctr" defTabSz="533400">
            <a:lnSpc>
              <a:spcPct val="90000"/>
            </a:lnSpc>
            <a:spcBef>
              <a:spcPct val="0"/>
            </a:spcBef>
            <a:spcAft>
              <a:spcPct val="35000"/>
            </a:spcAft>
            <a:buNone/>
          </a:pPr>
          <a:r>
            <a:rPr lang="en-US" sz="12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recovery</a:t>
          </a:r>
        </a:p>
      </dsp:txBody>
      <dsp:txXfrm>
        <a:off x="3484065" y="948298"/>
        <a:ext cx="801520" cy="715556"/>
      </dsp:txXfrm>
    </dsp:sp>
    <dsp:sp modelId="{E478B02D-173B-4621-9606-CC372D89C161}">
      <dsp:nvSpPr>
        <dsp:cNvPr id="0" name=""/>
        <dsp:cNvSpPr/>
      </dsp:nvSpPr>
      <dsp:spPr>
        <a:xfrm rot="6501416">
          <a:off x="3562375" y="1805945"/>
          <a:ext cx="204862"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602782" y="1842057"/>
        <a:ext cx="143403" cy="195835"/>
      </dsp:txXfrm>
    </dsp:sp>
    <dsp:sp modelId="{353D8935-A79B-433D-87F6-BA31F765B03B}">
      <dsp:nvSpPr>
        <dsp:cNvPr id="0" name=""/>
        <dsp:cNvSpPr/>
      </dsp:nvSpPr>
      <dsp:spPr>
        <a:xfrm>
          <a:off x="2720118" y="2141092"/>
          <a:ext cx="1413733" cy="1089527"/>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High Concentration of gas--phase H</a:t>
          </a:r>
          <a:r>
            <a:rPr lang="en-US" sz="1100" b="0" kern="1200" cap="none" spc="0" baseline="-2500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2</a:t>
          </a:r>
          <a:r>
            <a:rPr lang="en-US" sz="1100" b="0" kern="1200" cap="none" spc="0" baseline="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 in reservoir</a:t>
          </a:r>
          <a:endPar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927154" y="2300650"/>
        <a:ext cx="999661" cy="770411"/>
      </dsp:txXfrm>
    </dsp:sp>
    <dsp:sp modelId="{BC1151F4-17F8-420D-B020-DAC1489F4E47}">
      <dsp:nvSpPr>
        <dsp:cNvPr id="0" name=""/>
        <dsp:cNvSpPr/>
      </dsp:nvSpPr>
      <dsp:spPr>
        <a:xfrm rot="10799087">
          <a:off x="2622765" y="2522864"/>
          <a:ext cx="68796"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2643404" y="2588139"/>
        <a:ext cx="48157" cy="195835"/>
      </dsp:txXfrm>
    </dsp:sp>
    <dsp:sp modelId="{8BB07666-4874-4E3D-8856-956AF24B1522}">
      <dsp:nvSpPr>
        <dsp:cNvPr id="0" name=""/>
        <dsp:cNvSpPr/>
      </dsp:nvSpPr>
      <dsp:spPr>
        <a:xfrm>
          <a:off x="1343025" y="2202701"/>
          <a:ext cx="1247288" cy="967085"/>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ln>
                <a:solidFill>
                  <a:sysClr val="windowText" lastClr="000000"/>
                </a:solidFill>
              </a:ln>
              <a:solidFill>
                <a:sysClr val="windowText" lastClr="000000"/>
              </a:solidFill>
              <a:latin typeface="Calibri" panose="020F0502020204030204"/>
              <a:ea typeface="+mn-ea"/>
              <a:cs typeface="+mn-cs"/>
            </a:rPr>
            <a:t>After the injection of water at the production well</a:t>
          </a:r>
        </a:p>
      </dsp:txBody>
      <dsp:txXfrm>
        <a:off x="1525686" y="2344327"/>
        <a:ext cx="881966" cy="683833"/>
      </dsp:txXfrm>
    </dsp:sp>
    <dsp:sp modelId="{89C90F11-00E7-4273-B904-A981520E5F92}">
      <dsp:nvSpPr>
        <dsp:cNvPr id="0" name=""/>
        <dsp:cNvSpPr/>
      </dsp:nvSpPr>
      <dsp:spPr>
        <a:xfrm rot="15141793">
          <a:off x="1685603" y="1905675"/>
          <a:ext cx="169575"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1718746" y="1995193"/>
        <a:ext cx="118703" cy="195835"/>
      </dsp:txXfrm>
    </dsp:sp>
    <dsp:sp modelId="{51A87731-24A4-4C8D-AABE-50BDA16185A7}">
      <dsp:nvSpPr>
        <dsp:cNvPr id="0" name=""/>
        <dsp:cNvSpPr/>
      </dsp:nvSpPr>
      <dsp:spPr>
        <a:xfrm>
          <a:off x="1044336" y="645666"/>
          <a:ext cx="967085" cy="1320815"/>
        </a:xfrm>
        <a:prstGeom prst="ellipse">
          <a:avLst/>
        </a:prstGeom>
        <a:solidFill>
          <a:srgbClr val="ED7D31"/>
        </a:solidFill>
        <a:ln w="12700" cap="flat" cmpd="sng" algn="ctr">
          <a:solidFill>
            <a:srgbClr val="ED7D3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0" kern="1200" cap="none" spc="0">
              <a:ln w="0">
                <a:solidFill>
                  <a:sysClr val="windowText" lastClr="000000"/>
                </a:solid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During the production of life-time of a field</a:t>
          </a:r>
        </a:p>
      </dsp:txBody>
      <dsp:txXfrm>
        <a:off x="1185962" y="839095"/>
        <a:ext cx="683833" cy="933957"/>
      </dsp:txXfrm>
    </dsp:sp>
    <dsp:sp modelId="{A81F7B6F-9F04-4BAB-A5CA-AF928F08F66C}">
      <dsp:nvSpPr>
        <dsp:cNvPr id="0" name=""/>
        <dsp:cNvSpPr/>
      </dsp:nvSpPr>
      <dsp:spPr>
        <a:xfrm rot="19440000">
          <a:off x="1998729" y="734346"/>
          <a:ext cx="182891" cy="32639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2003968" y="815749"/>
        <a:ext cx="128024" cy="1958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5AB40-6E30-4C37-8A8E-5CF951F75F37}">
      <dsp:nvSpPr>
        <dsp:cNvPr id="0" name=""/>
        <dsp:cNvSpPr/>
      </dsp:nvSpPr>
      <dsp:spPr>
        <a:xfrm>
          <a:off x="1510843" y="361050"/>
          <a:ext cx="2478299" cy="2478299"/>
        </a:xfrm>
        <a:prstGeom prst="blockArc">
          <a:avLst>
            <a:gd name="adj1" fmla="val 12600000"/>
            <a:gd name="adj2" fmla="val 162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2C90DFA-14D6-42DA-9845-B29288670AD3}">
      <dsp:nvSpPr>
        <dsp:cNvPr id="0" name=""/>
        <dsp:cNvSpPr/>
      </dsp:nvSpPr>
      <dsp:spPr>
        <a:xfrm>
          <a:off x="1510843" y="361050"/>
          <a:ext cx="2478299" cy="2478299"/>
        </a:xfrm>
        <a:prstGeom prst="blockArc">
          <a:avLst>
            <a:gd name="adj1" fmla="val 9000000"/>
            <a:gd name="adj2" fmla="val 126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2B0852A-F59A-4683-AAEE-2FBC214A0BFC}">
      <dsp:nvSpPr>
        <dsp:cNvPr id="0" name=""/>
        <dsp:cNvSpPr/>
      </dsp:nvSpPr>
      <dsp:spPr>
        <a:xfrm>
          <a:off x="1510843" y="361050"/>
          <a:ext cx="2478299" cy="2478299"/>
        </a:xfrm>
        <a:prstGeom prst="blockArc">
          <a:avLst>
            <a:gd name="adj1" fmla="val 5400000"/>
            <a:gd name="adj2" fmla="val 900000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158189-2877-426A-9FB1-41FC7BF06177}">
      <dsp:nvSpPr>
        <dsp:cNvPr id="0" name=""/>
        <dsp:cNvSpPr/>
      </dsp:nvSpPr>
      <dsp:spPr>
        <a:xfrm>
          <a:off x="1555923" y="361889"/>
          <a:ext cx="2478299" cy="2478299"/>
        </a:xfrm>
        <a:prstGeom prst="blockArc">
          <a:avLst>
            <a:gd name="adj1" fmla="val 1891602"/>
            <a:gd name="adj2" fmla="val 5527978"/>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D95AF2-EAB6-47ED-BF29-13036A37FAA3}">
      <dsp:nvSpPr>
        <dsp:cNvPr id="0" name=""/>
        <dsp:cNvSpPr/>
      </dsp:nvSpPr>
      <dsp:spPr>
        <a:xfrm>
          <a:off x="1533655" y="399710"/>
          <a:ext cx="2478299" cy="2478299"/>
        </a:xfrm>
        <a:prstGeom prst="blockArc">
          <a:avLst>
            <a:gd name="adj1" fmla="val 19706477"/>
            <a:gd name="adj2" fmla="val 1767025"/>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C5219C-6E65-47AC-8498-E1EE64870929}">
      <dsp:nvSpPr>
        <dsp:cNvPr id="0" name=""/>
        <dsp:cNvSpPr/>
      </dsp:nvSpPr>
      <dsp:spPr>
        <a:xfrm>
          <a:off x="1510885" y="361050"/>
          <a:ext cx="2478299" cy="2478299"/>
        </a:xfrm>
        <a:prstGeom prst="blockArc">
          <a:avLst>
            <a:gd name="adj1" fmla="val 16199882"/>
            <a:gd name="adj2" fmla="val 19833830"/>
            <a:gd name="adj3" fmla="val 4511"/>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A5A4E07-853B-428E-885C-0FFAA96DA29D}">
      <dsp:nvSpPr>
        <dsp:cNvPr id="0" name=""/>
        <dsp:cNvSpPr/>
      </dsp:nvSpPr>
      <dsp:spPr>
        <a:xfrm>
          <a:off x="1994884" y="1045666"/>
          <a:ext cx="1510216" cy="1109067"/>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Reservoir management activities </a:t>
          </a:r>
        </a:p>
      </dsp:txBody>
      <dsp:txXfrm>
        <a:off x="2216050" y="1208085"/>
        <a:ext cx="1067884" cy="784229"/>
      </dsp:txXfrm>
    </dsp:sp>
    <dsp:sp modelId="{52D98537-723D-43E3-9AB8-AA8D23415A92}">
      <dsp:nvSpPr>
        <dsp:cNvPr id="0" name=""/>
        <dsp:cNvSpPr/>
      </dsp:nvSpPr>
      <dsp:spPr>
        <a:xfrm>
          <a:off x="2361819" y="825"/>
          <a:ext cx="776347" cy="776347"/>
        </a:xfrm>
        <a:prstGeom prst="ellipse">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Maximizing of the final hydrocarbon recover</a:t>
          </a:r>
        </a:p>
      </dsp:txBody>
      <dsp:txXfrm>
        <a:off x="2475512" y="114518"/>
        <a:ext cx="548961" cy="548961"/>
      </dsp:txXfrm>
    </dsp:sp>
    <dsp:sp modelId="{19EAF0F7-E2E6-44E4-ACD9-543AADA8DACF}">
      <dsp:nvSpPr>
        <dsp:cNvPr id="0" name=""/>
        <dsp:cNvSpPr/>
      </dsp:nvSpPr>
      <dsp:spPr>
        <a:xfrm>
          <a:off x="3416700" y="616777"/>
          <a:ext cx="776347" cy="776347"/>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production</a:t>
          </a:r>
        </a:p>
      </dsp:txBody>
      <dsp:txXfrm>
        <a:off x="3530393" y="730470"/>
        <a:ext cx="548961" cy="548961"/>
      </dsp:txXfrm>
    </dsp:sp>
    <dsp:sp modelId="{36DB76B7-6363-43FF-96C1-88881023C57C}">
      <dsp:nvSpPr>
        <dsp:cNvPr id="0" name=""/>
        <dsp:cNvSpPr/>
      </dsp:nvSpPr>
      <dsp:spPr>
        <a:xfrm>
          <a:off x="3342896" y="1847851"/>
          <a:ext cx="969199" cy="773039"/>
        </a:xfrm>
        <a:prstGeom prst="ellipse">
          <a:avLst/>
        </a:prstGeom>
        <a:solidFill>
          <a:srgbClr val="A5A5A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capital expenditures</a:t>
          </a:r>
        </a:p>
      </dsp:txBody>
      <dsp:txXfrm>
        <a:off x="3484832" y="1961060"/>
        <a:ext cx="685327" cy="546621"/>
      </dsp:txXfrm>
    </dsp:sp>
    <dsp:sp modelId="{E1BB7B43-C9D2-40D6-8B7D-5C6530657FCC}">
      <dsp:nvSpPr>
        <dsp:cNvPr id="0" name=""/>
        <dsp:cNvSpPr/>
      </dsp:nvSpPr>
      <dsp:spPr>
        <a:xfrm>
          <a:off x="2361819" y="2423227"/>
          <a:ext cx="776347" cy="776347"/>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Minimization of the operating costs</a:t>
          </a:r>
        </a:p>
      </dsp:txBody>
      <dsp:txXfrm>
        <a:off x="2475512" y="2536920"/>
        <a:ext cx="548961" cy="548961"/>
      </dsp:txXfrm>
    </dsp:sp>
    <dsp:sp modelId="{C23A9318-DD47-49E9-84C9-0D30C5E80500}">
      <dsp:nvSpPr>
        <dsp:cNvPr id="0" name=""/>
        <dsp:cNvSpPr/>
      </dsp:nvSpPr>
      <dsp:spPr>
        <a:xfrm>
          <a:off x="1202876" y="1817626"/>
          <a:ext cx="996371" cy="776347"/>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Decreasing of the risk</a:t>
          </a:r>
        </a:p>
      </dsp:txBody>
      <dsp:txXfrm>
        <a:off x="1348791" y="1931319"/>
        <a:ext cx="704541" cy="548961"/>
      </dsp:txXfrm>
    </dsp:sp>
    <dsp:sp modelId="{3FC71C99-749B-470F-A14E-154228973E3D}">
      <dsp:nvSpPr>
        <dsp:cNvPr id="0" name=""/>
        <dsp:cNvSpPr/>
      </dsp:nvSpPr>
      <dsp:spPr>
        <a:xfrm>
          <a:off x="1312888" y="606425"/>
          <a:ext cx="776347" cy="776347"/>
        </a:xfrm>
        <a:prstGeom prst="ellipse">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Increasing of the oil and gas reserves</a:t>
          </a:r>
        </a:p>
      </dsp:txBody>
      <dsp:txXfrm>
        <a:off x="1426581" y="720118"/>
        <a:ext cx="548961" cy="54896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16</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195</cp:revision>
  <dcterms:created xsi:type="dcterms:W3CDTF">2025-12-21T14:06:00Z</dcterms:created>
  <dcterms:modified xsi:type="dcterms:W3CDTF">2026-03-05T09:08:00Z</dcterms:modified>
</cp:coreProperties>
</file>