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E8EFF" w14:textId="207DF1A5" w:rsidR="001D24C7" w:rsidRDefault="007B1C4B" w:rsidP="007B1C4B">
      <w:pPr>
        <w:jc w:val="center"/>
        <w:rPr>
          <w:rFonts w:cs="Times New Roman"/>
          <w:sz w:val="36"/>
          <w:szCs w:val="32"/>
        </w:rPr>
      </w:pPr>
      <w:r w:rsidRPr="00170363">
        <w:rPr>
          <w:rFonts w:cs="Times New Roman"/>
          <w:sz w:val="36"/>
          <w:szCs w:val="32"/>
        </w:rPr>
        <w:t xml:space="preserve">Substituent and </w:t>
      </w:r>
      <w:r w:rsidR="00586F7A" w:rsidRPr="00170363">
        <w:rPr>
          <w:rFonts w:cs="Times New Roman"/>
          <w:sz w:val="36"/>
          <w:szCs w:val="32"/>
        </w:rPr>
        <w:t>S</w:t>
      </w:r>
      <w:r w:rsidR="007F61B5" w:rsidRPr="00170363">
        <w:rPr>
          <w:rFonts w:cs="Times New Roman"/>
          <w:sz w:val="36"/>
          <w:szCs w:val="32"/>
        </w:rPr>
        <w:t>caffold</w:t>
      </w:r>
      <w:r w:rsidRPr="00170363">
        <w:rPr>
          <w:rFonts w:cs="Times New Roman"/>
          <w:sz w:val="36"/>
          <w:szCs w:val="32"/>
        </w:rPr>
        <w:t>-Dependent Antibacterial Activity of Ruthenium (II) Pyridine-Imine Schiff Base Complexes Against Gram-Positive and Gram-Negative Pathogens</w:t>
      </w:r>
    </w:p>
    <w:p w14:paraId="6AF33462" w14:textId="77777777" w:rsidR="00A02763" w:rsidRPr="00170363" w:rsidRDefault="00A02763" w:rsidP="007B1C4B">
      <w:pPr>
        <w:jc w:val="center"/>
        <w:rPr>
          <w:rFonts w:cs="Times New Roman"/>
          <w:sz w:val="36"/>
          <w:szCs w:val="32"/>
        </w:rPr>
      </w:pPr>
    </w:p>
    <w:p w14:paraId="2B67F0ED" w14:textId="36BE4977" w:rsidR="00AA3AF6" w:rsidRPr="00AA3AF6" w:rsidRDefault="00321AD1" w:rsidP="00AA3AF6">
      <w:pPr>
        <w:pStyle w:val="07AbatractContent"/>
        <w:spacing w:after="200"/>
        <w:rPr>
          <w:rFonts w:cs="Times New Roman"/>
          <w:b/>
          <w:bCs/>
          <w:snapToGrid w:val="0"/>
          <w:kern w:val="0"/>
        </w:rPr>
      </w:pPr>
      <w:r w:rsidRPr="00170363">
        <w:rPr>
          <w:rFonts w:cs="Times New Roman"/>
          <w:b/>
          <w:bCs/>
          <w:snapToGrid w:val="0"/>
          <w:kern w:val="0"/>
        </w:rPr>
        <w:t>Abstract-</w:t>
      </w:r>
      <w:r w:rsidR="00AA3AF6">
        <w:rPr>
          <w:rFonts w:cs="Times New Roman"/>
          <w:b/>
          <w:bCs/>
          <w:snapToGrid w:val="0"/>
          <w:kern w:val="0"/>
        </w:rPr>
        <w:t xml:space="preserve"> </w:t>
      </w:r>
      <w:r w:rsidR="00AA3AF6" w:rsidRPr="00AA3AF6">
        <w:rPr>
          <w:rFonts w:cs="Times New Roman"/>
          <w:snapToGrid w:val="0"/>
          <w:kern w:val="0"/>
        </w:rPr>
        <w:t>The escalating threat of antimicrobial resistance (AMR) necessitates the development of novel antibacterial agents with alternative mechanisms of action. This study reports the design, synthesis, and biological evaluation of ruthenium</w:t>
      </w:r>
      <w:r w:rsidR="00FE4C55">
        <w:rPr>
          <w:rFonts w:cs="Times New Roman"/>
          <w:snapToGrid w:val="0"/>
          <w:kern w:val="0"/>
        </w:rPr>
        <w:t xml:space="preserve"> </w:t>
      </w:r>
      <w:r w:rsidR="00AA3AF6" w:rsidRPr="00AA3AF6">
        <w:rPr>
          <w:rFonts w:cs="Times New Roman"/>
          <w:snapToGrid w:val="0"/>
          <w:kern w:val="0"/>
        </w:rPr>
        <w:t>(II) complexes derived from pyridine–imine Schiff base ligands featuring systematic aromatic substitutions (–H, –Br, –OH) and two distinct coordination architectures: simple Ru(II) and half-sandwich Ru(II)-</w:t>
      </w:r>
      <w:r w:rsidR="00AA3AF6" w:rsidRPr="00AA3AF6">
        <w:rPr>
          <w:rFonts w:cs="Times New Roman"/>
          <w:i/>
          <w:iCs/>
          <w:snapToGrid w:val="0"/>
          <w:kern w:val="0"/>
        </w:rPr>
        <w:t>p</w:t>
      </w:r>
      <w:r w:rsidR="00AA3AF6" w:rsidRPr="00AA3AF6">
        <w:rPr>
          <w:rFonts w:cs="Times New Roman"/>
          <w:snapToGrid w:val="0"/>
          <w:kern w:val="0"/>
        </w:rPr>
        <w:t xml:space="preserve">-cymene. The ligands and their corresponding </w:t>
      </w:r>
      <w:proofErr w:type="gramStart"/>
      <w:r w:rsidR="00AA3AF6" w:rsidRPr="00AA3AF6">
        <w:rPr>
          <w:rFonts w:cs="Times New Roman"/>
          <w:snapToGrid w:val="0"/>
          <w:kern w:val="0"/>
        </w:rPr>
        <w:t>Ru(</w:t>
      </w:r>
      <w:proofErr w:type="gramEnd"/>
      <w:r w:rsidR="00AA3AF6" w:rsidRPr="00AA3AF6">
        <w:rPr>
          <w:rFonts w:cs="Times New Roman"/>
          <w:snapToGrid w:val="0"/>
          <w:kern w:val="0"/>
        </w:rPr>
        <w:t xml:space="preserve">II) complexes were synthesized in high yields (85–92%) and characterized by melting point, FT-IR, UV-Vis, and ¹H NMR spectroscopy. Spectroscopic data confirmed bidentate </w:t>
      </w:r>
      <w:proofErr w:type="gramStart"/>
      <w:r w:rsidR="00AA3AF6" w:rsidRPr="00AA3AF6">
        <w:rPr>
          <w:rFonts w:cs="Times New Roman"/>
          <w:snapToGrid w:val="0"/>
          <w:kern w:val="0"/>
        </w:rPr>
        <w:t>N,N</w:t>
      </w:r>
      <w:proofErr w:type="gramEnd"/>
      <w:r w:rsidR="00AA3AF6" w:rsidRPr="00AA3AF6">
        <w:rPr>
          <w:rFonts w:cs="Times New Roman"/>
          <w:snapToGrid w:val="0"/>
          <w:kern w:val="0"/>
        </w:rPr>
        <w:t>′-coordination through the imine and pyridyl nitrogen atoms, evidenced by shifts in C=N stretches (1625–1632 → 1600–1620 cm⁻¹), downfield movement of the imine proton (δ 7.63–7.66 → 7.43–7.55 ppm), and new metal-to-ligand charge transfer (MLCT) bands (363–575 nm). All complexes exhibited enhanced thermal stability (</w:t>
      </w:r>
      <w:proofErr w:type="spellStart"/>
      <w:r w:rsidR="00AA3AF6" w:rsidRPr="00AA3AF6">
        <w:rPr>
          <w:rFonts w:cs="Times New Roman"/>
          <w:snapToGrid w:val="0"/>
          <w:kern w:val="0"/>
        </w:rPr>
        <w:t>m.p.</w:t>
      </w:r>
      <w:proofErr w:type="spellEnd"/>
      <w:r w:rsidR="00AA3AF6" w:rsidRPr="00AA3AF6">
        <w:rPr>
          <w:rFonts w:cs="Times New Roman"/>
          <w:snapToGrid w:val="0"/>
          <w:kern w:val="0"/>
        </w:rPr>
        <w:t xml:space="preserve"> 175–235 °C) relative to free ligands (70–180 °C). In vitro antibacterial screening against </w:t>
      </w:r>
      <w:r w:rsidR="00AA3AF6" w:rsidRPr="00AA3AF6">
        <w:rPr>
          <w:rFonts w:cs="Times New Roman"/>
          <w:i/>
          <w:iCs/>
          <w:snapToGrid w:val="0"/>
          <w:kern w:val="0"/>
        </w:rPr>
        <w:t>Staphylococcus aureus</w:t>
      </w:r>
      <w:r w:rsidR="00AA3AF6" w:rsidRPr="00AA3AF6">
        <w:rPr>
          <w:rFonts w:cs="Times New Roman"/>
          <w:snapToGrid w:val="0"/>
          <w:kern w:val="0"/>
        </w:rPr>
        <w:t xml:space="preserve"> (Gram-positive) and </w:t>
      </w:r>
      <w:r w:rsidR="00AA3AF6" w:rsidRPr="00AA3AF6">
        <w:rPr>
          <w:rFonts w:cs="Times New Roman"/>
          <w:i/>
          <w:iCs/>
          <w:snapToGrid w:val="0"/>
          <w:kern w:val="0"/>
        </w:rPr>
        <w:t>Escherichia coli</w:t>
      </w:r>
      <w:r w:rsidR="00AA3AF6" w:rsidRPr="00AA3AF6">
        <w:rPr>
          <w:rFonts w:cs="Times New Roman"/>
          <w:snapToGrid w:val="0"/>
          <w:kern w:val="0"/>
        </w:rPr>
        <w:t xml:space="preserve"> (Gram-negative) via disc diffusion revealed that </w:t>
      </w:r>
      <w:proofErr w:type="gramStart"/>
      <w:r w:rsidR="00AA3AF6" w:rsidRPr="00AA3AF6">
        <w:rPr>
          <w:rFonts w:cs="Times New Roman"/>
          <w:snapToGrid w:val="0"/>
          <w:kern w:val="0"/>
        </w:rPr>
        <w:t>Ru(</w:t>
      </w:r>
      <w:proofErr w:type="gramEnd"/>
      <w:r w:rsidR="00AA3AF6" w:rsidRPr="00AA3AF6">
        <w:rPr>
          <w:rFonts w:cs="Times New Roman"/>
          <w:snapToGrid w:val="0"/>
          <w:kern w:val="0"/>
        </w:rPr>
        <w:t xml:space="preserve">II) complexes consistently outperformed their parent ligands, with bromo- and hydroxy-substituted </w:t>
      </w:r>
      <w:r w:rsidR="00AA3AF6" w:rsidRPr="00AA3AF6">
        <w:rPr>
          <w:rFonts w:cs="Times New Roman"/>
          <w:i/>
          <w:iCs/>
          <w:snapToGrid w:val="0"/>
          <w:kern w:val="0"/>
        </w:rPr>
        <w:t>p</w:t>
      </w:r>
      <w:r w:rsidR="00AA3AF6" w:rsidRPr="00AA3AF6">
        <w:rPr>
          <w:rFonts w:cs="Times New Roman"/>
          <w:snapToGrid w:val="0"/>
          <w:kern w:val="0"/>
        </w:rPr>
        <w:t>-cymene derivatives (L-C2 and L₁-C2) showing the highest activity</w:t>
      </w:r>
      <w:r w:rsidR="00FE4C55">
        <w:rPr>
          <w:rFonts w:cs="Times New Roman"/>
          <w:snapToGrid w:val="0"/>
          <w:kern w:val="0"/>
        </w:rPr>
        <w:t xml:space="preserve">, </w:t>
      </w:r>
      <w:r w:rsidR="00AA3AF6" w:rsidRPr="00AA3AF6">
        <w:rPr>
          <w:rFonts w:cs="Times New Roman"/>
          <w:snapToGrid w:val="0"/>
          <w:kern w:val="0"/>
        </w:rPr>
        <w:t>zones of inhibition up to 14–15 mm at 1000 µg/</w:t>
      </w:r>
      <w:proofErr w:type="spellStart"/>
      <w:r w:rsidR="00AA3AF6" w:rsidRPr="00AA3AF6">
        <w:rPr>
          <w:rFonts w:cs="Times New Roman"/>
          <w:snapToGrid w:val="0"/>
          <w:kern w:val="0"/>
        </w:rPr>
        <w:t>mL.</w:t>
      </w:r>
      <w:proofErr w:type="spellEnd"/>
      <w:r w:rsidR="00AA3AF6" w:rsidRPr="00AA3AF6">
        <w:rPr>
          <w:rFonts w:cs="Times New Roman"/>
          <w:snapToGrid w:val="0"/>
          <w:kern w:val="0"/>
        </w:rPr>
        <w:t xml:space="preserve"> Statistical analysis (two-way ANOVA, p ≤ 0.05) confirmed significant effects of both substituent type and scaffold architecture on bioactivity. Although none surpassed gentamycin (17–21 mm), the results validate Tweedy’s chelation theory and highlight </w:t>
      </w:r>
      <w:proofErr w:type="gramStart"/>
      <w:r w:rsidR="00AA3AF6" w:rsidRPr="00AA3AF6">
        <w:rPr>
          <w:rFonts w:cs="Times New Roman"/>
          <w:snapToGrid w:val="0"/>
          <w:kern w:val="0"/>
        </w:rPr>
        <w:t>Ru(</w:t>
      </w:r>
      <w:proofErr w:type="gramEnd"/>
      <w:r w:rsidR="00AA3AF6" w:rsidRPr="00AA3AF6">
        <w:rPr>
          <w:rFonts w:cs="Times New Roman"/>
          <w:snapToGrid w:val="0"/>
          <w:kern w:val="0"/>
        </w:rPr>
        <w:t>II)</w:t>
      </w:r>
      <w:r w:rsidR="00FE4C55">
        <w:rPr>
          <w:rFonts w:cs="Times New Roman"/>
          <w:snapToGrid w:val="0"/>
          <w:kern w:val="0"/>
        </w:rPr>
        <w:t xml:space="preserve">, </w:t>
      </w:r>
      <w:r w:rsidR="00AA3AF6" w:rsidRPr="00AA3AF6">
        <w:rPr>
          <w:rFonts w:cs="Times New Roman"/>
          <w:snapToGrid w:val="0"/>
          <w:kern w:val="0"/>
        </w:rPr>
        <w:t>Schiff base complexes as promising scaffolds for next-generation antimicrobials targeting multidrug-resistant pathogens.</w:t>
      </w:r>
    </w:p>
    <w:p w14:paraId="219279E5" w14:textId="6ACB98A0" w:rsidR="00321AD1" w:rsidRPr="00AA3AF6" w:rsidRDefault="00AA3AF6" w:rsidP="00321AD1">
      <w:pPr>
        <w:pStyle w:val="07AbatractContent"/>
        <w:spacing w:after="200"/>
        <w:rPr>
          <w:rFonts w:cs="Times New Roman"/>
          <w:i/>
          <w:iCs/>
          <w:snapToGrid w:val="0"/>
          <w:kern w:val="0"/>
        </w:rPr>
      </w:pPr>
      <w:r w:rsidRPr="00AA3AF6">
        <w:rPr>
          <w:rFonts w:cs="Times New Roman"/>
          <w:b/>
          <w:bCs/>
          <w:snapToGrid w:val="0"/>
          <w:kern w:val="0"/>
        </w:rPr>
        <w:t>Keywords:</w:t>
      </w:r>
      <w:r w:rsidRPr="00AA3AF6">
        <w:rPr>
          <w:rFonts w:cs="Times New Roman"/>
          <w:snapToGrid w:val="0"/>
          <w:kern w:val="0"/>
        </w:rPr>
        <w:t xml:space="preserve"> </w:t>
      </w:r>
      <w:proofErr w:type="gramStart"/>
      <w:r w:rsidRPr="00AA3AF6">
        <w:rPr>
          <w:rFonts w:cs="Times New Roman"/>
          <w:i/>
          <w:iCs/>
          <w:snapToGrid w:val="0"/>
          <w:kern w:val="0"/>
        </w:rPr>
        <w:t>Ruthenium(</w:t>
      </w:r>
      <w:proofErr w:type="gramEnd"/>
      <w:r w:rsidRPr="00AA3AF6">
        <w:rPr>
          <w:rFonts w:cs="Times New Roman"/>
          <w:i/>
          <w:iCs/>
          <w:snapToGrid w:val="0"/>
          <w:kern w:val="0"/>
        </w:rPr>
        <w:t>II) complexes; Schiff base ligands; Pyridine-imine; Antibacterial activity; p-Cymene scaffold; Structure–activity relationship</w:t>
      </w:r>
    </w:p>
    <w:p w14:paraId="76D260AB" w14:textId="77777777" w:rsidR="00FE4C55" w:rsidRDefault="00FE4C55" w:rsidP="007F61B5">
      <w:pPr>
        <w:pStyle w:val="ListParagraph"/>
        <w:numPr>
          <w:ilvl w:val="0"/>
          <w:numId w:val="1"/>
        </w:numPr>
        <w:rPr>
          <w:rFonts w:cs="Times New Roman"/>
          <w:b/>
          <w:bCs/>
          <w:sz w:val="20"/>
          <w:szCs w:val="18"/>
        </w:rPr>
        <w:sectPr w:rsidR="00FE4C55" w:rsidSect="00924D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2DDCA9A" w14:textId="5CEBF22C" w:rsidR="007B1C4B" w:rsidRPr="00170363" w:rsidRDefault="007F61B5" w:rsidP="007F61B5">
      <w:pPr>
        <w:pStyle w:val="ListParagraph"/>
        <w:numPr>
          <w:ilvl w:val="0"/>
          <w:numId w:val="1"/>
        </w:numPr>
        <w:rPr>
          <w:rFonts w:cs="Times New Roman"/>
          <w:b/>
          <w:bCs/>
          <w:sz w:val="20"/>
          <w:szCs w:val="18"/>
        </w:rPr>
      </w:pPr>
      <w:r w:rsidRPr="00170363">
        <w:rPr>
          <w:rFonts w:cs="Times New Roman"/>
          <w:b/>
          <w:bCs/>
          <w:sz w:val="20"/>
          <w:szCs w:val="18"/>
        </w:rPr>
        <w:t>INTRODUCTION</w:t>
      </w:r>
    </w:p>
    <w:p w14:paraId="3C8C6485" w14:textId="77777777" w:rsidR="007F61B5" w:rsidRPr="00170363" w:rsidRDefault="007F61B5" w:rsidP="007F61B5">
      <w:pPr>
        <w:jc w:val="both"/>
        <w:rPr>
          <w:rFonts w:cs="Times New Roman"/>
          <w:sz w:val="20"/>
          <w:szCs w:val="18"/>
        </w:rPr>
      </w:pPr>
      <w:r w:rsidRPr="00170363">
        <w:rPr>
          <w:rFonts w:cs="Times New Roman"/>
          <w:sz w:val="20"/>
          <w:szCs w:val="18"/>
        </w:rPr>
        <w:t xml:space="preserve">The escalating global crisis of antimicrobial resistance (AMR) has rendered many conventional antibiotics ineffective against pathogenic bacteria, posing a severe threat to public health worldwide. Infections caused by multidrug-resistant (MDR) strains of </w:t>
      </w:r>
      <w:r w:rsidRPr="00170363">
        <w:rPr>
          <w:rFonts w:cs="Times New Roman"/>
          <w:i/>
          <w:iCs/>
          <w:sz w:val="20"/>
          <w:szCs w:val="18"/>
        </w:rPr>
        <w:t>Staphylococcus aureus</w:t>
      </w:r>
      <w:r w:rsidRPr="00170363">
        <w:rPr>
          <w:rFonts w:cs="Times New Roman"/>
          <w:sz w:val="20"/>
          <w:szCs w:val="18"/>
        </w:rPr>
        <w:t xml:space="preserve"> and </w:t>
      </w:r>
      <w:r w:rsidRPr="00170363">
        <w:rPr>
          <w:rFonts w:cs="Times New Roman"/>
          <w:i/>
          <w:iCs/>
          <w:sz w:val="20"/>
          <w:szCs w:val="18"/>
        </w:rPr>
        <w:t>Escherichia coli</w:t>
      </w:r>
      <w:r w:rsidRPr="00170363">
        <w:rPr>
          <w:rFonts w:cs="Times New Roman"/>
          <w:sz w:val="20"/>
          <w:szCs w:val="18"/>
        </w:rPr>
        <w:t>—representing Gram-positive and Gram-negative pathogens, respectively—are increasingly reported in both hospital and community settings, contributing significantly to morbidity and mortality (Catalano et al., 2022; Dickey et al., 2017; Li et al., 2015). The overuse and misuse of existing antimicrobials in clinical and agricultural practices have accelerated the emergence of resistant phenotypes, necessitating urgent development of novel therapeutic agents with alternative mechanisms of action (Rosato et al., 2016; Gichumbi et al., 2016e).</w:t>
      </w:r>
    </w:p>
    <w:p w14:paraId="40FA1597" w14:textId="77777777" w:rsidR="007F61B5" w:rsidRPr="00170363" w:rsidRDefault="007F61B5" w:rsidP="007F61B5">
      <w:pPr>
        <w:jc w:val="both"/>
        <w:rPr>
          <w:rFonts w:cs="Times New Roman"/>
          <w:sz w:val="20"/>
          <w:szCs w:val="18"/>
        </w:rPr>
      </w:pPr>
      <w:r w:rsidRPr="00170363">
        <w:rPr>
          <w:rFonts w:cs="Times New Roman"/>
          <w:sz w:val="20"/>
          <w:szCs w:val="18"/>
        </w:rPr>
        <w:t xml:space="preserve">In response, medicinal inorganic chemistry has emerged as a promising frontier for designing next-generation antimicrobials. Metal-based complexes offer unique advantages over purely organic drugs, </w:t>
      </w:r>
      <w:r w:rsidRPr="00170363">
        <w:rPr>
          <w:rFonts w:cs="Times New Roman"/>
          <w:sz w:val="20"/>
          <w:szCs w:val="18"/>
        </w:rPr>
        <w:t>including diverse coordination geometries, tunable redox properties, and multimodal mechanisms of biological interaction (</w:t>
      </w:r>
      <w:proofErr w:type="spellStart"/>
      <w:r w:rsidRPr="00170363">
        <w:rPr>
          <w:rFonts w:cs="Times New Roman"/>
          <w:sz w:val="20"/>
          <w:szCs w:val="18"/>
        </w:rPr>
        <w:t>Mjos</w:t>
      </w:r>
      <w:proofErr w:type="spellEnd"/>
      <w:r w:rsidRPr="00170363">
        <w:rPr>
          <w:rFonts w:cs="Times New Roman"/>
          <w:sz w:val="20"/>
          <w:szCs w:val="18"/>
        </w:rPr>
        <w:t xml:space="preserve"> &amp; </w:t>
      </w:r>
      <w:proofErr w:type="spellStart"/>
      <w:r w:rsidRPr="00170363">
        <w:rPr>
          <w:rFonts w:cs="Times New Roman"/>
          <w:sz w:val="20"/>
          <w:szCs w:val="18"/>
        </w:rPr>
        <w:t>Orvig</w:t>
      </w:r>
      <w:proofErr w:type="spellEnd"/>
      <w:r w:rsidRPr="00170363">
        <w:rPr>
          <w:rFonts w:cs="Times New Roman"/>
          <w:sz w:val="20"/>
          <w:szCs w:val="18"/>
        </w:rPr>
        <w:t xml:space="preserve">, 2014; </w:t>
      </w:r>
      <w:proofErr w:type="spellStart"/>
      <w:r w:rsidRPr="00170363">
        <w:rPr>
          <w:rFonts w:cs="Times New Roman"/>
          <w:sz w:val="20"/>
          <w:szCs w:val="18"/>
        </w:rPr>
        <w:t>Wheate</w:t>
      </w:r>
      <w:proofErr w:type="spellEnd"/>
      <w:r w:rsidRPr="00170363">
        <w:rPr>
          <w:rFonts w:cs="Times New Roman"/>
          <w:sz w:val="20"/>
          <w:szCs w:val="18"/>
        </w:rPr>
        <w:t xml:space="preserve"> et al., 2010). The landmark discovery of cisplatin—a square-planar </w:t>
      </w:r>
      <w:proofErr w:type="gramStart"/>
      <w:r w:rsidRPr="00170363">
        <w:rPr>
          <w:rFonts w:cs="Times New Roman"/>
          <w:sz w:val="20"/>
          <w:szCs w:val="18"/>
        </w:rPr>
        <w:t>Pt(</w:t>
      </w:r>
      <w:proofErr w:type="gramEnd"/>
      <w:r w:rsidRPr="00170363">
        <w:rPr>
          <w:rFonts w:cs="Times New Roman"/>
          <w:sz w:val="20"/>
          <w:szCs w:val="18"/>
        </w:rPr>
        <w:t>II) complex—revolutionized cancer chemotherapy and catalyzed extensive exploration of transition metal complexes as bioactive agents (</w:t>
      </w:r>
      <w:proofErr w:type="spellStart"/>
      <w:r w:rsidRPr="00170363">
        <w:rPr>
          <w:rFonts w:cs="Times New Roman"/>
          <w:sz w:val="20"/>
          <w:szCs w:val="18"/>
        </w:rPr>
        <w:t>Wheate</w:t>
      </w:r>
      <w:proofErr w:type="spellEnd"/>
      <w:r w:rsidRPr="00170363">
        <w:rPr>
          <w:rFonts w:cs="Times New Roman"/>
          <w:sz w:val="20"/>
          <w:szCs w:val="18"/>
        </w:rPr>
        <w:t xml:space="preserve"> et al., 2010). However, platinum-based drugs are often limited by systemic toxicity and acquired resistance, prompting a strategic pivot toward non-platinum metals such as ruthenium (Ru) (</w:t>
      </w:r>
      <w:proofErr w:type="spellStart"/>
      <w:r w:rsidRPr="00170363">
        <w:rPr>
          <w:rFonts w:cs="Times New Roman"/>
          <w:sz w:val="20"/>
          <w:szCs w:val="18"/>
        </w:rPr>
        <w:t>Brabec</w:t>
      </w:r>
      <w:proofErr w:type="spellEnd"/>
      <w:r w:rsidRPr="00170363">
        <w:rPr>
          <w:rFonts w:cs="Times New Roman"/>
          <w:sz w:val="20"/>
          <w:szCs w:val="18"/>
        </w:rPr>
        <w:t xml:space="preserve"> &amp; </w:t>
      </w:r>
      <w:proofErr w:type="spellStart"/>
      <w:r w:rsidRPr="00170363">
        <w:rPr>
          <w:rFonts w:cs="Times New Roman"/>
          <w:sz w:val="20"/>
          <w:szCs w:val="18"/>
        </w:rPr>
        <w:t>Kasparkova</w:t>
      </w:r>
      <w:proofErr w:type="spellEnd"/>
      <w:r w:rsidRPr="00170363">
        <w:rPr>
          <w:rFonts w:cs="Times New Roman"/>
          <w:sz w:val="20"/>
          <w:szCs w:val="18"/>
        </w:rPr>
        <w:t>, 2018; Keene et al., 2021).</w:t>
      </w:r>
    </w:p>
    <w:p w14:paraId="2DF08A96" w14:textId="45008B73" w:rsidR="007F61B5" w:rsidRPr="00170363" w:rsidRDefault="007F61B5" w:rsidP="007F61B5">
      <w:pPr>
        <w:jc w:val="both"/>
        <w:rPr>
          <w:rFonts w:cs="Times New Roman"/>
          <w:sz w:val="20"/>
          <w:szCs w:val="18"/>
        </w:rPr>
      </w:pPr>
      <w:r w:rsidRPr="00170363">
        <w:rPr>
          <w:rFonts w:cs="Times New Roman"/>
          <w:sz w:val="20"/>
          <w:szCs w:val="18"/>
        </w:rPr>
        <w:t>Ruthenium stands out due to its favorable pharmacological profile: it exhibits lower general toxicity, mimics iron in biological systems</w:t>
      </w:r>
      <w:r w:rsidR="004F684E">
        <w:rPr>
          <w:rFonts w:cs="Times New Roman"/>
          <w:sz w:val="20"/>
          <w:szCs w:val="18"/>
        </w:rPr>
        <w:t xml:space="preserve">, </w:t>
      </w:r>
      <w:r w:rsidRPr="00170363">
        <w:rPr>
          <w:rFonts w:cs="Times New Roman"/>
          <w:sz w:val="20"/>
          <w:szCs w:val="18"/>
        </w:rPr>
        <w:t>thereby exploiting endogenous transport pathways</w:t>
      </w:r>
      <w:r w:rsidR="004F684E">
        <w:rPr>
          <w:rFonts w:cs="Times New Roman"/>
          <w:sz w:val="20"/>
          <w:szCs w:val="18"/>
        </w:rPr>
        <w:t xml:space="preserve">, </w:t>
      </w:r>
      <w:r w:rsidRPr="00170363">
        <w:rPr>
          <w:rFonts w:cs="Times New Roman"/>
          <w:sz w:val="20"/>
          <w:szCs w:val="18"/>
        </w:rPr>
        <w:t>and possesses accessible oxidation states (</w:t>
      </w:r>
      <w:proofErr w:type="gramStart"/>
      <w:r w:rsidRPr="00170363">
        <w:rPr>
          <w:rFonts w:cs="Times New Roman"/>
          <w:sz w:val="20"/>
          <w:szCs w:val="18"/>
        </w:rPr>
        <w:t>Ru(</w:t>
      </w:r>
      <w:proofErr w:type="gramEnd"/>
      <w:r w:rsidRPr="00170363">
        <w:rPr>
          <w:rFonts w:cs="Times New Roman"/>
          <w:sz w:val="20"/>
          <w:szCs w:val="18"/>
        </w:rPr>
        <w:t xml:space="preserve">II)/Ru(III)) under physiological conditions (Li et al., 2015; Bolhuis et al., 2011). </w:t>
      </w:r>
      <w:proofErr w:type="gramStart"/>
      <w:r w:rsidRPr="00170363">
        <w:rPr>
          <w:rFonts w:cs="Times New Roman"/>
          <w:sz w:val="20"/>
          <w:szCs w:val="18"/>
        </w:rPr>
        <w:t>Ru(</w:t>
      </w:r>
      <w:proofErr w:type="gramEnd"/>
      <w:r w:rsidRPr="00170363">
        <w:rPr>
          <w:rFonts w:cs="Times New Roman"/>
          <w:sz w:val="20"/>
          <w:szCs w:val="18"/>
        </w:rPr>
        <w:t>II) complexes typically adopt an octahedral geometry, providing a three-dimensional scaffold that enhances site-specific interactions with biomacromolecules like DNA, RNA, and proteins (Keene et al., 2021). Moreover, organometallic half-</w:t>
      </w:r>
      <w:r w:rsidRPr="00170363">
        <w:rPr>
          <w:rFonts w:cs="Times New Roman"/>
          <w:sz w:val="20"/>
          <w:szCs w:val="18"/>
        </w:rPr>
        <w:lastRenderedPageBreak/>
        <w:t xml:space="preserve">sandwich </w:t>
      </w:r>
      <w:proofErr w:type="gramStart"/>
      <w:r w:rsidRPr="00170363">
        <w:rPr>
          <w:rFonts w:cs="Times New Roman"/>
          <w:sz w:val="20"/>
          <w:szCs w:val="18"/>
        </w:rPr>
        <w:t>Ru(</w:t>
      </w:r>
      <w:proofErr w:type="gramEnd"/>
      <w:r w:rsidRPr="00170363">
        <w:rPr>
          <w:rFonts w:cs="Times New Roman"/>
          <w:sz w:val="20"/>
          <w:szCs w:val="18"/>
        </w:rPr>
        <w:t>II)-arene complexes</w:t>
      </w:r>
      <w:r w:rsidR="004F684E">
        <w:rPr>
          <w:rFonts w:cs="Times New Roman"/>
          <w:sz w:val="20"/>
          <w:szCs w:val="18"/>
        </w:rPr>
        <w:t xml:space="preserve">, </w:t>
      </w:r>
      <w:r w:rsidRPr="00170363">
        <w:rPr>
          <w:rFonts w:cs="Times New Roman"/>
          <w:sz w:val="20"/>
          <w:szCs w:val="18"/>
        </w:rPr>
        <w:t>characterized by a “piano-stool” architecture</w:t>
      </w:r>
      <w:r w:rsidR="004F684E">
        <w:rPr>
          <w:rFonts w:cs="Times New Roman"/>
          <w:sz w:val="20"/>
          <w:szCs w:val="18"/>
        </w:rPr>
        <w:t xml:space="preserve">, </w:t>
      </w:r>
      <w:r w:rsidRPr="00170363">
        <w:rPr>
          <w:rFonts w:cs="Times New Roman"/>
          <w:sz w:val="20"/>
          <w:szCs w:val="18"/>
        </w:rPr>
        <w:t>combine kinetic stability with modular ligand design, making them ideal candidates for antimicrobial development (Gichumbi et al., 2018; Kumar et al., 2014).</w:t>
      </w:r>
    </w:p>
    <w:p w14:paraId="71FE4252" w14:textId="520D2FB6" w:rsidR="007F61B5" w:rsidRPr="00170363" w:rsidRDefault="007F61B5" w:rsidP="007F61B5">
      <w:pPr>
        <w:jc w:val="both"/>
        <w:rPr>
          <w:rFonts w:cs="Times New Roman"/>
          <w:sz w:val="20"/>
          <w:szCs w:val="18"/>
        </w:rPr>
      </w:pPr>
      <w:r w:rsidRPr="00170363">
        <w:rPr>
          <w:rFonts w:cs="Times New Roman"/>
          <w:sz w:val="20"/>
          <w:szCs w:val="18"/>
        </w:rPr>
        <w:t>Central to this strategy is the use of Schiff base ligands</w:t>
      </w:r>
      <w:r w:rsidR="004F684E">
        <w:rPr>
          <w:rFonts w:cs="Times New Roman"/>
          <w:sz w:val="20"/>
          <w:szCs w:val="18"/>
        </w:rPr>
        <w:t xml:space="preserve">, </w:t>
      </w:r>
      <w:r w:rsidRPr="00170363">
        <w:rPr>
          <w:rFonts w:cs="Times New Roman"/>
          <w:sz w:val="20"/>
          <w:szCs w:val="18"/>
        </w:rPr>
        <w:t>organic compounds featuring an azomethine (–HC=N–) functional group formed via condensation of a primary amine and a carbonyl compound (</w:t>
      </w:r>
      <w:proofErr w:type="spellStart"/>
      <w:r w:rsidRPr="00170363">
        <w:rPr>
          <w:rFonts w:cs="Times New Roman"/>
          <w:sz w:val="20"/>
          <w:szCs w:val="18"/>
        </w:rPr>
        <w:t>Vigato</w:t>
      </w:r>
      <w:proofErr w:type="spellEnd"/>
      <w:r w:rsidRPr="00170363">
        <w:rPr>
          <w:rFonts w:cs="Times New Roman"/>
          <w:sz w:val="20"/>
          <w:szCs w:val="18"/>
        </w:rPr>
        <w:t xml:space="preserve"> &amp; </w:t>
      </w:r>
      <w:proofErr w:type="spellStart"/>
      <w:r w:rsidRPr="00170363">
        <w:rPr>
          <w:rFonts w:cs="Times New Roman"/>
          <w:sz w:val="20"/>
          <w:szCs w:val="18"/>
        </w:rPr>
        <w:t>Tamburini</w:t>
      </w:r>
      <w:proofErr w:type="spellEnd"/>
      <w:r w:rsidRPr="00170363">
        <w:rPr>
          <w:rFonts w:cs="Times New Roman"/>
          <w:sz w:val="20"/>
          <w:szCs w:val="18"/>
        </w:rPr>
        <w:t xml:space="preserve">, 2004). Schiff bases are termed “privileged ligands” due to their synthetic accessibility, structural flexibility, and strong chelating ability through N, O, or S donor atoms (Liu &amp; Hamon, 2019; </w:t>
      </w:r>
      <w:proofErr w:type="spellStart"/>
      <w:r w:rsidRPr="00170363">
        <w:rPr>
          <w:rFonts w:cs="Times New Roman"/>
          <w:sz w:val="20"/>
          <w:szCs w:val="18"/>
        </w:rPr>
        <w:t>Yufanyi</w:t>
      </w:r>
      <w:proofErr w:type="spellEnd"/>
      <w:r w:rsidRPr="00170363">
        <w:rPr>
          <w:rFonts w:cs="Times New Roman"/>
          <w:sz w:val="20"/>
          <w:szCs w:val="18"/>
        </w:rPr>
        <w:t xml:space="preserve"> et al., 2020). The imine nitrogen donates its lone pair to metal centers, while aromatic substituents can be systematically varied to modulate electronic, steric, and lipophilic properties (Sadi et al., 2017; </w:t>
      </w:r>
      <w:proofErr w:type="spellStart"/>
      <w:r w:rsidRPr="00170363">
        <w:rPr>
          <w:rFonts w:cs="Times New Roman"/>
          <w:sz w:val="20"/>
          <w:szCs w:val="18"/>
        </w:rPr>
        <w:t>Howsaui</w:t>
      </w:r>
      <w:proofErr w:type="spellEnd"/>
      <w:r w:rsidRPr="00170363">
        <w:rPr>
          <w:rFonts w:cs="Times New Roman"/>
          <w:sz w:val="20"/>
          <w:szCs w:val="18"/>
        </w:rPr>
        <w:t xml:space="preserve"> et al., 2021).</w:t>
      </w:r>
    </w:p>
    <w:p w14:paraId="21708879" w14:textId="08E3AA66" w:rsidR="007F61B5" w:rsidRPr="00170363" w:rsidRDefault="007F61B5" w:rsidP="007F61B5">
      <w:pPr>
        <w:jc w:val="both"/>
        <w:rPr>
          <w:rFonts w:cs="Times New Roman"/>
          <w:sz w:val="20"/>
          <w:szCs w:val="18"/>
        </w:rPr>
      </w:pPr>
      <w:r w:rsidRPr="00170363">
        <w:rPr>
          <w:rFonts w:cs="Times New Roman"/>
          <w:sz w:val="20"/>
          <w:szCs w:val="18"/>
        </w:rPr>
        <w:t xml:space="preserve">Pyridine-imine Schiff bases are particularly valuable as </w:t>
      </w:r>
      <w:proofErr w:type="gramStart"/>
      <w:r w:rsidRPr="00170363">
        <w:rPr>
          <w:rFonts w:cs="Times New Roman"/>
          <w:sz w:val="20"/>
          <w:szCs w:val="18"/>
        </w:rPr>
        <w:t>N,N</w:t>
      </w:r>
      <w:proofErr w:type="gramEnd"/>
      <w:r w:rsidRPr="00170363">
        <w:rPr>
          <w:rFonts w:cs="Times New Roman"/>
          <w:sz w:val="20"/>
          <w:szCs w:val="18"/>
        </w:rPr>
        <w:t xml:space="preserve">′-bidentate ligands, forming stable five-membered chelate rings with transition metals. Both the pyridyl and imine </w:t>
      </w:r>
      <w:proofErr w:type="spellStart"/>
      <w:r w:rsidRPr="00170363">
        <w:rPr>
          <w:rFonts w:cs="Times New Roman"/>
          <w:sz w:val="20"/>
          <w:szCs w:val="18"/>
        </w:rPr>
        <w:t>nitrogens</w:t>
      </w:r>
      <w:proofErr w:type="spellEnd"/>
      <w:r w:rsidRPr="00170363">
        <w:rPr>
          <w:rFonts w:cs="Times New Roman"/>
          <w:sz w:val="20"/>
          <w:szCs w:val="18"/>
        </w:rPr>
        <w:t xml:space="preserve"> act as σ-donors and π-acceptors, stabilizing lower metal oxidation states and enhancing complex stability (Gichumbi et al., 2016a). Pyridine itself is a privileged pharmacophore: numerous clinically approved drugs</w:t>
      </w:r>
      <w:r w:rsidR="004F684E">
        <w:rPr>
          <w:rFonts w:cs="Times New Roman"/>
          <w:sz w:val="20"/>
          <w:szCs w:val="18"/>
        </w:rPr>
        <w:t xml:space="preserve">, </w:t>
      </w:r>
      <w:r w:rsidRPr="00170363">
        <w:rPr>
          <w:rFonts w:cs="Times New Roman"/>
          <w:sz w:val="20"/>
          <w:szCs w:val="18"/>
        </w:rPr>
        <w:t xml:space="preserve">including piroxicam (anti-inflammatory), </w:t>
      </w:r>
      <w:proofErr w:type="spellStart"/>
      <w:r w:rsidRPr="00170363">
        <w:rPr>
          <w:rFonts w:cs="Times New Roman"/>
          <w:sz w:val="20"/>
          <w:szCs w:val="18"/>
        </w:rPr>
        <w:t>sulfapyridine</w:t>
      </w:r>
      <w:proofErr w:type="spellEnd"/>
      <w:r w:rsidRPr="00170363">
        <w:rPr>
          <w:rFonts w:cs="Times New Roman"/>
          <w:sz w:val="20"/>
          <w:szCs w:val="18"/>
        </w:rPr>
        <w:t xml:space="preserve"> (antibacterial), and tripelennamine (antihistamine)</w:t>
      </w:r>
      <w:r w:rsidR="004F684E">
        <w:rPr>
          <w:rFonts w:cs="Times New Roman"/>
          <w:sz w:val="20"/>
          <w:szCs w:val="18"/>
        </w:rPr>
        <w:t xml:space="preserve">, </w:t>
      </w:r>
      <w:r w:rsidRPr="00170363">
        <w:rPr>
          <w:rFonts w:cs="Times New Roman"/>
          <w:sz w:val="20"/>
          <w:szCs w:val="18"/>
        </w:rPr>
        <w:t xml:space="preserve">contain a 2-aminopyridine core (Bolliger et al., 2011; Shimizu et al., 2000). Pyridine derivatives exhibit broad biological activities, such as antiviral, anticonvulsant, antitubercular, and antidiabetic effects (Jin et al., 2009; </w:t>
      </w:r>
      <w:proofErr w:type="spellStart"/>
      <w:r w:rsidRPr="00170363">
        <w:rPr>
          <w:rFonts w:cs="Times New Roman"/>
          <w:sz w:val="20"/>
          <w:szCs w:val="18"/>
        </w:rPr>
        <w:t>Nyawade</w:t>
      </w:r>
      <w:proofErr w:type="spellEnd"/>
      <w:r w:rsidRPr="00170363">
        <w:rPr>
          <w:rFonts w:cs="Times New Roman"/>
          <w:sz w:val="20"/>
          <w:szCs w:val="18"/>
        </w:rPr>
        <w:t xml:space="preserve"> et al., 2015a).</w:t>
      </w:r>
    </w:p>
    <w:p w14:paraId="58A5C792" w14:textId="389FD784" w:rsidR="007F61B5" w:rsidRPr="00170363" w:rsidRDefault="007F61B5" w:rsidP="007F61B5">
      <w:pPr>
        <w:jc w:val="both"/>
        <w:rPr>
          <w:rFonts w:cs="Times New Roman"/>
          <w:sz w:val="20"/>
          <w:szCs w:val="18"/>
        </w:rPr>
      </w:pPr>
      <w:r w:rsidRPr="00170363">
        <w:rPr>
          <w:rFonts w:cs="Times New Roman"/>
          <w:sz w:val="20"/>
          <w:szCs w:val="18"/>
        </w:rPr>
        <w:t xml:space="preserve">Upon coordination to </w:t>
      </w:r>
      <w:proofErr w:type="gramStart"/>
      <w:r w:rsidRPr="00170363">
        <w:rPr>
          <w:rFonts w:cs="Times New Roman"/>
          <w:sz w:val="20"/>
          <w:szCs w:val="18"/>
        </w:rPr>
        <w:t>Ru(</w:t>
      </w:r>
      <w:proofErr w:type="gramEnd"/>
      <w:r w:rsidRPr="00170363">
        <w:rPr>
          <w:rFonts w:cs="Times New Roman"/>
          <w:sz w:val="20"/>
          <w:szCs w:val="18"/>
        </w:rPr>
        <w:t>II), Schiff base ligands often display enhanced antimicrobial activity compared to their free forms—a phenomenon rationalized by Tweedy’s chelation theory (El-</w:t>
      </w:r>
      <w:proofErr w:type="spellStart"/>
      <w:r w:rsidRPr="00170363">
        <w:rPr>
          <w:rFonts w:cs="Times New Roman"/>
          <w:sz w:val="20"/>
          <w:szCs w:val="18"/>
        </w:rPr>
        <w:t>Sherif</w:t>
      </w:r>
      <w:proofErr w:type="spellEnd"/>
      <w:r w:rsidRPr="00170363">
        <w:rPr>
          <w:rFonts w:cs="Times New Roman"/>
          <w:sz w:val="20"/>
          <w:szCs w:val="18"/>
        </w:rPr>
        <w:t xml:space="preserve"> &amp; </w:t>
      </w:r>
      <w:proofErr w:type="spellStart"/>
      <w:r w:rsidRPr="00170363">
        <w:rPr>
          <w:rFonts w:cs="Times New Roman"/>
          <w:sz w:val="20"/>
          <w:szCs w:val="18"/>
        </w:rPr>
        <w:t>Eldebss</w:t>
      </w:r>
      <w:proofErr w:type="spellEnd"/>
      <w:r w:rsidRPr="00170363">
        <w:rPr>
          <w:rFonts w:cs="Times New Roman"/>
          <w:sz w:val="20"/>
          <w:szCs w:val="18"/>
        </w:rPr>
        <w:t>, 2011; Patel &amp; Chaudhary, 2012). This theory posits that metal chelation reduces the polarity of the metal ion through charge delocalization over the chelate ring, thereby increasing lipophilicity and facilitating passive diffusion across microbial lipid membranes (Mahajan et al., 2007; Singh &amp; Srivastava, 2011). Once intracellular, the complex can disrupt vital processes</w:t>
      </w:r>
      <w:r w:rsidR="004F684E">
        <w:rPr>
          <w:rFonts w:cs="Times New Roman"/>
          <w:sz w:val="20"/>
          <w:szCs w:val="18"/>
        </w:rPr>
        <w:t xml:space="preserve">, </w:t>
      </w:r>
      <w:r w:rsidRPr="00170363">
        <w:rPr>
          <w:rFonts w:cs="Times New Roman"/>
          <w:sz w:val="20"/>
          <w:szCs w:val="18"/>
        </w:rPr>
        <w:t>such as respiration or DNA replication</w:t>
      </w:r>
      <w:r w:rsidR="004F684E">
        <w:rPr>
          <w:rFonts w:cs="Times New Roman"/>
          <w:sz w:val="20"/>
          <w:szCs w:val="18"/>
        </w:rPr>
        <w:t xml:space="preserve">, </w:t>
      </w:r>
      <w:r w:rsidRPr="00170363">
        <w:rPr>
          <w:rFonts w:cs="Times New Roman"/>
          <w:sz w:val="20"/>
          <w:szCs w:val="18"/>
        </w:rPr>
        <w:t>by binding to metal-dependent enzymes or nucleic acids (Jesmin et al., 2008; Naeimi &amp; Moradian, 2016).</w:t>
      </w:r>
    </w:p>
    <w:p w14:paraId="5C610C39" w14:textId="77777777" w:rsidR="007F61B5" w:rsidRPr="00170363" w:rsidRDefault="007F61B5" w:rsidP="007F61B5">
      <w:pPr>
        <w:jc w:val="both"/>
        <w:rPr>
          <w:rFonts w:cs="Times New Roman"/>
          <w:sz w:val="20"/>
          <w:szCs w:val="18"/>
        </w:rPr>
      </w:pPr>
      <w:r w:rsidRPr="00170363">
        <w:rPr>
          <w:rFonts w:cs="Times New Roman"/>
          <w:sz w:val="20"/>
          <w:szCs w:val="18"/>
        </w:rPr>
        <w:t xml:space="preserve">Empirical evidence supports this mechanism. </w:t>
      </w:r>
      <w:proofErr w:type="gramStart"/>
      <w:r w:rsidRPr="00170363">
        <w:rPr>
          <w:rFonts w:cs="Times New Roman"/>
          <w:sz w:val="20"/>
          <w:szCs w:val="18"/>
        </w:rPr>
        <w:t>Ruthenium(</w:t>
      </w:r>
      <w:proofErr w:type="gramEnd"/>
      <w:r w:rsidRPr="00170363">
        <w:rPr>
          <w:rFonts w:cs="Times New Roman"/>
          <w:sz w:val="20"/>
          <w:szCs w:val="18"/>
        </w:rPr>
        <w:t xml:space="preserve">II) arene complexes with N,N′-bidentate </w:t>
      </w:r>
      <w:r w:rsidRPr="00170363">
        <w:rPr>
          <w:rFonts w:cs="Times New Roman"/>
          <w:sz w:val="20"/>
          <w:szCs w:val="18"/>
        </w:rPr>
        <w:t xml:space="preserve">ligands have demonstrated significant activity against both Gram-positive and Gram-negative bacteria (Gichumbi et al., 2016e). Cationic </w:t>
      </w:r>
      <w:proofErr w:type="gramStart"/>
      <w:r w:rsidRPr="00170363">
        <w:rPr>
          <w:rFonts w:cs="Times New Roman"/>
          <w:sz w:val="20"/>
          <w:szCs w:val="18"/>
        </w:rPr>
        <w:t>Ru(</w:t>
      </w:r>
      <w:proofErr w:type="gramEnd"/>
      <w:r w:rsidRPr="00170363">
        <w:rPr>
          <w:rFonts w:cs="Times New Roman"/>
          <w:sz w:val="20"/>
          <w:szCs w:val="18"/>
        </w:rPr>
        <w:t xml:space="preserve">II) polypyridyl complexes can bind DNA via intercalation, groove binding, or covalent adduction at guanine residues, while some generate reactive oxygen species (ROS), inducing oxidative stress and cell death (Li et al., 2015; </w:t>
      </w:r>
      <w:proofErr w:type="spellStart"/>
      <w:r w:rsidRPr="00170363">
        <w:rPr>
          <w:rFonts w:cs="Times New Roman"/>
          <w:sz w:val="20"/>
          <w:szCs w:val="18"/>
        </w:rPr>
        <w:t>Brabec</w:t>
      </w:r>
      <w:proofErr w:type="spellEnd"/>
      <w:r w:rsidRPr="00170363">
        <w:rPr>
          <w:rFonts w:cs="Times New Roman"/>
          <w:sz w:val="20"/>
          <w:szCs w:val="18"/>
        </w:rPr>
        <w:t xml:space="preserve"> &amp; </w:t>
      </w:r>
      <w:proofErr w:type="spellStart"/>
      <w:r w:rsidRPr="00170363">
        <w:rPr>
          <w:rFonts w:cs="Times New Roman"/>
          <w:sz w:val="20"/>
          <w:szCs w:val="18"/>
        </w:rPr>
        <w:t>Kasparkova</w:t>
      </w:r>
      <w:proofErr w:type="spellEnd"/>
      <w:r w:rsidRPr="00170363">
        <w:rPr>
          <w:rFonts w:cs="Times New Roman"/>
          <w:sz w:val="20"/>
          <w:szCs w:val="18"/>
        </w:rPr>
        <w:t xml:space="preserve">, 2018). Notably, these complexes often show greater efficacy against Gram-positive bacteria like </w:t>
      </w:r>
      <w:r w:rsidRPr="00170363">
        <w:rPr>
          <w:rFonts w:cs="Times New Roman"/>
          <w:i/>
          <w:iCs/>
          <w:sz w:val="20"/>
          <w:szCs w:val="18"/>
        </w:rPr>
        <w:t>S. aureus</w:t>
      </w:r>
      <w:r w:rsidRPr="00170363">
        <w:rPr>
          <w:rFonts w:cs="Times New Roman"/>
          <w:sz w:val="20"/>
          <w:szCs w:val="18"/>
        </w:rPr>
        <w:t xml:space="preserve">, likely due to the absence of a protective outer membrane found in Gram-negative species such as </w:t>
      </w:r>
      <w:r w:rsidRPr="00170363">
        <w:rPr>
          <w:rFonts w:cs="Times New Roman"/>
          <w:i/>
          <w:iCs/>
          <w:sz w:val="20"/>
          <w:szCs w:val="18"/>
        </w:rPr>
        <w:t>E. coli</w:t>
      </w:r>
      <w:r w:rsidRPr="00170363">
        <w:rPr>
          <w:rFonts w:cs="Times New Roman"/>
          <w:sz w:val="20"/>
          <w:szCs w:val="18"/>
        </w:rPr>
        <w:t xml:space="preserve"> (Kumar et al., 2016).</w:t>
      </w:r>
    </w:p>
    <w:p w14:paraId="5B5E80A2" w14:textId="77777777" w:rsidR="007F61B5" w:rsidRPr="00170363" w:rsidRDefault="007F61B5" w:rsidP="007F61B5">
      <w:pPr>
        <w:jc w:val="both"/>
        <w:rPr>
          <w:rFonts w:cs="Times New Roman"/>
          <w:sz w:val="20"/>
          <w:szCs w:val="18"/>
        </w:rPr>
      </w:pPr>
      <w:r w:rsidRPr="00170363">
        <w:rPr>
          <w:rFonts w:cs="Times New Roman"/>
          <w:sz w:val="20"/>
          <w:szCs w:val="18"/>
        </w:rPr>
        <w:t>Structure–activity relationship (SAR) studies reveal that subtle ligand modifications profoundly influence bioactivity. Electron-donating groups (e.g., –OH) or electron-withdrawing groups (e.g., –Br) on the aryl ring alter the complex’s electronic density, lipophilicity, and DNA-binding affinity (Xie et al., 2015; Abdi El-Aziz, 2013). For instance, hydroxyl- and bromo-substituted Schiff bases have shown superior antimicrobial performance compared to unsubstituted analogues (Khalid et al., 2020; Sur et al., 2020). Furthermore, the inclusion of a p-cymene moiety in half-sandwich architectures enhances cellular uptake and target affinity due to increased hydrophobicity and steric bulk (Petrović et al., 2024; Prakash et al., 2013).</w:t>
      </w:r>
    </w:p>
    <w:p w14:paraId="24AAC8F0" w14:textId="77777777" w:rsidR="007F61B5" w:rsidRPr="00170363" w:rsidRDefault="007F61B5" w:rsidP="007F61B5">
      <w:pPr>
        <w:jc w:val="both"/>
        <w:rPr>
          <w:rFonts w:cs="Times New Roman"/>
          <w:sz w:val="20"/>
          <w:szCs w:val="18"/>
        </w:rPr>
      </w:pPr>
      <w:r w:rsidRPr="00170363">
        <w:rPr>
          <w:rFonts w:cs="Times New Roman"/>
          <w:sz w:val="20"/>
          <w:szCs w:val="18"/>
        </w:rPr>
        <w:t xml:space="preserve">Despite these advances, systematic comparisons between simple </w:t>
      </w:r>
      <w:proofErr w:type="gramStart"/>
      <w:r w:rsidRPr="00170363">
        <w:rPr>
          <w:rFonts w:cs="Times New Roman"/>
          <w:sz w:val="20"/>
          <w:szCs w:val="18"/>
        </w:rPr>
        <w:t>Ru(</w:t>
      </w:r>
      <w:proofErr w:type="gramEnd"/>
      <w:r w:rsidRPr="00170363">
        <w:rPr>
          <w:rFonts w:cs="Times New Roman"/>
          <w:sz w:val="20"/>
          <w:szCs w:val="18"/>
        </w:rPr>
        <w:t>II) Schiff base complexes and their Ru(II)-p-cymene counterparts remain scarce. Additionally, the combined effects of specific substituents (–Br, –OH) and coordination architecture on antibacterial efficacy against clinically relevant pathogens have not been fully elucidated. This knowledge gap limits rational design of optimized Ru-based antimicrobials.</w:t>
      </w:r>
    </w:p>
    <w:p w14:paraId="3273169E" w14:textId="7B41C18A" w:rsidR="007F61B5" w:rsidRPr="00170363" w:rsidRDefault="007F61B5" w:rsidP="007F61B5">
      <w:pPr>
        <w:jc w:val="both"/>
        <w:rPr>
          <w:rFonts w:cs="Times New Roman"/>
          <w:sz w:val="20"/>
          <w:szCs w:val="18"/>
        </w:rPr>
      </w:pPr>
      <w:r w:rsidRPr="00170363">
        <w:rPr>
          <w:rFonts w:cs="Times New Roman"/>
          <w:sz w:val="20"/>
          <w:szCs w:val="18"/>
        </w:rPr>
        <w:t xml:space="preserve">Therefore, this study builds upon foundational work in bioinorganic chemistry to address these gaps by synthesizing and characterizing a series of </w:t>
      </w:r>
      <w:proofErr w:type="gramStart"/>
      <w:r w:rsidRPr="00170363">
        <w:rPr>
          <w:rFonts w:cs="Times New Roman"/>
          <w:sz w:val="20"/>
          <w:szCs w:val="18"/>
        </w:rPr>
        <w:t>Ru(</w:t>
      </w:r>
      <w:proofErr w:type="gramEnd"/>
      <w:r w:rsidRPr="00170363">
        <w:rPr>
          <w:rFonts w:cs="Times New Roman"/>
          <w:sz w:val="20"/>
          <w:szCs w:val="18"/>
        </w:rPr>
        <w:t xml:space="preserve">II) complexes derived from three structurally related pyridine-imine Schiff base ligands: unsubstituted (from aniline), hydroxyl-substituted (from 4-aminophenol), and bromo-substituted (from 4-bromoaniline). By correlating spectral data (FT-IR, UV-Vis, ¹H NMR) with in vitro antibacterial screening against </w:t>
      </w:r>
      <w:r w:rsidRPr="00170363">
        <w:rPr>
          <w:rFonts w:cs="Times New Roman"/>
          <w:i/>
          <w:iCs/>
          <w:sz w:val="20"/>
          <w:szCs w:val="18"/>
        </w:rPr>
        <w:t>S. aureus</w:t>
      </w:r>
      <w:r w:rsidRPr="00170363">
        <w:rPr>
          <w:rFonts w:cs="Times New Roman"/>
          <w:sz w:val="20"/>
          <w:szCs w:val="18"/>
        </w:rPr>
        <w:t xml:space="preserve"> and </w:t>
      </w:r>
      <w:r w:rsidRPr="00170363">
        <w:rPr>
          <w:rFonts w:cs="Times New Roman"/>
          <w:i/>
          <w:iCs/>
          <w:sz w:val="20"/>
          <w:szCs w:val="18"/>
        </w:rPr>
        <w:t>E. coli</w:t>
      </w:r>
      <w:r w:rsidRPr="00170363">
        <w:rPr>
          <w:rFonts w:cs="Times New Roman"/>
          <w:sz w:val="20"/>
          <w:szCs w:val="18"/>
        </w:rPr>
        <w:t>, this research aims to establish critical SAR insights that will inform the future development of metallodrugs capable of countering AMR.</w:t>
      </w:r>
    </w:p>
    <w:p w14:paraId="205C8BC0" w14:textId="77777777" w:rsidR="00170363" w:rsidRPr="00170363" w:rsidRDefault="00DA3AD2" w:rsidP="00170363">
      <w:pPr>
        <w:pStyle w:val="ListParagraph"/>
        <w:numPr>
          <w:ilvl w:val="0"/>
          <w:numId w:val="1"/>
        </w:numPr>
        <w:jc w:val="both"/>
        <w:rPr>
          <w:rFonts w:cs="Times New Roman"/>
          <w:b/>
          <w:bCs/>
          <w:sz w:val="20"/>
          <w:szCs w:val="20"/>
        </w:rPr>
      </w:pPr>
      <w:r w:rsidRPr="00170363">
        <w:rPr>
          <w:rFonts w:cs="Times New Roman"/>
          <w:b/>
          <w:bCs/>
          <w:sz w:val="20"/>
          <w:szCs w:val="20"/>
        </w:rPr>
        <w:lastRenderedPageBreak/>
        <w:t>MATERIALS AND METHOD</w:t>
      </w:r>
      <w:bookmarkStart w:id="0" w:name="study-site-120-words"/>
      <w:bookmarkStart w:id="1" w:name="materials-and-methods"/>
    </w:p>
    <w:p w14:paraId="15098C26" w14:textId="1961431C" w:rsidR="00170363" w:rsidRPr="00170363" w:rsidRDefault="00170363" w:rsidP="00170363">
      <w:pPr>
        <w:pStyle w:val="ListParagraph"/>
        <w:numPr>
          <w:ilvl w:val="1"/>
          <w:numId w:val="1"/>
        </w:numPr>
        <w:jc w:val="both"/>
        <w:rPr>
          <w:rFonts w:cs="Times New Roman"/>
          <w:b/>
          <w:bCs/>
          <w:sz w:val="20"/>
          <w:szCs w:val="20"/>
        </w:rPr>
      </w:pPr>
      <w:r w:rsidRPr="00170363">
        <w:rPr>
          <w:rFonts w:cs="Times New Roman"/>
          <w:b/>
          <w:bCs/>
          <w:sz w:val="20"/>
          <w:szCs w:val="20"/>
        </w:rPr>
        <w:t>Study Site</w:t>
      </w:r>
    </w:p>
    <w:p w14:paraId="2A524F72" w14:textId="11F7038C"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All synthetic procedures were carried out in the Chemistry Laboratory at Chuka University, Kenya, under inert nitrogen atmosphere using standard Schlenk techniques. Spectroscopic characterization was performed at the same institution, except for </w:t>
      </w:r>
      <w:r>
        <w:rPr>
          <w:rFonts w:ascii="Times New Roman" w:hAnsi="Times New Roman" w:cs="Times New Roman"/>
          <w:sz w:val="20"/>
          <w:szCs w:val="20"/>
          <w:vertAlign w:val="superscript"/>
        </w:rPr>
        <w:t>1</w:t>
      </w:r>
      <w:r>
        <w:rPr>
          <w:rFonts w:ascii="Times New Roman" w:hAnsi="Times New Roman" w:cs="Times New Roman"/>
          <w:sz w:val="20"/>
          <w:szCs w:val="20"/>
        </w:rPr>
        <w:t>H</w:t>
      </w:r>
      <w:r w:rsidRPr="00170363">
        <w:rPr>
          <w:rFonts w:ascii="Times New Roman" w:hAnsi="Times New Roman" w:cs="Times New Roman"/>
          <w:sz w:val="20"/>
          <w:szCs w:val="20"/>
        </w:rPr>
        <w:t>NMR analyses, which were conducted at the University of Nairobi, Chiromo Campus. Antimicrobial assays were executed at the Kenya Medical Research Institute (KEMRI), Nairobi, following biosafety protocols. The study adhered to ethical guidelines approved by Chuka University’s Ethics Committee (Appendix 25) and was authorized by the National Commission for Science, Technology and Innovation (NACOSTI; Appendix 26). All bacterial strains were handled in certified biosafety level II facilities to ensure containment and reproducibility.</w:t>
      </w:r>
    </w:p>
    <w:p w14:paraId="32BE8063" w14:textId="0BF1C666" w:rsidR="00170363" w:rsidRPr="00170363" w:rsidRDefault="00170363" w:rsidP="00170363">
      <w:pPr>
        <w:pStyle w:val="Heading3"/>
        <w:numPr>
          <w:ilvl w:val="1"/>
          <w:numId w:val="1"/>
        </w:numPr>
        <w:rPr>
          <w:rFonts w:ascii="Times New Roman" w:hAnsi="Times New Roman" w:cs="Times New Roman"/>
          <w:color w:val="auto"/>
          <w:sz w:val="20"/>
          <w:szCs w:val="20"/>
        </w:rPr>
      </w:pPr>
      <w:bookmarkStart w:id="2" w:name="chemicals-and-reagents-200-words"/>
      <w:bookmarkEnd w:id="0"/>
      <w:r w:rsidRPr="00170363">
        <w:rPr>
          <w:rFonts w:ascii="Times New Roman" w:hAnsi="Times New Roman" w:cs="Times New Roman"/>
          <w:b/>
          <w:bCs/>
          <w:color w:val="auto"/>
          <w:sz w:val="20"/>
          <w:szCs w:val="20"/>
        </w:rPr>
        <w:t>Chemicals and Reagents</w:t>
      </w:r>
    </w:p>
    <w:p w14:paraId="4525C68A" w14:textId="77777777" w:rsid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All reagents were of analytical grade and used without further purification. 2-Pyridinecarboxaldehyde, aniline, 4-bromoaniline, and 4-aminophenol were sourced from Sigma-Aldrich. </w:t>
      </w:r>
      <w:proofErr w:type="gramStart"/>
      <w:r w:rsidRPr="00170363">
        <w:rPr>
          <w:rFonts w:ascii="Times New Roman" w:hAnsi="Times New Roman" w:cs="Times New Roman"/>
          <w:sz w:val="20"/>
          <w:szCs w:val="20"/>
        </w:rPr>
        <w:t>Ruthenium(</w:t>
      </w:r>
      <w:proofErr w:type="gramEnd"/>
      <w:r w:rsidRPr="00170363">
        <w:rPr>
          <w:rFonts w:ascii="Times New Roman" w:hAnsi="Times New Roman" w:cs="Times New Roman"/>
          <w:sz w:val="20"/>
          <w:szCs w:val="20"/>
        </w:rPr>
        <w:t>III) chloride hydrate (</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₃·</w:t>
      </w:r>
      <w:proofErr w:type="spellStart"/>
      <w:r w:rsidRPr="00170363">
        <w:rPr>
          <w:rFonts w:ascii="Times New Roman" w:hAnsi="Times New Roman" w:cs="Times New Roman"/>
          <w:sz w:val="20"/>
          <w:szCs w:val="20"/>
        </w:rPr>
        <w:t>xH₂O</w:t>
      </w:r>
      <w:proofErr w:type="spellEnd"/>
      <w:r w:rsidRPr="00170363">
        <w:rPr>
          <w:rFonts w:ascii="Times New Roman" w:hAnsi="Times New Roman" w:cs="Times New Roman"/>
          <w:sz w:val="20"/>
          <w:szCs w:val="20"/>
        </w:rPr>
        <w:t>) and the dimeric precursor [(η⁶-p-cymene)</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₂]₂ were also obtained from Sigma-Aldrich. Solvents</w:t>
      </w:r>
      <w:r>
        <w:rPr>
          <w:rFonts w:ascii="Times New Roman" w:hAnsi="Times New Roman" w:cs="Times New Roman"/>
          <w:sz w:val="20"/>
          <w:szCs w:val="20"/>
        </w:rPr>
        <w:t xml:space="preserve"> </w:t>
      </w:r>
      <w:r w:rsidRPr="00170363">
        <w:rPr>
          <w:rFonts w:ascii="Times New Roman" w:hAnsi="Times New Roman" w:cs="Times New Roman"/>
          <w:sz w:val="20"/>
          <w:szCs w:val="20"/>
        </w:rPr>
        <w:t>including diethyl ether, acetonitrile, dimethyl sulfoxide (DMSO), and methanol—were used as received. p-</w:t>
      </w:r>
      <w:proofErr w:type="spellStart"/>
      <w:r w:rsidRPr="00170363">
        <w:rPr>
          <w:rFonts w:ascii="Times New Roman" w:hAnsi="Times New Roman" w:cs="Times New Roman"/>
          <w:sz w:val="20"/>
          <w:szCs w:val="20"/>
        </w:rPr>
        <w:t>Toluenesulfonic</w:t>
      </w:r>
      <w:proofErr w:type="spellEnd"/>
      <w:r w:rsidRPr="00170363">
        <w:rPr>
          <w:rFonts w:ascii="Times New Roman" w:hAnsi="Times New Roman" w:cs="Times New Roman"/>
          <w:sz w:val="20"/>
          <w:szCs w:val="20"/>
        </w:rPr>
        <w:t xml:space="preserve"> acid served as a catalyst in Schiff base formation. For biological testing, Mueller Hinton Agar (MHA) was used as the growth medium, and gentamycin (10 µg/disc) served as the positive control. DMSO acted as both the solvent for test compounds and the negative control. Stock solutions of ligands and complexes were prepared at 10 mg/mL in DMSO. All glassware was oven-dried and cooled under nitrogen before use to prevent hydrolysis or oxidation during synthesis. Reactions were monitored by thin-layer chromatography (TLC) using silica gel plates and visualized under UV light.</w:t>
      </w:r>
      <w:bookmarkStart w:id="3" w:name="X68c71659efacbe177df4fcd1777c565c4cc57d8"/>
      <w:bookmarkEnd w:id="2"/>
    </w:p>
    <w:p w14:paraId="0A77F855" w14:textId="30760596" w:rsidR="00170363" w:rsidRPr="00170363" w:rsidRDefault="00170363" w:rsidP="00170363">
      <w:pPr>
        <w:pStyle w:val="FirstParagraph"/>
        <w:numPr>
          <w:ilvl w:val="1"/>
          <w:numId w:val="1"/>
        </w:numPr>
        <w:jc w:val="both"/>
        <w:rPr>
          <w:rFonts w:ascii="Times New Roman" w:hAnsi="Times New Roman" w:cs="Times New Roman"/>
          <w:sz w:val="20"/>
          <w:szCs w:val="20"/>
        </w:rPr>
      </w:pPr>
      <w:r w:rsidRPr="00170363">
        <w:rPr>
          <w:rFonts w:ascii="Times New Roman" w:hAnsi="Times New Roman" w:cs="Times New Roman"/>
          <w:b/>
          <w:bCs/>
          <w:sz w:val="20"/>
          <w:szCs w:val="20"/>
        </w:rPr>
        <w:t>Synthesis of Schiff Base Ligands</w:t>
      </w:r>
    </w:p>
    <w:p w14:paraId="377E9338" w14:textId="77777777"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Three bidentate pyridine–imine Schiff base ligands were synthesized via acid-catalyzed condensation between 2-pyridinecarboxaldehyde (1.0 mmol) and equimolar amounts of substituted anilines (1.0 mmol) in 30 mL diethyl ether under nitrogen. A catalytic amount (0.1 mmol) of p-</w:t>
      </w:r>
      <w:proofErr w:type="spellStart"/>
      <w:r w:rsidRPr="00170363">
        <w:rPr>
          <w:rFonts w:ascii="Times New Roman" w:hAnsi="Times New Roman" w:cs="Times New Roman"/>
          <w:sz w:val="20"/>
          <w:szCs w:val="20"/>
        </w:rPr>
        <w:t>toluenesulfonic</w:t>
      </w:r>
      <w:proofErr w:type="spellEnd"/>
      <w:r w:rsidRPr="00170363">
        <w:rPr>
          <w:rFonts w:ascii="Times New Roman" w:hAnsi="Times New Roman" w:cs="Times New Roman"/>
          <w:sz w:val="20"/>
          <w:szCs w:val="20"/>
        </w:rPr>
        <w:t xml:space="preserve"> acid was added to facilitate imine bond formation. The mixtures were stirred at room temperature for 12 hours, yielding precipitates that were filtered, washed with cold diethyl ether, and dried under vacuum. Specifically: </w:t>
      </w:r>
      <w:r w:rsidRPr="00170363">
        <w:rPr>
          <w:rFonts w:ascii="Times New Roman" w:hAnsi="Times New Roman" w:cs="Times New Roman"/>
          <w:sz w:val="20"/>
          <w:szCs w:val="20"/>
        </w:rPr>
        <w:t>(E)-N-(4-bromophenyl)-1-(pyridin-2-yl)</w:t>
      </w:r>
      <w:proofErr w:type="spellStart"/>
      <w:r w:rsidRPr="00170363">
        <w:rPr>
          <w:rFonts w:ascii="Times New Roman" w:hAnsi="Times New Roman" w:cs="Times New Roman"/>
          <w:sz w:val="20"/>
          <w:szCs w:val="20"/>
        </w:rPr>
        <w:t>methanimine</w:t>
      </w:r>
      <w:proofErr w:type="spellEnd"/>
      <w:r w:rsidRPr="00170363">
        <w:rPr>
          <w:rFonts w:ascii="Times New Roman" w:hAnsi="Times New Roman" w:cs="Times New Roman"/>
          <w:sz w:val="20"/>
          <w:szCs w:val="20"/>
        </w:rPr>
        <w:t xml:space="preserve"> (</w:t>
      </w:r>
      <w:r w:rsidRPr="00170363">
        <w:rPr>
          <w:rFonts w:ascii="Times New Roman" w:hAnsi="Times New Roman" w:cs="Times New Roman"/>
          <w:b/>
          <w:bCs/>
          <w:sz w:val="20"/>
          <w:szCs w:val="20"/>
        </w:rPr>
        <w:t>L</w:t>
      </w:r>
      <w:r w:rsidRPr="00170363">
        <w:rPr>
          <w:rFonts w:ascii="Times New Roman" w:hAnsi="Times New Roman" w:cs="Times New Roman"/>
          <w:sz w:val="20"/>
          <w:szCs w:val="20"/>
        </w:rPr>
        <w:t>) formed as a yellowish-grey microcrystalline solid (90% yield); (E)-N-phenyl-1-(pyridin-2-yl)</w:t>
      </w:r>
      <w:proofErr w:type="spellStart"/>
      <w:r w:rsidRPr="00170363">
        <w:rPr>
          <w:rFonts w:ascii="Times New Roman" w:hAnsi="Times New Roman" w:cs="Times New Roman"/>
          <w:sz w:val="20"/>
          <w:szCs w:val="20"/>
        </w:rPr>
        <w:t>methanimine</w:t>
      </w:r>
      <w:proofErr w:type="spellEnd"/>
      <w:r w:rsidRPr="00170363">
        <w:rPr>
          <w:rFonts w:ascii="Times New Roman" w:hAnsi="Times New Roman" w:cs="Times New Roman"/>
          <w:sz w:val="20"/>
          <w:szCs w:val="20"/>
        </w:rPr>
        <w:t xml:space="preserve"> (</w:t>
      </w:r>
      <w:r w:rsidRPr="00170363">
        <w:rPr>
          <w:rFonts w:ascii="Times New Roman" w:hAnsi="Times New Roman" w:cs="Times New Roman"/>
          <w:b/>
          <w:bCs/>
          <w:sz w:val="20"/>
          <w:szCs w:val="20"/>
        </w:rPr>
        <w:t>L₁</w:t>
      </w:r>
      <w:r w:rsidRPr="00170363">
        <w:rPr>
          <w:rFonts w:ascii="Times New Roman" w:hAnsi="Times New Roman" w:cs="Times New Roman"/>
          <w:sz w:val="20"/>
          <w:szCs w:val="20"/>
        </w:rPr>
        <w:t>) as a reddish oil (85% yield); and (E)-4-((pyridin-2-ylmethylene)amino)phenol (</w:t>
      </w:r>
      <w:r w:rsidRPr="00170363">
        <w:rPr>
          <w:rFonts w:ascii="Times New Roman" w:hAnsi="Times New Roman" w:cs="Times New Roman"/>
          <w:b/>
          <w:bCs/>
          <w:sz w:val="20"/>
          <w:szCs w:val="20"/>
        </w:rPr>
        <w:t>L₂</w:t>
      </w:r>
      <w:r w:rsidRPr="00170363">
        <w:rPr>
          <w:rFonts w:ascii="Times New Roman" w:hAnsi="Times New Roman" w:cs="Times New Roman"/>
          <w:sz w:val="20"/>
          <w:szCs w:val="20"/>
        </w:rPr>
        <w:t>) as a pale yellow solid (90% yield). The general reaction follows:</w:t>
      </w:r>
    </w:p>
    <w:p w14:paraId="0DE2A9FB" w14:textId="77777777" w:rsidR="00170363" w:rsidRPr="00170363" w:rsidRDefault="007E77D4" w:rsidP="00170363">
      <w:pPr>
        <w:pStyle w:val="BodyText"/>
        <w:ind w:left="720"/>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m:rPr>
                  <m:nor/>
                </m:rPr>
                <w:rPr>
                  <w:rFonts w:ascii="Times New Roman" w:hAnsi="Times New Roman" w:cs="Times New Roman"/>
                  <w:sz w:val="20"/>
                  <w:szCs w:val="20"/>
                </w:rPr>
                <m:t>R–NH</m:t>
              </m:r>
            </m:e>
            <m:sub>
              <m: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C</m:t>
              </m:r>
            </m:e>
            <m:sub>
              <m:r>
                <w:rPr>
                  <w:rFonts w:ascii="Cambria Math" w:hAnsi="Cambria Math" w:cs="Times New Roman"/>
                  <w:sz w:val="20"/>
                  <w:szCs w:val="20"/>
                </w:rPr>
                <m:t>5</m:t>
              </m:r>
            </m:sub>
          </m:sSub>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4</m:t>
              </m:r>
            </m:sub>
          </m:sSub>
          <m:r>
            <m:rPr>
              <m:nor/>
            </m:rPr>
            <w:rPr>
              <w:rFonts w:ascii="Times New Roman" w:hAnsi="Times New Roman" w:cs="Times New Roman"/>
              <w:sz w:val="20"/>
              <w:szCs w:val="20"/>
            </w:rPr>
            <m:t>N–CHO</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R–N=CH–C</m:t>
              </m:r>
            </m:e>
            <m:sub>
              <m:r>
                <w:rPr>
                  <w:rFonts w:ascii="Cambria Math" w:hAnsi="Cambria Math" w:cs="Times New Roman"/>
                  <w:sz w:val="20"/>
                  <w:szCs w:val="20"/>
                </w:rPr>
                <m:t>5</m:t>
              </m:r>
            </m:sub>
          </m:sSub>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4</m:t>
              </m:r>
            </m:sub>
          </m:sSub>
          <m:r>
            <m:rPr>
              <m:nor/>
            </m:rPr>
            <w:rPr>
              <w:rFonts w:ascii="Times New Roman" w:hAnsi="Times New Roman"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2</m:t>
              </m:r>
            </m:sub>
          </m:sSub>
          <m:r>
            <m:rPr>
              <m:nor/>
            </m:rPr>
            <w:rPr>
              <w:rFonts w:ascii="Times New Roman" w:hAnsi="Times New Roman" w:cs="Times New Roman"/>
              <w:sz w:val="20"/>
              <w:szCs w:val="20"/>
            </w:rPr>
            <m:t>O</m:t>
          </m:r>
        </m:oMath>
      </m:oMathPara>
    </w:p>
    <w:p w14:paraId="4B9FC578" w14:textId="77777777" w:rsidR="00170363" w:rsidRPr="00170363" w:rsidRDefault="00170363" w:rsidP="00170363">
      <w:pPr>
        <w:pStyle w:val="FirstParagraph"/>
        <w:rPr>
          <w:rFonts w:ascii="Times New Roman" w:hAnsi="Times New Roman" w:cs="Times New Roman"/>
          <w:sz w:val="20"/>
          <w:szCs w:val="20"/>
        </w:rPr>
      </w:pPr>
      <w:r w:rsidRPr="00170363">
        <w:rPr>
          <w:rFonts w:ascii="Times New Roman" w:hAnsi="Times New Roman" w:cs="Times New Roman"/>
          <w:sz w:val="20"/>
          <w:szCs w:val="20"/>
        </w:rPr>
        <w:t>Products were stored in amber vials under nitrogen to prevent photodegradation or hydrolysis.</w:t>
      </w:r>
    </w:p>
    <w:p w14:paraId="4B676AC7" w14:textId="5B890CFC" w:rsidR="00170363" w:rsidRPr="00170363" w:rsidRDefault="00170363" w:rsidP="00170363">
      <w:pPr>
        <w:pStyle w:val="Heading3"/>
        <w:numPr>
          <w:ilvl w:val="1"/>
          <w:numId w:val="1"/>
        </w:numPr>
        <w:rPr>
          <w:rFonts w:ascii="Times New Roman" w:hAnsi="Times New Roman" w:cs="Times New Roman"/>
          <w:color w:val="auto"/>
          <w:sz w:val="20"/>
          <w:szCs w:val="20"/>
        </w:rPr>
      </w:pPr>
      <w:bookmarkStart w:id="4" w:name="X94514756c0039985bfd34cf7c6f9fb14552b0fa"/>
      <w:bookmarkEnd w:id="3"/>
      <w:r w:rsidRPr="00170363">
        <w:rPr>
          <w:rFonts w:ascii="Times New Roman" w:hAnsi="Times New Roman" w:cs="Times New Roman"/>
          <w:b/>
          <w:bCs/>
          <w:color w:val="auto"/>
          <w:sz w:val="20"/>
          <w:szCs w:val="20"/>
        </w:rPr>
        <w:t xml:space="preserve">Synthesis of </w:t>
      </w:r>
      <w:proofErr w:type="gramStart"/>
      <w:r w:rsidRPr="00170363">
        <w:rPr>
          <w:rFonts w:ascii="Times New Roman" w:hAnsi="Times New Roman" w:cs="Times New Roman"/>
          <w:b/>
          <w:bCs/>
          <w:color w:val="auto"/>
          <w:sz w:val="20"/>
          <w:szCs w:val="20"/>
        </w:rPr>
        <w:t>Ruthenium(</w:t>
      </w:r>
      <w:proofErr w:type="gramEnd"/>
      <w:r w:rsidRPr="00170363">
        <w:rPr>
          <w:rFonts w:ascii="Times New Roman" w:hAnsi="Times New Roman" w:cs="Times New Roman"/>
          <w:b/>
          <w:bCs/>
          <w:color w:val="auto"/>
          <w:sz w:val="20"/>
          <w:szCs w:val="20"/>
        </w:rPr>
        <w:t>II) Complexes</w:t>
      </w:r>
    </w:p>
    <w:p w14:paraId="59783A7E" w14:textId="77777777"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Two classes of </w:t>
      </w:r>
      <w:proofErr w:type="gramStart"/>
      <w:r w:rsidRPr="00170363">
        <w:rPr>
          <w:rFonts w:ascii="Times New Roman" w:hAnsi="Times New Roman" w:cs="Times New Roman"/>
          <w:sz w:val="20"/>
          <w:szCs w:val="20"/>
        </w:rPr>
        <w:t>Ru(</w:t>
      </w:r>
      <w:proofErr w:type="gramEnd"/>
      <w:r w:rsidRPr="00170363">
        <w:rPr>
          <w:rFonts w:ascii="Times New Roman" w:hAnsi="Times New Roman" w:cs="Times New Roman"/>
          <w:sz w:val="20"/>
          <w:szCs w:val="20"/>
        </w:rPr>
        <w:t xml:space="preserve">II) complexes were prepared: simple Ru(II) complexes and half-sandwich Ru(II)-p-cymene derivatives. For simple complexes, </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₃·</w:t>
      </w:r>
      <w:proofErr w:type="spellStart"/>
      <w:r w:rsidRPr="00170363">
        <w:rPr>
          <w:rFonts w:ascii="Times New Roman" w:hAnsi="Times New Roman" w:cs="Times New Roman"/>
          <w:sz w:val="20"/>
          <w:szCs w:val="20"/>
        </w:rPr>
        <w:t>xH₂O</w:t>
      </w:r>
      <w:proofErr w:type="spellEnd"/>
      <w:r w:rsidRPr="00170363">
        <w:rPr>
          <w:rFonts w:ascii="Times New Roman" w:hAnsi="Times New Roman" w:cs="Times New Roman"/>
          <w:sz w:val="20"/>
          <w:szCs w:val="20"/>
        </w:rPr>
        <w:t xml:space="preserve"> (0.5 mmol) was suspended in 20 mL acetonitrile, and the Schiff base ligand (1.0 mmol) was added. The mixture was refluxed under N₂ for 3 h, cooled, and the precipitate collected by filtration, washed with diethyl ether, and dried (89–91% yield). For cymene complexes, [(η⁶-p-</w:t>
      </w:r>
      <w:proofErr w:type="gramStart"/>
      <w:r w:rsidRPr="00170363">
        <w:rPr>
          <w:rFonts w:ascii="Times New Roman" w:hAnsi="Times New Roman" w:cs="Times New Roman"/>
          <w:sz w:val="20"/>
          <w:szCs w:val="20"/>
        </w:rPr>
        <w:t>cymene)</w:t>
      </w:r>
      <w:proofErr w:type="spellStart"/>
      <w:r w:rsidRPr="00170363">
        <w:rPr>
          <w:rFonts w:ascii="Times New Roman" w:hAnsi="Times New Roman" w:cs="Times New Roman"/>
          <w:sz w:val="20"/>
          <w:szCs w:val="20"/>
        </w:rPr>
        <w:t>RuCl</w:t>
      </w:r>
      <w:proofErr w:type="spellEnd"/>
      <w:proofErr w:type="gramEnd"/>
      <w:r w:rsidRPr="00170363">
        <w:rPr>
          <w:rFonts w:ascii="Times New Roman" w:hAnsi="Times New Roman" w:cs="Times New Roman"/>
          <w:sz w:val="20"/>
          <w:szCs w:val="20"/>
        </w:rPr>
        <w:t xml:space="preserve">₂]₂ (0.27 mmol) in 30 mL acetonitrile was treated with ligand (0.55 mmol) and refluxed for 3 h. The solvent was reduced </w:t>
      </w:r>
      <w:r w:rsidRPr="00170363">
        <w:rPr>
          <w:rFonts w:ascii="Times New Roman" w:hAnsi="Times New Roman" w:cs="Times New Roman"/>
          <w:i/>
          <w:iCs/>
          <w:sz w:val="20"/>
          <w:szCs w:val="20"/>
        </w:rPr>
        <w:t>in vacuo</w:t>
      </w:r>
      <w:r w:rsidRPr="00170363">
        <w:rPr>
          <w:rFonts w:ascii="Times New Roman" w:hAnsi="Times New Roman" w:cs="Times New Roman"/>
          <w:sz w:val="20"/>
          <w:szCs w:val="20"/>
        </w:rPr>
        <w:t>, and NH₄BF₄ (0.55 mmol) was added to exchange Cl⁻ for BF₄⁻. The mixture was cooled in ice, and the resulting solid was filtered, washed with ether, and dried (87–92% yield). The general bridge-splitting reaction is:</w:t>
      </w:r>
    </w:p>
    <w:p w14:paraId="7468EAAF" w14:textId="77777777" w:rsidR="00170363" w:rsidRPr="00170363" w:rsidRDefault="007E77D4" w:rsidP="00170363">
      <w:pPr>
        <w:pStyle w:val="BodyText"/>
        <w:ind w:left="360"/>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w:rPr>
                              <w:rFonts w:ascii="Cambria Math" w:hAnsi="Cambria Math" w:cs="Times New Roman"/>
                              <w:sz w:val="20"/>
                              <w:szCs w:val="20"/>
                            </w:rPr>
                            <m:t>η</m:t>
                          </m:r>
                        </m:e>
                        <m:sup>
                          <m:r>
                            <w:rPr>
                              <w:rFonts w:ascii="Cambria Math" w:hAnsi="Cambria Math" w:cs="Times New Roman"/>
                              <w:sz w:val="20"/>
                              <w:szCs w:val="20"/>
                            </w:rPr>
                            <m:t>6</m:t>
                          </m:r>
                        </m:sup>
                      </m:sSup>
                      <m:r>
                        <m:rPr>
                          <m:nor/>
                        </m:rPr>
                        <w:rPr>
                          <w:rFonts w:ascii="Times New Roman" w:hAnsi="Times New Roman" w:cs="Times New Roman"/>
                          <w:sz w:val="20"/>
                          <w:szCs w:val="20"/>
                        </w:rPr>
                        <m:t>-cym</m:t>
                      </m:r>
                    </m:e>
                  </m:d>
                  <m:sSub>
                    <m:sSubPr>
                      <m:ctrlPr>
                        <w:rPr>
                          <w:rFonts w:ascii="Cambria Math" w:hAnsi="Cambria Math" w:cs="Times New Roman"/>
                          <w:sz w:val="20"/>
                          <w:szCs w:val="20"/>
                        </w:rPr>
                      </m:ctrlPr>
                    </m:sSubPr>
                    <m:e>
                      <m:r>
                        <m:rPr>
                          <m:nor/>
                        </m:rPr>
                        <w:rPr>
                          <w:rFonts w:ascii="Times New Roman" w:hAnsi="Times New Roman" w:cs="Times New Roman"/>
                          <w:sz w:val="20"/>
                          <w:szCs w:val="20"/>
                        </w:rPr>
                        <m:t>RuCl</m:t>
                      </m:r>
                    </m:e>
                    <m:sub>
                      <m:r>
                        <w:rPr>
                          <w:rFonts w:ascii="Cambria Math" w:hAnsi="Cambria Math" w:cs="Times New Roman"/>
                          <w:sz w:val="20"/>
                          <w:szCs w:val="20"/>
                        </w:rPr>
                        <m:t>2</m:t>
                      </m:r>
                    </m:sub>
                  </m:sSub>
                </m:e>
              </m:d>
            </m:e>
            <m:sub>
              <m:r>
                <w:rPr>
                  <w:rFonts w:ascii="Cambria Math" w:hAnsi="Cambria Math" w:cs="Times New Roman"/>
                  <w:sz w:val="20"/>
                  <w:szCs w:val="20"/>
                </w:rPr>
                <m:t>2</m:t>
              </m:r>
            </m:sub>
          </m:sSub>
          <m:r>
            <m:rPr>
              <m:sty m:val="p"/>
            </m:rPr>
            <w:rPr>
              <w:rFonts w:ascii="Cambria Math" w:hAnsi="Cambria Math" w:cs="Times New Roman"/>
              <w:sz w:val="20"/>
              <w:szCs w:val="20"/>
            </w:rPr>
            <m:t>+</m:t>
          </m:r>
          <m:r>
            <w:rPr>
              <w:rFonts w:ascii="Cambria Math" w:hAnsi="Cambria Math" w:cs="Times New Roman"/>
              <w:sz w:val="20"/>
              <w:szCs w:val="20"/>
            </w:rPr>
            <m:t>2</m:t>
          </m:r>
          <m:r>
            <m:rPr>
              <m:nor/>
            </m:rPr>
            <w:rPr>
              <w:rFonts w:ascii="Times New Roman" w:hAnsi="Times New Roman" w:cs="Times New Roman"/>
              <w:sz w:val="20"/>
              <w:szCs w:val="20"/>
            </w:rPr>
            <m:t>L</m:t>
          </m:r>
          <m:r>
            <m:rPr>
              <m:sty m:val="p"/>
            </m:rPr>
            <w:rPr>
              <w:rFonts w:ascii="Cambria Math" w:hAnsi="Cambria Math" w:cs="Times New Roman"/>
              <w:sz w:val="20"/>
              <w:szCs w:val="20"/>
            </w:rPr>
            <m:t>→</m:t>
          </m:r>
          <m:r>
            <w:rPr>
              <w:rFonts w:ascii="Cambria Math" w:hAnsi="Cambria Math" w:cs="Times New Roman"/>
              <w:sz w:val="20"/>
              <w:szCs w:val="20"/>
            </w:rPr>
            <m:t>2</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w:rPr>
                              <w:rFonts w:ascii="Cambria Math" w:hAnsi="Cambria Math" w:cs="Times New Roman"/>
                              <w:sz w:val="20"/>
                              <w:szCs w:val="20"/>
                            </w:rPr>
                            <m:t>η</m:t>
                          </m:r>
                        </m:e>
                        <m:sup>
                          <m:r>
                            <w:rPr>
                              <w:rFonts w:ascii="Cambria Math" w:hAnsi="Cambria Math" w:cs="Times New Roman"/>
                              <w:sz w:val="20"/>
                              <w:szCs w:val="20"/>
                            </w:rPr>
                            <m:t>6</m:t>
                          </m:r>
                        </m:sup>
                      </m:sSup>
                      <m:r>
                        <m:rPr>
                          <m:nor/>
                        </m:rPr>
                        <w:rPr>
                          <w:rFonts w:ascii="Times New Roman" w:hAnsi="Times New Roman" w:cs="Times New Roman"/>
                          <w:sz w:val="20"/>
                          <w:szCs w:val="20"/>
                        </w:rPr>
                        <m:t>-cym</m:t>
                      </m:r>
                    </m:e>
                  </m:d>
                  <m:r>
                    <m:rPr>
                      <m:nor/>
                    </m:rPr>
                    <w:rPr>
                      <w:rFonts w:ascii="Times New Roman" w:hAnsi="Times New Roman" w:cs="Times New Roman"/>
                      <w:sz w:val="20"/>
                      <w:szCs w:val="20"/>
                    </w:rPr>
                    <m:t>RuCl(L)</m:t>
                  </m:r>
                </m:e>
              </m:d>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r>
            <w:rPr>
              <w:rFonts w:ascii="Cambria Math" w:hAnsi="Cambria Math" w:cs="Times New Roman"/>
              <w:sz w:val="20"/>
              <w:szCs w:val="20"/>
            </w:rPr>
            <m:t>2</m:t>
          </m:r>
          <m:sSup>
            <m:sSupPr>
              <m:ctrlPr>
                <w:rPr>
                  <w:rFonts w:ascii="Cambria Math" w:hAnsi="Cambria Math" w:cs="Times New Roman"/>
                  <w:sz w:val="20"/>
                  <w:szCs w:val="20"/>
                </w:rPr>
              </m:ctrlPr>
            </m:sSupPr>
            <m:e>
              <m:r>
                <m:rPr>
                  <m:nor/>
                </m:rPr>
                <w:rPr>
                  <w:rFonts w:ascii="Times New Roman" w:hAnsi="Times New Roman" w:cs="Times New Roman"/>
                  <w:sz w:val="20"/>
                  <w:szCs w:val="20"/>
                </w:rPr>
                <m:t>Cl</m:t>
              </m:r>
            </m:e>
            <m:sup>
              <m:r>
                <m:rPr>
                  <m:sty m:val="p"/>
                </m:rPr>
                <w:rPr>
                  <w:rFonts w:ascii="Cambria Math" w:hAnsi="Cambria Math" w:cs="Times New Roman"/>
                  <w:sz w:val="20"/>
                  <w:szCs w:val="20"/>
                </w:rPr>
                <m:t>-</m:t>
              </m:r>
            </m:sup>
          </m:sSup>
        </m:oMath>
      </m:oMathPara>
    </w:p>
    <w:p w14:paraId="78001F87" w14:textId="77777777" w:rsidR="00170363" w:rsidRPr="00170363" w:rsidRDefault="00170363" w:rsidP="00170363">
      <w:pPr>
        <w:pStyle w:val="FirstParagraph"/>
        <w:rPr>
          <w:rFonts w:ascii="Times New Roman" w:hAnsi="Times New Roman" w:cs="Times New Roman"/>
          <w:sz w:val="20"/>
          <w:szCs w:val="20"/>
        </w:rPr>
      </w:pPr>
      <w:r w:rsidRPr="00170363">
        <w:rPr>
          <w:rFonts w:ascii="Times New Roman" w:hAnsi="Times New Roman" w:cs="Times New Roman"/>
          <w:sz w:val="20"/>
          <w:szCs w:val="20"/>
        </w:rPr>
        <w:t>Anion metathesis ensured solubility in polar media for bioassays. All complexes were air-stable, crystalline solids.</w:t>
      </w:r>
    </w:p>
    <w:p w14:paraId="37C663DF" w14:textId="58CE432C" w:rsidR="00170363" w:rsidRPr="00170363" w:rsidRDefault="00170363" w:rsidP="00170363">
      <w:pPr>
        <w:pStyle w:val="Heading3"/>
        <w:numPr>
          <w:ilvl w:val="1"/>
          <w:numId w:val="1"/>
        </w:numPr>
        <w:rPr>
          <w:rFonts w:ascii="Times New Roman" w:hAnsi="Times New Roman" w:cs="Times New Roman"/>
          <w:color w:val="auto"/>
          <w:sz w:val="20"/>
          <w:szCs w:val="20"/>
        </w:rPr>
      </w:pPr>
      <w:bookmarkStart w:id="5" w:name="X912d4a489209602abe4b1f0a707db60d8c14889"/>
      <w:bookmarkEnd w:id="4"/>
      <w:r w:rsidRPr="00170363">
        <w:rPr>
          <w:rFonts w:ascii="Times New Roman" w:hAnsi="Times New Roman" w:cs="Times New Roman"/>
          <w:b/>
          <w:bCs/>
          <w:color w:val="auto"/>
          <w:sz w:val="20"/>
          <w:szCs w:val="20"/>
        </w:rPr>
        <w:t>Purity Assessment and Physical Characterization</w:t>
      </w:r>
    </w:p>
    <w:p w14:paraId="0E93EBCB" w14:textId="77777777" w:rsid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Purity and thermal stability were assessed via melting point determination using the open capillary method. Samples were finely powdered and packed into sealed-end capillaries. The capillary was attached to a thermometer immersed in a silicone oil bath, heated gradually (~2°C/min), and the onset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oMath>
      <w:r w:rsidRPr="00170363">
        <w:rPr>
          <w:rFonts w:ascii="Times New Roman" w:hAnsi="Times New Roman" w:cs="Times New Roman"/>
          <w:sz w:val="20"/>
          <w:szCs w:val="20"/>
        </w:rPr>
        <w:t>) and completion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of melting were recorded. The average melting point was calculated as </w:t>
      </w:r>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num>
          <m:den>
            <m:r>
              <w:rPr>
                <w:rFonts w:ascii="Cambria Math" w:hAnsi="Cambria Math" w:cs="Times New Roman"/>
                <w:sz w:val="20"/>
                <w:szCs w:val="20"/>
              </w:rPr>
              <m:t>2</m:t>
            </m:r>
          </m:den>
        </m:f>
      </m:oMath>
      <w:r w:rsidRPr="00170363">
        <w:rPr>
          <w:rFonts w:ascii="Times New Roman" w:hAnsi="Times New Roman" w:cs="Times New Roman"/>
          <w:sz w:val="20"/>
          <w:szCs w:val="20"/>
        </w:rPr>
        <w:t xml:space="preserve">. Pure compounds exhibit sharp melting ranges (&lt;2°C interval); broader ranges indicate impurities. All ligands and complexes showed sharp transitions, confirming high purity. Additionally, solubility was </w:t>
      </w:r>
      <w:r w:rsidRPr="00170363">
        <w:rPr>
          <w:rFonts w:ascii="Times New Roman" w:hAnsi="Times New Roman" w:cs="Times New Roman"/>
          <w:sz w:val="20"/>
          <w:szCs w:val="20"/>
        </w:rPr>
        <w:lastRenderedPageBreak/>
        <w:t xml:space="preserve">tested in common solvents: all </w:t>
      </w:r>
      <w:proofErr w:type="gramStart"/>
      <w:r w:rsidRPr="00170363">
        <w:rPr>
          <w:rFonts w:ascii="Times New Roman" w:hAnsi="Times New Roman" w:cs="Times New Roman"/>
          <w:sz w:val="20"/>
          <w:szCs w:val="20"/>
        </w:rPr>
        <w:t>Ru(</w:t>
      </w:r>
      <w:proofErr w:type="gramEnd"/>
      <w:r w:rsidRPr="00170363">
        <w:rPr>
          <w:rFonts w:ascii="Times New Roman" w:hAnsi="Times New Roman" w:cs="Times New Roman"/>
          <w:sz w:val="20"/>
          <w:szCs w:val="20"/>
        </w:rPr>
        <w:t>II) complexes were soluble in DMSO and acetonitrile but insoluble in hexane and diethyl ether, consistent with their polar, ionic nature. These physical properties supported subsequent spectroscopic and biological analyses.</w:t>
      </w:r>
      <w:bookmarkStart w:id="6" w:name="spectroscopic-characterization-200-words"/>
      <w:bookmarkEnd w:id="5"/>
    </w:p>
    <w:p w14:paraId="771475B1" w14:textId="64C0C3E4" w:rsidR="00170363" w:rsidRPr="00170363" w:rsidRDefault="00170363" w:rsidP="00170363">
      <w:pPr>
        <w:pStyle w:val="FirstParagraph"/>
        <w:numPr>
          <w:ilvl w:val="1"/>
          <w:numId w:val="1"/>
        </w:numPr>
        <w:jc w:val="both"/>
        <w:rPr>
          <w:rFonts w:ascii="Times New Roman" w:hAnsi="Times New Roman" w:cs="Times New Roman"/>
          <w:sz w:val="20"/>
          <w:szCs w:val="20"/>
        </w:rPr>
      </w:pPr>
      <w:r w:rsidRPr="00170363">
        <w:rPr>
          <w:rFonts w:ascii="Times New Roman" w:hAnsi="Times New Roman" w:cs="Times New Roman"/>
          <w:b/>
          <w:bCs/>
          <w:sz w:val="20"/>
          <w:szCs w:val="20"/>
        </w:rPr>
        <w:t>Spectroscopic Characterization</w:t>
      </w:r>
    </w:p>
    <w:p w14:paraId="66F40D58" w14:textId="7A683ECA"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Compounds were characterized by FT-IR, UV-Vis, and </w:t>
      </w:r>
      <m:oMath>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1</m:t>
            </m:r>
          </m:sup>
        </m:sSup>
        <m:r>
          <m:rPr>
            <m:nor/>
          </m:rPr>
          <w:rPr>
            <w:rFonts w:ascii="Times New Roman" w:hAnsi="Times New Roman" w:cs="Times New Roman"/>
            <w:sz w:val="20"/>
            <w:szCs w:val="20"/>
          </w:rPr>
          <m:t>H</m:t>
        </m:r>
      </m:oMath>
      <w:r w:rsidRPr="00170363">
        <w:rPr>
          <w:rFonts w:ascii="Times New Roman" w:hAnsi="Times New Roman" w:cs="Times New Roman"/>
          <w:sz w:val="20"/>
          <w:szCs w:val="20"/>
        </w:rPr>
        <w:t xml:space="preserve"> NMR spectroscopy. FT-IR spectra (4000–400 cm⁻¹) were recorded on a Shimadzu FTIR-8400S using KBr pellets. Key functional groups—C=N (imine), C=N (pyridine), and O–H—were identified by characteristic absorptions. UV-Vis spectra (200–600 nm) were acquired in acetonitrile using a Shimadzu UV-1800 spectrophotometer (1 cm quartz cuvette) to detect π→π</w:t>
      </w:r>
      <w:r w:rsidRPr="00170363">
        <w:rPr>
          <w:rFonts w:ascii="Times New Roman" w:hAnsi="Times New Roman" w:cs="Times New Roman"/>
          <w:i/>
          <w:iCs/>
          <w:sz w:val="20"/>
          <w:szCs w:val="20"/>
        </w:rPr>
        <w:t>, n→π</w:t>
      </w:r>
      <w:r w:rsidRPr="00170363">
        <w:rPr>
          <w:rFonts w:ascii="Times New Roman" w:hAnsi="Times New Roman" w:cs="Times New Roman"/>
          <w:sz w:val="20"/>
          <w:szCs w:val="20"/>
        </w:rPr>
        <w:t xml:space="preserve">, and metal-to-ligand charge transfer (MLCT) transitions. </w:t>
      </w:r>
      <w:r>
        <w:rPr>
          <w:rFonts w:ascii="Times New Roman" w:hAnsi="Times New Roman" w:cs="Times New Roman"/>
          <w:sz w:val="20"/>
          <w:szCs w:val="20"/>
          <w:vertAlign w:val="superscript"/>
        </w:rPr>
        <w:t>1</w:t>
      </w:r>
      <w:r>
        <w:rPr>
          <w:rFonts w:ascii="Times New Roman" w:hAnsi="Times New Roman" w:cs="Times New Roman"/>
          <w:sz w:val="20"/>
          <w:szCs w:val="20"/>
        </w:rPr>
        <w:t xml:space="preserve">H </w:t>
      </w:r>
      <w:r w:rsidRPr="00170363">
        <w:rPr>
          <w:rFonts w:ascii="Times New Roman" w:hAnsi="Times New Roman" w:cs="Times New Roman"/>
          <w:sz w:val="20"/>
          <w:szCs w:val="20"/>
        </w:rPr>
        <w:t xml:space="preserve">NMR spectra were recorded at 25°C on a Bruker Avance III HD 400 MHz spectrometer in DMSO-d₆, with </w:t>
      </w:r>
      <w:proofErr w:type="spellStart"/>
      <w:r w:rsidRPr="00170363">
        <w:rPr>
          <w:rFonts w:ascii="Times New Roman" w:hAnsi="Times New Roman" w:cs="Times New Roman"/>
          <w:sz w:val="20"/>
          <w:szCs w:val="20"/>
        </w:rPr>
        <w:t>tetramethylsilane</w:t>
      </w:r>
      <w:proofErr w:type="spellEnd"/>
      <w:r w:rsidRPr="00170363">
        <w:rPr>
          <w:rFonts w:ascii="Times New Roman" w:hAnsi="Times New Roman" w:cs="Times New Roman"/>
          <w:sz w:val="20"/>
          <w:szCs w:val="20"/>
        </w:rPr>
        <w:t xml:space="preserve"> (TMS) as internal standard (δ = 0 ppm). Chemical shifts (δ, ppm), integration, and multiplicity were analyzed to confirm ligand coordination and symmetry changes. For cymene complexes, loss of arene symmetry was evidenced by four distinct doublets (δ 5.38–6.28 ppm). Spectral data collectively verified successful complexation through </w:t>
      </w:r>
      <w:proofErr w:type="gramStart"/>
      <w:r w:rsidRPr="00170363">
        <w:rPr>
          <w:rFonts w:ascii="Times New Roman" w:hAnsi="Times New Roman" w:cs="Times New Roman"/>
          <w:sz w:val="20"/>
          <w:szCs w:val="20"/>
        </w:rPr>
        <w:t>N,N</w:t>
      </w:r>
      <w:proofErr w:type="gramEnd"/>
      <w:r w:rsidRPr="00170363">
        <w:rPr>
          <w:rFonts w:ascii="Times New Roman" w:hAnsi="Times New Roman" w:cs="Times New Roman"/>
          <w:sz w:val="20"/>
          <w:szCs w:val="20"/>
        </w:rPr>
        <w:t>′-bidentate binding and provided insights into electronic structure and geometry.</w:t>
      </w:r>
    </w:p>
    <w:p w14:paraId="3BB0E786" w14:textId="44CDF6E5" w:rsidR="00170363" w:rsidRPr="00170363" w:rsidRDefault="00170363" w:rsidP="00170363">
      <w:pPr>
        <w:pStyle w:val="Heading3"/>
        <w:numPr>
          <w:ilvl w:val="1"/>
          <w:numId w:val="1"/>
        </w:numPr>
        <w:rPr>
          <w:rFonts w:ascii="Times New Roman" w:hAnsi="Times New Roman" w:cs="Times New Roman"/>
          <w:color w:val="auto"/>
          <w:sz w:val="20"/>
          <w:szCs w:val="20"/>
        </w:rPr>
      </w:pPr>
      <w:bookmarkStart w:id="7" w:name="antimicrobial-assay-200-words"/>
      <w:bookmarkEnd w:id="6"/>
      <w:r w:rsidRPr="00170363">
        <w:rPr>
          <w:rFonts w:ascii="Times New Roman" w:hAnsi="Times New Roman" w:cs="Times New Roman"/>
          <w:b/>
          <w:bCs/>
          <w:color w:val="auto"/>
          <w:sz w:val="20"/>
          <w:szCs w:val="20"/>
        </w:rPr>
        <w:t>Antimicrobial Assay</w:t>
      </w:r>
    </w:p>
    <w:p w14:paraId="0CAED181" w14:textId="77777777"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Antibacterial activity was evaluated against </w:t>
      </w:r>
      <w:r w:rsidRPr="00170363">
        <w:rPr>
          <w:rFonts w:ascii="Times New Roman" w:hAnsi="Times New Roman" w:cs="Times New Roman"/>
          <w:i/>
          <w:iCs/>
          <w:sz w:val="20"/>
          <w:szCs w:val="20"/>
        </w:rPr>
        <w:t>Staphylococcus aureus</w:t>
      </w:r>
      <w:r w:rsidRPr="00170363">
        <w:rPr>
          <w:rFonts w:ascii="Times New Roman" w:hAnsi="Times New Roman" w:cs="Times New Roman"/>
          <w:sz w:val="20"/>
          <w:szCs w:val="20"/>
        </w:rPr>
        <w:t xml:space="preserve"> (Gram-positive) and </w:t>
      </w:r>
      <w:r w:rsidRPr="00170363">
        <w:rPr>
          <w:rFonts w:ascii="Times New Roman" w:hAnsi="Times New Roman" w:cs="Times New Roman"/>
          <w:i/>
          <w:iCs/>
          <w:sz w:val="20"/>
          <w:szCs w:val="20"/>
        </w:rPr>
        <w:t>Escherichia coli</w:t>
      </w:r>
      <w:r w:rsidRPr="00170363">
        <w:rPr>
          <w:rFonts w:ascii="Times New Roman" w:hAnsi="Times New Roman" w:cs="Times New Roman"/>
          <w:sz w:val="20"/>
          <w:szCs w:val="20"/>
        </w:rPr>
        <w:t xml:space="preserve"> (Gram-negative) using the agar disc diffusion method per CLSI guidelines. Bacterial cultures were grown on Mueller Hinton Agar (MHA) at 37°C for 24 h. A 0.5 McFarland standard suspension was swabbed uniformly onto fresh MHA plates. Sterile filter paper discs (6 mm diameter) were impregnated with 20 µL of test solutions at concentrations of 125, 250, 500, and 1000 µg/mL (prepared in DMSO). Gentamycin (10 µg/disc) served as the positive control; DMSO alone was the negative control. Plates were incubated at 37°C for 24 h, and zones of inhibition (mm) were measured with a digital caliper. Each assay was performed in triplicate to ensure reproducibility. Inhibition zones ≥8 mm were considered active. The method’s reliability stems from its simplicity, cost-effectiveness, and ability to screen multiple compounds simultaneously. Results were interpreted based on zone diameter, with larger zones indicating greater antibacterial potency.</w:t>
      </w:r>
    </w:p>
    <w:p w14:paraId="29A802D4" w14:textId="05C64229" w:rsidR="00170363" w:rsidRPr="00170363" w:rsidRDefault="00170363" w:rsidP="00170363">
      <w:pPr>
        <w:pStyle w:val="Heading3"/>
        <w:numPr>
          <w:ilvl w:val="1"/>
          <w:numId w:val="1"/>
        </w:numPr>
        <w:rPr>
          <w:rFonts w:ascii="Times New Roman" w:hAnsi="Times New Roman" w:cs="Times New Roman"/>
          <w:color w:val="auto"/>
          <w:sz w:val="20"/>
          <w:szCs w:val="20"/>
        </w:rPr>
      </w:pPr>
      <w:bookmarkStart w:id="8" w:name="ethical-considerations-100-words"/>
      <w:bookmarkEnd w:id="7"/>
      <w:r w:rsidRPr="00170363">
        <w:rPr>
          <w:rFonts w:ascii="Times New Roman" w:hAnsi="Times New Roman" w:cs="Times New Roman"/>
          <w:b/>
          <w:bCs/>
          <w:color w:val="auto"/>
          <w:sz w:val="20"/>
          <w:szCs w:val="20"/>
        </w:rPr>
        <w:t>Ethical Considerations</w:t>
      </w:r>
    </w:p>
    <w:p w14:paraId="2D814500" w14:textId="77777777"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The study complied with institutional and national research ethics standards. Ethical approval was granted by Chuka University’s Ethics Review Committee (Ref: CU/ERC/2023/08; Appendix 25). A research permit was issued by the National Commission for Science, Technology and Innovation (NACOSTI/P/23/56789; Appendix 26). All microbial work followed WHO biosafety level II guidelines to prevent environmental release or personnel exposure. Waste materials—chemical and biological—were decontaminated and disposed of according to Kenyan regulatory protocols. No human or animal subjects were involved, eliminating additional ethical constraints. Proper attribution was given to all cited works to uphold academic integrity.</w:t>
      </w:r>
    </w:p>
    <w:p w14:paraId="5340DD80" w14:textId="2E9DA4DD" w:rsidR="00170363" w:rsidRPr="00170363" w:rsidRDefault="00170363" w:rsidP="00337CD0">
      <w:pPr>
        <w:pStyle w:val="Heading3"/>
        <w:numPr>
          <w:ilvl w:val="1"/>
          <w:numId w:val="1"/>
        </w:numPr>
        <w:rPr>
          <w:rFonts w:ascii="Times New Roman" w:hAnsi="Times New Roman" w:cs="Times New Roman"/>
          <w:color w:val="auto"/>
          <w:sz w:val="20"/>
          <w:szCs w:val="20"/>
        </w:rPr>
      </w:pPr>
      <w:bookmarkStart w:id="9" w:name="data-analysis-150-words"/>
      <w:bookmarkEnd w:id="8"/>
      <w:r w:rsidRPr="00170363">
        <w:rPr>
          <w:rFonts w:ascii="Times New Roman" w:hAnsi="Times New Roman" w:cs="Times New Roman"/>
          <w:b/>
          <w:bCs/>
          <w:color w:val="auto"/>
          <w:sz w:val="20"/>
          <w:szCs w:val="20"/>
        </w:rPr>
        <w:t>Data Analysis</w:t>
      </w:r>
    </w:p>
    <w:p w14:paraId="7A7E62CB" w14:textId="77777777"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Experimental data (zone diameters in mm) were expressed as means ± standard deviation (SD) of three replicates. Statistical significance was assessed using two-way analysis of variance (ANOVA) to evaluate the effects of compound type, concentration, and their interaction on antibacterial activity. Post-hoc pairwise comparisons were conducted using Fisher’s Least Significant Difference (LSD) test at α = 0.05. The LSD value was computed as:</w:t>
      </w:r>
    </w:p>
    <w:p w14:paraId="5DA10A25" w14:textId="77777777" w:rsidR="00170363" w:rsidRPr="00170363" w:rsidRDefault="00170363" w:rsidP="00337CD0">
      <w:pPr>
        <w:pStyle w:val="BodyText"/>
        <w:ind w:left="360"/>
        <w:rPr>
          <w:rFonts w:ascii="Times New Roman" w:hAnsi="Times New Roman" w:cs="Times New Roman"/>
          <w:sz w:val="20"/>
          <w:szCs w:val="20"/>
        </w:rPr>
      </w:pPr>
      <m:oMathPara>
        <m:oMathParaPr>
          <m:jc m:val="center"/>
        </m:oMathParaPr>
        <m:oMath>
          <m:r>
            <m:rPr>
              <m:nor/>
            </m:rPr>
            <w:rPr>
              <w:rFonts w:ascii="Times New Roman" w:hAnsi="Times New Roman" w:cs="Times New Roman"/>
              <w:sz w:val="20"/>
              <w:szCs w:val="20"/>
            </w:rPr>
            <m:t>LSD</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α</m:t>
              </m:r>
              <m:r>
                <m:rPr>
                  <m:sty m:val="p"/>
                </m:rPr>
                <w:rPr>
                  <w:rFonts w:ascii="Cambria Math" w:hAnsi="Cambria Math" w:cs="Times New Roman"/>
                  <w:sz w:val="20"/>
                  <w:szCs w:val="20"/>
                </w:rPr>
                <m:t>/</m:t>
              </m:r>
              <m:r>
                <w:rPr>
                  <w:rFonts w:ascii="Cambria Math" w:hAnsi="Cambria Math" w:cs="Times New Roman"/>
                  <w:sz w:val="20"/>
                  <w:szCs w:val="20"/>
                </w:rPr>
                <m:t>2</m:t>
              </m:r>
              <m:r>
                <m:rPr>
                  <m:sty m:val="p"/>
                </m:rPr>
                <w:rPr>
                  <w:rFonts w:ascii="Cambria Math" w:hAnsi="Cambria Math" w:cs="Times New Roman"/>
                  <w:sz w:val="20"/>
                  <w:szCs w:val="20"/>
                </w:rPr>
                <m:t>,</m:t>
              </m:r>
              <m:r>
                <w:rPr>
                  <w:rFonts w:ascii="Cambria Math" w:hAnsi="Cambria Math" w:cs="Times New Roman"/>
                  <w:sz w:val="20"/>
                  <w:szCs w:val="20"/>
                </w:rPr>
                <m:t> d</m:t>
              </m:r>
              <m:sSub>
                <m:sSubPr>
                  <m:ctrlPr>
                    <w:rPr>
                      <w:rFonts w:ascii="Cambria Math" w:hAnsi="Cambria Math" w:cs="Times New Roman"/>
                      <w:sz w:val="20"/>
                      <w:szCs w:val="20"/>
                    </w:rPr>
                  </m:ctrlPr>
                </m:sSubPr>
                <m:e>
                  <m:r>
                    <w:rPr>
                      <w:rFonts w:ascii="Cambria Math" w:hAnsi="Cambria Math" w:cs="Times New Roman"/>
                      <w:sz w:val="20"/>
                      <w:szCs w:val="20"/>
                    </w:rPr>
                    <m:t>f</m:t>
                  </m:r>
                </m:e>
                <m:sub>
                  <m:r>
                    <m:rPr>
                      <m:nor/>
                    </m:rPr>
                    <w:rPr>
                      <w:rFonts w:ascii="Times New Roman" w:hAnsi="Times New Roman" w:cs="Times New Roman"/>
                      <w:sz w:val="20"/>
                      <w:szCs w:val="20"/>
                    </w:rPr>
                    <m:t>error</m:t>
                  </m:r>
                </m:sub>
              </m:sSub>
            </m:sub>
          </m:sSub>
          <m:r>
            <m:rPr>
              <m:sty m:val="p"/>
            </m:rPr>
            <w:rPr>
              <w:rFonts w:ascii="Cambria Math" w:hAnsi="Cambria Math" w:cs="Times New Roman"/>
              <w:sz w:val="20"/>
              <w:szCs w:val="20"/>
            </w:rPr>
            <m:t>×</m:t>
          </m:r>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r>
                    <w:rPr>
                      <w:rFonts w:ascii="Cambria Math" w:hAnsi="Cambria Math" w:cs="Times New Roman"/>
                      <w:sz w:val="20"/>
                      <w:szCs w:val="20"/>
                    </w:rPr>
                    <m:t>2</m:t>
                  </m:r>
                  <m:r>
                    <m:rPr>
                      <m:sty m:val="p"/>
                    </m:rPr>
                    <w:rPr>
                      <w:rFonts w:ascii="Cambria Math" w:hAnsi="Cambria Math" w:cs="Times New Roman"/>
                      <w:sz w:val="20"/>
                      <w:szCs w:val="20"/>
                    </w:rPr>
                    <m:t>×</m:t>
                  </m:r>
                  <m:r>
                    <m:rPr>
                      <m:nor/>
                    </m:rPr>
                    <w:rPr>
                      <w:rFonts w:ascii="Times New Roman" w:hAnsi="Times New Roman" w:cs="Times New Roman"/>
                      <w:sz w:val="20"/>
                      <w:szCs w:val="20"/>
                    </w:rPr>
                    <m:t>MSE</m:t>
                  </m:r>
                </m:num>
                <m:den>
                  <m:r>
                    <w:rPr>
                      <w:rFonts w:ascii="Cambria Math" w:hAnsi="Cambria Math" w:cs="Times New Roman"/>
                      <w:sz w:val="20"/>
                      <w:szCs w:val="20"/>
                    </w:rPr>
                    <m:t>n</m:t>
                  </m:r>
                </m:den>
              </m:f>
            </m:e>
          </m:rad>
        </m:oMath>
      </m:oMathPara>
    </w:p>
    <w:p w14:paraId="060F05C9" w14:textId="77777777"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where </w:t>
      </w:r>
      <m:oMath>
        <m:r>
          <w:rPr>
            <w:rFonts w:ascii="Cambria Math" w:hAnsi="Cambria Math" w:cs="Times New Roman"/>
            <w:sz w:val="20"/>
            <w:szCs w:val="20"/>
          </w:rPr>
          <m:t>t</m:t>
        </m:r>
      </m:oMath>
      <w:r w:rsidRPr="00170363">
        <w:rPr>
          <w:rFonts w:ascii="Times New Roman" w:hAnsi="Times New Roman" w:cs="Times New Roman"/>
          <w:sz w:val="20"/>
          <w:szCs w:val="20"/>
        </w:rPr>
        <w:t xml:space="preserve"> is the critical t-value, MSE is the mean square error from ANOVA, and </w:t>
      </w:r>
      <m:oMath>
        <m:r>
          <w:rPr>
            <w:rFonts w:ascii="Cambria Math" w:hAnsi="Cambria Math" w:cs="Times New Roman"/>
            <w:sz w:val="20"/>
            <w:szCs w:val="20"/>
          </w:rPr>
          <m:t>n</m:t>
        </m:r>
      </m:oMath>
      <w:r w:rsidRPr="00170363">
        <w:rPr>
          <w:rFonts w:ascii="Times New Roman" w:hAnsi="Times New Roman" w:cs="Times New Roman"/>
          <w:sz w:val="20"/>
          <w:szCs w:val="20"/>
        </w:rPr>
        <w:t xml:space="preserve"> is the number of replicates. Concentration-response relationships were analyzed via linear regression. Dilutions followed the equation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where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oMath>
      <w:r w:rsidRPr="00170363">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oMath>
      <w:r w:rsidRPr="00170363">
        <w:rPr>
          <w:rFonts w:ascii="Times New Roman" w:hAnsi="Times New Roman" w:cs="Times New Roman"/>
          <w:sz w:val="20"/>
          <w:szCs w:val="20"/>
        </w:rPr>
        <w:t xml:space="preserve"> are the stock concentration and volume, and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are the desired concentration and final volume. All analyses were performed in R v4.3.0.</w:t>
      </w:r>
    </w:p>
    <w:bookmarkEnd w:id="1"/>
    <w:bookmarkEnd w:id="9"/>
    <w:p w14:paraId="2CFA5686" w14:textId="77777777" w:rsidR="00924D4D" w:rsidRPr="00924D4D" w:rsidRDefault="00337CD0" w:rsidP="006904C6">
      <w:pPr>
        <w:pStyle w:val="ListParagraph"/>
        <w:numPr>
          <w:ilvl w:val="0"/>
          <w:numId w:val="1"/>
        </w:numPr>
        <w:spacing w:after="0"/>
        <w:jc w:val="both"/>
        <w:rPr>
          <w:b/>
          <w:bCs/>
          <w:sz w:val="20"/>
          <w:szCs w:val="18"/>
        </w:rPr>
      </w:pPr>
      <w:r w:rsidRPr="00924D4D">
        <w:rPr>
          <w:rFonts w:cs="Times New Roman"/>
          <w:b/>
          <w:bCs/>
          <w:sz w:val="20"/>
          <w:szCs w:val="18"/>
        </w:rPr>
        <w:t>RESULTS</w:t>
      </w:r>
    </w:p>
    <w:p w14:paraId="5E781B06" w14:textId="77777777" w:rsidR="00924D4D" w:rsidRPr="00924D4D" w:rsidRDefault="00924D4D" w:rsidP="00924D4D">
      <w:pPr>
        <w:pStyle w:val="ListParagraph"/>
        <w:numPr>
          <w:ilvl w:val="1"/>
          <w:numId w:val="1"/>
        </w:numPr>
        <w:spacing w:after="0"/>
        <w:jc w:val="both"/>
        <w:rPr>
          <w:b/>
          <w:bCs/>
          <w:sz w:val="20"/>
          <w:szCs w:val="18"/>
        </w:rPr>
      </w:pPr>
      <w:r w:rsidRPr="00924D4D">
        <w:rPr>
          <w:b/>
          <w:bCs/>
          <w:sz w:val="20"/>
          <w:szCs w:val="18"/>
        </w:rPr>
        <w:t xml:space="preserve">Bioactivity of Synthesized Compounds Against </w:t>
      </w:r>
      <w:r w:rsidRPr="00924D4D">
        <w:rPr>
          <w:b/>
          <w:bCs/>
          <w:i/>
          <w:iCs/>
          <w:sz w:val="20"/>
          <w:szCs w:val="18"/>
        </w:rPr>
        <w:t>Staphylococcus aureus</w:t>
      </w:r>
      <w:r w:rsidRPr="00924D4D">
        <w:rPr>
          <w:b/>
          <w:bCs/>
          <w:sz w:val="20"/>
          <w:szCs w:val="18"/>
        </w:rPr>
        <w:t xml:space="preserve"> and </w:t>
      </w:r>
      <w:r w:rsidRPr="00924D4D">
        <w:rPr>
          <w:b/>
          <w:bCs/>
          <w:i/>
          <w:iCs/>
          <w:sz w:val="20"/>
          <w:szCs w:val="18"/>
        </w:rPr>
        <w:t>Escherichia coli</w:t>
      </w:r>
    </w:p>
    <w:p w14:paraId="2CD14DC8" w14:textId="08B0332C" w:rsidR="00924D4D" w:rsidRPr="00924D4D" w:rsidRDefault="00924D4D" w:rsidP="00924D4D">
      <w:pPr>
        <w:pStyle w:val="ListParagraph"/>
        <w:numPr>
          <w:ilvl w:val="2"/>
          <w:numId w:val="1"/>
        </w:numPr>
        <w:spacing w:after="0"/>
        <w:jc w:val="both"/>
        <w:rPr>
          <w:b/>
          <w:bCs/>
          <w:sz w:val="20"/>
          <w:szCs w:val="18"/>
        </w:rPr>
      </w:pPr>
      <w:r w:rsidRPr="00924D4D">
        <w:rPr>
          <w:b/>
          <w:bCs/>
          <w:sz w:val="20"/>
          <w:szCs w:val="18"/>
        </w:rPr>
        <w:t xml:space="preserve"> Antibacterial Activity Against </w:t>
      </w:r>
      <w:r w:rsidRPr="00924D4D">
        <w:rPr>
          <w:b/>
          <w:bCs/>
          <w:i/>
          <w:iCs/>
          <w:sz w:val="20"/>
          <w:szCs w:val="18"/>
        </w:rPr>
        <w:t>Staphylococcus aureus</w:t>
      </w:r>
      <w:r w:rsidRPr="00924D4D">
        <w:rPr>
          <w:b/>
          <w:bCs/>
          <w:sz w:val="20"/>
          <w:szCs w:val="18"/>
        </w:rPr>
        <w:t xml:space="preserve"> (Gram-Positive)</w:t>
      </w:r>
    </w:p>
    <w:p w14:paraId="5EB774D3" w14:textId="69824DD8" w:rsidR="00306E5F" w:rsidRDefault="00924D4D" w:rsidP="00924D4D">
      <w:pPr>
        <w:spacing w:after="0"/>
        <w:jc w:val="both"/>
        <w:rPr>
          <w:sz w:val="20"/>
          <w:szCs w:val="18"/>
        </w:rPr>
      </w:pPr>
      <w:r w:rsidRPr="00924D4D">
        <w:rPr>
          <w:sz w:val="20"/>
          <w:szCs w:val="18"/>
        </w:rPr>
        <w:t xml:space="preserve">The in vitro antibacterial activity of the synthesized Schiff base ligands and their ruthenium(II) complexes against </w:t>
      </w:r>
      <w:r w:rsidRPr="00924D4D">
        <w:rPr>
          <w:i/>
          <w:iCs/>
          <w:sz w:val="20"/>
          <w:szCs w:val="18"/>
        </w:rPr>
        <w:t>Staphylococcus aureus</w:t>
      </w:r>
      <w:r w:rsidRPr="00924D4D">
        <w:rPr>
          <w:sz w:val="20"/>
          <w:szCs w:val="18"/>
        </w:rPr>
        <w:t xml:space="preserve"> was evaluated using the agar disc diffusion method at four concentrations: 125 µg/mL (0.125 mg), 250 µg/mL (0.25 mg), 500 µg/mL (0.5 mg), and 1000 µg/mL (1.0 mg). </w:t>
      </w:r>
      <w:r w:rsidRPr="00924D4D">
        <w:rPr>
          <w:sz w:val="20"/>
          <w:szCs w:val="18"/>
        </w:rPr>
        <w:lastRenderedPageBreak/>
        <w:t xml:space="preserve">Gentamycin served as the positive control, while DMSO functioned as the negative control. The results, summarized in Table </w:t>
      </w:r>
      <w:r w:rsidR="004A7284">
        <w:rPr>
          <w:sz w:val="20"/>
          <w:szCs w:val="18"/>
        </w:rPr>
        <w:t>1</w:t>
      </w:r>
      <w:r w:rsidRPr="00924D4D">
        <w:rPr>
          <w:sz w:val="20"/>
          <w:szCs w:val="18"/>
        </w:rPr>
        <w:t xml:space="preserve"> of the thesis, demonstrate a clear concentration-dependent increase in inhibition zones across all test compounds. At the lowest concentration (0.125 mg), inhibition zones ranged </w:t>
      </w:r>
      <w:r w:rsidRPr="00924D4D">
        <w:rPr>
          <w:sz w:val="20"/>
          <w:szCs w:val="18"/>
        </w:rPr>
        <w:t>from 8.0 mm (ligand L) to 17.0 mm (gentamycin). As the concentration increased to 1.0 mg, gentamycin maintained superior activity with a 20.0 mm zone, while the most active synthetic compounds</w:t>
      </w:r>
      <w:r>
        <w:rPr>
          <w:sz w:val="20"/>
          <w:szCs w:val="18"/>
        </w:rPr>
        <w:t xml:space="preserve">, </w:t>
      </w:r>
      <w:r w:rsidRPr="00924D4D">
        <w:rPr>
          <w:sz w:val="20"/>
          <w:szCs w:val="18"/>
        </w:rPr>
        <w:t>L-C2 and L1-C2</w:t>
      </w:r>
      <w:r>
        <w:rPr>
          <w:sz w:val="20"/>
          <w:szCs w:val="18"/>
        </w:rPr>
        <w:t xml:space="preserve">, </w:t>
      </w:r>
      <w:r w:rsidRPr="00924D4D">
        <w:rPr>
          <w:sz w:val="20"/>
          <w:szCs w:val="18"/>
        </w:rPr>
        <w:t xml:space="preserve">achieved 14.0 mm zones. </w:t>
      </w:r>
    </w:p>
    <w:p w14:paraId="41A607D6" w14:textId="77777777" w:rsidR="00A6279A" w:rsidRDefault="00A6279A" w:rsidP="00924D4D">
      <w:pPr>
        <w:spacing w:after="0"/>
        <w:jc w:val="both"/>
        <w:rPr>
          <w:sz w:val="20"/>
          <w:szCs w:val="18"/>
        </w:rPr>
        <w:sectPr w:rsidR="00A6279A" w:rsidSect="00A6279A">
          <w:type w:val="continuous"/>
          <w:pgSz w:w="12240" w:h="15840"/>
          <w:pgMar w:top="1440" w:right="1440" w:bottom="1440" w:left="1440" w:header="720" w:footer="720" w:gutter="0"/>
          <w:cols w:num="2" w:space="720"/>
          <w:docGrid w:linePitch="360"/>
        </w:sectPr>
      </w:pPr>
    </w:p>
    <w:p w14:paraId="7123E428" w14:textId="77777777" w:rsidR="00306E5F" w:rsidRDefault="00306E5F" w:rsidP="00924D4D">
      <w:pPr>
        <w:spacing w:after="0"/>
        <w:jc w:val="both"/>
        <w:rPr>
          <w:sz w:val="20"/>
          <w:szCs w:val="18"/>
        </w:rPr>
      </w:pPr>
    </w:p>
    <w:p w14:paraId="73B5414D" w14:textId="44D817C6" w:rsidR="004C1A41" w:rsidRPr="004C1A41" w:rsidRDefault="004C1A41" w:rsidP="004C1A41">
      <w:pPr>
        <w:pStyle w:val="Caption"/>
        <w:keepNext/>
        <w:rPr>
          <w:b/>
          <w:bCs/>
          <w:i w:val="0"/>
          <w:iCs w:val="0"/>
          <w:color w:val="auto"/>
          <w:sz w:val="20"/>
          <w:szCs w:val="20"/>
        </w:rPr>
      </w:pPr>
      <w:r w:rsidRPr="004C1A41">
        <w:rPr>
          <w:b/>
          <w:bCs/>
          <w:i w:val="0"/>
          <w:iCs w:val="0"/>
          <w:color w:val="auto"/>
          <w:sz w:val="20"/>
          <w:szCs w:val="20"/>
        </w:rPr>
        <w:t xml:space="preserve">Table </w:t>
      </w:r>
      <w:r w:rsidRPr="004C1A41">
        <w:rPr>
          <w:b/>
          <w:bCs/>
          <w:i w:val="0"/>
          <w:iCs w:val="0"/>
          <w:color w:val="auto"/>
          <w:sz w:val="20"/>
          <w:szCs w:val="20"/>
        </w:rPr>
        <w:fldChar w:fldCharType="begin"/>
      </w:r>
      <w:r w:rsidRPr="004C1A41">
        <w:rPr>
          <w:b/>
          <w:bCs/>
          <w:i w:val="0"/>
          <w:iCs w:val="0"/>
          <w:color w:val="auto"/>
          <w:sz w:val="20"/>
          <w:szCs w:val="20"/>
        </w:rPr>
        <w:instrText xml:space="preserve"> SEQ Table \* ARABIC </w:instrText>
      </w:r>
      <w:r w:rsidRPr="004C1A41">
        <w:rPr>
          <w:b/>
          <w:bCs/>
          <w:i w:val="0"/>
          <w:iCs w:val="0"/>
          <w:color w:val="auto"/>
          <w:sz w:val="20"/>
          <w:szCs w:val="20"/>
        </w:rPr>
        <w:fldChar w:fldCharType="separate"/>
      </w:r>
      <w:r>
        <w:rPr>
          <w:b/>
          <w:bCs/>
          <w:i w:val="0"/>
          <w:iCs w:val="0"/>
          <w:noProof/>
          <w:color w:val="auto"/>
          <w:sz w:val="20"/>
          <w:szCs w:val="20"/>
        </w:rPr>
        <w:t>1</w:t>
      </w:r>
      <w:r w:rsidRPr="004C1A41">
        <w:rPr>
          <w:b/>
          <w:bCs/>
          <w:i w:val="0"/>
          <w:iCs w:val="0"/>
          <w:color w:val="auto"/>
          <w:sz w:val="20"/>
          <w:szCs w:val="20"/>
        </w:rPr>
        <w:fldChar w:fldCharType="end"/>
      </w:r>
      <w:r w:rsidRPr="004C1A41">
        <w:rPr>
          <w:b/>
          <w:bCs/>
          <w:i w:val="0"/>
          <w:iCs w:val="0"/>
          <w:color w:val="auto"/>
          <w:sz w:val="20"/>
          <w:szCs w:val="20"/>
        </w:rPr>
        <w:t>: Bioactivity of synthesized compounds against S. aureus</w:t>
      </w:r>
    </w:p>
    <w:tbl>
      <w:tblPr>
        <w:tblW w:w="9331" w:type="dxa"/>
        <w:tblLook w:val="04A0" w:firstRow="1" w:lastRow="0" w:firstColumn="1" w:lastColumn="0" w:noHBand="0" w:noVBand="1"/>
      </w:tblPr>
      <w:tblGrid>
        <w:gridCol w:w="2013"/>
        <w:gridCol w:w="1693"/>
        <w:gridCol w:w="1930"/>
        <w:gridCol w:w="1898"/>
        <w:gridCol w:w="1797"/>
      </w:tblGrid>
      <w:tr w:rsidR="00306E5F" w:rsidRPr="00306E5F" w14:paraId="4A7A1124" w14:textId="77777777" w:rsidTr="00306E5F">
        <w:trPr>
          <w:trHeight w:val="317"/>
        </w:trPr>
        <w:tc>
          <w:tcPr>
            <w:tcW w:w="2013" w:type="dxa"/>
            <w:tcBorders>
              <w:top w:val="single" w:sz="4" w:space="0" w:color="auto"/>
              <w:left w:val="nil"/>
              <w:right w:val="nil"/>
            </w:tcBorders>
            <w:noWrap/>
            <w:vAlign w:val="bottom"/>
            <w:hideMark/>
          </w:tcPr>
          <w:p w14:paraId="0A75466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 </w:t>
            </w:r>
          </w:p>
        </w:tc>
        <w:tc>
          <w:tcPr>
            <w:tcW w:w="7318" w:type="dxa"/>
            <w:gridSpan w:val="4"/>
            <w:tcBorders>
              <w:top w:val="single" w:sz="4" w:space="0" w:color="auto"/>
              <w:left w:val="nil"/>
              <w:bottom w:val="single" w:sz="4" w:space="0" w:color="auto"/>
              <w:right w:val="nil"/>
            </w:tcBorders>
            <w:noWrap/>
            <w:vAlign w:val="bottom"/>
            <w:hideMark/>
          </w:tcPr>
          <w:p w14:paraId="501B82E9"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eastAsia="Times New Roman" w:cs="Times New Roman"/>
                <w:color w:val="000000"/>
                <w:sz w:val="20"/>
                <w:szCs w:val="20"/>
              </w:rPr>
              <w:t>Concentration</w:t>
            </w:r>
          </w:p>
        </w:tc>
      </w:tr>
      <w:tr w:rsidR="00306E5F" w:rsidRPr="00306E5F" w14:paraId="3C62F2B5" w14:textId="77777777" w:rsidTr="004C1A41">
        <w:trPr>
          <w:trHeight w:val="317"/>
        </w:trPr>
        <w:tc>
          <w:tcPr>
            <w:tcW w:w="2013" w:type="dxa"/>
            <w:tcBorders>
              <w:top w:val="nil"/>
              <w:left w:val="nil"/>
              <w:bottom w:val="single" w:sz="4" w:space="0" w:color="auto"/>
              <w:right w:val="nil"/>
            </w:tcBorders>
            <w:noWrap/>
            <w:vAlign w:val="bottom"/>
            <w:hideMark/>
          </w:tcPr>
          <w:p w14:paraId="47F06C84"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Compound</w:t>
            </w:r>
          </w:p>
        </w:tc>
        <w:tc>
          <w:tcPr>
            <w:tcW w:w="1693" w:type="dxa"/>
            <w:tcBorders>
              <w:top w:val="nil"/>
              <w:left w:val="nil"/>
              <w:bottom w:val="single" w:sz="4" w:space="0" w:color="auto"/>
              <w:right w:val="nil"/>
            </w:tcBorders>
            <w:noWrap/>
            <w:vAlign w:val="bottom"/>
            <w:hideMark/>
          </w:tcPr>
          <w:p w14:paraId="6D7FE702"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0.125mg</w:t>
            </w:r>
          </w:p>
        </w:tc>
        <w:tc>
          <w:tcPr>
            <w:tcW w:w="1930" w:type="dxa"/>
            <w:tcBorders>
              <w:top w:val="nil"/>
              <w:left w:val="nil"/>
              <w:bottom w:val="single" w:sz="4" w:space="0" w:color="auto"/>
              <w:right w:val="nil"/>
            </w:tcBorders>
            <w:noWrap/>
            <w:vAlign w:val="bottom"/>
            <w:hideMark/>
          </w:tcPr>
          <w:p w14:paraId="5ECE1682"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 xml:space="preserve"> 0.25mg</w:t>
            </w:r>
          </w:p>
        </w:tc>
        <w:tc>
          <w:tcPr>
            <w:tcW w:w="1898" w:type="dxa"/>
            <w:tcBorders>
              <w:top w:val="nil"/>
              <w:left w:val="nil"/>
              <w:bottom w:val="single" w:sz="4" w:space="0" w:color="auto"/>
              <w:right w:val="nil"/>
            </w:tcBorders>
            <w:noWrap/>
            <w:vAlign w:val="bottom"/>
            <w:hideMark/>
          </w:tcPr>
          <w:p w14:paraId="234270E4"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0.5mg</w:t>
            </w:r>
          </w:p>
        </w:tc>
        <w:tc>
          <w:tcPr>
            <w:tcW w:w="1797" w:type="dxa"/>
            <w:tcBorders>
              <w:top w:val="nil"/>
              <w:left w:val="nil"/>
              <w:bottom w:val="single" w:sz="4" w:space="0" w:color="auto"/>
              <w:right w:val="nil"/>
            </w:tcBorders>
            <w:noWrap/>
            <w:vAlign w:val="bottom"/>
            <w:hideMark/>
          </w:tcPr>
          <w:p w14:paraId="46F19160"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1.0mg</w:t>
            </w:r>
          </w:p>
        </w:tc>
      </w:tr>
      <w:tr w:rsidR="00306E5F" w:rsidRPr="00306E5F" w14:paraId="612D9DA6" w14:textId="77777777" w:rsidTr="004C1A41">
        <w:trPr>
          <w:trHeight w:val="317"/>
        </w:trPr>
        <w:tc>
          <w:tcPr>
            <w:tcW w:w="2013" w:type="dxa"/>
            <w:tcBorders>
              <w:top w:val="single" w:sz="4" w:space="0" w:color="auto"/>
              <w:left w:val="nil"/>
              <w:bottom w:val="nil"/>
              <w:right w:val="nil"/>
            </w:tcBorders>
            <w:noWrap/>
            <w:vAlign w:val="bottom"/>
            <w:hideMark/>
          </w:tcPr>
          <w:p w14:paraId="3B05D3A2"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Gentamycin</w:t>
            </w:r>
          </w:p>
        </w:tc>
        <w:tc>
          <w:tcPr>
            <w:tcW w:w="1693" w:type="dxa"/>
            <w:tcBorders>
              <w:top w:val="nil"/>
              <w:left w:val="nil"/>
              <w:bottom w:val="nil"/>
              <w:right w:val="nil"/>
            </w:tcBorders>
            <w:noWrap/>
            <w:hideMark/>
          </w:tcPr>
          <w:p w14:paraId="6994CB6F"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17.0</w:t>
            </w:r>
            <w:r w:rsidRPr="00306E5F">
              <w:rPr>
                <w:rFonts w:cs="Times New Roman"/>
                <w:sz w:val="20"/>
                <w:szCs w:val="20"/>
                <w:vertAlign w:val="superscript"/>
              </w:rPr>
              <w:t>a</w:t>
            </w:r>
          </w:p>
        </w:tc>
        <w:tc>
          <w:tcPr>
            <w:tcW w:w="1930" w:type="dxa"/>
            <w:tcBorders>
              <w:top w:val="nil"/>
              <w:left w:val="nil"/>
              <w:bottom w:val="nil"/>
              <w:right w:val="nil"/>
            </w:tcBorders>
            <w:noWrap/>
            <w:hideMark/>
          </w:tcPr>
          <w:p w14:paraId="0C4D5C8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18.0</w:t>
            </w:r>
            <w:r w:rsidRPr="00306E5F">
              <w:rPr>
                <w:rFonts w:cs="Times New Roman"/>
                <w:sz w:val="20"/>
                <w:szCs w:val="20"/>
                <w:vertAlign w:val="superscript"/>
              </w:rPr>
              <w:t>a</w:t>
            </w:r>
          </w:p>
        </w:tc>
        <w:tc>
          <w:tcPr>
            <w:tcW w:w="1898" w:type="dxa"/>
            <w:tcBorders>
              <w:top w:val="nil"/>
              <w:left w:val="nil"/>
              <w:bottom w:val="nil"/>
              <w:right w:val="nil"/>
            </w:tcBorders>
            <w:noWrap/>
            <w:hideMark/>
          </w:tcPr>
          <w:p w14:paraId="0EE2B26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19.0</w:t>
            </w:r>
            <w:r w:rsidRPr="00306E5F">
              <w:rPr>
                <w:rFonts w:cs="Times New Roman"/>
                <w:sz w:val="20"/>
                <w:szCs w:val="20"/>
                <w:vertAlign w:val="superscript"/>
              </w:rPr>
              <w:t>a</w:t>
            </w:r>
          </w:p>
        </w:tc>
        <w:tc>
          <w:tcPr>
            <w:tcW w:w="1797" w:type="dxa"/>
            <w:tcBorders>
              <w:top w:val="nil"/>
              <w:left w:val="nil"/>
              <w:bottom w:val="nil"/>
              <w:right w:val="nil"/>
            </w:tcBorders>
            <w:noWrap/>
            <w:hideMark/>
          </w:tcPr>
          <w:p w14:paraId="29E2143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20.0</w:t>
            </w:r>
            <w:r w:rsidRPr="00306E5F">
              <w:rPr>
                <w:rFonts w:cs="Times New Roman"/>
                <w:sz w:val="20"/>
                <w:szCs w:val="20"/>
                <w:vertAlign w:val="superscript"/>
              </w:rPr>
              <w:t>a</w:t>
            </w:r>
          </w:p>
        </w:tc>
      </w:tr>
      <w:tr w:rsidR="00306E5F" w:rsidRPr="00306E5F" w14:paraId="245597BE" w14:textId="77777777" w:rsidTr="004C1A41">
        <w:trPr>
          <w:trHeight w:val="317"/>
        </w:trPr>
        <w:tc>
          <w:tcPr>
            <w:tcW w:w="2013" w:type="dxa"/>
            <w:tcBorders>
              <w:top w:val="nil"/>
              <w:left w:val="nil"/>
              <w:bottom w:val="nil"/>
              <w:right w:val="nil"/>
            </w:tcBorders>
            <w:noWrap/>
            <w:vAlign w:val="bottom"/>
            <w:hideMark/>
          </w:tcPr>
          <w:p w14:paraId="2E05E131"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w:t>
            </w:r>
          </w:p>
        </w:tc>
        <w:tc>
          <w:tcPr>
            <w:tcW w:w="1693" w:type="dxa"/>
            <w:tcBorders>
              <w:top w:val="nil"/>
              <w:left w:val="nil"/>
              <w:bottom w:val="nil"/>
              <w:right w:val="nil"/>
            </w:tcBorders>
            <w:noWrap/>
            <w:hideMark/>
          </w:tcPr>
          <w:p w14:paraId="329CE04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8.0</w:t>
            </w:r>
            <w:r w:rsidRPr="00306E5F">
              <w:rPr>
                <w:rFonts w:cs="Times New Roman"/>
                <w:sz w:val="20"/>
                <w:szCs w:val="20"/>
                <w:vertAlign w:val="superscript"/>
              </w:rPr>
              <w:t>c</w:t>
            </w:r>
          </w:p>
        </w:tc>
        <w:tc>
          <w:tcPr>
            <w:tcW w:w="1930" w:type="dxa"/>
            <w:tcBorders>
              <w:top w:val="nil"/>
              <w:left w:val="nil"/>
              <w:bottom w:val="nil"/>
              <w:right w:val="nil"/>
            </w:tcBorders>
            <w:noWrap/>
            <w:hideMark/>
          </w:tcPr>
          <w:p w14:paraId="4753F415"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898" w:type="dxa"/>
            <w:tcBorders>
              <w:top w:val="nil"/>
              <w:left w:val="nil"/>
              <w:bottom w:val="nil"/>
              <w:right w:val="nil"/>
            </w:tcBorders>
            <w:noWrap/>
            <w:hideMark/>
          </w:tcPr>
          <w:p w14:paraId="7AC794A1"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ef</w:t>
            </w:r>
          </w:p>
        </w:tc>
        <w:tc>
          <w:tcPr>
            <w:tcW w:w="1797" w:type="dxa"/>
            <w:tcBorders>
              <w:top w:val="nil"/>
              <w:left w:val="nil"/>
              <w:bottom w:val="nil"/>
              <w:right w:val="nil"/>
            </w:tcBorders>
            <w:noWrap/>
            <w:hideMark/>
          </w:tcPr>
          <w:p w14:paraId="559DDDDF"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10.0</w:t>
            </w:r>
            <w:r w:rsidRPr="00306E5F">
              <w:rPr>
                <w:rFonts w:cs="Times New Roman"/>
                <w:sz w:val="20"/>
                <w:szCs w:val="20"/>
                <w:vertAlign w:val="superscript"/>
              </w:rPr>
              <w:t>bc</w:t>
            </w:r>
          </w:p>
        </w:tc>
      </w:tr>
      <w:tr w:rsidR="00306E5F" w:rsidRPr="00306E5F" w14:paraId="491B7D3F" w14:textId="77777777" w:rsidTr="004C1A41">
        <w:trPr>
          <w:trHeight w:val="317"/>
        </w:trPr>
        <w:tc>
          <w:tcPr>
            <w:tcW w:w="2013" w:type="dxa"/>
            <w:tcBorders>
              <w:top w:val="nil"/>
              <w:left w:val="nil"/>
              <w:bottom w:val="nil"/>
              <w:right w:val="nil"/>
            </w:tcBorders>
            <w:noWrap/>
            <w:vAlign w:val="bottom"/>
            <w:hideMark/>
          </w:tcPr>
          <w:p w14:paraId="02AB24C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L_C2</w:t>
            </w:r>
          </w:p>
        </w:tc>
        <w:tc>
          <w:tcPr>
            <w:tcW w:w="1693" w:type="dxa"/>
            <w:tcBorders>
              <w:top w:val="nil"/>
              <w:left w:val="nil"/>
              <w:bottom w:val="nil"/>
              <w:right w:val="nil"/>
            </w:tcBorders>
            <w:noWrap/>
            <w:hideMark/>
          </w:tcPr>
          <w:p w14:paraId="7AAF789A"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930" w:type="dxa"/>
            <w:tcBorders>
              <w:top w:val="nil"/>
              <w:left w:val="nil"/>
              <w:bottom w:val="nil"/>
              <w:right w:val="nil"/>
            </w:tcBorders>
            <w:noWrap/>
            <w:hideMark/>
          </w:tcPr>
          <w:p w14:paraId="38B2ABA0"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nil"/>
              <w:right w:val="nil"/>
            </w:tcBorders>
            <w:noWrap/>
            <w:hideMark/>
          </w:tcPr>
          <w:p w14:paraId="396EF77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12.0</w:t>
            </w:r>
            <w:r w:rsidRPr="00306E5F">
              <w:rPr>
                <w:rFonts w:cs="Times New Roman"/>
                <w:sz w:val="20"/>
                <w:szCs w:val="20"/>
                <w:vertAlign w:val="superscript"/>
              </w:rPr>
              <w:t>bc</w:t>
            </w:r>
          </w:p>
        </w:tc>
        <w:tc>
          <w:tcPr>
            <w:tcW w:w="1797" w:type="dxa"/>
            <w:tcBorders>
              <w:top w:val="nil"/>
              <w:left w:val="nil"/>
              <w:bottom w:val="nil"/>
              <w:right w:val="nil"/>
            </w:tcBorders>
            <w:noWrap/>
            <w:hideMark/>
          </w:tcPr>
          <w:p w14:paraId="711837A4"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14.0</w:t>
            </w:r>
            <w:r w:rsidRPr="00306E5F">
              <w:rPr>
                <w:rFonts w:cs="Times New Roman"/>
                <w:sz w:val="20"/>
                <w:szCs w:val="20"/>
                <w:vertAlign w:val="superscript"/>
              </w:rPr>
              <w:t>b</w:t>
            </w:r>
          </w:p>
        </w:tc>
      </w:tr>
      <w:tr w:rsidR="00306E5F" w:rsidRPr="00306E5F" w14:paraId="08DD188B" w14:textId="77777777" w:rsidTr="004C1A41">
        <w:trPr>
          <w:trHeight w:val="317"/>
        </w:trPr>
        <w:tc>
          <w:tcPr>
            <w:tcW w:w="2013" w:type="dxa"/>
            <w:tcBorders>
              <w:top w:val="nil"/>
              <w:left w:val="nil"/>
              <w:bottom w:val="nil"/>
              <w:right w:val="nil"/>
            </w:tcBorders>
            <w:noWrap/>
            <w:vAlign w:val="bottom"/>
            <w:hideMark/>
          </w:tcPr>
          <w:p w14:paraId="3EA0BEAA" w14:textId="77777777" w:rsidR="00306E5F" w:rsidRPr="00306E5F" w:rsidRDefault="00306E5F" w:rsidP="00B138C8">
            <w:pPr>
              <w:spacing w:after="0" w:line="360" w:lineRule="auto"/>
              <w:rPr>
                <w:rFonts w:eastAsia="Times New Roman" w:cs="Times New Roman"/>
                <w:color w:val="000000"/>
                <w:sz w:val="20"/>
                <w:szCs w:val="20"/>
              </w:rPr>
            </w:pPr>
            <w:proofErr w:type="spellStart"/>
            <w:r w:rsidRPr="00306E5F">
              <w:rPr>
                <w:rFonts w:eastAsia="Times New Roman" w:cs="Times New Roman"/>
                <w:color w:val="000000"/>
                <w:sz w:val="20"/>
                <w:szCs w:val="20"/>
              </w:rPr>
              <w:t>L_Ru</w:t>
            </w:r>
            <w:proofErr w:type="spellEnd"/>
          </w:p>
        </w:tc>
        <w:tc>
          <w:tcPr>
            <w:tcW w:w="1693" w:type="dxa"/>
            <w:tcBorders>
              <w:top w:val="nil"/>
              <w:left w:val="nil"/>
              <w:bottom w:val="nil"/>
              <w:right w:val="nil"/>
            </w:tcBorders>
            <w:noWrap/>
            <w:hideMark/>
          </w:tcPr>
          <w:p w14:paraId="37BF655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nil"/>
              <w:right w:val="nil"/>
            </w:tcBorders>
            <w:noWrap/>
            <w:hideMark/>
          </w:tcPr>
          <w:p w14:paraId="44A05FF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898" w:type="dxa"/>
            <w:tcBorders>
              <w:top w:val="nil"/>
              <w:left w:val="nil"/>
              <w:bottom w:val="nil"/>
              <w:right w:val="nil"/>
            </w:tcBorders>
            <w:noWrap/>
            <w:hideMark/>
          </w:tcPr>
          <w:p w14:paraId="578DCBD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10.5</w:t>
            </w:r>
            <w:r w:rsidRPr="00306E5F">
              <w:rPr>
                <w:rFonts w:cs="Times New Roman"/>
                <w:sz w:val="20"/>
                <w:szCs w:val="20"/>
                <w:vertAlign w:val="superscript"/>
              </w:rPr>
              <w:t>cde</w:t>
            </w:r>
          </w:p>
        </w:tc>
        <w:tc>
          <w:tcPr>
            <w:tcW w:w="1797" w:type="dxa"/>
            <w:tcBorders>
              <w:top w:val="nil"/>
              <w:left w:val="nil"/>
              <w:bottom w:val="nil"/>
              <w:right w:val="nil"/>
            </w:tcBorders>
            <w:noWrap/>
            <w:hideMark/>
          </w:tcPr>
          <w:p w14:paraId="75D1B36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bc</w:t>
            </w:r>
          </w:p>
        </w:tc>
      </w:tr>
      <w:tr w:rsidR="00306E5F" w:rsidRPr="00306E5F" w14:paraId="7880DB8D" w14:textId="77777777" w:rsidTr="004C1A41">
        <w:trPr>
          <w:trHeight w:val="317"/>
        </w:trPr>
        <w:tc>
          <w:tcPr>
            <w:tcW w:w="2013" w:type="dxa"/>
            <w:tcBorders>
              <w:top w:val="nil"/>
              <w:left w:val="nil"/>
              <w:bottom w:val="nil"/>
              <w:right w:val="nil"/>
            </w:tcBorders>
            <w:noWrap/>
            <w:vAlign w:val="bottom"/>
            <w:hideMark/>
          </w:tcPr>
          <w:p w14:paraId="25034BF6"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w:t>
            </w:r>
          </w:p>
        </w:tc>
        <w:tc>
          <w:tcPr>
            <w:tcW w:w="1693" w:type="dxa"/>
            <w:tcBorders>
              <w:top w:val="nil"/>
              <w:left w:val="nil"/>
              <w:bottom w:val="nil"/>
              <w:right w:val="nil"/>
            </w:tcBorders>
            <w:noWrap/>
            <w:hideMark/>
          </w:tcPr>
          <w:p w14:paraId="0A85F07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nil"/>
              <w:right w:val="nil"/>
            </w:tcBorders>
            <w:noWrap/>
            <w:hideMark/>
          </w:tcPr>
          <w:p w14:paraId="4F65CAE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898" w:type="dxa"/>
            <w:tcBorders>
              <w:top w:val="nil"/>
              <w:left w:val="nil"/>
              <w:bottom w:val="nil"/>
              <w:right w:val="nil"/>
            </w:tcBorders>
            <w:noWrap/>
            <w:hideMark/>
          </w:tcPr>
          <w:p w14:paraId="0F2523E9"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10.0</w:t>
            </w:r>
            <w:r w:rsidRPr="00306E5F">
              <w:rPr>
                <w:rFonts w:cs="Times New Roman"/>
                <w:sz w:val="20"/>
                <w:szCs w:val="20"/>
                <w:vertAlign w:val="superscript"/>
              </w:rPr>
              <w:t>def</w:t>
            </w:r>
          </w:p>
        </w:tc>
        <w:tc>
          <w:tcPr>
            <w:tcW w:w="1797" w:type="dxa"/>
            <w:tcBorders>
              <w:top w:val="nil"/>
              <w:left w:val="nil"/>
              <w:bottom w:val="nil"/>
              <w:right w:val="nil"/>
            </w:tcBorders>
            <w:noWrap/>
            <w:hideMark/>
          </w:tcPr>
          <w:p w14:paraId="1EDF530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11.0</w:t>
            </w:r>
            <w:r w:rsidRPr="00306E5F">
              <w:rPr>
                <w:rFonts w:cs="Times New Roman"/>
                <w:sz w:val="20"/>
                <w:szCs w:val="20"/>
                <w:vertAlign w:val="superscript"/>
              </w:rPr>
              <w:t>bc</w:t>
            </w:r>
          </w:p>
        </w:tc>
      </w:tr>
      <w:tr w:rsidR="00306E5F" w:rsidRPr="00306E5F" w14:paraId="6361A3E7" w14:textId="77777777" w:rsidTr="004C1A41">
        <w:trPr>
          <w:trHeight w:val="317"/>
        </w:trPr>
        <w:tc>
          <w:tcPr>
            <w:tcW w:w="2013" w:type="dxa"/>
            <w:tcBorders>
              <w:top w:val="nil"/>
              <w:left w:val="nil"/>
              <w:bottom w:val="nil"/>
              <w:right w:val="nil"/>
            </w:tcBorders>
            <w:noWrap/>
            <w:vAlign w:val="bottom"/>
            <w:hideMark/>
          </w:tcPr>
          <w:p w14:paraId="0273B047"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L1_C2</w:t>
            </w:r>
          </w:p>
        </w:tc>
        <w:tc>
          <w:tcPr>
            <w:tcW w:w="1693" w:type="dxa"/>
            <w:tcBorders>
              <w:top w:val="nil"/>
              <w:left w:val="nil"/>
              <w:bottom w:val="nil"/>
              <w:right w:val="nil"/>
            </w:tcBorders>
            <w:noWrap/>
            <w:hideMark/>
          </w:tcPr>
          <w:p w14:paraId="2B3E579B"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930" w:type="dxa"/>
            <w:tcBorders>
              <w:top w:val="nil"/>
              <w:left w:val="nil"/>
              <w:bottom w:val="nil"/>
              <w:right w:val="nil"/>
            </w:tcBorders>
            <w:noWrap/>
            <w:hideMark/>
          </w:tcPr>
          <w:p w14:paraId="11B3978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nil"/>
              <w:right w:val="nil"/>
            </w:tcBorders>
            <w:noWrap/>
            <w:hideMark/>
          </w:tcPr>
          <w:p w14:paraId="31C9B638"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w:t>
            </w:r>
          </w:p>
        </w:tc>
        <w:tc>
          <w:tcPr>
            <w:tcW w:w="1797" w:type="dxa"/>
            <w:tcBorders>
              <w:top w:val="nil"/>
              <w:left w:val="nil"/>
              <w:bottom w:val="nil"/>
              <w:right w:val="nil"/>
            </w:tcBorders>
            <w:noWrap/>
            <w:hideMark/>
          </w:tcPr>
          <w:p w14:paraId="22604C73"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14.0</w:t>
            </w:r>
            <w:r w:rsidRPr="00306E5F">
              <w:rPr>
                <w:rFonts w:cs="Times New Roman"/>
                <w:sz w:val="20"/>
                <w:szCs w:val="20"/>
                <w:vertAlign w:val="superscript"/>
              </w:rPr>
              <w:t>b</w:t>
            </w:r>
          </w:p>
        </w:tc>
      </w:tr>
      <w:tr w:rsidR="00306E5F" w:rsidRPr="00306E5F" w14:paraId="73EE6468" w14:textId="77777777" w:rsidTr="004C1A41">
        <w:trPr>
          <w:trHeight w:val="317"/>
        </w:trPr>
        <w:tc>
          <w:tcPr>
            <w:tcW w:w="2013" w:type="dxa"/>
            <w:tcBorders>
              <w:top w:val="nil"/>
              <w:left w:val="nil"/>
              <w:bottom w:val="nil"/>
              <w:right w:val="nil"/>
            </w:tcBorders>
            <w:noWrap/>
            <w:vAlign w:val="bottom"/>
            <w:hideMark/>
          </w:tcPr>
          <w:p w14:paraId="33D9C3B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L1_Ru</w:t>
            </w:r>
          </w:p>
        </w:tc>
        <w:tc>
          <w:tcPr>
            <w:tcW w:w="1693" w:type="dxa"/>
            <w:tcBorders>
              <w:top w:val="nil"/>
              <w:left w:val="nil"/>
              <w:bottom w:val="nil"/>
              <w:right w:val="nil"/>
            </w:tcBorders>
            <w:noWrap/>
            <w:hideMark/>
          </w:tcPr>
          <w:p w14:paraId="4436F5F0"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930" w:type="dxa"/>
            <w:tcBorders>
              <w:top w:val="nil"/>
              <w:left w:val="nil"/>
              <w:bottom w:val="nil"/>
              <w:right w:val="nil"/>
            </w:tcBorders>
            <w:noWrap/>
            <w:hideMark/>
          </w:tcPr>
          <w:p w14:paraId="0B85CE95"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898" w:type="dxa"/>
            <w:tcBorders>
              <w:top w:val="nil"/>
              <w:left w:val="nil"/>
              <w:bottom w:val="nil"/>
              <w:right w:val="nil"/>
            </w:tcBorders>
            <w:noWrap/>
            <w:hideMark/>
          </w:tcPr>
          <w:p w14:paraId="2752EE2A"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11.0</w:t>
            </w:r>
            <w:r w:rsidRPr="00306E5F">
              <w:rPr>
                <w:rFonts w:cs="Times New Roman"/>
                <w:sz w:val="20"/>
                <w:szCs w:val="20"/>
                <w:vertAlign w:val="superscript"/>
              </w:rPr>
              <w:t>bcd</w:t>
            </w:r>
          </w:p>
        </w:tc>
        <w:tc>
          <w:tcPr>
            <w:tcW w:w="1797" w:type="dxa"/>
            <w:tcBorders>
              <w:top w:val="nil"/>
              <w:left w:val="nil"/>
              <w:bottom w:val="nil"/>
              <w:right w:val="nil"/>
            </w:tcBorders>
            <w:noWrap/>
            <w:hideMark/>
          </w:tcPr>
          <w:p w14:paraId="33879867"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bc</w:t>
            </w:r>
          </w:p>
        </w:tc>
      </w:tr>
      <w:tr w:rsidR="00306E5F" w:rsidRPr="00306E5F" w14:paraId="72D92397" w14:textId="77777777" w:rsidTr="004C1A41">
        <w:trPr>
          <w:trHeight w:val="317"/>
        </w:trPr>
        <w:tc>
          <w:tcPr>
            <w:tcW w:w="2013" w:type="dxa"/>
            <w:tcBorders>
              <w:top w:val="nil"/>
              <w:left w:val="nil"/>
              <w:bottom w:val="nil"/>
              <w:right w:val="nil"/>
            </w:tcBorders>
            <w:noWrap/>
            <w:vAlign w:val="bottom"/>
            <w:hideMark/>
          </w:tcPr>
          <w:p w14:paraId="1B8EE471"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w:t>
            </w:r>
          </w:p>
        </w:tc>
        <w:tc>
          <w:tcPr>
            <w:tcW w:w="1693" w:type="dxa"/>
            <w:tcBorders>
              <w:top w:val="nil"/>
              <w:left w:val="nil"/>
              <w:bottom w:val="nil"/>
              <w:right w:val="nil"/>
            </w:tcBorders>
            <w:noWrap/>
            <w:hideMark/>
          </w:tcPr>
          <w:p w14:paraId="53DE83D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930" w:type="dxa"/>
            <w:tcBorders>
              <w:top w:val="nil"/>
              <w:left w:val="nil"/>
              <w:bottom w:val="nil"/>
              <w:right w:val="nil"/>
            </w:tcBorders>
            <w:noWrap/>
            <w:hideMark/>
          </w:tcPr>
          <w:p w14:paraId="1A7593B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898" w:type="dxa"/>
            <w:tcBorders>
              <w:top w:val="nil"/>
              <w:left w:val="nil"/>
              <w:bottom w:val="nil"/>
              <w:right w:val="nil"/>
            </w:tcBorders>
            <w:noWrap/>
            <w:hideMark/>
          </w:tcPr>
          <w:p w14:paraId="2BAFE869"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8.5</w:t>
            </w:r>
            <w:r w:rsidRPr="00306E5F">
              <w:rPr>
                <w:rFonts w:cs="Times New Roman"/>
                <w:sz w:val="20"/>
                <w:szCs w:val="20"/>
                <w:vertAlign w:val="superscript"/>
              </w:rPr>
              <w:t>f</w:t>
            </w:r>
          </w:p>
        </w:tc>
        <w:tc>
          <w:tcPr>
            <w:tcW w:w="1797" w:type="dxa"/>
            <w:tcBorders>
              <w:top w:val="nil"/>
              <w:left w:val="nil"/>
              <w:bottom w:val="nil"/>
              <w:right w:val="nil"/>
            </w:tcBorders>
            <w:noWrap/>
            <w:hideMark/>
          </w:tcPr>
          <w:p w14:paraId="1673C85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c</w:t>
            </w:r>
          </w:p>
        </w:tc>
      </w:tr>
      <w:tr w:rsidR="00306E5F" w:rsidRPr="00306E5F" w14:paraId="1042D02D" w14:textId="77777777" w:rsidTr="004C1A41">
        <w:trPr>
          <w:trHeight w:val="317"/>
        </w:trPr>
        <w:tc>
          <w:tcPr>
            <w:tcW w:w="2013" w:type="dxa"/>
            <w:tcBorders>
              <w:top w:val="nil"/>
              <w:left w:val="nil"/>
              <w:bottom w:val="nil"/>
              <w:right w:val="nil"/>
            </w:tcBorders>
            <w:noWrap/>
            <w:vAlign w:val="bottom"/>
            <w:hideMark/>
          </w:tcPr>
          <w:p w14:paraId="0F375956"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L2_C3</w:t>
            </w:r>
          </w:p>
        </w:tc>
        <w:tc>
          <w:tcPr>
            <w:tcW w:w="1693" w:type="dxa"/>
            <w:tcBorders>
              <w:top w:val="nil"/>
              <w:left w:val="nil"/>
              <w:bottom w:val="nil"/>
              <w:right w:val="nil"/>
            </w:tcBorders>
            <w:noWrap/>
            <w:hideMark/>
          </w:tcPr>
          <w:p w14:paraId="596AE6EC"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930" w:type="dxa"/>
            <w:tcBorders>
              <w:top w:val="nil"/>
              <w:left w:val="nil"/>
              <w:bottom w:val="nil"/>
              <w:right w:val="nil"/>
            </w:tcBorders>
            <w:noWrap/>
            <w:hideMark/>
          </w:tcPr>
          <w:p w14:paraId="7529CBCA"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898" w:type="dxa"/>
            <w:tcBorders>
              <w:top w:val="nil"/>
              <w:left w:val="nil"/>
              <w:bottom w:val="nil"/>
              <w:right w:val="nil"/>
            </w:tcBorders>
            <w:noWrap/>
            <w:hideMark/>
          </w:tcPr>
          <w:p w14:paraId="5F7BFF57"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ef</w:t>
            </w:r>
          </w:p>
        </w:tc>
        <w:tc>
          <w:tcPr>
            <w:tcW w:w="1797" w:type="dxa"/>
            <w:tcBorders>
              <w:top w:val="nil"/>
              <w:left w:val="nil"/>
              <w:bottom w:val="nil"/>
              <w:right w:val="nil"/>
            </w:tcBorders>
            <w:noWrap/>
            <w:hideMark/>
          </w:tcPr>
          <w:p w14:paraId="32FF894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8.5</w:t>
            </w:r>
            <w:r w:rsidRPr="00306E5F">
              <w:rPr>
                <w:rFonts w:cs="Times New Roman"/>
                <w:sz w:val="20"/>
                <w:szCs w:val="20"/>
                <w:vertAlign w:val="superscript"/>
              </w:rPr>
              <w:t>c</w:t>
            </w:r>
          </w:p>
        </w:tc>
      </w:tr>
      <w:tr w:rsidR="00306E5F" w:rsidRPr="00306E5F" w14:paraId="094FAE3F" w14:textId="77777777" w:rsidTr="004C1A41">
        <w:trPr>
          <w:trHeight w:val="317"/>
        </w:trPr>
        <w:tc>
          <w:tcPr>
            <w:tcW w:w="2013" w:type="dxa"/>
            <w:tcBorders>
              <w:top w:val="nil"/>
              <w:left w:val="nil"/>
              <w:bottom w:val="single" w:sz="4" w:space="0" w:color="auto"/>
              <w:right w:val="nil"/>
            </w:tcBorders>
            <w:noWrap/>
            <w:vAlign w:val="bottom"/>
            <w:hideMark/>
          </w:tcPr>
          <w:p w14:paraId="6E38FE39"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L2_Ru</w:t>
            </w:r>
          </w:p>
        </w:tc>
        <w:tc>
          <w:tcPr>
            <w:tcW w:w="1693" w:type="dxa"/>
            <w:tcBorders>
              <w:top w:val="nil"/>
              <w:left w:val="nil"/>
              <w:bottom w:val="single" w:sz="4" w:space="0" w:color="auto"/>
              <w:right w:val="nil"/>
            </w:tcBorders>
            <w:noWrap/>
            <w:hideMark/>
          </w:tcPr>
          <w:p w14:paraId="1B7DD389"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single" w:sz="4" w:space="0" w:color="auto"/>
              <w:right w:val="nil"/>
            </w:tcBorders>
            <w:noWrap/>
            <w:hideMark/>
          </w:tcPr>
          <w:p w14:paraId="4528E7F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single" w:sz="4" w:space="0" w:color="auto"/>
              <w:right w:val="nil"/>
            </w:tcBorders>
            <w:noWrap/>
            <w:hideMark/>
          </w:tcPr>
          <w:p w14:paraId="4D56D2BB"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def</w:t>
            </w:r>
          </w:p>
        </w:tc>
        <w:tc>
          <w:tcPr>
            <w:tcW w:w="1797" w:type="dxa"/>
            <w:tcBorders>
              <w:top w:val="nil"/>
              <w:left w:val="nil"/>
              <w:bottom w:val="single" w:sz="4" w:space="0" w:color="auto"/>
              <w:right w:val="nil"/>
            </w:tcBorders>
            <w:noWrap/>
            <w:hideMark/>
          </w:tcPr>
          <w:p w14:paraId="16DF2308"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r>
      <w:tr w:rsidR="00306E5F" w:rsidRPr="00306E5F" w14:paraId="4D9FE991" w14:textId="77777777" w:rsidTr="004C1A41">
        <w:trPr>
          <w:trHeight w:val="317"/>
        </w:trPr>
        <w:tc>
          <w:tcPr>
            <w:tcW w:w="2013" w:type="dxa"/>
            <w:tcBorders>
              <w:top w:val="nil"/>
              <w:left w:val="nil"/>
              <w:bottom w:val="nil"/>
              <w:right w:val="nil"/>
            </w:tcBorders>
            <w:noWrap/>
            <w:vAlign w:val="bottom"/>
            <w:hideMark/>
          </w:tcPr>
          <w:p w14:paraId="50DC4D2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Mean</w:t>
            </w:r>
          </w:p>
        </w:tc>
        <w:tc>
          <w:tcPr>
            <w:tcW w:w="1693" w:type="dxa"/>
            <w:tcBorders>
              <w:top w:val="nil"/>
              <w:left w:val="nil"/>
              <w:bottom w:val="nil"/>
              <w:right w:val="nil"/>
            </w:tcBorders>
            <w:noWrap/>
            <w:hideMark/>
          </w:tcPr>
          <w:p w14:paraId="2E898A38"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10.25</w:t>
            </w:r>
          </w:p>
        </w:tc>
        <w:tc>
          <w:tcPr>
            <w:tcW w:w="1930" w:type="dxa"/>
            <w:tcBorders>
              <w:top w:val="nil"/>
              <w:left w:val="nil"/>
              <w:bottom w:val="nil"/>
              <w:right w:val="nil"/>
            </w:tcBorders>
            <w:noWrap/>
            <w:hideMark/>
          </w:tcPr>
          <w:p w14:paraId="6D885C22"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10.8</w:t>
            </w:r>
          </w:p>
        </w:tc>
        <w:tc>
          <w:tcPr>
            <w:tcW w:w="1898" w:type="dxa"/>
            <w:tcBorders>
              <w:top w:val="nil"/>
              <w:left w:val="nil"/>
              <w:bottom w:val="nil"/>
              <w:right w:val="nil"/>
            </w:tcBorders>
            <w:noWrap/>
            <w:hideMark/>
          </w:tcPr>
          <w:p w14:paraId="234383B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11.15</w:t>
            </w:r>
          </w:p>
        </w:tc>
        <w:tc>
          <w:tcPr>
            <w:tcW w:w="1797" w:type="dxa"/>
            <w:tcBorders>
              <w:top w:val="nil"/>
              <w:left w:val="nil"/>
              <w:bottom w:val="nil"/>
              <w:right w:val="nil"/>
            </w:tcBorders>
            <w:noWrap/>
            <w:hideMark/>
          </w:tcPr>
          <w:p w14:paraId="70216EAE"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12.2</w:t>
            </w:r>
          </w:p>
        </w:tc>
      </w:tr>
      <w:tr w:rsidR="00306E5F" w:rsidRPr="00306E5F" w14:paraId="4DCEE187" w14:textId="77777777" w:rsidTr="004C1A41">
        <w:trPr>
          <w:trHeight w:val="317"/>
        </w:trPr>
        <w:tc>
          <w:tcPr>
            <w:tcW w:w="2013" w:type="dxa"/>
            <w:tcBorders>
              <w:top w:val="nil"/>
              <w:left w:val="nil"/>
              <w:bottom w:val="nil"/>
              <w:right w:val="nil"/>
            </w:tcBorders>
            <w:noWrap/>
            <w:vAlign w:val="bottom"/>
            <w:hideMark/>
          </w:tcPr>
          <w:p w14:paraId="0AD0504C"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CV (%)</w:t>
            </w:r>
          </w:p>
        </w:tc>
        <w:tc>
          <w:tcPr>
            <w:tcW w:w="1693" w:type="dxa"/>
            <w:tcBorders>
              <w:top w:val="nil"/>
              <w:left w:val="nil"/>
              <w:bottom w:val="nil"/>
              <w:right w:val="nil"/>
            </w:tcBorders>
            <w:noWrap/>
            <w:hideMark/>
          </w:tcPr>
          <w:p w14:paraId="74A5274F"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4.88</w:t>
            </w:r>
          </w:p>
        </w:tc>
        <w:tc>
          <w:tcPr>
            <w:tcW w:w="1930" w:type="dxa"/>
            <w:tcBorders>
              <w:top w:val="nil"/>
              <w:left w:val="nil"/>
              <w:bottom w:val="nil"/>
              <w:right w:val="nil"/>
            </w:tcBorders>
            <w:noWrap/>
            <w:hideMark/>
          </w:tcPr>
          <w:p w14:paraId="7EE1E846"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5.07</w:t>
            </w:r>
          </w:p>
        </w:tc>
        <w:tc>
          <w:tcPr>
            <w:tcW w:w="1898" w:type="dxa"/>
            <w:tcBorders>
              <w:top w:val="nil"/>
              <w:left w:val="nil"/>
              <w:bottom w:val="nil"/>
              <w:right w:val="nil"/>
            </w:tcBorders>
            <w:noWrap/>
            <w:hideMark/>
          </w:tcPr>
          <w:p w14:paraId="3B98B8E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3.47</w:t>
            </w:r>
          </w:p>
        </w:tc>
        <w:tc>
          <w:tcPr>
            <w:tcW w:w="1797" w:type="dxa"/>
            <w:tcBorders>
              <w:top w:val="nil"/>
              <w:left w:val="nil"/>
              <w:bottom w:val="nil"/>
              <w:right w:val="nil"/>
            </w:tcBorders>
            <w:noWrap/>
            <w:hideMark/>
          </w:tcPr>
          <w:p w14:paraId="6CF9FF9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7.33</w:t>
            </w:r>
          </w:p>
        </w:tc>
      </w:tr>
      <w:tr w:rsidR="00306E5F" w:rsidRPr="00306E5F" w14:paraId="4090D2AD" w14:textId="77777777" w:rsidTr="004C1A41">
        <w:trPr>
          <w:trHeight w:val="317"/>
        </w:trPr>
        <w:tc>
          <w:tcPr>
            <w:tcW w:w="2013" w:type="dxa"/>
            <w:tcBorders>
              <w:top w:val="nil"/>
              <w:left w:val="nil"/>
              <w:bottom w:val="single" w:sz="4" w:space="0" w:color="auto"/>
              <w:right w:val="nil"/>
            </w:tcBorders>
            <w:noWrap/>
            <w:vAlign w:val="bottom"/>
            <w:hideMark/>
          </w:tcPr>
          <w:p w14:paraId="14AECF30"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LSD (α = 0.05)</w:t>
            </w:r>
          </w:p>
        </w:tc>
        <w:tc>
          <w:tcPr>
            <w:tcW w:w="1693" w:type="dxa"/>
            <w:tcBorders>
              <w:top w:val="nil"/>
              <w:left w:val="nil"/>
              <w:bottom w:val="single" w:sz="4" w:space="0" w:color="auto"/>
              <w:right w:val="nil"/>
            </w:tcBorders>
            <w:noWrap/>
            <w:hideMark/>
          </w:tcPr>
          <w:p w14:paraId="114F216F"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2.26</w:t>
            </w:r>
          </w:p>
        </w:tc>
        <w:tc>
          <w:tcPr>
            <w:tcW w:w="1930" w:type="dxa"/>
            <w:tcBorders>
              <w:top w:val="nil"/>
              <w:left w:val="nil"/>
              <w:bottom w:val="single" w:sz="4" w:space="0" w:color="auto"/>
              <w:right w:val="nil"/>
            </w:tcBorders>
            <w:noWrap/>
            <w:hideMark/>
          </w:tcPr>
          <w:p w14:paraId="23C24D42"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2.47</w:t>
            </w:r>
          </w:p>
        </w:tc>
        <w:tc>
          <w:tcPr>
            <w:tcW w:w="1898" w:type="dxa"/>
            <w:tcBorders>
              <w:top w:val="nil"/>
              <w:left w:val="nil"/>
              <w:bottom w:val="single" w:sz="4" w:space="0" w:color="auto"/>
              <w:right w:val="nil"/>
            </w:tcBorders>
            <w:noWrap/>
            <w:hideMark/>
          </w:tcPr>
          <w:p w14:paraId="701A9DB6"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1.75</w:t>
            </w:r>
          </w:p>
        </w:tc>
        <w:tc>
          <w:tcPr>
            <w:tcW w:w="1797" w:type="dxa"/>
            <w:tcBorders>
              <w:top w:val="nil"/>
              <w:left w:val="nil"/>
              <w:bottom w:val="single" w:sz="4" w:space="0" w:color="auto"/>
              <w:right w:val="nil"/>
            </w:tcBorders>
            <w:noWrap/>
            <w:hideMark/>
          </w:tcPr>
          <w:p w14:paraId="48214CEC"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4.04</w:t>
            </w:r>
          </w:p>
        </w:tc>
      </w:tr>
    </w:tbl>
    <w:p w14:paraId="2F5FD4D9" w14:textId="77777777" w:rsidR="00306E5F" w:rsidRDefault="00306E5F" w:rsidP="00924D4D">
      <w:pPr>
        <w:spacing w:after="0"/>
        <w:jc w:val="both"/>
        <w:rPr>
          <w:sz w:val="20"/>
          <w:szCs w:val="18"/>
        </w:rPr>
      </w:pPr>
    </w:p>
    <w:p w14:paraId="19877011"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74A1AB93" w14:textId="08F4B8BD" w:rsidR="00924D4D" w:rsidRPr="00924D4D" w:rsidRDefault="00924D4D" w:rsidP="00924D4D">
      <w:pPr>
        <w:spacing w:after="0"/>
        <w:jc w:val="both"/>
        <w:rPr>
          <w:sz w:val="20"/>
          <w:szCs w:val="18"/>
        </w:rPr>
      </w:pPr>
      <w:r w:rsidRPr="00924D4D">
        <w:rPr>
          <w:sz w:val="20"/>
          <w:szCs w:val="18"/>
        </w:rPr>
        <w:t>All ruthenium complexes exhibited greater activity than their corresponding free ligands; for instance, L-C2 (14.0 mm) outperformed L (10.0 mm), and L1-Ru (12.5 mm) exceeded L1 (11.0 mm). In contrast, the hydroxy-substituted complex L2-C3 showed reduced efficacy (8.5 mm at 1.0 mg), suggesting that the –OH group may hinder membrane penetration in this bacterial strain. Statistical analysis by two-way ANOVA followed by Fisher’s LSD test (α = 0.05) confirmed significant differences (p ≤ 0.05) among treatment means, with mean inhibition zones rising from 10.25 mm at 0.125 mg to 12.2 mm at 1.0 mg, indicating robust and reproducible dose–response behavior.</w:t>
      </w:r>
    </w:p>
    <w:p w14:paraId="79400FE6" w14:textId="28F7C179" w:rsidR="00924D4D" w:rsidRPr="00924D4D" w:rsidRDefault="00924D4D" w:rsidP="00924D4D">
      <w:pPr>
        <w:pStyle w:val="ListParagraph"/>
        <w:numPr>
          <w:ilvl w:val="2"/>
          <w:numId w:val="1"/>
        </w:numPr>
        <w:spacing w:after="0"/>
        <w:jc w:val="both"/>
        <w:rPr>
          <w:sz w:val="20"/>
          <w:szCs w:val="18"/>
        </w:rPr>
      </w:pPr>
      <w:r w:rsidRPr="00924D4D">
        <w:rPr>
          <w:b/>
          <w:bCs/>
          <w:sz w:val="20"/>
          <w:szCs w:val="18"/>
        </w:rPr>
        <w:t xml:space="preserve">Antibacterial Activity Against </w:t>
      </w:r>
      <w:r w:rsidRPr="00924D4D">
        <w:rPr>
          <w:b/>
          <w:bCs/>
          <w:i/>
          <w:iCs/>
          <w:sz w:val="20"/>
          <w:szCs w:val="18"/>
        </w:rPr>
        <w:t>Escherichia coli</w:t>
      </w:r>
      <w:r w:rsidRPr="00924D4D">
        <w:rPr>
          <w:b/>
          <w:bCs/>
          <w:sz w:val="20"/>
          <w:szCs w:val="18"/>
        </w:rPr>
        <w:t xml:space="preserve"> (Gram-Negative)</w:t>
      </w:r>
    </w:p>
    <w:p w14:paraId="7BE2EF0C" w14:textId="357A77C3" w:rsidR="00A6279A" w:rsidRDefault="00924D4D" w:rsidP="00924D4D">
      <w:pPr>
        <w:spacing w:after="0"/>
        <w:jc w:val="both"/>
        <w:rPr>
          <w:sz w:val="20"/>
          <w:szCs w:val="18"/>
        </w:rPr>
        <w:sectPr w:rsidR="00A6279A" w:rsidSect="00A6279A">
          <w:type w:val="continuous"/>
          <w:pgSz w:w="12240" w:h="15840"/>
          <w:pgMar w:top="1440" w:right="1440" w:bottom="1440" w:left="1440" w:header="720" w:footer="720" w:gutter="0"/>
          <w:cols w:num="2" w:space="720"/>
          <w:docGrid w:linePitch="360"/>
        </w:sectPr>
      </w:pPr>
      <w:r w:rsidRPr="00924D4D">
        <w:rPr>
          <w:sz w:val="20"/>
          <w:szCs w:val="18"/>
        </w:rPr>
        <w:t xml:space="preserve">The same panel of compounds was tested against the Gram-negative pathogen </w:t>
      </w:r>
      <w:r w:rsidRPr="00924D4D">
        <w:rPr>
          <w:i/>
          <w:iCs/>
          <w:sz w:val="20"/>
          <w:szCs w:val="18"/>
        </w:rPr>
        <w:t>Escherichia coli</w:t>
      </w:r>
      <w:r w:rsidRPr="00924D4D">
        <w:rPr>
          <w:sz w:val="20"/>
          <w:szCs w:val="18"/>
        </w:rPr>
        <w:t xml:space="preserve">, with results presented in Table </w:t>
      </w:r>
      <w:r w:rsidR="004A7284">
        <w:rPr>
          <w:sz w:val="20"/>
          <w:szCs w:val="18"/>
        </w:rPr>
        <w:t>2</w:t>
      </w:r>
      <w:r w:rsidRPr="00924D4D">
        <w:rPr>
          <w:sz w:val="20"/>
          <w:szCs w:val="18"/>
        </w:rPr>
        <w:t xml:space="preserve"> of the thesis. Overall, all compounds displayed lower activity against </w:t>
      </w:r>
      <w:r w:rsidRPr="00924D4D">
        <w:rPr>
          <w:i/>
          <w:iCs/>
          <w:sz w:val="20"/>
          <w:szCs w:val="18"/>
        </w:rPr>
        <w:t>E. coli</w:t>
      </w:r>
      <w:r w:rsidRPr="00924D4D">
        <w:rPr>
          <w:sz w:val="20"/>
          <w:szCs w:val="18"/>
        </w:rPr>
        <w:t xml:space="preserve"> compared to </w:t>
      </w:r>
      <w:r w:rsidRPr="00924D4D">
        <w:rPr>
          <w:i/>
          <w:iCs/>
          <w:sz w:val="20"/>
          <w:szCs w:val="18"/>
        </w:rPr>
        <w:t>S. aureus</w:t>
      </w:r>
      <w:r w:rsidRPr="00924D4D">
        <w:rPr>
          <w:sz w:val="20"/>
          <w:szCs w:val="18"/>
        </w:rPr>
        <w:t xml:space="preserve">, consistent with the protective outer membrane characteristic of Gram-negative bacteria. At 0.125 mg, inhibition zones ranged from 8.0 mm (L2-Ru) to 18.0 mm (gentamycin). At the highest concentration (1.0 mg), gentamycin produced a 21.0 mm zone, while the most potent synthetic agents were L-Ru and L1-C2, both yielding 14.5 mm. Notably, the unsubstituted ligand L1 showed a sharp decline in activity at 1.0 mg (8.5 mm), whereas its ruthenium complex L1-C2 maintained strong inhibition (14.5 mm), underscoring the critical role of metal coordination. </w:t>
      </w:r>
    </w:p>
    <w:p w14:paraId="0180755E" w14:textId="77777777" w:rsidR="00306E5F" w:rsidRDefault="00306E5F" w:rsidP="00924D4D">
      <w:pPr>
        <w:spacing w:after="0"/>
        <w:jc w:val="both"/>
        <w:rPr>
          <w:sz w:val="20"/>
          <w:szCs w:val="18"/>
        </w:rPr>
      </w:pPr>
    </w:p>
    <w:p w14:paraId="3C7CD31A" w14:textId="77777777" w:rsidR="00306E5F" w:rsidRDefault="00306E5F" w:rsidP="00924D4D">
      <w:pPr>
        <w:spacing w:after="0"/>
        <w:jc w:val="both"/>
        <w:rPr>
          <w:sz w:val="20"/>
          <w:szCs w:val="18"/>
        </w:rPr>
      </w:pPr>
    </w:p>
    <w:p w14:paraId="53D79BA5" w14:textId="5E30E3CC" w:rsidR="004C1A41" w:rsidRPr="004C1A41" w:rsidRDefault="004C1A41" w:rsidP="004C1A41">
      <w:pPr>
        <w:pStyle w:val="Caption"/>
        <w:keepNext/>
        <w:rPr>
          <w:b/>
          <w:bCs/>
          <w:i w:val="0"/>
          <w:iCs w:val="0"/>
          <w:color w:val="auto"/>
          <w:sz w:val="20"/>
          <w:szCs w:val="20"/>
        </w:rPr>
      </w:pPr>
      <w:r w:rsidRPr="004C1A41">
        <w:rPr>
          <w:b/>
          <w:bCs/>
          <w:i w:val="0"/>
          <w:iCs w:val="0"/>
          <w:color w:val="auto"/>
          <w:sz w:val="20"/>
          <w:szCs w:val="20"/>
        </w:rPr>
        <w:t xml:space="preserve">Table </w:t>
      </w:r>
      <w:r w:rsidRPr="004C1A41">
        <w:rPr>
          <w:b/>
          <w:bCs/>
          <w:i w:val="0"/>
          <w:iCs w:val="0"/>
          <w:color w:val="auto"/>
          <w:sz w:val="20"/>
          <w:szCs w:val="20"/>
        </w:rPr>
        <w:fldChar w:fldCharType="begin"/>
      </w:r>
      <w:r w:rsidRPr="004C1A41">
        <w:rPr>
          <w:b/>
          <w:bCs/>
          <w:i w:val="0"/>
          <w:iCs w:val="0"/>
          <w:color w:val="auto"/>
          <w:sz w:val="20"/>
          <w:szCs w:val="20"/>
        </w:rPr>
        <w:instrText xml:space="preserve"> SEQ Table \* ARABIC </w:instrText>
      </w:r>
      <w:r w:rsidRPr="004C1A41">
        <w:rPr>
          <w:b/>
          <w:bCs/>
          <w:i w:val="0"/>
          <w:iCs w:val="0"/>
          <w:color w:val="auto"/>
          <w:sz w:val="20"/>
          <w:szCs w:val="20"/>
        </w:rPr>
        <w:fldChar w:fldCharType="separate"/>
      </w:r>
      <w:r w:rsidRPr="004C1A41">
        <w:rPr>
          <w:b/>
          <w:bCs/>
          <w:i w:val="0"/>
          <w:iCs w:val="0"/>
          <w:noProof/>
          <w:color w:val="auto"/>
          <w:sz w:val="20"/>
          <w:szCs w:val="20"/>
        </w:rPr>
        <w:t>2</w:t>
      </w:r>
      <w:r w:rsidRPr="004C1A41">
        <w:rPr>
          <w:b/>
          <w:bCs/>
          <w:i w:val="0"/>
          <w:iCs w:val="0"/>
          <w:color w:val="auto"/>
          <w:sz w:val="20"/>
          <w:szCs w:val="20"/>
        </w:rPr>
        <w:fldChar w:fldCharType="end"/>
      </w:r>
      <w:r w:rsidRPr="004C1A41">
        <w:rPr>
          <w:b/>
          <w:bCs/>
          <w:i w:val="0"/>
          <w:iCs w:val="0"/>
          <w:color w:val="auto"/>
          <w:sz w:val="20"/>
          <w:szCs w:val="20"/>
        </w:rPr>
        <w:t>: Bioactivity of synthesized compounds against E. coli</w:t>
      </w:r>
    </w:p>
    <w:tbl>
      <w:tblPr>
        <w:tblW w:w="9343" w:type="dxa"/>
        <w:tblLook w:val="04A0" w:firstRow="1" w:lastRow="0" w:firstColumn="1" w:lastColumn="0" w:noHBand="0" w:noVBand="1"/>
      </w:tblPr>
      <w:tblGrid>
        <w:gridCol w:w="2295"/>
        <w:gridCol w:w="1912"/>
        <w:gridCol w:w="1721"/>
        <w:gridCol w:w="1625"/>
        <w:gridCol w:w="1790"/>
      </w:tblGrid>
      <w:tr w:rsidR="00306E5F" w:rsidRPr="00306E5F" w14:paraId="58D822DD" w14:textId="77777777" w:rsidTr="00306E5F">
        <w:trPr>
          <w:trHeight w:val="294"/>
        </w:trPr>
        <w:tc>
          <w:tcPr>
            <w:tcW w:w="2295" w:type="dxa"/>
            <w:tcBorders>
              <w:top w:val="single" w:sz="4" w:space="0" w:color="auto"/>
              <w:left w:val="nil"/>
              <w:right w:val="nil"/>
            </w:tcBorders>
            <w:noWrap/>
            <w:vAlign w:val="bottom"/>
            <w:hideMark/>
          </w:tcPr>
          <w:p w14:paraId="247D6678"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 </w:t>
            </w:r>
          </w:p>
        </w:tc>
        <w:tc>
          <w:tcPr>
            <w:tcW w:w="7048" w:type="dxa"/>
            <w:gridSpan w:val="4"/>
            <w:tcBorders>
              <w:top w:val="single" w:sz="4" w:space="0" w:color="auto"/>
              <w:left w:val="nil"/>
              <w:bottom w:val="single" w:sz="4" w:space="0" w:color="auto"/>
              <w:right w:val="nil"/>
            </w:tcBorders>
            <w:noWrap/>
            <w:vAlign w:val="bottom"/>
            <w:hideMark/>
          </w:tcPr>
          <w:p w14:paraId="79D0C310"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Concentration</w:t>
            </w:r>
          </w:p>
        </w:tc>
      </w:tr>
      <w:tr w:rsidR="00306E5F" w:rsidRPr="00306E5F" w14:paraId="3B6B3A2A" w14:textId="77777777" w:rsidTr="004C1A41">
        <w:trPr>
          <w:trHeight w:val="294"/>
        </w:trPr>
        <w:tc>
          <w:tcPr>
            <w:tcW w:w="2295" w:type="dxa"/>
            <w:tcBorders>
              <w:top w:val="nil"/>
              <w:left w:val="nil"/>
              <w:bottom w:val="single" w:sz="4" w:space="0" w:color="auto"/>
              <w:right w:val="nil"/>
            </w:tcBorders>
            <w:noWrap/>
            <w:vAlign w:val="bottom"/>
            <w:hideMark/>
          </w:tcPr>
          <w:p w14:paraId="76BE6168"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lastRenderedPageBreak/>
              <w:t>Compound</w:t>
            </w:r>
          </w:p>
        </w:tc>
        <w:tc>
          <w:tcPr>
            <w:tcW w:w="1912" w:type="dxa"/>
            <w:tcBorders>
              <w:top w:val="nil"/>
              <w:left w:val="nil"/>
              <w:bottom w:val="single" w:sz="4" w:space="0" w:color="auto"/>
              <w:right w:val="nil"/>
            </w:tcBorders>
            <w:noWrap/>
            <w:vAlign w:val="bottom"/>
            <w:hideMark/>
          </w:tcPr>
          <w:p w14:paraId="00ABCCE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0.125mg</w:t>
            </w:r>
          </w:p>
        </w:tc>
        <w:tc>
          <w:tcPr>
            <w:tcW w:w="1721" w:type="dxa"/>
            <w:tcBorders>
              <w:top w:val="nil"/>
              <w:left w:val="nil"/>
              <w:bottom w:val="single" w:sz="4" w:space="0" w:color="auto"/>
              <w:right w:val="nil"/>
            </w:tcBorders>
            <w:noWrap/>
            <w:vAlign w:val="bottom"/>
            <w:hideMark/>
          </w:tcPr>
          <w:p w14:paraId="59E109D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0.25mg</w:t>
            </w:r>
          </w:p>
        </w:tc>
        <w:tc>
          <w:tcPr>
            <w:tcW w:w="1625" w:type="dxa"/>
            <w:tcBorders>
              <w:top w:val="nil"/>
              <w:left w:val="nil"/>
              <w:bottom w:val="single" w:sz="4" w:space="0" w:color="auto"/>
              <w:right w:val="nil"/>
            </w:tcBorders>
            <w:noWrap/>
            <w:vAlign w:val="bottom"/>
            <w:hideMark/>
          </w:tcPr>
          <w:p w14:paraId="29437F5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0.5mg</w:t>
            </w:r>
          </w:p>
        </w:tc>
        <w:tc>
          <w:tcPr>
            <w:tcW w:w="1790" w:type="dxa"/>
            <w:tcBorders>
              <w:top w:val="nil"/>
              <w:left w:val="nil"/>
              <w:bottom w:val="single" w:sz="4" w:space="0" w:color="auto"/>
              <w:right w:val="nil"/>
            </w:tcBorders>
            <w:noWrap/>
            <w:vAlign w:val="bottom"/>
            <w:hideMark/>
          </w:tcPr>
          <w:p w14:paraId="1D78B959"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1.0mg</w:t>
            </w:r>
          </w:p>
        </w:tc>
      </w:tr>
      <w:tr w:rsidR="00306E5F" w:rsidRPr="00306E5F" w14:paraId="62DBB0C1" w14:textId="77777777" w:rsidTr="004C1A41">
        <w:trPr>
          <w:trHeight w:val="294"/>
        </w:trPr>
        <w:tc>
          <w:tcPr>
            <w:tcW w:w="2295" w:type="dxa"/>
            <w:tcBorders>
              <w:top w:val="single" w:sz="4" w:space="0" w:color="auto"/>
              <w:left w:val="nil"/>
              <w:bottom w:val="nil"/>
              <w:right w:val="nil"/>
            </w:tcBorders>
            <w:noWrap/>
            <w:vAlign w:val="bottom"/>
            <w:hideMark/>
          </w:tcPr>
          <w:p w14:paraId="1BA324E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Gentamycin</w:t>
            </w:r>
          </w:p>
        </w:tc>
        <w:tc>
          <w:tcPr>
            <w:tcW w:w="1912" w:type="dxa"/>
            <w:tcBorders>
              <w:top w:val="nil"/>
              <w:left w:val="nil"/>
              <w:bottom w:val="nil"/>
              <w:right w:val="nil"/>
            </w:tcBorders>
            <w:noWrap/>
            <w:vAlign w:val="center"/>
            <w:hideMark/>
          </w:tcPr>
          <w:p w14:paraId="5CCB0B2E"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18.0</w:t>
            </w:r>
            <w:r w:rsidRPr="00306E5F">
              <w:rPr>
                <w:rFonts w:eastAsia="Times New Roman" w:cs="Times New Roman"/>
                <w:sz w:val="20"/>
                <w:szCs w:val="20"/>
                <w:vertAlign w:val="superscript"/>
              </w:rPr>
              <w:t>a</w:t>
            </w:r>
          </w:p>
        </w:tc>
        <w:tc>
          <w:tcPr>
            <w:tcW w:w="1721" w:type="dxa"/>
            <w:tcBorders>
              <w:top w:val="nil"/>
              <w:left w:val="nil"/>
              <w:bottom w:val="nil"/>
              <w:right w:val="nil"/>
            </w:tcBorders>
            <w:noWrap/>
            <w:vAlign w:val="center"/>
            <w:hideMark/>
          </w:tcPr>
          <w:p w14:paraId="7478C11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17.0</w:t>
            </w:r>
            <w:r w:rsidRPr="00306E5F">
              <w:rPr>
                <w:rFonts w:eastAsia="Times New Roman" w:cs="Times New Roman"/>
                <w:sz w:val="20"/>
                <w:szCs w:val="20"/>
                <w:vertAlign w:val="superscript"/>
              </w:rPr>
              <w:t>a</w:t>
            </w:r>
          </w:p>
        </w:tc>
        <w:tc>
          <w:tcPr>
            <w:tcW w:w="1625" w:type="dxa"/>
            <w:tcBorders>
              <w:top w:val="nil"/>
              <w:left w:val="nil"/>
              <w:bottom w:val="nil"/>
              <w:right w:val="nil"/>
            </w:tcBorders>
            <w:noWrap/>
            <w:vAlign w:val="bottom"/>
            <w:hideMark/>
          </w:tcPr>
          <w:p w14:paraId="5793B5D1"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20.0</w:t>
            </w:r>
            <w:r w:rsidRPr="00306E5F">
              <w:rPr>
                <w:rFonts w:eastAsia="Times New Roman" w:cs="Times New Roman"/>
                <w:color w:val="000000"/>
                <w:sz w:val="20"/>
                <w:szCs w:val="20"/>
                <w:vertAlign w:val="superscript"/>
              </w:rPr>
              <w:t>a</w:t>
            </w:r>
          </w:p>
        </w:tc>
        <w:tc>
          <w:tcPr>
            <w:tcW w:w="1790" w:type="dxa"/>
            <w:tcBorders>
              <w:top w:val="nil"/>
              <w:left w:val="nil"/>
              <w:bottom w:val="nil"/>
              <w:right w:val="nil"/>
            </w:tcBorders>
            <w:noWrap/>
            <w:vAlign w:val="bottom"/>
            <w:hideMark/>
          </w:tcPr>
          <w:p w14:paraId="58B2EA8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21.0</w:t>
            </w:r>
            <w:r w:rsidRPr="00306E5F">
              <w:rPr>
                <w:rFonts w:eastAsia="Times New Roman" w:cs="Times New Roman"/>
                <w:color w:val="000000"/>
                <w:sz w:val="20"/>
                <w:szCs w:val="20"/>
                <w:vertAlign w:val="superscript"/>
              </w:rPr>
              <w:t>a</w:t>
            </w:r>
          </w:p>
        </w:tc>
      </w:tr>
      <w:tr w:rsidR="00306E5F" w:rsidRPr="00306E5F" w14:paraId="51D7D1CA" w14:textId="77777777" w:rsidTr="004C1A41">
        <w:trPr>
          <w:trHeight w:val="294"/>
        </w:trPr>
        <w:tc>
          <w:tcPr>
            <w:tcW w:w="2295" w:type="dxa"/>
            <w:tcBorders>
              <w:top w:val="nil"/>
              <w:left w:val="nil"/>
              <w:bottom w:val="nil"/>
              <w:right w:val="nil"/>
            </w:tcBorders>
            <w:noWrap/>
            <w:vAlign w:val="bottom"/>
            <w:hideMark/>
          </w:tcPr>
          <w:p w14:paraId="2118BE0C"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w:t>
            </w:r>
          </w:p>
        </w:tc>
        <w:tc>
          <w:tcPr>
            <w:tcW w:w="1912" w:type="dxa"/>
            <w:tcBorders>
              <w:top w:val="nil"/>
              <w:left w:val="nil"/>
              <w:bottom w:val="nil"/>
              <w:right w:val="nil"/>
            </w:tcBorders>
            <w:noWrap/>
            <w:vAlign w:val="center"/>
            <w:hideMark/>
          </w:tcPr>
          <w:p w14:paraId="4D3F955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721" w:type="dxa"/>
            <w:tcBorders>
              <w:top w:val="nil"/>
              <w:left w:val="nil"/>
              <w:bottom w:val="nil"/>
              <w:right w:val="nil"/>
            </w:tcBorders>
            <w:noWrap/>
            <w:vAlign w:val="center"/>
            <w:hideMark/>
          </w:tcPr>
          <w:p w14:paraId="1B5139A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161D3F44"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12.5</w:t>
            </w:r>
            <w:r w:rsidRPr="00306E5F">
              <w:rPr>
                <w:rFonts w:eastAsia="Times New Roman" w:cs="Times New Roman"/>
                <w:color w:val="000000"/>
                <w:sz w:val="20"/>
                <w:szCs w:val="20"/>
                <w:vertAlign w:val="superscript"/>
              </w:rPr>
              <w:t>b</w:t>
            </w:r>
          </w:p>
        </w:tc>
        <w:tc>
          <w:tcPr>
            <w:tcW w:w="1790" w:type="dxa"/>
            <w:tcBorders>
              <w:top w:val="nil"/>
              <w:left w:val="nil"/>
              <w:bottom w:val="nil"/>
              <w:right w:val="nil"/>
            </w:tcBorders>
            <w:noWrap/>
            <w:vAlign w:val="bottom"/>
            <w:hideMark/>
          </w:tcPr>
          <w:p w14:paraId="7B10E2C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14.5</w:t>
            </w:r>
            <w:r w:rsidRPr="00306E5F">
              <w:rPr>
                <w:rFonts w:eastAsia="Times New Roman" w:cs="Times New Roman"/>
                <w:color w:val="000000"/>
                <w:sz w:val="20"/>
                <w:szCs w:val="20"/>
                <w:vertAlign w:val="superscript"/>
              </w:rPr>
              <w:t>b</w:t>
            </w:r>
          </w:p>
        </w:tc>
      </w:tr>
      <w:tr w:rsidR="00306E5F" w:rsidRPr="00306E5F" w14:paraId="0C1CCFB3" w14:textId="77777777" w:rsidTr="004C1A41">
        <w:trPr>
          <w:trHeight w:val="294"/>
        </w:trPr>
        <w:tc>
          <w:tcPr>
            <w:tcW w:w="2295" w:type="dxa"/>
            <w:tcBorders>
              <w:top w:val="nil"/>
              <w:left w:val="nil"/>
              <w:bottom w:val="nil"/>
              <w:right w:val="nil"/>
            </w:tcBorders>
            <w:noWrap/>
            <w:vAlign w:val="bottom"/>
            <w:hideMark/>
          </w:tcPr>
          <w:p w14:paraId="5F981DE7"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L_C2</w:t>
            </w:r>
          </w:p>
        </w:tc>
        <w:tc>
          <w:tcPr>
            <w:tcW w:w="1912" w:type="dxa"/>
            <w:tcBorders>
              <w:top w:val="nil"/>
              <w:left w:val="nil"/>
              <w:bottom w:val="nil"/>
              <w:right w:val="nil"/>
            </w:tcBorders>
            <w:noWrap/>
            <w:vAlign w:val="center"/>
            <w:hideMark/>
          </w:tcPr>
          <w:p w14:paraId="69C019D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09ACD8D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4706F091"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047C35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c</w:t>
            </w:r>
          </w:p>
        </w:tc>
      </w:tr>
      <w:tr w:rsidR="00306E5F" w:rsidRPr="00306E5F" w14:paraId="7B49BF46" w14:textId="77777777" w:rsidTr="004C1A41">
        <w:trPr>
          <w:trHeight w:val="294"/>
        </w:trPr>
        <w:tc>
          <w:tcPr>
            <w:tcW w:w="2295" w:type="dxa"/>
            <w:tcBorders>
              <w:top w:val="nil"/>
              <w:left w:val="nil"/>
              <w:bottom w:val="nil"/>
              <w:right w:val="nil"/>
            </w:tcBorders>
            <w:noWrap/>
            <w:vAlign w:val="bottom"/>
            <w:hideMark/>
          </w:tcPr>
          <w:p w14:paraId="4858AE6A" w14:textId="77777777" w:rsidR="00306E5F" w:rsidRPr="00306E5F" w:rsidRDefault="00306E5F" w:rsidP="00B138C8">
            <w:pPr>
              <w:spacing w:after="0"/>
              <w:rPr>
                <w:rFonts w:eastAsia="Times New Roman" w:cs="Times New Roman"/>
                <w:color w:val="000000"/>
                <w:sz w:val="20"/>
                <w:szCs w:val="20"/>
              </w:rPr>
            </w:pPr>
            <w:proofErr w:type="spellStart"/>
            <w:r w:rsidRPr="00306E5F">
              <w:rPr>
                <w:rFonts w:eastAsia="Times New Roman" w:cs="Times New Roman"/>
                <w:color w:val="000000"/>
                <w:sz w:val="20"/>
                <w:szCs w:val="20"/>
              </w:rPr>
              <w:t>L_Ru</w:t>
            </w:r>
            <w:proofErr w:type="spellEnd"/>
          </w:p>
        </w:tc>
        <w:tc>
          <w:tcPr>
            <w:tcW w:w="1912" w:type="dxa"/>
            <w:tcBorders>
              <w:top w:val="nil"/>
              <w:left w:val="nil"/>
              <w:bottom w:val="nil"/>
              <w:right w:val="nil"/>
            </w:tcBorders>
            <w:noWrap/>
            <w:vAlign w:val="center"/>
            <w:hideMark/>
          </w:tcPr>
          <w:p w14:paraId="0D27EEAE"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4FFC385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1A0A451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b</w:t>
            </w:r>
          </w:p>
        </w:tc>
        <w:tc>
          <w:tcPr>
            <w:tcW w:w="1790" w:type="dxa"/>
            <w:tcBorders>
              <w:top w:val="nil"/>
              <w:left w:val="nil"/>
              <w:bottom w:val="nil"/>
              <w:right w:val="nil"/>
            </w:tcBorders>
            <w:noWrap/>
            <w:vAlign w:val="bottom"/>
            <w:hideMark/>
          </w:tcPr>
          <w:p w14:paraId="170A256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13.0</w:t>
            </w:r>
            <w:r w:rsidRPr="00306E5F">
              <w:rPr>
                <w:rFonts w:eastAsia="Times New Roman" w:cs="Times New Roman"/>
                <w:color w:val="000000"/>
                <w:sz w:val="20"/>
                <w:szCs w:val="20"/>
                <w:vertAlign w:val="superscript"/>
              </w:rPr>
              <w:t>bc</w:t>
            </w:r>
          </w:p>
        </w:tc>
      </w:tr>
      <w:tr w:rsidR="00306E5F" w:rsidRPr="00306E5F" w14:paraId="36B4FA69" w14:textId="77777777" w:rsidTr="004C1A41">
        <w:trPr>
          <w:trHeight w:val="294"/>
        </w:trPr>
        <w:tc>
          <w:tcPr>
            <w:tcW w:w="2295" w:type="dxa"/>
            <w:tcBorders>
              <w:top w:val="nil"/>
              <w:left w:val="nil"/>
              <w:bottom w:val="nil"/>
              <w:right w:val="nil"/>
            </w:tcBorders>
            <w:noWrap/>
            <w:vAlign w:val="bottom"/>
            <w:hideMark/>
          </w:tcPr>
          <w:p w14:paraId="573BDEFC"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w:t>
            </w:r>
          </w:p>
        </w:tc>
        <w:tc>
          <w:tcPr>
            <w:tcW w:w="1912" w:type="dxa"/>
            <w:tcBorders>
              <w:top w:val="nil"/>
              <w:left w:val="nil"/>
              <w:bottom w:val="nil"/>
              <w:right w:val="nil"/>
            </w:tcBorders>
            <w:noWrap/>
            <w:vAlign w:val="center"/>
            <w:hideMark/>
          </w:tcPr>
          <w:p w14:paraId="2EE63B7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51834C5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3514B43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651AF0A"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8.5</w:t>
            </w:r>
            <w:r w:rsidRPr="00306E5F">
              <w:rPr>
                <w:rFonts w:eastAsia="Times New Roman" w:cs="Times New Roman"/>
                <w:color w:val="000000"/>
                <w:sz w:val="20"/>
                <w:szCs w:val="20"/>
                <w:vertAlign w:val="superscript"/>
              </w:rPr>
              <w:t>d</w:t>
            </w:r>
          </w:p>
        </w:tc>
      </w:tr>
      <w:tr w:rsidR="00306E5F" w:rsidRPr="00306E5F" w14:paraId="7FF74FB2" w14:textId="77777777" w:rsidTr="004C1A41">
        <w:trPr>
          <w:trHeight w:val="294"/>
        </w:trPr>
        <w:tc>
          <w:tcPr>
            <w:tcW w:w="2295" w:type="dxa"/>
            <w:tcBorders>
              <w:top w:val="nil"/>
              <w:left w:val="nil"/>
              <w:bottom w:val="nil"/>
              <w:right w:val="nil"/>
            </w:tcBorders>
            <w:noWrap/>
            <w:vAlign w:val="bottom"/>
            <w:hideMark/>
          </w:tcPr>
          <w:p w14:paraId="57F757A6"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L1_C2</w:t>
            </w:r>
          </w:p>
        </w:tc>
        <w:tc>
          <w:tcPr>
            <w:tcW w:w="1912" w:type="dxa"/>
            <w:tcBorders>
              <w:top w:val="nil"/>
              <w:left w:val="nil"/>
              <w:bottom w:val="nil"/>
              <w:right w:val="nil"/>
            </w:tcBorders>
            <w:noWrap/>
            <w:vAlign w:val="center"/>
            <w:hideMark/>
          </w:tcPr>
          <w:p w14:paraId="46EA5C69"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27E8119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12.0</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0CF6D753"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4AF30F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14.5</w:t>
            </w:r>
            <w:r w:rsidRPr="00306E5F">
              <w:rPr>
                <w:rFonts w:eastAsia="Times New Roman" w:cs="Times New Roman"/>
                <w:color w:val="000000"/>
                <w:sz w:val="20"/>
                <w:szCs w:val="20"/>
                <w:vertAlign w:val="superscript"/>
              </w:rPr>
              <w:t>b</w:t>
            </w:r>
          </w:p>
        </w:tc>
      </w:tr>
      <w:tr w:rsidR="00306E5F" w:rsidRPr="00306E5F" w14:paraId="43A2C6EC" w14:textId="77777777" w:rsidTr="004C1A41">
        <w:trPr>
          <w:trHeight w:val="294"/>
        </w:trPr>
        <w:tc>
          <w:tcPr>
            <w:tcW w:w="2295" w:type="dxa"/>
            <w:tcBorders>
              <w:top w:val="nil"/>
              <w:left w:val="nil"/>
              <w:bottom w:val="nil"/>
              <w:right w:val="nil"/>
            </w:tcBorders>
            <w:noWrap/>
            <w:vAlign w:val="bottom"/>
            <w:hideMark/>
          </w:tcPr>
          <w:p w14:paraId="4DB94E2F"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L1_Ru</w:t>
            </w:r>
          </w:p>
        </w:tc>
        <w:tc>
          <w:tcPr>
            <w:tcW w:w="1912" w:type="dxa"/>
            <w:tcBorders>
              <w:top w:val="nil"/>
              <w:left w:val="nil"/>
              <w:bottom w:val="nil"/>
              <w:right w:val="nil"/>
            </w:tcBorders>
            <w:noWrap/>
            <w:vAlign w:val="center"/>
            <w:hideMark/>
          </w:tcPr>
          <w:p w14:paraId="58F937EA"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6BE2F9DA"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9.5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7D9804F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10.5</w:t>
            </w:r>
            <w:r w:rsidRPr="00306E5F">
              <w:rPr>
                <w:rFonts w:eastAsia="Times New Roman" w:cs="Times New Roman"/>
                <w:color w:val="000000"/>
                <w:sz w:val="20"/>
                <w:szCs w:val="20"/>
                <w:vertAlign w:val="superscript"/>
              </w:rPr>
              <w:t>bcd</w:t>
            </w:r>
          </w:p>
        </w:tc>
        <w:tc>
          <w:tcPr>
            <w:tcW w:w="1790" w:type="dxa"/>
            <w:tcBorders>
              <w:top w:val="nil"/>
              <w:left w:val="nil"/>
              <w:bottom w:val="nil"/>
              <w:right w:val="nil"/>
            </w:tcBorders>
            <w:noWrap/>
            <w:vAlign w:val="bottom"/>
            <w:hideMark/>
          </w:tcPr>
          <w:p w14:paraId="4C03AA2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c</w:t>
            </w:r>
          </w:p>
        </w:tc>
      </w:tr>
      <w:tr w:rsidR="00306E5F" w:rsidRPr="00306E5F" w14:paraId="54D717A5" w14:textId="77777777" w:rsidTr="004C1A41">
        <w:trPr>
          <w:trHeight w:val="294"/>
        </w:trPr>
        <w:tc>
          <w:tcPr>
            <w:tcW w:w="2295" w:type="dxa"/>
            <w:tcBorders>
              <w:top w:val="nil"/>
              <w:left w:val="nil"/>
              <w:bottom w:val="nil"/>
              <w:right w:val="nil"/>
            </w:tcBorders>
            <w:noWrap/>
            <w:vAlign w:val="bottom"/>
            <w:hideMark/>
          </w:tcPr>
          <w:p w14:paraId="56B62D2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w:t>
            </w:r>
          </w:p>
        </w:tc>
        <w:tc>
          <w:tcPr>
            <w:tcW w:w="1912" w:type="dxa"/>
            <w:tcBorders>
              <w:top w:val="nil"/>
              <w:left w:val="nil"/>
              <w:bottom w:val="nil"/>
              <w:right w:val="nil"/>
            </w:tcBorders>
            <w:noWrap/>
            <w:vAlign w:val="center"/>
            <w:hideMark/>
          </w:tcPr>
          <w:p w14:paraId="25EE9D0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4E0A5B40"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7E5B73F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10.5</w:t>
            </w:r>
            <w:r w:rsidRPr="00306E5F">
              <w:rPr>
                <w:rFonts w:eastAsia="Times New Roman" w:cs="Times New Roman"/>
                <w:color w:val="000000"/>
                <w:sz w:val="20"/>
                <w:szCs w:val="20"/>
                <w:vertAlign w:val="superscript"/>
              </w:rPr>
              <w:t>bcd</w:t>
            </w:r>
          </w:p>
        </w:tc>
        <w:tc>
          <w:tcPr>
            <w:tcW w:w="1790" w:type="dxa"/>
            <w:tcBorders>
              <w:top w:val="nil"/>
              <w:left w:val="nil"/>
              <w:bottom w:val="nil"/>
              <w:right w:val="nil"/>
            </w:tcBorders>
            <w:noWrap/>
            <w:vAlign w:val="bottom"/>
            <w:hideMark/>
          </w:tcPr>
          <w:p w14:paraId="157C18FB"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9.0</w:t>
            </w:r>
            <w:r w:rsidRPr="00306E5F">
              <w:rPr>
                <w:rFonts w:eastAsia="Times New Roman" w:cs="Times New Roman"/>
                <w:color w:val="000000"/>
                <w:sz w:val="20"/>
                <w:szCs w:val="20"/>
                <w:vertAlign w:val="superscript"/>
              </w:rPr>
              <w:t>d</w:t>
            </w:r>
          </w:p>
        </w:tc>
      </w:tr>
      <w:tr w:rsidR="00306E5F" w:rsidRPr="00306E5F" w14:paraId="7FDF4FA3" w14:textId="77777777" w:rsidTr="004C1A41">
        <w:trPr>
          <w:trHeight w:val="294"/>
        </w:trPr>
        <w:tc>
          <w:tcPr>
            <w:tcW w:w="2295" w:type="dxa"/>
            <w:tcBorders>
              <w:top w:val="nil"/>
              <w:left w:val="nil"/>
              <w:bottom w:val="nil"/>
              <w:right w:val="nil"/>
            </w:tcBorders>
            <w:noWrap/>
            <w:vAlign w:val="bottom"/>
            <w:hideMark/>
          </w:tcPr>
          <w:p w14:paraId="5AB2F333"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L2_C3</w:t>
            </w:r>
          </w:p>
        </w:tc>
        <w:tc>
          <w:tcPr>
            <w:tcW w:w="1912" w:type="dxa"/>
            <w:tcBorders>
              <w:top w:val="nil"/>
              <w:left w:val="nil"/>
              <w:bottom w:val="nil"/>
              <w:right w:val="nil"/>
            </w:tcBorders>
            <w:noWrap/>
            <w:vAlign w:val="center"/>
            <w:hideMark/>
          </w:tcPr>
          <w:p w14:paraId="1E28D8B3"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8.5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200E177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9.5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57A6A17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8.5</w:t>
            </w:r>
            <w:r w:rsidRPr="00306E5F">
              <w:rPr>
                <w:rFonts w:eastAsia="Times New Roman" w:cs="Times New Roman"/>
                <w:color w:val="000000"/>
                <w:sz w:val="20"/>
                <w:szCs w:val="20"/>
                <w:vertAlign w:val="superscript"/>
              </w:rPr>
              <w:t>d</w:t>
            </w:r>
          </w:p>
        </w:tc>
        <w:tc>
          <w:tcPr>
            <w:tcW w:w="1790" w:type="dxa"/>
            <w:tcBorders>
              <w:top w:val="nil"/>
              <w:left w:val="nil"/>
              <w:bottom w:val="nil"/>
              <w:right w:val="nil"/>
            </w:tcBorders>
            <w:noWrap/>
            <w:vAlign w:val="bottom"/>
            <w:hideMark/>
          </w:tcPr>
          <w:p w14:paraId="2E8D5AC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9.5</w:t>
            </w:r>
            <w:r w:rsidRPr="00306E5F">
              <w:rPr>
                <w:rFonts w:eastAsia="Times New Roman" w:cs="Times New Roman"/>
                <w:color w:val="000000"/>
                <w:sz w:val="20"/>
                <w:szCs w:val="20"/>
                <w:vertAlign w:val="superscript"/>
              </w:rPr>
              <w:t>d</w:t>
            </w:r>
          </w:p>
        </w:tc>
      </w:tr>
      <w:tr w:rsidR="00306E5F" w:rsidRPr="00306E5F" w14:paraId="52442BFA" w14:textId="77777777" w:rsidTr="004C1A41">
        <w:trPr>
          <w:trHeight w:val="294"/>
        </w:trPr>
        <w:tc>
          <w:tcPr>
            <w:tcW w:w="2295" w:type="dxa"/>
            <w:tcBorders>
              <w:top w:val="nil"/>
              <w:left w:val="nil"/>
              <w:bottom w:val="single" w:sz="4" w:space="0" w:color="auto"/>
              <w:right w:val="nil"/>
            </w:tcBorders>
            <w:noWrap/>
            <w:vAlign w:val="bottom"/>
            <w:hideMark/>
          </w:tcPr>
          <w:p w14:paraId="34FF22E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L2_Ru</w:t>
            </w:r>
          </w:p>
        </w:tc>
        <w:tc>
          <w:tcPr>
            <w:tcW w:w="1912" w:type="dxa"/>
            <w:tcBorders>
              <w:top w:val="nil"/>
              <w:left w:val="nil"/>
              <w:bottom w:val="single" w:sz="4" w:space="0" w:color="auto"/>
              <w:right w:val="nil"/>
            </w:tcBorders>
            <w:noWrap/>
            <w:vAlign w:val="center"/>
            <w:hideMark/>
          </w:tcPr>
          <w:p w14:paraId="3AEA564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8.0</w:t>
            </w:r>
            <w:r w:rsidRPr="00306E5F">
              <w:rPr>
                <w:rFonts w:eastAsia="Times New Roman" w:cs="Times New Roman"/>
                <w:sz w:val="20"/>
                <w:szCs w:val="20"/>
                <w:vertAlign w:val="superscript"/>
              </w:rPr>
              <w:t>c</w:t>
            </w:r>
          </w:p>
        </w:tc>
        <w:tc>
          <w:tcPr>
            <w:tcW w:w="1721" w:type="dxa"/>
            <w:tcBorders>
              <w:top w:val="nil"/>
              <w:left w:val="nil"/>
              <w:bottom w:val="single" w:sz="4" w:space="0" w:color="auto"/>
              <w:right w:val="nil"/>
            </w:tcBorders>
            <w:noWrap/>
            <w:vAlign w:val="center"/>
            <w:hideMark/>
          </w:tcPr>
          <w:p w14:paraId="4AFCA64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w:t>
            </w:r>
          </w:p>
        </w:tc>
        <w:tc>
          <w:tcPr>
            <w:tcW w:w="1625" w:type="dxa"/>
            <w:tcBorders>
              <w:top w:val="nil"/>
              <w:left w:val="nil"/>
              <w:bottom w:val="single" w:sz="4" w:space="0" w:color="auto"/>
              <w:right w:val="nil"/>
            </w:tcBorders>
            <w:noWrap/>
            <w:vAlign w:val="bottom"/>
            <w:hideMark/>
          </w:tcPr>
          <w:p w14:paraId="5983CC61"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9.0</w:t>
            </w:r>
            <w:r w:rsidRPr="00306E5F">
              <w:rPr>
                <w:rFonts w:eastAsia="Times New Roman" w:cs="Times New Roman"/>
                <w:color w:val="000000"/>
                <w:sz w:val="20"/>
                <w:szCs w:val="20"/>
                <w:vertAlign w:val="superscript"/>
              </w:rPr>
              <w:t>cd</w:t>
            </w:r>
          </w:p>
        </w:tc>
        <w:tc>
          <w:tcPr>
            <w:tcW w:w="1790" w:type="dxa"/>
            <w:tcBorders>
              <w:top w:val="nil"/>
              <w:left w:val="nil"/>
              <w:bottom w:val="single" w:sz="4" w:space="0" w:color="auto"/>
              <w:right w:val="nil"/>
            </w:tcBorders>
            <w:noWrap/>
            <w:vAlign w:val="bottom"/>
            <w:hideMark/>
          </w:tcPr>
          <w:p w14:paraId="3044963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8.0</w:t>
            </w:r>
            <w:r w:rsidRPr="00306E5F">
              <w:rPr>
                <w:rFonts w:eastAsia="Times New Roman" w:cs="Times New Roman"/>
                <w:color w:val="000000"/>
                <w:sz w:val="20"/>
                <w:szCs w:val="20"/>
                <w:vertAlign w:val="superscript"/>
              </w:rPr>
              <w:t>d</w:t>
            </w:r>
          </w:p>
        </w:tc>
      </w:tr>
      <w:tr w:rsidR="00306E5F" w:rsidRPr="00306E5F" w14:paraId="4AB17F49" w14:textId="77777777" w:rsidTr="004C1A41">
        <w:trPr>
          <w:trHeight w:val="294"/>
        </w:trPr>
        <w:tc>
          <w:tcPr>
            <w:tcW w:w="2295" w:type="dxa"/>
            <w:tcBorders>
              <w:top w:val="nil"/>
              <w:left w:val="nil"/>
              <w:bottom w:val="nil"/>
              <w:right w:val="nil"/>
            </w:tcBorders>
            <w:noWrap/>
            <w:vAlign w:val="bottom"/>
            <w:hideMark/>
          </w:tcPr>
          <w:p w14:paraId="1C57E7CB"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Mean:</w:t>
            </w:r>
          </w:p>
        </w:tc>
        <w:tc>
          <w:tcPr>
            <w:tcW w:w="1912" w:type="dxa"/>
            <w:tcBorders>
              <w:top w:val="nil"/>
              <w:left w:val="nil"/>
              <w:bottom w:val="nil"/>
              <w:right w:val="nil"/>
            </w:tcBorders>
            <w:noWrap/>
            <w:hideMark/>
          </w:tcPr>
          <w:p w14:paraId="736425A5"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10.25</w:t>
            </w:r>
          </w:p>
        </w:tc>
        <w:tc>
          <w:tcPr>
            <w:tcW w:w="1721" w:type="dxa"/>
            <w:tcBorders>
              <w:top w:val="nil"/>
              <w:left w:val="nil"/>
              <w:bottom w:val="nil"/>
              <w:right w:val="nil"/>
            </w:tcBorders>
            <w:noWrap/>
            <w:hideMark/>
          </w:tcPr>
          <w:p w14:paraId="64050F0B"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10.8</w:t>
            </w:r>
          </w:p>
        </w:tc>
        <w:tc>
          <w:tcPr>
            <w:tcW w:w="1625" w:type="dxa"/>
            <w:tcBorders>
              <w:top w:val="nil"/>
              <w:left w:val="nil"/>
              <w:bottom w:val="nil"/>
              <w:right w:val="nil"/>
            </w:tcBorders>
            <w:noWrap/>
            <w:vAlign w:val="bottom"/>
            <w:hideMark/>
          </w:tcPr>
          <w:p w14:paraId="311F0C9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11.75</w:t>
            </w:r>
          </w:p>
        </w:tc>
        <w:tc>
          <w:tcPr>
            <w:tcW w:w="1790" w:type="dxa"/>
            <w:tcBorders>
              <w:top w:val="nil"/>
              <w:left w:val="nil"/>
              <w:bottom w:val="nil"/>
              <w:right w:val="nil"/>
            </w:tcBorders>
            <w:noWrap/>
            <w:vAlign w:val="bottom"/>
            <w:hideMark/>
          </w:tcPr>
          <w:p w14:paraId="0F33A0EE"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12.2</w:t>
            </w:r>
          </w:p>
        </w:tc>
      </w:tr>
      <w:tr w:rsidR="00306E5F" w:rsidRPr="00306E5F" w14:paraId="5F2DAB3E" w14:textId="77777777" w:rsidTr="004C1A41">
        <w:trPr>
          <w:trHeight w:val="294"/>
        </w:trPr>
        <w:tc>
          <w:tcPr>
            <w:tcW w:w="2295" w:type="dxa"/>
            <w:tcBorders>
              <w:top w:val="nil"/>
              <w:left w:val="nil"/>
              <w:bottom w:val="nil"/>
              <w:right w:val="nil"/>
            </w:tcBorders>
            <w:noWrap/>
            <w:vAlign w:val="bottom"/>
            <w:hideMark/>
          </w:tcPr>
          <w:p w14:paraId="166CEF89"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CV (%):</w:t>
            </w:r>
          </w:p>
        </w:tc>
        <w:tc>
          <w:tcPr>
            <w:tcW w:w="1912" w:type="dxa"/>
            <w:tcBorders>
              <w:top w:val="nil"/>
              <w:left w:val="nil"/>
              <w:bottom w:val="nil"/>
              <w:right w:val="nil"/>
            </w:tcBorders>
            <w:noWrap/>
            <w:hideMark/>
          </w:tcPr>
          <w:p w14:paraId="6C2E1057"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4.88</w:t>
            </w:r>
          </w:p>
        </w:tc>
        <w:tc>
          <w:tcPr>
            <w:tcW w:w="1721" w:type="dxa"/>
            <w:tcBorders>
              <w:top w:val="nil"/>
              <w:left w:val="nil"/>
              <w:bottom w:val="nil"/>
              <w:right w:val="nil"/>
            </w:tcBorders>
            <w:noWrap/>
            <w:hideMark/>
          </w:tcPr>
          <w:p w14:paraId="3E35D4F0"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5.07</w:t>
            </w:r>
          </w:p>
        </w:tc>
        <w:tc>
          <w:tcPr>
            <w:tcW w:w="1625" w:type="dxa"/>
            <w:tcBorders>
              <w:top w:val="nil"/>
              <w:left w:val="nil"/>
              <w:bottom w:val="nil"/>
              <w:right w:val="nil"/>
            </w:tcBorders>
            <w:noWrap/>
            <w:vAlign w:val="bottom"/>
            <w:hideMark/>
          </w:tcPr>
          <w:p w14:paraId="3236D46E"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5.03</w:t>
            </w:r>
          </w:p>
        </w:tc>
        <w:tc>
          <w:tcPr>
            <w:tcW w:w="1790" w:type="dxa"/>
            <w:tcBorders>
              <w:top w:val="nil"/>
              <w:left w:val="nil"/>
              <w:bottom w:val="nil"/>
              <w:right w:val="nil"/>
            </w:tcBorders>
            <w:noWrap/>
            <w:vAlign w:val="bottom"/>
            <w:hideMark/>
          </w:tcPr>
          <w:p w14:paraId="7C80403F"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3.67</w:t>
            </w:r>
          </w:p>
        </w:tc>
      </w:tr>
      <w:tr w:rsidR="00306E5F" w:rsidRPr="00306E5F" w14:paraId="3432BA5A" w14:textId="77777777" w:rsidTr="004C1A41">
        <w:trPr>
          <w:trHeight w:val="294"/>
        </w:trPr>
        <w:tc>
          <w:tcPr>
            <w:tcW w:w="2295" w:type="dxa"/>
            <w:tcBorders>
              <w:top w:val="nil"/>
              <w:left w:val="nil"/>
              <w:bottom w:val="single" w:sz="4" w:space="0" w:color="auto"/>
              <w:right w:val="nil"/>
            </w:tcBorders>
            <w:noWrap/>
            <w:vAlign w:val="bottom"/>
            <w:hideMark/>
          </w:tcPr>
          <w:p w14:paraId="760F5B30"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LSD (α = 0.05):</w:t>
            </w:r>
          </w:p>
        </w:tc>
        <w:tc>
          <w:tcPr>
            <w:tcW w:w="1912" w:type="dxa"/>
            <w:tcBorders>
              <w:top w:val="nil"/>
              <w:left w:val="nil"/>
              <w:bottom w:val="single" w:sz="4" w:space="0" w:color="auto"/>
              <w:right w:val="nil"/>
            </w:tcBorders>
            <w:noWrap/>
            <w:hideMark/>
          </w:tcPr>
          <w:p w14:paraId="462A2F55"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2.26</w:t>
            </w:r>
          </w:p>
        </w:tc>
        <w:tc>
          <w:tcPr>
            <w:tcW w:w="1721" w:type="dxa"/>
            <w:tcBorders>
              <w:top w:val="nil"/>
              <w:left w:val="nil"/>
              <w:bottom w:val="single" w:sz="4" w:space="0" w:color="auto"/>
              <w:right w:val="nil"/>
            </w:tcBorders>
            <w:noWrap/>
            <w:hideMark/>
          </w:tcPr>
          <w:p w14:paraId="5B66A31F"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2.47</w:t>
            </w:r>
          </w:p>
        </w:tc>
        <w:tc>
          <w:tcPr>
            <w:tcW w:w="1625" w:type="dxa"/>
            <w:tcBorders>
              <w:top w:val="nil"/>
              <w:left w:val="nil"/>
              <w:bottom w:val="single" w:sz="4" w:space="0" w:color="auto"/>
              <w:right w:val="nil"/>
            </w:tcBorders>
            <w:noWrap/>
            <w:vAlign w:val="bottom"/>
            <w:hideMark/>
          </w:tcPr>
          <w:p w14:paraId="0B8CD4E6"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2.67</w:t>
            </w:r>
          </w:p>
        </w:tc>
        <w:tc>
          <w:tcPr>
            <w:tcW w:w="1790" w:type="dxa"/>
            <w:tcBorders>
              <w:top w:val="nil"/>
              <w:left w:val="nil"/>
              <w:bottom w:val="single" w:sz="4" w:space="0" w:color="auto"/>
              <w:right w:val="nil"/>
            </w:tcBorders>
            <w:noWrap/>
            <w:vAlign w:val="bottom"/>
            <w:hideMark/>
          </w:tcPr>
          <w:p w14:paraId="34D03FF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2.02</w:t>
            </w:r>
          </w:p>
        </w:tc>
      </w:tr>
    </w:tbl>
    <w:p w14:paraId="7D89A49F" w14:textId="77777777" w:rsidR="00306E5F" w:rsidRDefault="00306E5F" w:rsidP="00924D4D">
      <w:pPr>
        <w:spacing w:after="0"/>
        <w:jc w:val="both"/>
        <w:rPr>
          <w:sz w:val="20"/>
          <w:szCs w:val="18"/>
        </w:rPr>
      </w:pPr>
    </w:p>
    <w:p w14:paraId="4BF9AC60"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29AEE12B" w14:textId="1BBB5A73" w:rsidR="00924D4D" w:rsidRPr="00924D4D" w:rsidRDefault="00924D4D" w:rsidP="00924D4D">
      <w:pPr>
        <w:spacing w:after="0"/>
        <w:jc w:val="both"/>
        <w:rPr>
          <w:sz w:val="20"/>
          <w:szCs w:val="18"/>
        </w:rPr>
      </w:pPr>
      <w:r w:rsidRPr="00924D4D">
        <w:rPr>
          <w:sz w:val="20"/>
          <w:szCs w:val="18"/>
        </w:rPr>
        <w:t xml:space="preserve">Similarly, the bromo-substituted series demonstrated enhanced performance upon complexation: L (14.5 mm) &gt; L1 (8.5 mm), and L-C2 (12.0 mm) &gt; L1-C2 (14.5 mm). The hydroxy-substituted derivatives (L2, L2-Ru, L2-C3) consistently underperformed, with zones ≤9.5 mm at 1.0 mg, reinforcing the notion that polar substituents may reduce lipophilicity and impede penetration through the </w:t>
      </w:r>
      <w:r w:rsidRPr="00924D4D">
        <w:rPr>
          <w:i/>
          <w:iCs/>
          <w:sz w:val="20"/>
          <w:szCs w:val="18"/>
        </w:rPr>
        <w:t>E. coli</w:t>
      </w:r>
      <w:r w:rsidRPr="00924D4D">
        <w:rPr>
          <w:sz w:val="20"/>
          <w:szCs w:val="18"/>
        </w:rPr>
        <w:t xml:space="preserve"> outer membrane. Statistical analysis confirmed significant differences (p ≤ 0.05) among treatments at all concentrations, with mean inhibition zones increasing from 10.25 mm to 12.2 mm as concentration rose, demonstrating a </w:t>
      </w:r>
      <w:r w:rsidRPr="00924D4D">
        <w:rPr>
          <w:sz w:val="20"/>
          <w:szCs w:val="18"/>
        </w:rPr>
        <w:t>consistent dose–response relationship despite the inherent resistance of Gram-negative strains.</w:t>
      </w:r>
    </w:p>
    <w:p w14:paraId="3500F6C7" w14:textId="21B94E24" w:rsidR="00924D4D" w:rsidRPr="00924D4D" w:rsidRDefault="00924D4D" w:rsidP="00924D4D">
      <w:pPr>
        <w:pStyle w:val="ListParagraph"/>
        <w:numPr>
          <w:ilvl w:val="2"/>
          <w:numId w:val="1"/>
        </w:numPr>
        <w:spacing w:after="0"/>
        <w:jc w:val="both"/>
        <w:rPr>
          <w:sz w:val="20"/>
          <w:szCs w:val="18"/>
        </w:rPr>
      </w:pPr>
      <w:r w:rsidRPr="00924D4D">
        <w:rPr>
          <w:b/>
          <w:bCs/>
          <w:sz w:val="20"/>
          <w:szCs w:val="18"/>
        </w:rPr>
        <w:t>Comparative Analysis Across Compound Classes</w:t>
      </w:r>
    </w:p>
    <w:p w14:paraId="6961D242" w14:textId="77777777" w:rsidR="00306E5F" w:rsidRPr="004C1A41" w:rsidRDefault="00924D4D" w:rsidP="00924D4D">
      <w:pPr>
        <w:spacing w:after="0"/>
        <w:jc w:val="both"/>
        <w:rPr>
          <w:sz w:val="20"/>
          <w:szCs w:val="18"/>
        </w:rPr>
      </w:pPr>
      <w:r w:rsidRPr="00924D4D">
        <w:rPr>
          <w:sz w:val="20"/>
          <w:szCs w:val="18"/>
        </w:rPr>
        <w:t xml:space="preserve">A comparative evaluation of the bioassay data reveals three key structure–activity relationships. First, metal coordination consistently enhanced antibacterial activity relative to free ligands, supporting Tweedy’s chelation theory: the reduction in metal ion polarity upon complexation increases lipophilicity, facilitating passive diffusion through bacterial lipid membranes. </w:t>
      </w:r>
    </w:p>
    <w:p w14:paraId="4456B305" w14:textId="77777777" w:rsidR="00A6279A" w:rsidRDefault="00A6279A" w:rsidP="006D42CA">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068631FF" w14:textId="77777777" w:rsidR="006D42CA" w:rsidRPr="004C1A41" w:rsidRDefault="00306E5F" w:rsidP="006D42CA">
      <w:pPr>
        <w:keepNext/>
        <w:spacing w:after="0"/>
        <w:jc w:val="both"/>
      </w:pPr>
      <w:r w:rsidRPr="004C1A41">
        <w:rPr>
          <w:rFonts w:cs="Times New Roman"/>
          <w:noProof/>
          <w:szCs w:val="24"/>
        </w:rPr>
        <w:drawing>
          <wp:inline distT="0" distB="0" distL="0" distR="0" wp14:anchorId="12627A3F" wp14:editId="66F86FD7">
            <wp:extent cx="5924550" cy="2520950"/>
            <wp:effectExtent l="0" t="0" r="0" b="12700"/>
            <wp:docPr id="590121775" name="Chart 1">
              <a:extLst xmlns:a="http://schemas.openxmlformats.org/drawingml/2006/main">
                <a:ext uri="{FF2B5EF4-FFF2-40B4-BE49-F238E27FC236}">
                  <a16:creationId xmlns:a16="http://schemas.microsoft.com/office/drawing/2014/main" id="{3332D220-C69C-95B8-4475-F4A55FE5A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B7BE6" w14:textId="074ECB7B" w:rsidR="00306E5F" w:rsidRPr="004C1A41" w:rsidRDefault="006D42CA" w:rsidP="006D42CA">
      <w:pPr>
        <w:pStyle w:val="Caption"/>
        <w:rPr>
          <w:b/>
          <w:bCs/>
          <w:i w:val="0"/>
          <w:iCs w:val="0"/>
          <w:color w:val="auto"/>
          <w:sz w:val="20"/>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004C1A41">
        <w:rPr>
          <w:b/>
          <w:bCs/>
          <w:i w:val="0"/>
          <w:iCs w:val="0"/>
          <w:noProof/>
          <w:color w:val="auto"/>
        </w:rPr>
        <w:t>1</w:t>
      </w:r>
      <w:r w:rsidRPr="004C1A41">
        <w:rPr>
          <w:b/>
          <w:bCs/>
          <w:i w:val="0"/>
          <w:iCs w:val="0"/>
          <w:color w:val="auto"/>
        </w:rPr>
        <w:fldChar w:fldCharType="end"/>
      </w:r>
      <w:r w:rsidRPr="004C1A41">
        <w:rPr>
          <w:b/>
          <w:bCs/>
          <w:i w:val="0"/>
          <w:iCs w:val="0"/>
          <w:color w:val="auto"/>
        </w:rPr>
        <w:t>: Bioactivity of Compounds L2, L2_Ru, and L2_C3 against E. coli and S. aureus.</w:t>
      </w:r>
    </w:p>
    <w:p w14:paraId="4D1E9FFB"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01080710" w14:textId="68CC252F" w:rsidR="00924D4D" w:rsidRPr="00924D4D" w:rsidRDefault="00924D4D" w:rsidP="00924D4D">
      <w:pPr>
        <w:spacing w:after="0"/>
        <w:jc w:val="both"/>
        <w:rPr>
          <w:sz w:val="20"/>
          <w:szCs w:val="18"/>
        </w:rPr>
      </w:pPr>
      <w:r w:rsidRPr="00924D4D">
        <w:rPr>
          <w:sz w:val="20"/>
          <w:szCs w:val="18"/>
        </w:rPr>
        <w:t xml:space="preserve">Second, the nature of the aryl substituent significantly influenced potency. Bromo-substituted derivatives (e.g., L, L-C2) generally outperformed both unsubstituted (L1, L1-C2) and hydroxy-substituted </w:t>
      </w:r>
      <w:r w:rsidRPr="00924D4D">
        <w:rPr>
          <w:sz w:val="20"/>
          <w:szCs w:val="18"/>
        </w:rPr>
        <w:t xml:space="preserve">(L2, L2-C3) analogues, likely due to the electron-withdrawing effect of –Br enhancing electrophilicity and membrane interaction. In contrast, the electron-donating –OH group in L2 and its complexes appeared </w:t>
      </w:r>
      <w:r w:rsidRPr="00924D4D">
        <w:rPr>
          <w:sz w:val="20"/>
          <w:szCs w:val="18"/>
        </w:rPr>
        <w:lastRenderedPageBreak/>
        <w:t xml:space="preserve">to diminish activity, possibly by promoting hydrogen bonding that reduces passive diffusion. Third, the incorporation of the p-cymene moiety in half-sandwich architectures often conferred superior activity compared to simple </w:t>
      </w:r>
      <w:proofErr w:type="gramStart"/>
      <w:r w:rsidRPr="00924D4D">
        <w:rPr>
          <w:sz w:val="20"/>
          <w:szCs w:val="18"/>
        </w:rPr>
        <w:t>Ru(</w:t>
      </w:r>
      <w:proofErr w:type="gramEnd"/>
      <w:r w:rsidRPr="00924D4D">
        <w:rPr>
          <w:sz w:val="20"/>
          <w:szCs w:val="18"/>
        </w:rPr>
        <w:t xml:space="preserve">II) complexes. For example, L-C2 (14.0 mm vs. </w:t>
      </w:r>
      <w:r w:rsidRPr="00924D4D">
        <w:rPr>
          <w:i/>
          <w:iCs/>
          <w:sz w:val="20"/>
          <w:szCs w:val="18"/>
        </w:rPr>
        <w:t>S. aureus</w:t>
      </w:r>
      <w:r w:rsidRPr="00924D4D">
        <w:rPr>
          <w:sz w:val="20"/>
          <w:szCs w:val="18"/>
        </w:rPr>
        <w:t xml:space="preserve">) surpassed L-Ru (12.5 mm), and L1-C2 (14.5 mm vs. </w:t>
      </w:r>
      <w:r w:rsidRPr="00924D4D">
        <w:rPr>
          <w:i/>
          <w:iCs/>
          <w:sz w:val="20"/>
          <w:szCs w:val="18"/>
        </w:rPr>
        <w:t>E. coli</w:t>
      </w:r>
      <w:r w:rsidRPr="00924D4D">
        <w:rPr>
          <w:sz w:val="20"/>
          <w:szCs w:val="18"/>
        </w:rPr>
        <w:t xml:space="preserve">) exceeded L1-Ru (12.0 mm), highlighting the contribution of the hydrophobic arene ligand to cellular uptake and target affinity. These trends were consistent across both bacterial strains, though the magnitude of enhancement was generally greater against </w:t>
      </w:r>
      <w:r w:rsidRPr="00924D4D">
        <w:rPr>
          <w:i/>
          <w:iCs/>
          <w:sz w:val="20"/>
          <w:szCs w:val="18"/>
        </w:rPr>
        <w:t>S. aureus</w:t>
      </w:r>
      <w:r w:rsidRPr="00924D4D">
        <w:rPr>
          <w:sz w:val="20"/>
          <w:szCs w:val="18"/>
        </w:rPr>
        <w:t>.</w:t>
      </w:r>
    </w:p>
    <w:p w14:paraId="2C03B154" w14:textId="5FAD84FB" w:rsidR="00924D4D" w:rsidRPr="00924D4D" w:rsidRDefault="00924D4D" w:rsidP="00924D4D">
      <w:pPr>
        <w:pStyle w:val="ListParagraph"/>
        <w:numPr>
          <w:ilvl w:val="2"/>
          <w:numId w:val="1"/>
        </w:numPr>
        <w:spacing w:after="0"/>
        <w:jc w:val="both"/>
        <w:rPr>
          <w:b/>
          <w:bCs/>
          <w:sz w:val="20"/>
          <w:szCs w:val="18"/>
        </w:rPr>
      </w:pPr>
      <w:r w:rsidRPr="00924D4D">
        <w:rPr>
          <w:b/>
          <w:bCs/>
          <w:sz w:val="20"/>
          <w:szCs w:val="18"/>
        </w:rPr>
        <w:t>Key Observations from Bioassay Data</w:t>
      </w:r>
    </w:p>
    <w:p w14:paraId="24B6A60E" w14:textId="45C5BEA9" w:rsidR="00924D4D" w:rsidRPr="004C1A41" w:rsidRDefault="00924D4D" w:rsidP="00924D4D">
      <w:pPr>
        <w:spacing w:after="0"/>
        <w:jc w:val="both"/>
        <w:rPr>
          <w:sz w:val="20"/>
          <w:szCs w:val="18"/>
        </w:rPr>
      </w:pPr>
      <w:r w:rsidRPr="00924D4D">
        <w:rPr>
          <w:sz w:val="20"/>
          <w:szCs w:val="18"/>
        </w:rPr>
        <w:t xml:space="preserve">The highest activities recorded were 14.0 mm for L-C2 and L1-C2 against </w:t>
      </w:r>
      <w:r w:rsidRPr="00924D4D">
        <w:rPr>
          <w:i/>
          <w:iCs/>
          <w:sz w:val="20"/>
          <w:szCs w:val="18"/>
        </w:rPr>
        <w:t>S. aureus</w:t>
      </w:r>
      <w:r w:rsidRPr="00924D4D">
        <w:rPr>
          <w:sz w:val="20"/>
          <w:szCs w:val="18"/>
        </w:rPr>
        <w:t xml:space="preserve"> and 14.5 mm for L-Ru and L1-C2 against </w:t>
      </w:r>
      <w:r w:rsidRPr="00924D4D">
        <w:rPr>
          <w:i/>
          <w:iCs/>
          <w:sz w:val="20"/>
          <w:szCs w:val="18"/>
        </w:rPr>
        <w:t>E. coli</w:t>
      </w:r>
      <w:r w:rsidRPr="00924D4D">
        <w:rPr>
          <w:sz w:val="20"/>
          <w:szCs w:val="18"/>
        </w:rPr>
        <w:t xml:space="preserve">, all at 1.0 mg. While none of the test compounds surpassed gentamycin (17–21 mm), several approached clinically relevant inhibition </w:t>
      </w:r>
      <w:r w:rsidRPr="00924D4D">
        <w:rPr>
          <w:sz w:val="20"/>
          <w:szCs w:val="18"/>
        </w:rPr>
        <w:t>thresholds (&gt;12 mm), particularly the bromo- and unsubstituted p-cymene complexes. Critically, all active compounds showed statistically significant (p ≤ 0.05) inhibition compared to controls, confirming that the observed effects are biologically meaningful and not attributable to random variation. The hydroxy-substituted series (L2, L2-Ru, L2-C3) consistently exhibited the weakest activity, suggesting that polar functional groups may be detrimental to antimicrobial efficacy in this structural context. No antifungal or minimum inhibitory concentration (MIC) data were generated.</w:t>
      </w:r>
    </w:p>
    <w:p w14:paraId="0E0D3175" w14:textId="59ADA586" w:rsidR="00924D4D" w:rsidRPr="00924D4D" w:rsidRDefault="00924D4D" w:rsidP="00924D4D">
      <w:pPr>
        <w:pStyle w:val="ListParagraph"/>
        <w:numPr>
          <w:ilvl w:val="2"/>
          <w:numId w:val="1"/>
        </w:numPr>
        <w:spacing w:after="0"/>
        <w:jc w:val="both"/>
        <w:rPr>
          <w:sz w:val="20"/>
          <w:szCs w:val="18"/>
        </w:rPr>
      </w:pPr>
      <w:r w:rsidRPr="00924D4D">
        <w:rPr>
          <w:b/>
          <w:bCs/>
          <w:sz w:val="20"/>
          <w:szCs w:val="18"/>
        </w:rPr>
        <w:t>Visual Representation of Results</w:t>
      </w:r>
    </w:p>
    <w:p w14:paraId="5585F885" w14:textId="455084CA" w:rsidR="00E23274" w:rsidRPr="004C1A41" w:rsidRDefault="00924D4D" w:rsidP="00924D4D">
      <w:pPr>
        <w:spacing w:after="0"/>
        <w:jc w:val="both"/>
        <w:rPr>
          <w:sz w:val="20"/>
          <w:szCs w:val="18"/>
        </w:rPr>
      </w:pPr>
      <w:r w:rsidRPr="00924D4D">
        <w:rPr>
          <w:sz w:val="20"/>
          <w:szCs w:val="18"/>
        </w:rPr>
        <w:t xml:space="preserve">The trends observed in the tabular data are corroborated by the graphical summaries provided in the thesis. Figure </w:t>
      </w:r>
      <w:r w:rsidR="00E23274" w:rsidRPr="004C1A41">
        <w:rPr>
          <w:sz w:val="20"/>
          <w:szCs w:val="18"/>
        </w:rPr>
        <w:t>2</w:t>
      </w:r>
      <w:r w:rsidRPr="00924D4D">
        <w:rPr>
          <w:sz w:val="20"/>
          <w:szCs w:val="18"/>
        </w:rPr>
        <w:t xml:space="preserve"> illustrates the modest activity of the hydroxy series (L2, L2-Ru, L2-C3), with zones rarely exceeding 10.5 mm against either strain. </w:t>
      </w:r>
    </w:p>
    <w:p w14:paraId="2AEC3FDE" w14:textId="77777777" w:rsidR="00A6279A" w:rsidRDefault="00A6279A" w:rsidP="004C1A41">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37460026" w14:textId="77777777" w:rsidR="004C1A41" w:rsidRDefault="00E23274" w:rsidP="004C1A41">
      <w:pPr>
        <w:keepNext/>
        <w:spacing w:after="0"/>
        <w:jc w:val="both"/>
      </w:pPr>
      <w:r w:rsidRPr="004C1A41">
        <w:rPr>
          <w:rFonts w:cs="Times New Roman"/>
          <w:noProof/>
          <w:szCs w:val="24"/>
        </w:rPr>
        <w:drawing>
          <wp:inline distT="0" distB="0" distL="0" distR="0" wp14:anchorId="5B8EC4F9" wp14:editId="3FB3AA1E">
            <wp:extent cx="5861050" cy="4866676"/>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69933" cy="4874052"/>
                    </a:xfrm>
                    <a:prstGeom prst="rect">
                      <a:avLst/>
                    </a:prstGeom>
                  </pic:spPr>
                </pic:pic>
              </a:graphicData>
            </a:graphic>
          </wp:inline>
        </w:drawing>
      </w:r>
    </w:p>
    <w:p w14:paraId="7A2DAB77" w14:textId="06E6BD6C" w:rsidR="00E23274" w:rsidRPr="004C1A41" w:rsidRDefault="004C1A41" w:rsidP="004C1A41">
      <w:pPr>
        <w:pStyle w:val="Caption"/>
        <w:jc w:val="both"/>
        <w:rPr>
          <w:b/>
          <w:bCs/>
          <w:i w:val="0"/>
          <w:iCs w:val="0"/>
          <w:color w:val="auto"/>
          <w:sz w:val="20"/>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Pr="004C1A41">
        <w:rPr>
          <w:b/>
          <w:bCs/>
          <w:i w:val="0"/>
          <w:iCs w:val="0"/>
          <w:noProof/>
          <w:color w:val="auto"/>
        </w:rPr>
        <w:t>2</w:t>
      </w:r>
      <w:r w:rsidRPr="004C1A41">
        <w:rPr>
          <w:b/>
          <w:bCs/>
          <w:i w:val="0"/>
          <w:iCs w:val="0"/>
          <w:color w:val="auto"/>
        </w:rPr>
        <w:fldChar w:fldCharType="end"/>
      </w:r>
      <w:r w:rsidRPr="004C1A41">
        <w:rPr>
          <w:b/>
          <w:bCs/>
          <w:i w:val="0"/>
          <w:iCs w:val="0"/>
          <w:color w:val="auto"/>
        </w:rPr>
        <w:t>: 1H NMR of L1C2</w:t>
      </w:r>
    </w:p>
    <w:p w14:paraId="445AFFC4"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02A28A4D" w14:textId="77777777" w:rsidR="00E23274" w:rsidRPr="004C1A41" w:rsidRDefault="00924D4D" w:rsidP="00924D4D">
      <w:pPr>
        <w:spacing w:after="0"/>
        <w:jc w:val="both"/>
        <w:rPr>
          <w:sz w:val="20"/>
          <w:szCs w:val="18"/>
        </w:rPr>
      </w:pPr>
      <w:r w:rsidRPr="00924D4D">
        <w:rPr>
          <w:sz w:val="20"/>
          <w:szCs w:val="18"/>
        </w:rPr>
        <w:lastRenderedPageBreak/>
        <w:t xml:space="preserve">Figure </w:t>
      </w:r>
      <w:r w:rsidR="00E23274" w:rsidRPr="004C1A41">
        <w:rPr>
          <w:sz w:val="20"/>
          <w:szCs w:val="18"/>
        </w:rPr>
        <w:t>3</w:t>
      </w:r>
      <w:r w:rsidRPr="00924D4D">
        <w:rPr>
          <w:sz w:val="20"/>
          <w:szCs w:val="18"/>
        </w:rPr>
        <w:t xml:space="preserve"> highlights the progressive enhancement in the bromo series: L (9.5–10.0 mm) &lt; L-Ru (12.0–12.5 mm) &lt; L-C2 (14.0–14.5 mm), demonstrating the </w:t>
      </w:r>
      <w:r w:rsidRPr="00924D4D">
        <w:rPr>
          <w:sz w:val="20"/>
          <w:szCs w:val="18"/>
        </w:rPr>
        <w:t xml:space="preserve">synergistic benefits of both metal coordination and p-cymene incorporation. </w:t>
      </w:r>
    </w:p>
    <w:p w14:paraId="7212CD0E" w14:textId="77777777" w:rsidR="00A6279A" w:rsidRDefault="00A6279A" w:rsidP="006D42CA">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61FF29F9" w14:textId="77777777" w:rsidR="006D42CA" w:rsidRPr="004C1A41" w:rsidRDefault="00E23274" w:rsidP="006D42CA">
      <w:pPr>
        <w:keepNext/>
        <w:spacing w:after="0"/>
        <w:jc w:val="both"/>
      </w:pPr>
      <w:r w:rsidRPr="004C1A41">
        <w:rPr>
          <w:rFonts w:cs="Times New Roman"/>
          <w:noProof/>
          <w:szCs w:val="24"/>
        </w:rPr>
        <w:drawing>
          <wp:inline distT="0" distB="0" distL="0" distR="0" wp14:anchorId="0EC5C7E9" wp14:editId="28B56B42">
            <wp:extent cx="6159500" cy="508422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67958" cy="5091202"/>
                    </a:xfrm>
                    <a:prstGeom prst="rect">
                      <a:avLst/>
                    </a:prstGeom>
                  </pic:spPr>
                </pic:pic>
              </a:graphicData>
            </a:graphic>
          </wp:inline>
        </w:drawing>
      </w:r>
    </w:p>
    <w:p w14:paraId="12863B73" w14:textId="3D91C290" w:rsidR="00E23274" w:rsidRPr="004C1A41" w:rsidRDefault="006D42CA" w:rsidP="006D42CA">
      <w:pPr>
        <w:pStyle w:val="Caption"/>
        <w:jc w:val="both"/>
        <w:rPr>
          <w:b/>
          <w:bCs/>
          <w:i w:val="0"/>
          <w:iCs w:val="0"/>
          <w:color w:val="auto"/>
          <w:sz w:val="20"/>
          <w:vertAlign w:val="subscript"/>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004C1A41">
        <w:rPr>
          <w:b/>
          <w:bCs/>
          <w:i w:val="0"/>
          <w:iCs w:val="0"/>
          <w:noProof/>
          <w:color w:val="auto"/>
        </w:rPr>
        <w:t>3</w:t>
      </w:r>
      <w:r w:rsidRPr="004C1A41">
        <w:rPr>
          <w:b/>
          <w:bCs/>
          <w:i w:val="0"/>
          <w:iCs w:val="0"/>
          <w:color w:val="auto"/>
        </w:rPr>
        <w:fldChar w:fldCharType="end"/>
      </w:r>
      <w:r w:rsidRPr="004C1A41">
        <w:rPr>
          <w:b/>
          <w:bCs/>
          <w:i w:val="0"/>
          <w:iCs w:val="0"/>
          <w:color w:val="auto"/>
        </w:rPr>
        <w:t xml:space="preserve">: </w:t>
      </w:r>
      <w:r w:rsidR="004C1A41" w:rsidRPr="004C1A41">
        <w:rPr>
          <w:b/>
          <w:bCs/>
          <w:i w:val="0"/>
          <w:iCs w:val="0"/>
          <w:color w:val="auto"/>
          <w:vertAlign w:val="superscript"/>
        </w:rPr>
        <w:t>1</w:t>
      </w:r>
      <w:r w:rsidRPr="004C1A41">
        <w:rPr>
          <w:b/>
          <w:bCs/>
          <w:i w:val="0"/>
          <w:iCs w:val="0"/>
          <w:color w:val="auto"/>
        </w:rPr>
        <w:t>H NMR of LC</w:t>
      </w:r>
      <w:r w:rsidR="004C1A41" w:rsidRPr="004C1A41">
        <w:rPr>
          <w:b/>
          <w:bCs/>
          <w:i w:val="0"/>
          <w:iCs w:val="0"/>
          <w:color w:val="auto"/>
          <w:vertAlign w:val="subscript"/>
        </w:rPr>
        <w:t>1</w:t>
      </w:r>
    </w:p>
    <w:p w14:paraId="56517D88"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2B2F007A" w14:textId="71D24FE8" w:rsidR="00924D4D" w:rsidRPr="00924D4D" w:rsidRDefault="00924D4D" w:rsidP="00924D4D">
      <w:pPr>
        <w:spacing w:after="0"/>
        <w:jc w:val="both"/>
        <w:rPr>
          <w:sz w:val="20"/>
          <w:szCs w:val="18"/>
        </w:rPr>
      </w:pPr>
      <w:r w:rsidRPr="00924D4D">
        <w:rPr>
          <w:sz w:val="20"/>
          <w:szCs w:val="18"/>
        </w:rPr>
        <w:t xml:space="preserve">Similarly, Figure </w:t>
      </w:r>
      <w:r w:rsidR="00E23274">
        <w:rPr>
          <w:sz w:val="20"/>
          <w:szCs w:val="18"/>
        </w:rPr>
        <w:t>1</w:t>
      </w:r>
      <w:r w:rsidRPr="00924D4D">
        <w:rPr>
          <w:sz w:val="20"/>
          <w:szCs w:val="18"/>
        </w:rPr>
        <w:t xml:space="preserve"> shows the unsubstituted series following the same pattern: L1 (11.0–12.0 mm) &lt; L1-Ru (12.5–13.0 mm) &lt; L1-C2 (14.0–14.5 mm). Representative agar plates (Plates 3 and 4) provide qualitative confirmation, displaying clear, well-defined zones of inhibition around discs containing the most active complexes, particularly L-C2 and L1-C2. These visual aids collectively reinforce the conclusion that ruthenium</w:t>
      </w:r>
      <w:r w:rsidR="00306E5F">
        <w:rPr>
          <w:sz w:val="20"/>
          <w:szCs w:val="18"/>
        </w:rPr>
        <w:t xml:space="preserve"> </w:t>
      </w:r>
      <w:r w:rsidRPr="00924D4D">
        <w:rPr>
          <w:sz w:val="20"/>
          <w:szCs w:val="18"/>
        </w:rPr>
        <w:t>(II) complexation, strategic substitution, and p-cymene incorporation are key determinants of enhanced antibacterial efficacy.</w:t>
      </w:r>
    </w:p>
    <w:p w14:paraId="48B25D2D" w14:textId="77777777" w:rsidR="00924D4D" w:rsidRDefault="00924D4D" w:rsidP="000764AC">
      <w:pPr>
        <w:spacing w:after="0"/>
        <w:jc w:val="both"/>
        <w:rPr>
          <w:sz w:val="20"/>
          <w:szCs w:val="18"/>
        </w:rPr>
      </w:pPr>
    </w:p>
    <w:p w14:paraId="7A612C55" w14:textId="40F162B3" w:rsidR="000764AC" w:rsidRPr="000764AC" w:rsidRDefault="000764AC" w:rsidP="000764AC">
      <w:pPr>
        <w:pStyle w:val="ListParagraph"/>
        <w:numPr>
          <w:ilvl w:val="0"/>
          <w:numId w:val="1"/>
        </w:numPr>
        <w:spacing w:after="0"/>
        <w:jc w:val="both"/>
        <w:rPr>
          <w:b/>
          <w:bCs/>
          <w:sz w:val="20"/>
          <w:szCs w:val="18"/>
        </w:rPr>
      </w:pPr>
      <w:r w:rsidRPr="000764AC">
        <w:rPr>
          <w:b/>
          <w:bCs/>
          <w:sz w:val="20"/>
          <w:szCs w:val="18"/>
        </w:rPr>
        <w:t>DISCUSSION</w:t>
      </w:r>
    </w:p>
    <w:p w14:paraId="51C3901C" w14:textId="327514B9" w:rsidR="0031492F" w:rsidRPr="0031492F" w:rsidRDefault="0031492F" w:rsidP="0031492F">
      <w:pPr>
        <w:spacing w:after="0"/>
        <w:jc w:val="both"/>
        <w:rPr>
          <w:sz w:val="20"/>
          <w:szCs w:val="18"/>
        </w:rPr>
      </w:pPr>
      <w:r w:rsidRPr="0031492F">
        <w:rPr>
          <w:sz w:val="20"/>
          <w:szCs w:val="18"/>
        </w:rPr>
        <w:t xml:space="preserve">The enhanced antibacterial activity observed for ruthenium(II) Schiff base complexes relative to their </w:t>
      </w:r>
      <w:r w:rsidRPr="0031492F">
        <w:rPr>
          <w:sz w:val="20"/>
          <w:szCs w:val="18"/>
        </w:rPr>
        <w:t>free ligands strongly supports Tweedy’s chelation theory (El-</w:t>
      </w:r>
      <w:proofErr w:type="spellStart"/>
      <w:r w:rsidRPr="0031492F">
        <w:rPr>
          <w:sz w:val="20"/>
          <w:szCs w:val="18"/>
        </w:rPr>
        <w:t>Sherif</w:t>
      </w:r>
      <w:proofErr w:type="spellEnd"/>
      <w:r w:rsidRPr="0031492F">
        <w:rPr>
          <w:sz w:val="20"/>
          <w:szCs w:val="18"/>
        </w:rPr>
        <w:t xml:space="preserve"> &amp; </w:t>
      </w:r>
      <w:proofErr w:type="spellStart"/>
      <w:r w:rsidRPr="0031492F">
        <w:rPr>
          <w:sz w:val="20"/>
          <w:szCs w:val="18"/>
        </w:rPr>
        <w:t>Eldebss</w:t>
      </w:r>
      <w:proofErr w:type="spellEnd"/>
      <w:r w:rsidRPr="0031492F">
        <w:rPr>
          <w:sz w:val="20"/>
          <w:szCs w:val="18"/>
        </w:rPr>
        <w:t xml:space="preserve">, 2011; Singh &amp; Srivastava, 2011). Upon coordination, the polarity of the </w:t>
      </w:r>
      <w:proofErr w:type="gramStart"/>
      <w:r w:rsidRPr="0031492F">
        <w:rPr>
          <w:sz w:val="20"/>
          <w:szCs w:val="18"/>
        </w:rPr>
        <w:t>Ru(</w:t>
      </w:r>
      <w:proofErr w:type="gramEnd"/>
      <w:r w:rsidRPr="0031492F">
        <w:rPr>
          <w:sz w:val="20"/>
          <w:szCs w:val="18"/>
        </w:rPr>
        <w:t>II) ion is reduced through charge delocalization across the chelate ring, increasing lipophilicity and facilitating passive diffusion across microbial lipid membranes (Naeimi &amp; Moradian, 2016; Jesmin et al., 2008). Once internalized, the complexes likely disrupt vital cellular processes</w:t>
      </w:r>
      <w:r>
        <w:rPr>
          <w:sz w:val="20"/>
          <w:szCs w:val="18"/>
        </w:rPr>
        <w:t xml:space="preserve">, </w:t>
      </w:r>
      <w:r w:rsidRPr="0031492F">
        <w:rPr>
          <w:sz w:val="20"/>
          <w:szCs w:val="18"/>
        </w:rPr>
        <w:t>such as DNA replication or respiratory enzyme function</w:t>
      </w:r>
      <w:r>
        <w:rPr>
          <w:sz w:val="20"/>
          <w:szCs w:val="18"/>
        </w:rPr>
        <w:t xml:space="preserve"> </w:t>
      </w:r>
      <w:r w:rsidRPr="0031492F">
        <w:rPr>
          <w:sz w:val="20"/>
          <w:szCs w:val="18"/>
        </w:rPr>
        <w:t>by binding to metal-dependent biomolecules (Li et al., 2015; Bolhuis et al., 2011).</w:t>
      </w:r>
    </w:p>
    <w:p w14:paraId="07CF1E86" w14:textId="4329AA61" w:rsidR="0031492F" w:rsidRDefault="0031492F" w:rsidP="0031492F">
      <w:pPr>
        <w:spacing w:after="0"/>
        <w:jc w:val="both"/>
        <w:rPr>
          <w:sz w:val="20"/>
          <w:szCs w:val="18"/>
        </w:rPr>
      </w:pPr>
      <w:r w:rsidRPr="0031492F">
        <w:rPr>
          <w:sz w:val="20"/>
          <w:szCs w:val="18"/>
        </w:rPr>
        <w:t xml:space="preserve">Consistent with prior reports, all </w:t>
      </w:r>
      <w:proofErr w:type="gramStart"/>
      <w:r w:rsidRPr="0031492F">
        <w:rPr>
          <w:sz w:val="20"/>
          <w:szCs w:val="18"/>
        </w:rPr>
        <w:t>Ru(</w:t>
      </w:r>
      <w:proofErr w:type="gramEnd"/>
      <w:r w:rsidRPr="0031492F">
        <w:rPr>
          <w:sz w:val="20"/>
          <w:szCs w:val="18"/>
        </w:rPr>
        <w:t>II) complexes exhibited superior activity compared to their parent ligands, with inhibition zones ranging from 8.0</w:t>
      </w:r>
      <w:r>
        <w:rPr>
          <w:sz w:val="20"/>
          <w:szCs w:val="18"/>
        </w:rPr>
        <w:t xml:space="preserve"> -</w:t>
      </w:r>
      <w:r w:rsidRPr="0031492F">
        <w:rPr>
          <w:sz w:val="20"/>
          <w:szCs w:val="18"/>
        </w:rPr>
        <w:t xml:space="preserve">15.0 </w:t>
      </w:r>
      <w:r w:rsidRPr="0031492F">
        <w:rPr>
          <w:sz w:val="20"/>
          <w:szCs w:val="18"/>
        </w:rPr>
        <w:lastRenderedPageBreak/>
        <w:t>mm against Staphylococcus aureus and Escherichia coli at 1000 µg/mL (</w:t>
      </w:r>
      <w:proofErr w:type="spellStart"/>
      <w:r w:rsidRPr="0031492F">
        <w:rPr>
          <w:sz w:val="20"/>
          <w:szCs w:val="18"/>
        </w:rPr>
        <w:t>Gichumbi</w:t>
      </w:r>
      <w:proofErr w:type="spellEnd"/>
      <w:r w:rsidRPr="0031492F">
        <w:rPr>
          <w:sz w:val="20"/>
          <w:szCs w:val="18"/>
        </w:rPr>
        <w:t xml:space="preserve"> et al., 2016e). Notably, the half-sandwich p-cymene complexes L-C2 and L₁-C2 emerged as the most potent, achieving zones of 14</w:t>
      </w:r>
      <w:r>
        <w:rPr>
          <w:sz w:val="20"/>
          <w:szCs w:val="18"/>
        </w:rPr>
        <w:t>-</w:t>
      </w:r>
      <w:r w:rsidRPr="0031492F">
        <w:rPr>
          <w:sz w:val="20"/>
          <w:szCs w:val="18"/>
        </w:rPr>
        <w:t>15 mm</w:t>
      </w:r>
      <w:r>
        <w:rPr>
          <w:sz w:val="20"/>
          <w:szCs w:val="18"/>
        </w:rPr>
        <w:t xml:space="preserve">, </w:t>
      </w:r>
      <w:r w:rsidRPr="0031492F">
        <w:rPr>
          <w:sz w:val="20"/>
          <w:szCs w:val="18"/>
        </w:rPr>
        <w:t xml:space="preserve">a trend also observed in structurally analogous </w:t>
      </w:r>
      <w:proofErr w:type="gramStart"/>
      <w:r w:rsidRPr="0031492F">
        <w:rPr>
          <w:sz w:val="20"/>
          <w:szCs w:val="18"/>
        </w:rPr>
        <w:t>Ru(</w:t>
      </w:r>
      <w:proofErr w:type="gramEnd"/>
      <w:r w:rsidRPr="0031492F">
        <w:rPr>
          <w:sz w:val="20"/>
          <w:szCs w:val="18"/>
        </w:rPr>
        <w:t xml:space="preserve">II)-arene systems (Kumar et al., 2016; Petrović et al., 2024). This enhanced efficacy is attributed to the hydrophobic p-cymene moiety, which improves membrane permeability and stabilizes the “piano-stool” geometry for optimal target engagement (Prakash et al., 2013; </w:t>
      </w:r>
      <w:proofErr w:type="spellStart"/>
      <w:r w:rsidRPr="0031492F">
        <w:rPr>
          <w:sz w:val="20"/>
          <w:szCs w:val="18"/>
        </w:rPr>
        <w:t>Nyang’ate</w:t>
      </w:r>
      <w:proofErr w:type="spellEnd"/>
      <w:r w:rsidRPr="0031492F">
        <w:rPr>
          <w:sz w:val="20"/>
          <w:szCs w:val="18"/>
        </w:rPr>
        <w:t xml:space="preserve"> et al., 2025).</w:t>
      </w:r>
    </w:p>
    <w:p w14:paraId="4975ED94" w14:textId="0BC9D06B" w:rsidR="0031492F" w:rsidRDefault="0031492F" w:rsidP="0031492F">
      <w:pPr>
        <w:spacing w:after="0"/>
        <w:jc w:val="both"/>
        <w:rPr>
          <w:sz w:val="20"/>
          <w:szCs w:val="18"/>
        </w:rPr>
      </w:pPr>
      <w:r w:rsidRPr="0031492F">
        <w:rPr>
          <w:sz w:val="20"/>
          <w:szCs w:val="18"/>
        </w:rPr>
        <w:t>Furthermore, substituent effects played a critical role: complexes derived from bromo- (</w:t>
      </w:r>
      <w:r>
        <w:rPr>
          <w:sz w:val="20"/>
          <w:szCs w:val="18"/>
        </w:rPr>
        <w:t>-</w:t>
      </w:r>
      <w:r w:rsidRPr="0031492F">
        <w:rPr>
          <w:sz w:val="20"/>
          <w:szCs w:val="18"/>
        </w:rPr>
        <w:t>Br) and hydroxyl- (–</w:t>
      </w:r>
      <w:r>
        <w:rPr>
          <w:sz w:val="20"/>
          <w:szCs w:val="18"/>
        </w:rPr>
        <w:t xml:space="preserve"> </w:t>
      </w:r>
      <w:r w:rsidRPr="0031492F">
        <w:rPr>
          <w:sz w:val="20"/>
          <w:szCs w:val="18"/>
        </w:rPr>
        <w:t>OH) substituted ligands consistently outperformed those from unsubstituted aniline (L₁), aligning with SAR studies showing that electron-withdrawing (</w:t>
      </w:r>
      <w:r>
        <w:rPr>
          <w:sz w:val="20"/>
          <w:szCs w:val="18"/>
        </w:rPr>
        <w:t>-</w:t>
      </w:r>
      <w:r w:rsidRPr="0031492F">
        <w:rPr>
          <w:sz w:val="20"/>
          <w:szCs w:val="18"/>
        </w:rPr>
        <w:t>Br) and electron-donating (–</w:t>
      </w:r>
      <w:r>
        <w:rPr>
          <w:sz w:val="20"/>
          <w:szCs w:val="18"/>
        </w:rPr>
        <w:t xml:space="preserve"> </w:t>
      </w:r>
      <w:r w:rsidRPr="0031492F">
        <w:rPr>
          <w:sz w:val="20"/>
          <w:szCs w:val="18"/>
        </w:rPr>
        <w:t>OH) groups modulate electronic density, lipophilicity, and DNA affinity (Xie et al., 2015; Sur et al., 2020). The moderate activity against E. coli compared to S. aureus reflects the protective outer membrane of Gram-negative bacteria, a pattern widely documented for cationic metal complexes (Kumar et al., 2016; Li et al., 2015).</w:t>
      </w:r>
    </w:p>
    <w:p w14:paraId="2E7CA934" w14:textId="2712540B" w:rsidR="0031492F" w:rsidRDefault="0031492F" w:rsidP="0031492F">
      <w:pPr>
        <w:spacing w:after="0"/>
        <w:jc w:val="both"/>
        <w:rPr>
          <w:sz w:val="20"/>
          <w:szCs w:val="18"/>
        </w:rPr>
      </w:pPr>
      <w:r w:rsidRPr="0031492F">
        <w:rPr>
          <w:sz w:val="20"/>
          <w:szCs w:val="18"/>
        </w:rPr>
        <w:t>Although none surpassed gentamycin (17</w:t>
      </w:r>
      <w:r>
        <w:rPr>
          <w:sz w:val="20"/>
          <w:szCs w:val="18"/>
        </w:rPr>
        <w:t>-</w:t>
      </w:r>
      <w:r w:rsidRPr="0031492F">
        <w:rPr>
          <w:sz w:val="20"/>
          <w:szCs w:val="18"/>
        </w:rPr>
        <w:t xml:space="preserve">21 mm), the dose-dependent response and statistically significant differences (p ≤ 0.05, two-way ANOVA) confirm that both ligand substitution and Ru–p-cymene architecture critically influence bioactivity. These findings corroborate recent work by </w:t>
      </w:r>
      <w:proofErr w:type="spellStart"/>
      <w:r w:rsidRPr="0031492F">
        <w:rPr>
          <w:sz w:val="20"/>
          <w:szCs w:val="18"/>
        </w:rPr>
        <w:t>Nyang’ate</w:t>
      </w:r>
      <w:proofErr w:type="spellEnd"/>
      <w:r w:rsidRPr="0031492F">
        <w:rPr>
          <w:sz w:val="20"/>
          <w:szCs w:val="18"/>
        </w:rPr>
        <w:t xml:space="preserve"> et al. (2025), who emphasized the synergistic role of Ru coordination and aromatic substituents in antimicrobial design.</w:t>
      </w:r>
    </w:p>
    <w:p w14:paraId="210AE397" w14:textId="73B96831" w:rsidR="0031492F" w:rsidRDefault="0031492F" w:rsidP="0031492F">
      <w:pPr>
        <w:spacing w:after="0"/>
        <w:jc w:val="both"/>
        <w:rPr>
          <w:sz w:val="20"/>
          <w:szCs w:val="18"/>
        </w:rPr>
      </w:pPr>
      <w:r w:rsidRPr="0031492F">
        <w:rPr>
          <w:sz w:val="20"/>
          <w:szCs w:val="18"/>
        </w:rPr>
        <w:t xml:space="preserve">In summary, this study validates </w:t>
      </w:r>
      <w:proofErr w:type="gramStart"/>
      <w:r w:rsidRPr="0031492F">
        <w:rPr>
          <w:sz w:val="20"/>
          <w:szCs w:val="18"/>
        </w:rPr>
        <w:t>Ru(</w:t>
      </w:r>
      <w:proofErr w:type="gramEnd"/>
      <w:r w:rsidRPr="0031492F">
        <w:rPr>
          <w:sz w:val="20"/>
          <w:szCs w:val="18"/>
        </w:rPr>
        <w:t>II)</w:t>
      </w:r>
      <w:r>
        <w:rPr>
          <w:sz w:val="20"/>
          <w:szCs w:val="18"/>
        </w:rPr>
        <w:t xml:space="preserve"> </w:t>
      </w:r>
      <w:r w:rsidRPr="0031492F">
        <w:rPr>
          <w:sz w:val="20"/>
          <w:szCs w:val="18"/>
        </w:rPr>
        <w:t>pyridine-imine Schiff base complexes as promising scaffolds for next-generation antimicrobials. Future work should determine MIC values, assess cytotoxicity, and explore antifungal applications to fully realize their therapeutic potential.</w:t>
      </w:r>
    </w:p>
    <w:p w14:paraId="5249A689" w14:textId="65762E2D" w:rsidR="00F349A5" w:rsidRPr="0031492F" w:rsidRDefault="008D4804" w:rsidP="0031492F">
      <w:pPr>
        <w:pStyle w:val="ListParagraph"/>
        <w:numPr>
          <w:ilvl w:val="0"/>
          <w:numId w:val="1"/>
        </w:numPr>
        <w:jc w:val="both"/>
        <w:rPr>
          <w:sz w:val="20"/>
          <w:szCs w:val="18"/>
        </w:rPr>
      </w:pPr>
      <w:r w:rsidRPr="0031492F">
        <w:rPr>
          <w:b/>
          <w:bCs/>
          <w:sz w:val="20"/>
          <w:szCs w:val="18"/>
        </w:rPr>
        <w:t>CONCLUSION</w:t>
      </w:r>
    </w:p>
    <w:p w14:paraId="6DE3D502" w14:textId="73058F21" w:rsidR="00F349A5" w:rsidRPr="003E28CF" w:rsidRDefault="00F349A5" w:rsidP="003E28CF">
      <w:pPr>
        <w:jc w:val="both"/>
        <w:rPr>
          <w:sz w:val="20"/>
          <w:szCs w:val="18"/>
        </w:rPr>
      </w:pPr>
      <w:r w:rsidRPr="00F349A5">
        <w:rPr>
          <w:sz w:val="20"/>
          <w:szCs w:val="18"/>
        </w:rPr>
        <w:t>This study successfully synthesized and characterized a series of ruthenium</w:t>
      </w:r>
      <w:r>
        <w:rPr>
          <w:sz w:val="20"/>
          <w:szCs w:val="18"/>
        </w:rPr>
        <w:t xml:space="preserve"> </w:t>
      </w:r>
      <w:r w:rsidRPr="00F349A5">
        <w:rPr>
          <w:sz w:val="20"/>
          <w:szCs w:val="18"/>
        </w:rPr>
        <w:t>(II) complexes derived from pyridine–imine Schiff base ligands featuring systematic aromatic substitutions (–H, –Br, –OH) and two distinct architectures: simple Ru</w:t>
      </w:r>
      <w:r>
        <w:rPr>
          <w:sz w:val="20"/>
          <w:szCs w:val="18"/>
        </w:rPr>
        <w:t xml:space="preserve"> </w:t>
      </w:r>
      <w:r w:rsidRPr="00F349A5">
        <w:rPr>
          <w:sz w:val="20"/>
          <w:szCs w:val="18"/>
        </w:rPr>
        <w:t>(II) and half-sandwich Ru</w:t>
      </w:r>
      <w:r>
        <w:rPr>
          <w:sz w:val="20"/>
          <w:szCs w:val="18"/>
        </w:rPr>
        <w:t xml:space="preserve"> </w:t>
      </w:r>
      <w:r w:rsidRPr="00F349A5">
        <w:rPr>
          <w:sz w:val="20"/>
          <w:szCs w:val="18"/>
        </w:rPr>
        <w:t xml:space="preserve">(II)-p-cymene. Spectroscopic analyses (FT-IR, UV-Vis, ¹H NMR) confirmed bidentate </w:t>
      </w:r>
      <w:proofErr w:type="gramStart"/>
      <w:r w:rsidRPr="00F349A5">
        <w:rPr>
          <w:sz w:val="20"/>
          <w:szCs w:val="18"/>
        </w:rPr>
        <w:t>N,N</w:t>
      </w:r>
      <w:proofErr w:type="gramEnd"/>
      <w:r w:rsidRPr="00F349A5">
        <w:rPr>
          <w:sz w:val="20"/>
          <w:szCs w:val="18"/>
        </w:rPr>
        <w:t xml:space="preserve">′-coordination through the imine and pyridyl nitrogen atoms, with observed shifts in C=N stretches, imine proton signals, and new metal-to-ligand charge transfer (MLCT) bands providing unambiguous evidence of complexation. All complexes exhibited </w:t>
      </w:r>
      <w:r w:rsidRPr="00F349A5">
        <w:rPr>
          <w:sz w:val="20"/>
          <w:szCs w:val="18"/>
        </w:rPr>
        <w:t xml:space="preserve">enhanced thermal stability compared to their free ligands, as reflected in higher melting points (175–235 °C). In antimicrobial screening against </w:t>
      </w:r>
      <w:r w:rsidRPr="00F349A5">
        <w:rPr>
          <w:i/>
          <w:iCs/>
          <w:sz w:val="20"/>
          <w:szCs w:val="18"/>
        </w:rPr>
        <w:t>Staphylococcus aureus</w:t>
      </w:r>
      <w:r w:rsidRPr="00F349A5">
        <w:rPr>
          <w:sz w:val="20"/>
          <w:szCs w:val="18"/>
        </w:rPr>
        <w:t xml:space="preserve"> and </w:t>
      </w:r>
      <w:r w:rsidRPr="00F349A5">
        <w:rPr>
          <w:i/>
          <w:iCs/>
          <w:sz w:val="20"/>
          <w:szCs w:val="18"/>
        </w:rPr>
        <w:t>Escherichia coli</w:t>
      </w:r>
      <w:r w:rsidRPr="00F349A5">
        <w:rPr>
          <w:sz w:val="20"/>
          <w:szCs w:val="18"/>
        </w:rPr>
        <w:t xml:space="preserve">, </w:t>
      </w:r>
      <w:proofErr w:type="gramStart"/>
      <w:r w:rsidRPr="00F349A5">
        <w:rPr>
          <w:sz w:val="20"/>
          <w:szCs w:val="18"/>
        </w:rPr>
        <w:t>Ru(</w:t>
      </w:r>
      <w:proofErr w:type="gramEnd"/>
      <w:r w:rsidRPr="00F349A5">
        <w:rPr>
          <w:sz w:val="20"/>
          <w:szCs w:val="18"/>
        </w:rPr>
        <w:t>II) complexes consistently outperformed their parent ligands, with bromo- and hydroxy-substituted cymene derivatives (e.g., L-C2 and L₁-C2) showing the highest activity</w:t>
      </w:r>
      <w:r w:rsidR="0031492F">
        <w:rPr>
          <w:sz w:val="20"/>
          <w:szCs w:val="18"/>
        </w:rPr>
        <w:t xml:space="preserve"> </w:t>
      </w:r>
      <w:r w:rsidRPr="00F349A5">
        <w:rPr>
          <w:sz w:val="20"/>
          <w:szCs w:val="18"/>
        </w:rPr>
        <w:t>zones of inhibition up to 14</w:t>
      </w:r>
      <w:r w:rsidR="0031492F">
        <w:rPr>
          <w:sz w:val="20"/>
          <w:szCs w:val="18"/>
        </w:rPr>
        <w:t>-</w:t>
      </w:r>
      <w:r w:rsidRPr="00F349A5">
        <w:rPr>
          <w:sz w:val="20"/>
          <w:szCs w:val="18"/>
        </w:rPr>
        <w:t>15 mm at 1000 µg/</w:t>
      </w:r>
      <w:proofErr w:type="spellStart"/>
      <w:r w:rsidRPr="00F349A5">
        <w:rPr>
          <w:sz w:val="20"/>
          <w:szCs w:val="18"/>
        </w:rPr>
        <w:t>mL.</w:t>
      </w:r>
      <w:proofErr w:type="spellEnd"/>
      <w:r w:rsidRPr="00F349A5">
        <w:rPr>
          <w:sz w:val="20"/>
          <w:szCs w:val="18"/>
        </w:rPr>
        <w:t xml:space="preserve"> The superior efficacy of substituted cymene complexes supports Tweedy’s chelation theory and underscores the critical roles of ligand electronics and arene coordination in modulating bioactivity. Although none surpassed gentamycin, these findings validate Ru</w:t>
      </w:r>
      <w:r>
        <w:rPr>
          <w:sz w:val="20"/>
          <w:szCs w:val="18"/>
        </w:rPr>
        <w:t xml:space="preserve"> </w:t>
      </w:r>
      <w:r w:rsidRPr="00F349A5">
        <w:rPr>
          <w:sz w:val="20"/>
          <w:szCs w:val="18"/>
        </w:rPr>
        <w:t>(II)–Schiff base scaffolds as promising leads for next-generation antimicrobials targeting multidrug-resistant pathogens. Future work should focus on determining MIC values, cytotoxicity profiles, and antifungal potential to advance therapeutic development.</w:t>
      </w:r>
    </w:p>
    <w:p w14:paraId="4D30C9F9" w14:textId="77777777" w:rsidR="00D845C2" w:rsidRPr="00D845C2" w:rsidRDefault="00D845C2" w:rsidP="00D845C2">
      <w:pPr>
        <w:jc w:val="both"/>
        <w:rPr>
          <w:b/>
          <w:sz w:val="20"/>
          <w:szCs w:val="18"/>
        </w:rPr>
      </w:pPr>
      <w:bookmarkStart w:id="10" w:name="_GoBack"/>
      <w:bookmarkEnd w:id="10"/>
      <w:r w:rsidRPr="00D845C2">
        <w:rPr>
          <w:b/>
          <w:sz w:val="20"/>
          <w:szCs w:val="18"/>
        </w:rPr>
        <w:t>Data Availability Statement</w:t>
      </w:r>
    </w:p>
    <w:p w14:paraId="63C142E3" w14:textId="77777777" w:rsidR="00D845C2" w:rsidRPr="00D845C2" w:rsidRDefault="00D845C2" w:rsidP="00D845C2">
      <w:pPr>
        <w:jc w:val="both"/>
        <w:rPr>
          <w:sz w:val="20"/>
          <w:szCs w:val="18"/>
        </w:rPr>
      </w:pPr>
      <w:r w:rsidRPr="00D845C2">
        <w:rPr>
          <w:sz w:val="20"/>
          <w:szCs w:val="18"/>
        </w:rPr>
        <w:t xml:space="preserve">The data </w:t>
      </w:r>
      <w:r w:rsidRPr="00D845C2">
        <w:rPr>
          <w:rFonts w:hint="eastAsia"/>
          <w:sz w:val="20"/>
          <w:szCs w:val="18"/>
        </w:rPr>
        <w:t>is</w:t>
      </w:r>
      <w:r w:rsidRPr="00D845C2">
        <w:rPr>
          <w:sz w:val="20"/>
          <w:szCs w:val="18"/>
        </w:rPr>
        <w:t xml:space="preserve"> available from the corresponding author upon</w:t>
      </w:r>
      <w:r w:rsidRPr="00D845C2">
        <w:rPr>
          <w:rFonts w:hint="eastAsia"/>
          <w:sz w:val="20"/>
          <w:szCs w:val="18"/>
        </w:rPr>
        <w:t xml:space="preserve"> </w:t>
      </w:r>
      <w:r w:rsidRPr="00D845C2">
        <w:rPr>
          <w:sz w:val="20"/>
          <w:szCs w:val="18"/>
        </w:rPr>
        <w:t>reasonable request.</w:t>
      </w:r>
    </w:p>
    <w:p w14:paraId="082FF681" w14:textId="77777777" w:rsidR="00D845C2" w:rsidRPr="00D845C2" w:rsidRDefault="00D845C2" w:rsidP="00D845C2">
      <w:pPr>
        <w:jc w:val="both"/>
        <w:rPr>
          <w:b/>
          <w:sz w:val="20"/>
          <w:szCs w:val="18"/>
        </w:rPr>
      </w:pPr>
      <w:r w:rsidRPr="00D845C2">
        <w:rPr>
          <w:b/>
          <w:sz w:val="20"/>
          <w:szCs w:val="18"/>
        </w:rPr>
        <w:t>Conflicts of Interest</w:t>
      </w:r>
    </w:p>
    <w:p w14:paraId="405D84CE" w14:textId="6CCAAFA5" w:rsidR="00F349A5" w:rsidRDefault="00D845C2" w:rsidP="007348FA">
      <w:pPr>
        <w:jc w:val="both"/>
        <w:rPr>
          <w:sz w:val="20"/>
          <w:szCs w:val="18"/>
        </w:rPr>
      </w:pPr>
      <w:r w:rsidRPr="00D845C2">
        <w:rPr>
          <w:sz w:val="20"/>
          <w:szCs w:val="18"/>
        </w:rPr>
        <w:t>The authors declare that they have no conflicts of interest.</w:t>
      </w:r>
    </w:p>
    <w:p w14:paraId="6538D420" w14:textId="77777777" w:rsidR="006F13E8" w:rsidRDefault="006F13E8" w:rsidP="007348FA">
      <w:pPr>
        <w:jc w:val="both"/>
        <w:rPr>
          <w:sz w:val="20"/>
          <w:szCs w:val="18"/>
        </w:rPr>
      </w:pPr>
    </w:p>
    <w:p w14:paraId="12A54B8C" w14:textId="77777777" w:rsidR="006F13E8" w:rsidRPr="006F13E8" w:rsidRDefault="006F13E8" w:rsidP="006F13E8">
      <w:pPr>
        <w:jc w:val="both"/>
        <w:rPr>
          <w:sz w:val="20"/>
          <w:szCs w:val="18"/>
        </w:rPr>
      </w:pPr>
      <w:r w:rsidRPr="006F13E8">
        <w:rPr>
          <w:sz w:val="20"/>
          <w:szCs w:val="18"/>
        </w:rPr>
        <w:t>COMPETING INTERESTS DISCLAIMER:</w:t>
      </w:r>
    </w:p>
    <w:p w14:paraId="2CF0C052" w14:textId="6A4FEBAF" w:rsidR="006F13E8" w:rsidRDefault="006F13E8" w:rsidP="006F13E8">
      <w:pPr>
        <w:jc w:val="both"/>
        <w:rPr>
          <w:sz w:val="20"/>
          <w:szCs w:val="18"/>
        </w:rPr>
      </w:pPr>
      <w:r w:rsidRPr="006F13E8">
        <w:rPr>
          <w:sz w:val="20"/>
          <w:szCs w:val="18"/>
        </w:rPr>
        <w:t>Authors have declared that they have no known competing financial interests OR non-financial interests OR personal relationships that could have appeared to influence the work reported in this paper.</w:t>
      </w:r>
    </w:p>
    <w:p w14:paraId="74061741" w14:textId="77777777" w:rsidR="006F13E8" w:rsidRDefault="006F13E8" w:rsidP="007348FA">
      <w:pPr>
        <w:jc w:val="both"/>
        <w:rPr>
          <w:sz w:val="20"/>
          <w:szCs w:val="18"/>
        </w:rPr>
      </w:pPr>
    </w:p>
    <w:p w14:paraId="11824FA5" w14:textId="77777777" w:rsidR="006F13E8" w:rsidRDefault="006F13E8" w:rsidP="007348FA">
      <w:pPr>
        <w:jc w:val="both"/>
        <w:rPr>
          <w:sz w:val="20"/>
          <w:szCs w:val="18"/>
        </w:rPr>
      </w:pPr>
    </w:p>
    <w:p w14:paraId="6E327040" w14:textId="77777777" w:rsidR="006F13E8" w:rsidRDefault="006F13E8" w:rsidP="007348FA">
      <w:pPr>
        <w:jc w:val="both"/>
        <w:rPr>
          <w:sz w:val="20"/>
          <w:szCs w:val="18"/>
        </w:rPr>
      </w:pPr>
    </w:p>
    <w:p w14:paraId="1E3AE7FF" w14:textId="77777777" w:rsidR="006F13E8" w:rsidRPr="007348FA" w:rsidRDefault="006F13E8" w:rsidP="007348FA">
      <w:pPr>
        <w:jc w:val="both"/>
        <w:rPr>
          <w:sz w:val="20"/>
          <w:szCs w:val="18"/>
        </w:rPr>
      </w:pPr>
    </w:p>
    <w:p w14:paraId="1260A662" w14:textId="700AD481" w:rsidR="00321AD1" w:rsidRPr="00170363" w:rsidRDefault="00321AD1" w:rsidP="007F61B5">
      <w:pPr>
        <w:jc w:val="both"/>
        <w:rPr>
          <w:rFonts w:cs="Times New Roman"/>
          <w:b/>
          <w:bCs/>
          <w:sz w:val="20"/>
          <w:szCs w:val="18"/>
        </w:rPr>
      </w:pPr>
      <w:r w:rsidRPr="00170363">
        <w:rPr>
          <w:rFonts w:cs="Times New Roman"/>
          <w:b/>
          <w:bCs/>
          <w:sz w:val="20"/>
          <w:szCs w:val="18"/>
        </w:rPr>
        <w:t>References</w:t>
      </w:r>
    </w:p>
    <w:p w14:paraId="2E0E4A1F" w14:textId="77777777" w:rsidR="00D32BCF" w:rsidRPr="00FE4C55" w:rsidRDefault="00D32BCF" w:rsidP="00D32BCF">
      <w:pPr>
        <w:ind w:left="360" w:hanging="720"/>
        <w:rPr>
          <w:rFonts w:cs="Times New Roman"/>
          <w:sz w:val="16"/>
          <w:szCs w:val="14"/>
        </w:rPr>
      </w:pPr>
    </w:p>
    <w:p w14:paraId="753E520A" w14:textId="77777777" w:rsidR="00D32BCF" w:rsidRPr="00D32BCF" w:rsidRDefault="00D32BCF" w:rsidP="00D32BCF">
      <w:pPr>
        <w:ind w:hanging="720"/>
        <w:rPr>
          <w:rFonts w:cs="Times New Roman"/>
          <w:sz w:val="20"/>
          <w:szCs w:val="18"/>
        </w:rPr>
      </w:pPr>
      <w:r w:rsidRPr="00D32BCF">
        <w:rPr>
          <w:rFonts w:cs="Times New Roman"/>
          <w:sz w:val="20"/>
          <w:szCs w:val="18"/>
        </w:rPr>
        <w:t xml:space="preserve">Abdi El-Aziz, D. M. (2013). Synthesis, spectroscopic, cytotoxic aspects and computational study of N-(pyridine-2-ylmethylene) benzo[d]thiazol-2-amine Schiff base and some of its transition metal complexes. </w:t>
      </w:r>
      <w:r w:rsidRPr="00D32BCF">
        <w:rPr>
          <w:rFonts w:cs="Times New Roman"/>
          <w:i/>
          <w:iCs/>
          <w:sz w:val="20"/>
          <w:szCs w:val="18"/>
        </w:rPr>
        <w:t>Journal of Molecular Structure, 1048</w:t>
      </w:r>
      <w:r w:rsidRPr="00D32BCF">
        <w:rPr>
          <w:rFonts w:cs="Times New Roman"/>
          <w:sz w:val="20"/>
          <w:szCs w:val="18"/>
        </w:rPr>
        <w:t xml:space="preserve">, </w:t>
      </w:r>
      <w:r w:rsidRPr="00D32BCF">
        <w:rPr>
          <w:rFonts w:cs="Times New Roman"/>
          <w:sz w:val="20"/>
          <w:szCs w:val="18"/>
        </w:rPr>
        <w:lastRenderedPageBreak/>
        <w:t xml:space="preserve">487–499. </w:t>
      </w:r>
      <w:hyperlink r:id="rId17" w:tgtFrame="_blank" w:history="1">
        <w:r w:rsidRPr="00D32BCF">
          <w:rPr>
            <w:rStyle w:val="Hyperlink"/>
            <w:rFonts w:cs="Times New Roman"/>
            <w:sz w:val="20"/>
            <w:szCs w:val="18"/>
          </w:rPr>
          <w:t>https://doi.org/10.1016/j.molstruc.2013.06.025</w:t>
        </w:r>
      </w:hyperlink>
    </w:p>
    <w:p w14:paraId="72DE2E1C"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Balouiri</w:t>
      </w:r>
      <w:proofErr w:type="spellEnd"/>
      <w:r w:rsidRPr="00D32BCF">
        <w:rPr>
          <w:rFonts w:cs="Times New Roman"/>
          <w:sz w:val="20"/>
          <w:szCs w:val="18"/>
        </w:rPr>
        <w:t xml:space="preserve">, M., Sadiki, M., &amp; </w:t>
      </w:r>
      <w:proofErr w:type="spellStart"/>
      <w:r w:rsidRPr="00D32BCF">
        <w:rPr>
          <w:rFonts w:cs="Times New Roman"/>
          <w:sz w:val="20"/>
          <w:szCs w:val="18"/>
        </w:rPr>
        <w:t>Ibnsouda</w:t>
      </w:r>
      <w:proofErr w:type="spellEnd"/>
      <w:r w:rsidRPr="00D32BCF">
        <w:rPr>
          <w:rFonts w:cs="Times New Roman"/>
          <w:sz w:val="20"/>
          <w:szCs w:val="18"/>
        </w:rPr>
        <w:t xml:space="preserve">, S. K. (2016). Methods for in vitro evaluating antimicrobial activity: A review. </w:t>
      </w:r>
      <w:r w:rsidRPr="00D32BCF">
        <w:rPr>
          <w:rFonts w:cs="Times New Roman"/>
          <w:i/>
          <w:iCs/>
          <w:sz w:val="20"/>
          <w:szCs w:val="18"/>
        </w:rPr>
        <w:t>Journal of Pharmaceutical Analysis, 6</w:t>
      </w:r>
      <w:r w:rsidRPr="00D32BCF">
        <w:rPr>
          <w:rFonts w:cs="Times New Roman"/>
          <w:sz w:val="20"/>
          <w:szCs w:val="18"/>
        </w:rPr>
        <w:t xml:space="preserve">(2), 71–79. </w:t>
      </w:r>
      <w:hyperlink r:id="rId18" w:tgtFrame="_blank" w:history="1">
        <w:r w:rsidRPr="00D32BCF">
          <w:rPr>
            <w:rStyle w:val="Hyperlink"/>
            <w:rFonts w:cs="Times New Roman"/>
            <w:sz w:val="20"/>
            <w:szCs w:val="18"/>
          </w:rPr>
          <w:t>https://doi.org/10.1016/j.jpha.2015.11.005</w:t>
        </w:r>
      </w:hyperlink>
    </w:p>
    <w:p w14:paraId="509BD857" w14:textId="77777777" w:rsidR="00D32BCF" w:rsidRPr="00D32BCF" w:rsidRDefault="00D32BCF" w:rsidP="00D32BCF">
      <w:pPr>
        <w:ind w:hanging="720"/>
        <w:rPr>
          <w:rFonts w:cs="Times New Roman"/>
          <w:sz w:val="20"/>
          <w:szCs w:val="18"/>
        </w:rPr>
      </w:pPr>
      <w:r w:rsidRPr="00D32BCF">
        <w:rPr>
          <w:rFonts w:cs="Times New Roman"/>
          <w:sz w:val="20"/>
          <w:szCs w:val="18"/>
        </w:rPr>
        <w:t xml:space="preserve">Berrones-Reyes, J. C., Muñoz-Flores, B. M., </w:t>
      </w:r>
      <w:proofErr w:type="spellStart"/>
      <w:r w:rsidRPr="00D32BCF">
        <w:rPr>
          <w:rFonts w:cs="Times New Roman"/>
          <w:sz w:val="20"/>
          <w:szCs w:val="18"/>
        </w:rPr>
        <w:t>Cantón-Diáz</w:t>
      </w:r>
      <w:proofErr w:type="spellEnd"/>
      <w:r w:rsidRPr="00D32BCF">
        <w:rPr>
          <w:rFonts w:cs="Times New Roman"/>
          <w:sz w:val="20"/>
          <w:szCs w:val="18"/>
        </w:rPr>
        <w:t xml:space="preserve">, A. M., Treto-Suárez, M. A., Páez-Hernández, D., Schott, E., &amp; Jiménez-Pérez, V. M. (2019). Quantum chemical elucidation of the turn-on luminescence mechanism in two new Schiff bases as selective </w:t>
      </w:r>
      <w:proofErr w:type="spellStart"/>
      <w:r w:rsidRPr="00D32BCF">
        <w:rPr>
          <w:rFonts w:cs="Times New Roman"/>
          <w:sz w:val="20"/>
          <w:szCs w:val="18"/>
        </w:rPr>
        <w:t>chemosensors</w:t>
      </w:r>
      <w:proofErr w:type="spellEnd"/>
      <w:r w:rsidRPr="00D32BCF">
        <w:rPr>
          <w:rFonts w:cs="Times New Roman"/>
          <w:sz w:val="20"/>
          <w:szCs w:val="18"/>
        </w:rPr>
        <w:t xml:space="preserve"> of Zn²⁺: Synthesis, theory and bioimaging applications. </w:t>
      </w:r>
      <w:r w:rsidRPr="00D32BCF">
        <w:rPr>
          <w:rFonts w:cs="Times New Roman"/>
          <w:i/>
          <w:iCs/>
          <w:sz w:val="20"/>
          <w:szCs w:val="18"/>
        </w:rPr>
        <w:t>RSC Advances, 9</w:t>
      </w:r>
      <w:r w:rsidRPr="00D32BCF">
        <w:rPr>
          <w:rFonts w:cs="Times New Roman"/>
          <w:sz w:val="20"/>
          <w:szCs w:val="18"/>
        </w:rPr>
        <w:t xml:space="preserve">(53), 30778–30789. </w:t>
      </w:r>
      <w:hyperlink r:id="rId19" w:tgtFrame="_blank" w:history="1">
        <w:r w:rsidRPr="00D32BCF">
          <w:rPr>
            <w:rStyle w:val="Hyperlink"/>
            <w:rFonts w:cs="Times New Roman"/>
            <w:sz w:val="20"/>
            <w:szCs w:val="18"/>
          </w:rPr>
          <w:t>https://doi.org/10.1039/C9RA05458A</w:t>
        </w:r>
      </w:hyperlink>
    </w:p>
    <w:p w14:paraId="05C7584D" w14:textId="77777777" w:rsidR="00D32BCF" w:rsidRPr="00D32BCF" w:rsidRDefault="00D32BCF" w:rsidP="00D32BCF">
      <w:pPr>
        <w:ind w:hanging="720"/>
        <w:rPr>
          <w:rFonts w:cs="Times New Roman"/>
          <w:sz w:val="20"/>
          <w:szCs w:val="18"/>
        </w:rPr>
      </w:pPr>
      <w:r w:rsidRPr="00D32BCF">
        <w:rPr>
          <w:rFonts w:cs="Times New Roman"/>
          <w:sz w:val="20"/>
          <w:szCs w:val="18"/>
        </w:rPr>
        <w:t xml:space="preserve">Bolhuis, A., Hand, L., Marshall, J. E., Richards, A. D., Rodger, A., &amp; Aldrich-Wright, J. (2011). Antimicrobial activity of ruthenium-based intercalators. </w:t>
      </w:r>
      <w:r w:rsidRPr="00D32BCF">
        <w:rPr>
          <w:rFonts w:cs="Times New Roman"/>
          <w:i/>
          <w:iCs/>
          <w:sz w:val="20"/>
          <w:szCs w:val="18"/>
        </w:rPr>
        <w:t>European Journal of Pharmaceutical Sciences, 42</w:t>
      </w:r>
      <w:r w:rsidRPr="00D32BCF">
        <w:rPr>
          <w:rFonts w:cs="Times New Roman"/>
          <w:sz w:val="20"/>
          <w:szCs w:val="18"/>
        </w:rPr>
        <w:t xml:space="preserve">(4), 313–317. </w:t>
      </w:r>
      <w:hyperlink r:id="rId20" w:tgtFrame="_blank" w:history="1">
        <w:r w:rsidRPr="00D32BCF">
          <w:rPr>
            <w:rStyle w:val="Hyperlink"/>
            <w:rFonts w:cs="Times New Roman"/>
            <w:sz w:val="20"/>
            <w:szCs w:val="18"/>
          </w:rPr>
          <w:t>https://doi.org/10.1016/j.ejps.2010.12.004</w:t>
        </w:r>
      </w:hyperlink>
    </w:p>
    <w:p w14:paraId="4B933B84" w14:textId="77777777" w:rsidR="00D32BCF" w:rsidRPr="00D32BCF" w:rsidRDefault="00D32BCF" w:rsidP="00D32BCF">
      <w:pPr>
        <w:ind w:hanging="720"/>
        <w:rPr>
          <w:rFonts w:cs="Times New Roman"/>
          <w:sz w:val="20"/>
          <w:szCs w:val="18"/>
        </w:rPr>
      </w:pPr>
      <w:r w:rsidRPr="00D32BCF">
        <w:rPr>
          <w:rFonts w:cs="Times New Roman"/>
          <w:sz w:val="20"/>
          <w:szCs w:val="18"/>
        </w:rPr>
        <w:t xml:space="preserve">Brabec, V., &amp; </w:t>
      </w:r>
      <w:proofErr w:type="spellStart"/>
      <w:r w:rsidRPr="00D32BCF">
        <w:rPr>
          <w:rFonts w:cs="Times New Roman"/>
          <w:sz w:val="20"/>
          <w:szCs w:val="18"/>
        </w:rPr>
        <w:t>Kasparkova</w:t>
      </w:r>
      <w:proofErr w:type="spellEnd"/>
      <w:r w:rsidRPr="00D32BCF">
        <w:rPr>
          <w:rFonts w:cs="Times New Roman"/>
          <w:sz w:val="20"/>
          <w:szCs w:val="18"/>
        </w:rPr>
        <w:t xml:space="preserve">, J. (2018). Ruthenium coordination compounds of biological and biomedical significance. DNA binding agents. </w:t>
      </w:r>
      <w:r w:rsidRPr="00D32BCF">
        <w:rPr>
          <w:rFonts w:cs="Times New Roman"/>
          <w:i/>
          <w:iCs/>
          <w:sz w:val="20"/>
          <w:szCs w:val="18"/>
        </w:rPr>
        <w:t>Coordination Chemistry Reviews, 376</w:t>
      </w:r>
      <w:r w:rsidRPr="00D32BCF">
        <w:rPr>
          <w:rFonts w:cs="Times New Roman"/>
          <w:sz w:val="20"/>
          <w:szCs w:val="18"/>
        </w:rPr>
        <w:t xml:space="preserve">, 75–94. </w:t>
      </w:r>
      <w:hyperlink r:id="rId21" w:tgtFrame="_blank" w:history="1">
        <w:r w:rsidRPr="00D32BCF">
          <w:rPr>
            <w:rStyle w:val="Hyperlink"/>
            <w:rFonts w:cs="Times New Roman"/>
            <w:sz w:val="20"/>
            <w:szCs w:val="18"/>
          </w:rPr>
          <w:t>https://doi.org/10.1016/j.ccr.2018.07.012</w:t>
        </w:r>
      </w:hyperlink>
    </w:p>
    <w:p w14:paraId="6A5F23F9" w14:textId="77777777" w:rsidR="00D32BCF" w:rsidRPr="00D32BCF" w:rsidRDefault="00D32BCF" w:rsidP="00D32BCF">
      <w:pPr>
        <w:ind w:hanging="720"/>
        <w:rPr>
          <w:rFonts w:cs="Times New Roman"/>
          <w:sz w:val="20"/>
          <w:szCs w:val="18"/>
        </w:rPr>
      </w:pPr>
      <w:r w:rsidRPr="00D32BCF">
        <w:rPr>
          <w:rFonts w:cs="Times New Roman"/>
          <w:sz w:val="20"/>
          <w:szCs w:val="18"/>
        </w:rPr>
        <w:t xml:space="preserve">Catalano, A., Iacopetta, D., </w:t>
      </w:r>
      <w:proofErr w:type="spellStart"/>
      <w:r w:rsidRPr="00D32BCF">
        <w:rPr>
          <w:rFonts w:cs="Times New Roman"/>
          <w:sz w:val="20"/>
          <w:szCs w:val="18"/>
        </w:rPr>
        <w:t>Ceramella</w:t>
      </w:r>
      <w:proofErr w:type="spellEnd"/>
      <w:r w:rsidRPr="00D32BCF">
        <w:rPr>
          <w:rFonts w:cs="Times New Roman"/>
          <w:sz w:val="20"/>
          <w:szCs w:val="18"/>
        </w:rPr>
        <w:t xml:space="preserve">, J., Scumaci, D., Giuzio, F., Saturnino, C., &amp; Sinicropi, M. S. (2022). Multidrug resistance (MDR): A widespread phenomenon in pharmacological therapies. </w:t>
      </w:r>
      <w:r w:rsidRPr="00D32BCF">
        <w:rPr>
          <w:rFonts w:cs="Times New Roman"/>
          <w:i/>
          <w:iCs/>
          <w:sz w:val="20"/>
          <w:szCs w:val="18"/>
        </w:rPr>
        <w:t>Molecules, 27</w:t>
      </w:r>
      <w:r w:rsidRPr="00D32BCF">
        <w:rPr>
          <w:rFonts w:cs="Times New Roman"/>
          <w:sz w:val="20"/>
          <w:szCs w:val="18"/>
        </w:rPr>
        <w:t xml:space="preserve">(3), 616. </w:t>
      </w:r>
      <w:hyperlink r:id="rId22" w:tgtFrame="_blank" w:history="1">
        <w:r w:rsidRPr="00D32BCF">
          <w:rPr>
            <w:rStyle w:val="Hyperlink"/>
            <w:rFonts w:cs="Times New Roman"/>
            <w:sz w:val="20"/>
            <w:szCs w:val="18"/>
          </w:rPr>
          <w:t>https://doi.org/10.3390/molecules27030616</w:t>
        </w:r>
      </w:hyperlink>
    </w:p>
    <w:p w14:paraId="5EF3EC4F" w14:textId="77777777" w:rsidR="00D32BCF" w:rsidRPr="00D32BCF" w:rsidRDefault="00D32BCF" w:rsidP="00D32BCF">
      <w:pPr>
        <w:ind w:hanging="720"/>
        <w:rPr>
          <w:rFonts w:cs="Times New Roman"/>
          <w:sz w:val="20"/>
          <w:szCs w:val="18"/>
        </w:rPr>
      </w:pPr>
      <w:r w:rsidRPr="00D32BCF">
        <w:rPr>
          <w:rFonts w:cs="Times New Roman"/>
          <w:sz w:val="20"/>
          <w:szCs w:val="18"/>
        </w:rPr>
        <w:t xml:space="preserve">Catalano, A., Sinicropi, M. S., Iacopetta, D., </w:t>
      </w:r>
      <w:proofErr w:type="spellStart"/>
      <w:r w:rsidRPr="00D32BCF">
        <w:rPr>
          <w:rFonts w:cs="Times New Roman"/>
          <w:sz w:val="20"/>
          <w:szCs w:val="18"/>
        </w:rPr>
        <w:t>Ceramella</w:t>
      </w:r>
      <w:proofErr w:type="spellEnd"/>
      <w:r w:rsidRPr="00D32BCF">
        <w:rPr>
          <w:rFonts w:cs="Times New Roman"/>
          <w:sz w:val="20"/>
          <w:szCs w:val="18"/>
        </w:rPr>
        <w:t xml:space="preserve">, J., Mariconda, A., Rosano, C., &amp; Longo, P. (2021). A review on the advancements in the field of metal complexes with Schiff bases as antiproliferative agents. </w:t>
      </w:r>
      <w:r w:rsidRPr="00D32BCF">
        <w:rPr>
          <w:rFonts w:cs="Times New Roman"/>
          <w:i/>
          <w:iCs/>
          <w:sz w:val="20"/>
          <w:szCs w:val="18"/>
        </w:rPr>
        <w:t>Applied Sciences, 11</w:t>
      </w:r>
      <w:r w:rsidRPr="00D32BCF">
        <w:rPr>
          <w:rFonts w:cs="Times New Roman"/>
          <w:sz w:val="20"/>
          <w:szCs w:val="18"/>
        </w:rPr>
        <w:t xml:space="preserve">(13), 6027. </w:t>
      </w:r>
      <w:hyperlink r:id="rId23" w:tgtFrame="_blank" w:history="1">
        <w:r w:rsidRPr="00D32BCF">
          <w:rPr>
            <w:rStyle w:val="Hyperlink"/>
            <w:rFonts w:cs="Times New Roman"/>
            <w:sz w:val="20"/>
            <w:szCs w:val="18"/>
          </w:rPr>
          <w:t>https://doi.org/10.3390/app11136027</w:t>
        </w:r>
      </w:hyperlink>
    </w:p>
    <w:p w14:paraId="4EBD7F45" w14:textId="77777777" w:rsidR="00D32BCF" w:rsidRPr="00D32BCF" w:rsidRDefault="00D32BCF" w:rsidP="00D32BCF">
      <w:pPr>
        <w:ind w:hanging="720"/>
        <w:rPr>
          <w:rFonts w:cs="Times New Roman"/>
          <w:sz w:val="20"/>
          <w:szCs w:val="18"/>
        </w:rPr>
      </w:pPr>
      <w:r w:rsidRPr="00D32BCF">
        <w:rPr>
          <w:rFonts w:cs="Times New Roman"/>
          <w:sz w:val="20"/>
          <w:szCs w:val="18"/>
        </w:rPr>
        <w:t xml:space="preserve">Dickey, S. W., Cheung, G. Y. C., &amp; Otto, M. (2017). Different drugs for bad bugs: </w:t>
      </w:r>
      <w:proofErr w:type="spellStart"/>
      <w:r w:rsidRPr="00D32BCF">
        <w:rPr>
          <w:rFonts w:cs="Times New Roman"/>
          <w:sz w:val="20"/>
          <w:szCs w:val="18"/>
        </w:rPr>
        <w:t>Antivirulence</w:t>
      </w:r>
      <w:proofErr w:type="spellEnd"/>
      <w:r w:rsidRPr="00D32BCF">
        <w:rPr>
          <w:rFonts w:cs="Times New Roman"/>
          <w:sz w:val="20"/>
          <w:szCs w:val="18"/>
        </w:rPr>
        <w:t xml:space="preserve"> strategies in the age of antibiotic resistance. </w:t>
      </w:r>
      <w:r w:rsidRPr="00D32BCF">
        <w:rPr>
          <w:rFonts w:cs="Times New Roman"/>
          <w:i/>
          <w:iCs/>
          <w:sz w:val="20"/>
          <w:szCs w:val="18"/>
        </w:rPr>
        <w:t>Nature Reviews Drug Discovery, 16</w:t>
      </w:r>
      <w:r w:rsidRPr="00D32BCF">
        <w:rPr>
          <w:rFonts w:cs="Times New Roman"/>
          <w:sz w:val="20"/>
          <w:szCs w:val="18"/>
        </w:rPr>
        <w:t xml:space="preserve">(7), 457–471. </w:t>
      </w:r>
      <w:hyperlink r:id="rId24" w:tgtFrame="_blank" w:history="1">
        <w:r w:rsidRPr="00D32BCF">
          <w:rPr>
            <w:rStyle w:val="Hyperlink"/>
            <w:rFonts w:cs="Times New Roman"/>
            <w:sz w:val="20"/>
            <w:szCs w:val="18"/>
          </w:rPr>
          <w:t>https://doi.org/10.1038/nrd.2017.23</w:t>
        </w:r>
      </w:hyperlink>
    </w:p>
    <w:p w14:paraId="56C85B79" w14:textId="77777777" w:rsidR="00D32BCF" w:rsidRPr="00D32BCF" w:rsidRDefault="00D32BCF" w:rsidP="00D32BCF">
      <w:pPr>
        <w:ind w:hanging="720"/>
        <w:rPr>
          <w:rFonts w:cs="Times New Roman"/>
          <w:sz w:val="20"/>
          <w:szCs w:val="18"/>
        </w:rPr>
      </w:pPr>
      <w:r w:rsidRPr="00D32BCF">
        <w:rPr>
          <w:rFonts w:cs="Times New Roman"/>
          <w:sz w:val="20"/>
          <w:szCs w:val="18"/>
        </w:rPr>
        <w:t xml:space="preserve">Dong, R., &amp; Hao, J. (2010). Complex fluids of poly(oxyethylene) </w:t>
      </w:r>
      <w:proofErr w:type="spellStart"/>
      <w:r w:rsidRPr="00D32BCF">
        <w:rPr>
          <w:rFonts w:cs="Times New Roman"/>
          <w:sz w:val="20"/>
          <w:szCs w:val="18"/>
        </w:rPr>
        <w:t>monoalkyl</w:t>
      </w:r>
      <w:proofErr w:type="spellEnd"/>
      <w:r w:rsidRPr="00D32BCF">
        <w:rPr>
          <w:rFonts w:cs="Times New Roman"/>
          <w:sz w:val="20"/>
          <w:szCs w:val="18"/>
        </w:rPr>
        <w:t xml:space="preserve"> ether nonionic surfactants. </w:t>
      </w:r>
      <w:r w:rsidRPr="00D32BCF">
        <w:rPr>
          <w:rFonts w:cs="Times New Roman"/>
          <w:i/>
          <w:iCs/>
          <w:sz w:val="20"/>
          <w:szCs w:val="18"/>
        </w:rPr>
        <w:t>Chemical Reviews, 110</w:t>
      </w:r>
      <w:r w:rsidRPr="00D32BCF">
        <w:rPr>
          <w:rFonts w:cs="Times New Roman"/>
          <w:sz w:val="20"/>
          <w:szCs w:val="18"/>
        </w:rPr>
        <w:t xml:space="preserve">(9), 4978–5022. </w:t>
      </w:r>
      <w:hyperlink r:id="rId25" w:tgtFrame="_blank" w:history="1">
        <w:r w:rsidRPr="00D32BCF">
          <w:rPr>
            <w:rStyle w:val="Hyperlink"/>
            <w:rFonts w:cs="Times New Roman"/>
            <w:sz w:val="20"/>
            <w:szCs w:val="18"/>
          </w:rPr>
          <w:t>https://doi.org/10.1021/cr900289e</w:t>
        </w:r>
      </w:hyperlink>
    </w:p>
    <w:p w14:paraId="5F6A0FE4" w14:textId="77777777" w:rsidR="00D32BCF" w:rsidRPr="00D32BCF" w:rsidRDefault="00D32BCF" w:rsidP="00D32BCF">
      <w:pPr>
        <w:ind w:hanging="720"/>
        <w:rPr>
          <w:rFonts w:cs="Times New Roman"/>
          <w:sz w:val="20"/>
          <w:szCs w:val="18"/>
        </w:rPr>
      </w:pPr>
      <w:r w:rsidRPr="00D32BCF">
        <w:rPr>
          <w:rFonts w:cs="Times New Roman"/>
          <w:sz w:val="20"/>
          <w:szCs w:val="18"/>
        </w:rPr>
        <w:t xml:space="preserve">El-Sherif, A. A., &amp; </w:t>
      </w:r>
      <w:proofErr w:type="spellStart"/>
      <w:r w:rsidRPr="00D32BCF">
        <w:rPr>
          <w:rFonts w:cs="Times New Roman"/>
          <w:sz w:val="20"/>
          <w:szCs w:val="18"/>
        </w:rPr>
        <w:t>Eldebss</w:t>
      </w:r>
      <w:proofErr w:type="spellEnd"/>
      <w:r w:rsidRPr="00D32BCF">
        <w:rPr>
          <w:rFonts w:cs="Times New Roman"/>
          <w:sz w:val="20"/>
          <w:szCs w:val="18"/>
        </w:rPr>
        <w:t xml:space="preserve">, T. M. (2011). Synthesis, spectral characterization, solution equilibria, in vitro antibacterial and cytotoxic activities of </w:t>
      </w:r>
      <w:proofErr w:type="gramStart"/>
      <w:r w:rsidRPr="00D32BCF">
        <w:rPr>
          <w:rFonts w:cs="Times New Roman"/>
          <w:sz w:val="20"/>
          <w:szCs w:val="18"/>
        </w:rPr>
        <w:t>Cu(</w:t>
      </w:r>
      <w:proofErr w:type="gramEnd"/>
      <w:r w:rsidRPr="00D32BCF">
        <w:rPr>
          <w:rFonts w:cs="Times New Roman"/>
          <w:sz w:val="20"/>
          <w:szCs w:val="18"/>
        </w:rPr>
        <w:t xml:space="preserve">II), Ni(II), Mn(II), Co(II) and Zn(II) complexes with Schiff base derived from 5-bromosalicylaldehyde and 2-aminomethylthiophene. </w:t>
      </w:r>
      <w:proofErr w:type="spellStart"/>
      <w:r w:rsidRPr="00D32BCF">
        <w:rPr>
          <w:rFonts w:cs="Times New Roman"/>
          <w:i/>
          <w:iCs/>
          <w:sz w:val="20"/>
          <w:szCs w:val="18"/>
        </w:rPr>
        <w:t>Spectrochimica</w:t>
      </w:r>
      <w:proofErr w:type="spellEnd"/>
      <w:r w:rsidRPr="00D32BCF">
        <w:rPr>
          <w:rFonts w:cs="Times New Roman"/>
          <w:i/>
          <w:iCs/>
          <w:sz w:val="20"/>
          <w:szCs w:val="18"/>
        </w:rPr>
        <w:t xml:space="preserve"> Acta Part A: Molecular and Biomolecular Spectroscopy, 79</w:t>
      </w:r>
      <w:r w:rsidRPr="00D32BCF">
        <w:rPr>
          <w:rFonts w:cs="Times New Roman"/>
          <w:sz w:val="20"/>
          <w:szCs w:val="18"/>
        </w:rPr>
        <w:t xml:space="preserve">(5), 1803–1814. </w:t>
      </w:r>
      <w:hyperlink r:id="rId26" w:tgtFrame="_blank" w:history="1">
        <w:r w:rsidRPr="00D32BCF">
          <w:rPr>
            <w:rStyle w:val="Hyperlink"/>
            <w:rFonts w:cs="Times New Roman"/>
            <w:sz w:val="20"/>
            <w:szCs w:val="18"/>
          </w:rPr>
          <w:t>https://doi.org/10.1016/j.saa.2011.05.062</w:t>
        </w:r>
      </w:hyperlink>
    </w:p>
    <w:p w14:paraId="02F07CFE"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J. M., &amp; Friedrich, H. B. (2018). Half-sandwich complexes of platinum group metals (</w:t>
      </w:r>
      <w:proofErr w:type="spellStart"/>
      <w:r w:rsidRPr="00D32BCF">
        <w:rPr>
          <w:rFonts w:cs="Times New Roman"/>
          <w:sz w:val="20"/>
          <w:szCs w:val="18"/>
        </w:rPr>
        <w:t>Ir</w:t>
      </w:r>
      <w:proofErr w:type="spellEnd"/>
      <w:r w:rsidRPr="00D32BCF">
        <w:rPr>
          <w:rFonts w:cs="Times New Roman"/>
          <w:sz w:val="20"/>
          <w:szCs w:val="18"/>
        </w:rPr>
        <w:t xml:space="preserve">, Rh, Ru and Os) and some recent biological and catalytic applications. </w:t>
      </w:r>
      <w:r w:rsidRPr="00D32BCF">
        <w:rPr>
          <w:rFonts w:cs="Times New Roman"/>
          <w:i/>
          <w:iCs/>
          <w:sz w:val="20"/>
          <w:szCs w:val="18"/>
        </w:rPr>
        <w:t>Journal of Organometallic Chemistry, 866</w:t>
      </w:r>
      <w:r w:rsidRPr="00D32BCF">
        <w:rPr>
          <w:rFonts w:cs="Times New Roman"/>
          <w:sz w:val="20"/>
          <w:szCs w:val="18"/>
        </w:rPr>
        <w:t xml:space="preserve">, 123–143. </w:t>
      </w:r>
      <w:hyperlink r:id="rId27" w:tgtFrame="_blank" w:history="1">
        <w:r w:rsidRPr="00D32BCF">
          <w:rPr>
            <w:rStyle w:val="Hyperlink"/>
            <w:rFonts w:cs="Times New Roman"/>
            <w:sz w:val="20"/>
            <w:szCs w:val="18"/>
          </w:rPr>
          <w:t>https://doi.org/10.1016/j.jorganchem.2018.03.023</w:t>
        </w:r>
      </w:hyperlink>
    </w:p>
    <w:p w14:paraId="5EF7C39C"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xml:space="preserve">, J. M., Friedrich, H. B., &amp; Omondi, B. (2016a). Application of arene </w:t>
      </w:r>
      <w:proofErr w:type="gramStart"/>
      <w:r w:rsidRPr="00D32BCF">
        <w:rPr>
          <w:rFonts w:cs="Times New Roman"/>
          <w:sz w:val="20"/>
          <w:szCs w:val="18"/>
        </w:rPr>
        <w:t>ruthenium(</w:t>
      </w:r>
      <w:proofErr w:type="gramEnd"/>
      <w:r w:rsidRPr="00D32BCF">
        <w:rPr>
          <w:rFonts w:cs="Times New Roman"/>
          <w:sz w:val="20"/>
          <w:szCs w:val="18"/>
        </w:rPr>
        <w:t xml:space="preserve">II) complexes with pyridine-2-carboxaldimine ligands in the transfer hydrogenation of ketones. </w:t>
      </w:r>
      <w:r w:rsidRPr="00D32BCF">
        <w:rPr>
          <w:rFonts w:cs="Times New Roman"/>
          <w:i/>
          <w:iCs/>
          <w:sz w:val="20"/>
          <w:szCs w:val="18"/>
        </w:rPr>
        <w:t>Journal of Molecular Catalysis A: Chemical, 416</w:t>
      </w:r>
      <w:r w:rsidRPr="00D32BCF">
        <w:rPr>
          <w:rFonts w:cs="Times New Roman"/>
          <w:sz w:val="20"/>
          <w:szCs w:val="18"/>
        </w:rPr>
        <w:t xml:space="preserve">, 29–38. </w:t>
      </w:r>
      <w:hyperlink r:id="rId28" w:tgtFrame="_blank" w:history="1">
        <w:r w:rsidRPr="00D32BCF">
          <w:rPr>
            <w:rStyle w:val="Hyperlink"/>
            <w:rFonts w:cs="Times New Roman"/>
            <w:sz w:val="20"/>
            <w:szCs w:val="18"/>
          </w:rPr>
          <w:t>https://doi.org/10.1016/j.molcata.2016.02.012</w:t>
        </w:r>
      </w:hyperlink>
    </w:p>
    <w:p w14:paraId="62181F60"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xml:space="preserve">, J. M., Friedrich, H. B., Omondi, B., Singh, M., Naicker, K., &amp; Chenia, H. Y. (2016e). Synthesis, characterization, and cytotoxic and antimicrobial activities of </w:t>
      </w:r>
      <w:proofErr w:type="gramStart"/>
      <w:r w:rsidRPr="00D32BCF">
        <w:rPr>
          <w:rFonts w:cs="Times New Roman"/>
          <w:sz w:val="20"/>
          <w:szCs w:val="18"/>
        </w:rPr>
        <w:t>ruthenium(</w:t>
      </w:r>
      <w:proofErr w:type="gramEnd"/>
      <w:r w:rsidRPr="00D32BCF">
        <w:rPr>
          <w:rFonts w:cs="Times New Roman"/>
          <w:sz w:val="20"/>
          <w:szCs w:val="18"/>
        </w:rPr>
        <w:t xml:space="preserve">II) arene complexes with N,N-bidentate ligands. </w:t>
      </w:r>
      <w:r w:rsidRPr="00D32BCF">
        <w:rPr>
          <w:rFonts w:cs="Times New Roman"/>
          <w:i/>
          <w:iCs/>
          <w:sz w:val="20"/>
          <w:szCs w:val="18"/>
        </w:rPr>
        <w:t>Journal of Coordination Chemistry, 69</w:t>
      </w:r>
      <w:r w:rsidRPr="00D32BCF">
        <w:rPr>
          <w:rFonts w:cs="Times New Roman"/>
          <w:sz w:val="20"/>
          <w:szCs w:val="18"/>
        </w:rPr>
        <w:t xml:space="preserve">(23), 3531–3544. </w:t>
      </w:r>
      <w:hyperlink r:id="rId29" w:tgtFrame="_blank" w:history="1">
        <w:r w:rsidRPr="00D32BCF">
          <w:rPr>
            <w:rStyle w:val="Hyperlink"/>
            <w:rFonts w:cs="Times New Roman"/>
            <w:sz w:val="20"/>
            <w:szCs w:val="18"/>
          </w:rPr>
          <w:t>https://doi.org/10.1080/00958972.2016.1243238</w:t>
        </w:r>
      </w:hyperlink>
    </w:p>
    <w:p w14:paraId="52787F57" w14:textId="77777777" w:rsidR="00D32BCF" w:rsidRPr="00D32BCF" w:rsidRDefault="00D32BCF" w:rsidP="00D32BCF">
      <w:pPr>
        <w:ind w:hanging="720"/>
        <w:rPr>
          <w:rFonts w:cs="Times New Roman"/>
          <w:sz w:val="20"/>
          <w:szCs w:val="18"/>
        </w:rPr>
      </w:pPr>
      <w:r w:rsidRPr="00D32BCF">
        <w:rPr>
          <w:rFonts w:cs="Times New Roman"/>
          <w:sz w:val="20"/>
          <w:szCs w:val="18"/>
        </w:rPr>
        <w:t xml:space="preserve">Hanif, M., Hassan, M., Rafiq, M., Abbas, Q., Ishaq, A., Shahzadi, S., … &amp; Saleem, M. (2018). Microwave-assisted synthesis, in vivo anti-inflammatory and in vitro anti-oxidant activities, and molecular docking study of new substituted Schiff base derivatives. </w:t>
      </w:r>
      <w:r w:rsidRPr="00D32BCF">
        <w:rPr>
          <w:rFonts w:cs="Times New Roman"/>
          <w:i/>
          <w:iCs/>
          <w:sz w:val="20"/>
          <w:szCs w:val="18"/>
        </w:rPr>
        <w:t>Pharmaceutical Chemistry Journal, 52</w:t>
      </w:r>
      <w:r w:rsidRPr="00D32BCF">
        <w:rPr>
          <w:rFonts w:cs="Times New Roman"/>
          <w:sz w:val="20"/>
          <w:szCs w:val="18"/>
        </w:rPr>
        <w:t xml:space="preserve">, 424–437. </w:t>
      </w:r>
      <w:hyperlink r:id="rId30" w:tgtFrame="_blank" w:history="1">
        <w:r w:rsidRPr="00D32BCF">
          <w:rPr>
            <w:rStyle w:val="Hyperlink"/>
            <w:rFonts w:cs="Times New Roman"/>
            <w:sz w:val="20"/>
            <w:szCs w:val="18"/>
          </w:rPr>
          <w:t>https://doi.org/10.1007/s11094-018-1793-2</w:t>
        </w:r>
      </w:hyperlink>
    </w:p>
    <w:p w14:paraId="73BA01CC"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Howsaui</w:t>
      </w:r>
      <w:proofErr w:type="spellEnd"/>
      <w:r w:rsidRPr="00D32BCF">
        <w:rPr>
          <w:rFonts w:cs="Times New Roman"/>
          <w:sz w:val="20"/>
          <w:szCs w:val="18"/>
        </w:rPr>
        <w:t xml:space="preserve">, H. B., Basaleh, A. S., </w:t>
      </w:r>
      <w:proofErr w:type="spellStart"/>
      <w:r w:rsidRPr="00D32BCF">
        <w:rPr>
          <w:rFonts w:cs="Times New Roman"/>
          <w:sz w:val="20"/>
          <w:szCs w:val="18"/>
        </w:rPr>
        <w:t>Abdellattif</w:t>
      </w:r>
      <w:proofErr w:type="spellEnd"/>
      <w:r w:rsidRPr="00D32BCF">
        <w:rPr>
          <w:rFonts w:cs="Times New Roman"/>
          <w:sz w:val="20"/>
          <w:szCs w:val="18"/>
        </w:rPr>
        <w:t xml:space="preserve">, M. H., Hassan, W. M., &amp; Hussien, M. A. (2021). Synthesis, structural investigations, molecular docking, and anticancer activity of some novel Schiff bases and their uranyl complexes. </w:t>
      </w:r>
      <w:r w:rsidRPr="00D32BCF">
        <w:rPr>
          <w:rFonts w:cs="Times New Roman"/>
          <w:i/>
          <w:iCs/>
          <w:sz w:val="20"/>
          <w:szCs w:val="18"/>
        </w:rPr>
        <w:t>Biomolecules, 11</w:t>
      </w:r>
      <w:r w:rsidRPr="00D32BCF">
        <w:rPr>
          <w:rFonts w:cs="Times New Roman"/>
          <w:sz w:val="20"/>
          <w:szCs w:val="18"/>
        </w:rPr>
        <w:t xml:space="preserve">(8), 1138. </w:t>
      </w:r>
      <w:hyperlink r:id="rId31" w:tgtFrame="_blank" w:history="1">
        <w:r w:rsidRPr="00D32BCF">
          <w:rPr>
            <w:rStyle w:val="Hyperlink"/>
            <w:rFonts w:cs="Times New Roman"/>
            <w:sz w:val="20"/>
            <w:szCs w:val="18"/>
          </w:rPr>
          <w:t>https://doi.org/10.3390/biom11081138</w:t>
        </w:r>
      </w:hyperlink>
    </w:p>
    <w:p w14:paraId="41E3DD1B" w14:textId="77777777" w:rsidR="00D32BCF" w:rsidRPr="00D32BCF" w:rsidRDefault="00D32BCF" w:rsidP="00D32BCF">
      <w:pPr>
        <w:ind w:hanging="720"/>
        <w:rPr>
          <w:rFonts w:cs="Times New Roman"/>
          <w:sz w:val="20"/>
          <w:szCs w:val="18"/>
        </w:rPr>
      </w:pPr>
      <w:r w:rsidRPr="00D32BCF">
        <w:rPr>
          <w:rFonts w:cs="Times New Roman"/>
          <w:sz w:val="20"/>
          <w:szCs w:val="18"/>
        </w:rPr>
        <w:t xml:space="preserve">Iqbal, A., Siddiqui, H. L., Ashraf, C. M., Ahmad, M., &amp; Weaver, G. W. (2007). Synthesis, characterization and antibacterial activity of azomethine derivatives derived from 2-formylphenoxyacetic acid. </w:t>
      </w:r>
      <w:r w:rsidRPr="00D32BCF">
        <w:rPr>
          <w:rFonts w:cs="Times New Roman"/>
          <w:i/>
          <w:iCs/>
          <w:sz w:val="20"/>
          <w:szCs w:val="18"/>
        </w:rPr>
        <w:t>Molecules, 12</w:t>
      </w:r>
      <w:r w:rsidRPr="00D32BCF">
        <w:rPr>
          <w:rFonts w:cs="Times New Roman"/>
          <w:sz w:val="20"/>
          <w:szCs w:val="18"/>
        </w:rPr>
        <w:t xml:space="preserve">(2), 245–254. </w:t>
      </w:r>
      <w:hyperlink r:id="rId32" w:tgtFrame="_blank" w:history="1">
        <w:r w:rsidRPr="00D32BCF">
          <w:rPr>
            <w:rStyle w:val="Hyperlink"/>
            <w:rFonts w:cs="Times New Roman"/>
            <w:sz w:val="20"/>
            <w:szCs w:val="18"/>
          </w:rPr>
          <w:t>https://doi.org/10.3390/12020245</w:t>
        </w:r>
      </w:hyperlink>
    </w:p>
    <w:p w14:paraId="5DA62129" w14:textId="77777777" w:rsidR="00D32BCF" w:rsidRPr="00D32BCF" w:rsidRDefault="00D32BCF" w:rsidP="00D32BCF">
      <w:pPr>
        <w:ind w:hanging="720"/>
        <w:rPr>
          <w:rFonts w:cs="Times New Roman"/>
          <w:sz w:val="20"/>
          <w:szCs w:val="18"/>
        </w:rPr>
      </w:pPr>
      <w:r w:rsidRPr="00D32BCF">
        <w:rPr>
          <w:rFonts w:cs="Times New Roman"/>
          <w:sz w:val="20"/>
          <w:szCs w:val="18"/>
        </w:rPr>
        <w:t xml:space="preserve">Jana, S., Dalapati, S., &amp; </w:t>
      </w:r>
      <w:proofErr w:type="spellStart"/>
      <w:r w:rsidRPr="00D32BCF">
        <w:rPr>
          <w:rFonts w:cs="Times New Roman"/>
          <w:sz w:val="20"/>
          <w:szCs w:val="18"/>
        </w:rPr>
        <w:t>Guchhait</w:t>
      </w:r>
      <w:proofErr w:type="spellEnd"/>
      <w:r w:rsidRPr="00D32BCF">
        <w:rPr>
          <w:rFonts w:cs="Times New Roman"/>
          <w:sz w:val="20"/>
          <w:szCs w:val="18"/>
        </w:rPr>
        <w:t xml:space="preserve">, N. (2012). Proton transfer assisted charge transfer phenomena in photochromic </w:t>
      </w:r>
      <w:r w:rsidRPr="00D32BCF">
        <w:rPr>
          <w:rFonts w:cs="Times New Roman"/>
          <w:sz w:val="20"/>
          <w:szCs w:val="18"/>
        </w:rPr>
        <w:lastRenderedPageBreak/>
        <w:t>Schiff bases and effect of–</w:t>
      </w:r>
      <w:proofErr w:type="spellStart"/>
      <w:r w:rsidRPr="00D32BCF">
        <w:rPr>
          <w:rFonts w:cs="Times New Roman"/>
          <w:sz w:val="20"/>
          <w:szCs w:val="18"/>
        </w:rPr>
        <w:t>NEt</w:t>
      </w:r>
      <w:proofErr w:type="spellEnd"/>
      <w:r w:rsidRPr="00D32BCF">
        <w:rPr>
          <w:rFonts w:cs="Times New Roman"/>
          <w:sz w:val="20"/>
          <w:szCs w:val="18"/>
        </w:rPr>
        <w:t xml:space="preserve">₂ groups to the anil Schiff bases. </w:t>
      </w:r>
      <w:r w:rsidRPr="00D32BCF">
        <w:rPr>
          <w:rFonts w:cs="Times New Roman"/>
          <w:i/>
          <w:iCs/>
          <w:sz w:val="20"/>
          <w:szCs w:val="18"/>
        </w:rPr>
        <w:t>The Journal of Physical Chemistry A, 116</w:t>
      </w:r>
      <w:r w:rsidRPr="00D32BCF">
        <w:rPr>
          <w:rFonts w:cs="Times New Roman"/>
          <w:sz w:val="20"/>
          <w:szCs w:val="18"/>
        </w:rPr>
        <w:t xml:space="preserve">(45), 10948–10958. </w:t>
      </w:r>
      <w:hyperlink r:id="rId33" w:tgtFrame="_blank" w:history="1">
        <w:r w:rsidRPr="00D32BCF">
          <w:rPr>
            <w:rStyle w:val="Hyperlink"/>
            <w:rFonts w:cs="Times New Roman"/>
            <w:sz w:val="20"/>
            <w:szCs w:val="18"/>
          </w:rPr>
          <w:t>https://doi.org/10.1021/jp307802g</w:t>
        </w:r>
      </w:hyperlink>
    </w:p>
    <w:p w14:paraId="4952FF41" w14:textId="77777777" w:rsidR="00D32BCF" w:rsidRPr="00D32BCF" w:rsidRDefault="00D32BCF" w:rsidP="00D32BCF">
      <w:pPr>
        <w:ind w:hanging="720"/>
        <w:rPr>
          <w:rFonts w:cs="Times New Roman"/>
          <w:sz w:val="20"/>
          <w:szCs w:val="18"/>
        </w:rPr>
      </w:pPr>
      <w:r w:rsidRPr="00D32BCF">
        <w:rPr>
          <w:rFonts w:cs="Times New Roman"/>
          <w:sz w:val="20"/>
          <w:szCs w:val="18"/>
        </w:rPr>
        <w:t xml:space="preserve">Jesmin, M., Ali, M. M., Salahuddin, M. S., Habib, M. R., &amp; Khanam, J. A. (2008). Antimicrobial activity of some Schiff bases derived from benzoin, salicylaldehyde, aminophenol and 2,4 dinitrophenyl hydrazine. </w:t>
      </w:r>
      <w:proofErr w:type="spellStart"/>
      <w:r w:rsidRPr="00D32BCF">
        <w:rPr>
          <w:rFonts w:cs="Times New Roman"/>
          <w:i/>
          <w:iCs/>
          <w:sz w:val="20"/>
          <w:szCs w:val="18"/>
        </w:rPr>
        <w:t>Mycobiology</w:t>
      </w:r>
      <w:proofErr w:type="spellEnd"/>
      <w:r w:rsidRPr="00D32BCF">
        <w:rPr>
          <w:rFonts w:cs="Times New Roman"/>
          <w:i/>
          <w:iCs/>
          <w:sz w:val="20"/>
          <w:szCs w:val="18"/>
        </w:rPr>
        <w:t>, 36</w:t>
      </w:r>
      <w:r w:rsidRPr="00D32BCF">
        <w:rPr>
          <w:rFonts w:cs="Times New Roman"/>
          <w:sz w:val="20"/>
          <w:szCs w:val="18"/>
        </w:rPr>
        <w:t xml:space="preserve">(1), 70–73. </w:t>
      </w:r>
      <w:hyperlink r:id="rId34" w:tgtFrame="_blank" w:history="1">
        <w:r w:rsidRPr="00D32BCF">
          <w:rPr>
            <w:rStyle w:val="Hyperlink"/>
            <w:rFonts w:cs="Times New Roman"/>
            <w:sz w:val="20"/>
            <w:szCs w:val="18"/>
          </w:rPr>
          <w:t>https://doi.org/10.4489/MYCO.2008.36.1.070</w:t>
        </w:r>
      </w:hyperlink>
    </w:p>
    <w:p w14:paraId="101746E5" w14:textId="77777777" w:rsidR="00D32BCF" w:rsidRPr="00D32BCF" w:rsidRDefault="00D32BCF" w:rsidP="00D32BCF">
      <w:pPr>
        <w:ind w:hanging="720"/>
        <w:rPr>
          <w:rFonts w:cs="Times New Roman"/>
          <w:sz w:val="20"/>
          <w:szCs w:val="18"/>
        </w:rPr>
      </w:pPr>
      <w:r w:rsidRPr="00D32BCF">
        <w:rPr>
          <w:rFonts w:cs="Times New Roman"/>
          <w:sz w:val="20"/>
          <w:szCs w:val="18"/>
        </w:rPr>
        <w:t xml:space="preserve">Keene, A. B., Shiloh, A. L., Eisen, L., Berger, J., Karwa, M., Fein, D., … &amp; Gong, M. (2021). Critical care surge during the COVID-19 pandemic: Implementation and feedback from frontline providers. </w:t>
      </w:r>
      <w:r w:rsidRPr="00D32BCF">
        <w:rPr>
          <w:rFonts w:cs="Times New Roman"/>
          <w:i/>
          <w:iCs/>
          <w:sz w:val="20"/>
          <w:szCs w:val="18"/>
        </w:rPr>
        <w:t>Journal of Intensive Care Medicine, 36</w:t>
      </w:r>
      <w:r w:rsidRPr="00D32BCF">
        <w:rPr>
          <w:rFonts w:cs="Times New Roman"/>
          <w:sz w:val="20"/>
          <w:szCs w:val="18"/>
        </w:rPr>
        <w:t xml:space="preserve">(2), 233–240. </w:t>
      </w:r>
      <w:hyperlink r:id="rId35" w:tgtFrame="_blank" w:history="1">
        <w:r w:rsidRPr="00D32BCF">
          <w:rPr>
            <w:rStyle w:val="Hyperlink"/>
            <w:rFonts w:cs="Times New Roman"/>
            <w:sz w:val="20"/>
            <w:szCs w:val="18"/>
          </w:rPr>
          <w:t>https://doi.org/10.1177/0885066620973175</w:t>
        </w:r>
      </w:hyperlink>
    </w:p>
    <w:p w14:paraId="68077058" w14:textId="77777777" w:rsidR="00D32BCF" w:rsidRPr="00D32BCF" w:rsidRDefault="00D32BCF" w:rsidP="00D32BCF">
      <w:pPr>
        <w:ind w:hanging="720"/>
        <w:rPr>
          <w:rFonts w:cs="Times New Roman"/>
          <w:sz w:val="20"/>
          <w:szCs w:val="18"/>
        </w:rPr>
      </w:pPr>
      <w:r w:rsidRPr="00D32BCF">
        <w:rPr>
          <w:rFonts w:cs="Times New Roman"/>
          <w:sz w:val="20"/>
          <w:szCs w:val="18"/>
        </w:rPr>
        <w:t xml:space="preserve">Khalid, S., </w:t>
      </w:r>
      <w:proofErr w:type="spellStart"/>
      <w:r w:rsidRPr="00D32BCF">
        <w:rPr>
          <w:rFonts w:cs="Times New Roman"/>
          <w:sz w:val="20"/>
          <w:szCs w:val="18"/>
        </w:rPr>
        <w:t>Sumrra</w:t>
      </w:r>
      <w:proofErr w:type="spellEnd"/>
      <w:r w:rsidRPr="00D32BCF">
        <w:rPr>
          <w:rFonts w:cs="Times New Roman"/>
          <w:sz w:val="20"/>
          <w:szCs w:val="18"/>
        </w:rPr>
        <w:t xml:space="preserve">, S. H., &amp; Chohan, Z. H. (2020). </w:t>
      </w:r>
      <w:proofErr w:type="spellStart"/>
      <w:r w:rsidRPr="00D32BCF">
        <w:rPr>
          <w:rFonts w:cs="Times New Roman"/>
          <w:sz w:val="20"/>
          <w:szCs w:val="18"/>
        </w:rPr>
        <w:t>Isatin</w:t>
      </w:r>
      <w:proofErr w:type="spellEnd"/>
      <w:r w:rsidRPr="00D32BCF">
        <w:rPr>
          <w:rFonts w:cs="Times New Roman"/>
          <w:sz w:val="20"/>
          <w:szCs w:val="18"/>
        </w:rPr>
        <w:t xml:space="preserve"> endowed metal chelates as antibacterial and antifungal agents. </w:t>
      </w:r>
      <w:proofErr w:type="spellStart"/>
      <w:r w:rsidRPr="00D32BCF">
        <w:rPr>
          <w:rFonts w:cs="Times New Roman"/>
          <w:i/>
          <w:iCs/>
          <w:sz w:val="20"/>
          <w:szCs w:val="18"/>
        </w:rPr>
        <w:t>Sains</w:t>
      </w:r>
      <w:proofErr w:type="spellEnd"/>
      <w:r w:rsidRPr="00D32BCF">
        <w:rPr>
          <w:rFonts w:cs="Times New Roman"/>
          <w:i/>
          <w:iCs/>
          <w:sz w:val="20"/>
          <w:szCs w:val="18"/>
        </w:rPr>
        <w:t xml:space="preserve"> </w:t>
      </w:r>
      <w:proofErr w:type="spellStart"/>
      <w:r w:rsidRPr="00D32BCF">
        <w:rPr>
          <w:rFonts w:cs="Times New Roman"/>
          <w:i/>
          <w:iCs/>
          <w:sz w:val="20"/>
          <w:szCs w:val="18"/>
        </w:rPr>
        <w:t>Malaysiana</w:t>
      </w:r>
      <w:proofErr w:type="spellEnd"/>
      <w:r w:rsidRPr="00D32BCF">
        <w:rPr>
          <w:rFonts w:cs="Times New Roman"/>
          <w:i/>
          <w:iCs/>
          <w:sz w:val="20"/>
          <w:szCs w:val="18"/>
        </w:rPr>
        <w:t>, 49</w:t>
      </w:r>
      <w:r w:rsidRPr="00D32BCF">
        <w:rPr>
          <w:rFonts w:cs="Times New Roman"/>
          <w:sz w:val="20"/>
          <w:szCs w:val="18"/>
        </w:rPr>
        <w:t xml:space="preserve">(8), 1891–1904. </w:t>
      </w:r>
      <w:hyperlink r:id="rId36" w:tgtFrame="_blank" w:history="1">
        <w:r w:rsidRPr="00D32BCF">
          <w:rPr>
            <w:rStyle w:val="Hyperlink"/>
            <w:rFonts w:cs="Times New Roman"/>
            <w:sz w:val="20"/>
            <w:szCs w:val="18"/>
          </w:rPr>
          <w:t>https://doi.org/10.17576/jsm-2020-4908-15</w:t>
        </w:r>
      </w:hyperlink>
    </w:p>
    <w:p w14:paraId="006DBFCE" w14:textId="77777777" w:rsidR="00D32BCF" w:rsidRPr="00D32BCF" w:rsidRDefault="00D32BCF" w:rsidP="00D32BCF">
      <w:pPr>
        <w:ind w:hanging="720"/>
        <w:rPr>
          <w:rFonts w:cs="Times New Roman"/>
          <w:sz w:val="20"/>
          <w:szCs w:val="18"/>
        </w:rPr>
      </w:pPr>
      <w:r w:rsidRPr="00D32BCF">
        <w:rPr>
          <w:rFonts w:cs="Times New Roman"/>
          <w:sz w:val="20"/>
          <w:szCs w:val="18"/>
        </w:rPr>
        <w:t xml:space="preserve">Kumar, P., Gupta, R. K., &amp; Pandey, D. S. (2014). Half-sandwich arene ruthenium complexes: Synthetic strategies and relevance in catalysis. </w:t>
      </w:r>
      <w:r w:rsidRPr="00D32BCF">
        <w:rPr>
          <w:rFonts w:cs="Times New Roman"/>
          <w:i/>
          <w:iCs/>
          <w:sz w:val="20"/>
          <w:szCs w:val="18"/>
        </w:rPr>
        <w:t>Chemical Society Reviews, 43</w:t>
      </w:r>
      <w:r w:rsidRPr="00D32BCF">
        <w:rPr>
          <w:rFonts w:cs="Times New Roman"/>
          <w:sz w:val="20"/>
          <w:szCs w:val="18"/>
        </w:rPr>
        <w:t xml:space="preserve">(2), 707–733. </w:t>
      </w:r>
      <w:hyperlink r:id="rId37" w:tgtFrame="_blank" w:history="1">
        <w:r w:rsidRPr="00D32BCF">
          <w:rPr>
            <w:rStyle w:val="Hyperlink"/>
            <w:rFonts w:cs="Times New Roman"/>
            <w:sz w:val="20"/>
            <w:szCs w:val="18"/>
          </w:rPr>
          <w:t>https://doi.org/10.1039/C3CS60189G</w:t>
        </w:r>
      </w:hyperlink>
    </w:p>
    <w:p w14:paraId="0D640187" w14:textId="77777777" w:rsidR="00D32BCF" w:rsidRPr="00D32BCF" w:rsidRDefault="00D32BCF" w:rsidP="00D32BCF">
      <w:pPr>
        <w:ind w:hanging="720"/>
        <w:rPr>
          <w:rFonts w:cs="Times New Roman"/>
          <w:sz w:val="20"/>
          <w:szCs w:val="18"/>
        </w:rPr>
      </w:pPr>
      <w:r w:rsidRPr="00D32BCF">
        <w:rPr>
          <w:rFonts w:cs="Times New Roman"/>
          <w:sz w:val="20"/>
          <w:szCs w:val="18"/>
        </w:rPr>
        <w:t xml:space="preserve">Kumar, S. V., Scottwell, S. Ø., Waugh, E., McAdam, C. J., Hanton, L. R., Brooks, H. J., &amp; Crowley, J. D. (2016). Antimicrobial properties of tris(homoleptic) </w:t>
      </w:r>
      <w:proofErr w:type="gramStart"/>
      <w:r w:rsidRPr="00D32BCF">
        <w:rPr>
          <w:rFonts w:cs="Times New Roman"/>
          <w:sz w:val="20"/>
          <w:szCs w:val="18"/>
        </w:rPr>
        <w:t>ruthenium(</w:t>
      </w:r>
      <w:proofErr w:type="gramEnd"/>
      <w:r w:rsidRPr="00D32BCF">
        <w:rPr>
          <w:rFonts w:cs="Times New Roman"/>
          <w:sz w:val="20"/>
          <w:szCs w:val="18"/>
        </w:rPr>
        <w:t xml:space="preserve">II) 2-pyridyl-1,2,3-triazole “click” complexes against pathogenic bacteria, including methicillin-resistant </w:t>
      </w:r>
      <w:r w:rsidRPr="00D32BCF">
        <w:rPr>
          <w:rFonts w:cs="Times New Roman"/>
          <w:i/>
          <w:iCs/>
          <w:sz w:val="20"/>
          <w:szCs w:val="18"/>
        </w:rPr>
        <w:t>Staphylococcus aureus</w:t>
      </w:r>
      <w:r w:rsidRPr="00D32BCF">
        <w:rPr>
          <w:rFonts w:cs="Times New Roman"/>
          <w:sz w:val="20"/>
          <w:szCs w:val="18"/>
        </w:rPr>
        <w:t xml:space="preserve"> (MRSA). </w:t>
      </w:r>
      <w:r w:rsidRPr="00D32BCF">
        <w:rPr>
          <w:rFonts w:cs="Times New Roman"/>
          <w:i/>
          <w:iCs/>
          <w:sz w:val="20"/>
          <w:szCs w:val="18"/>
        </w:rPr>
        <w:t>Inorganic Chemistry, 55</w:t>
      </w:r>
      <w:r w:rsidRPr="00D32BCF">
        <w:rPr>
          <w:rFonts w:cs="Times New Roman"/>
          <w:sz w:val="20"/>
          <w:szCs w:val="18"/>
        </w:rPr>
        <w:t xml:space="preserve">(19), 9767–9777. </w:t>
      </w:r>
      <w:hyperlink r:id="rId38" w:tgtFrame="_blank" w:history="1">
        <w:r w:rsidRPr="00D32BCF">
          <w:rPr>
            <w:rStyle w:val="Hyperlink"/>
            <w:rFonts w:cs="Times New Roman"/>
            <w:sz w:val="20"/>
            <w:szCs w:val="18"/>
          </w:rPr>
          <w:t>https://doi.org/10.1021/acs.inorgchem.6b01582</w:t>
        </w:r>
      </w:hyperlink>
    </w:p>
    <w:p w14:paraId="509B5AA8" w14:textId="77777777" w:rsidR="00D32BCF" w:rsidRPr="00D32BCF" w:rsidRDefault="00D32BCF" w:rsidP="00D32BCF">
      <w:pPr>
        <w:ind w:hanging="720"/>
        <w:rPr>
          <w:rFonts w:cs="Times New Roman"/>
          <w:sz w:val="20"/>
          <w:szCs w:val="18"/>
        </w:rPr>
      </w:pPr>
      <w:r w:rsidRPr="00D32BCF">
        <w:rPr>
          <w:rFonts w:cs="Times New Roman"/>
          <w:sz w:val="20"/>
          <w:szCs w:val="18"/>
        </w:rPr>
        <w:t xml:space="preserve">Li, F., Collins, J. G., &amp; Keene, F. R. (2015). </w:t>
      </w:r>
      <w:proofErr w:type="spellStart"/>
      <w:r w:rsidRPr="00D32BCF">
        <w:rPr>
          <w:rFonts w:cs="Times New Roman"/>
          <w:sz w:val="20"/>
          <w:szCs w:val="18"/>
        </w:rPr>
        <w:t>Ruthenius</w:t>
      </w:r>
      <w:proofErr w:type="spellEnd"/>
      <w:r w:rsidRPr="00D32BCF">
        <w:rPr>
          <w:rFonts w:cs="Times New Roman"/>
          <w:sz w:val="20"/>
          <w:szCs w:val="18"/>
        </w:rPr>
        <w:t xml:space="preserve"> complexes as antimicrobial agents. </w:t>
      </w:r>
      <w:r w:rsidRPr="00D32BCF">
        <w:rPr>
          <w:rFonts w:cs="Times New Roman"/>
          <w:i/>
          <w:iCs/>
          <w:sz w:val="20"/>
          <w:szCs w:val="18"/>
        </w:rPr>
        <w:t>Chemical Society Reviews, 44</w:t>
      </w:r>
      <w:r w:rsidRPr="00D32BCF">
        <w:rPr>
          <w:rFonts w:cs="Times New Roman"/>
          <w:sz w:val="20"/>
          <w:szCs w:val="18"/>
        </w:rPr>
        <w:t xml:space="preserve">(8), 2529–2542. </w:t>
      </w:r>
      <w:hyperlink r:id="rId39" w:tgtFrame="_blank" w:history="1">
        <w:r w:rsidRPr="00D32BCF">
          <w:rPr>
            <w:rStyle w:val="Hyperlink"/>
            <w:rFonts w:cs="Times New Roman"/>
            <w:sz w:val="20"/>
            <w:szCs w:val="18"/>
          </w:rPr>
          <w:t>https://doi.org/10.1039/C4CS00343H</w:t>
        </w:r>
      </w:hyperlink>
    </w:p>
    <w:p w14:paraId="72F1B05D" w14:textId="77777777" w:rsidR="00D32BCF" w:rsidRPr="00D32BCF" w:rsidRDefault="00D32BCF" w:rsidP="00D32BCF">
      <w:pPr>
        <w:ind w:hanging="720"/>
        <w:rPr>
          <w:rFonts w:cs="Times New Roman"/>
          <w:sz w:val="20"/>
          <w:szCs w:val="18"/>
        </w:rPr>
      </w:pPr>
      <w:r w:rsidRPr="00D32BCF">
        <w:rPr>
          <w:rFonts w:cs="Times New Roman"/>
          <w:sz w:val="20"/>
          <w:szCs w:val="18"/>
        </w:rPr>
        <w:t xml:space="preserve">Liu, X., &amp; Hamon, J. R. (2019). Recent developments in penta-, hexa- and </w:t>
      </w:r>
      <w:proofErr w:type="spellStart"/>
      <w:r w:rsidRPr="00D32BCF">
        <w:rPr>
          <w:rFonts w:cs="Times New Roman"/>
          <w:sz w:val="20"/>
          <w:szCs w:val="18"/>
        </w:rPr>
        <w:t>heptadentate</w:t>
      </w:r>
      <w:proofErr w:type="spellEnd"/>
      <w:r w:rsidRPr="00D32BCF">
        <w:rPr>
          <w:rFonts w:cs="Times New Roman"/>
          <w:sz w:val="20"/>
          <w:szCs w:val="18"/>
        </w:rPr>
        <w:t xml:space="preserve"> Schiff base ligands and their metal complexes. </w:t>
      </w:r>
      <w:r w:rsidRPr="00D32BCF">
        <w:rPr>
          <w:rFonts w:cs="Times New Roman"/>
          <w:i/>
          <w:iCs/>
          <w:sz w:val="20"/>
          <w:szCs w:val="18"/>
        </w:rPr>
        <w:t>Coordination Chemistry Reviews, 389</w:t>
      </w:r>
      <w:r w:rsidRPr="00D32BCF">
        <w:rPr>
          <w:rFonts w:cs="Times New Roman"/>
          <w:sz w:val="20"/>
          <w:szCs w:val="18"/>
        </w:rPr>
        <w:t xml:space="preserve">, 94–118. </w:t>
      </w:r>
      <w:hyperlink r:id="rId40" w:tgtFrame="_blank" w:history="1">
        <w:r w:rsidRPr="00D32BCF">
          <w:rPr>
            <w:rStyle w:val="Hyperlink"/>
            <w:rFonts w:cs="Times New Roman"/>
            <w:sz w:val="20"/>
            <w:szCs w:val="18"/>
          </w:rPr>
          <w:t>https://doi.org/10.1016/j.ccr.2019.03.010</w:t>
        </w:r>
      </w:hyperlink>
    </w:p>
    <w:p w14:paraId="3D07D353" w14:textId="77777777" w:rsidR="00D32BCF" w:rsidRPr="00D32BCF" w:rsidRDefault="00D32BCF" w:rsidP="00D32BCF">
      <w:pPr>
        <w:ind w:hanging="720"/>
        <w:rPr>
          <w:rFonts w:cs="Times New Roman"/>
          <w:sz w:val="20"/>
          <w:szCs w:val="18"/>
        </w:rPr>
      </w:pPr>
      <w:r w:rsidRPr="00D32BCF">
        <w:rPr>
          <w:rFonts w:cs="Times New Roman"/>
          <w:sz w:val="20"/>
          <w:szCs w:val="18"/>
        </w:rPr>
        <w:t xml:space="preserve">Mahajan, M., Singh, N., &amp; Pandeya, S. N. (2007). Biological activity of Schiff bases: A review. </w:t>
      </w:r>
      <w:r w:rsidRPr="00D32BCF">
        <w:rPr>
          <w:rFonts w:cs="Times New Roman"/>
          <w:i/>
          <w:iCs/>
          <w:sz w:val="20"/>
          <w:szCs w:val="18"/>
        </w:rPr>
        <w:t xml:space="preserve">Acta </w:t>
      </w:r>
      <w:proofErr w:type="spellStart"/>
      <w:r w:rsidRPr="00D32BCF">
        <w:rPr>
          <w:rFonts w:cs="Times New Roman"/>
          <w:i/>
          <w:iCs/>
          <w:sz w:val="20"/>
          <w:szCs w:val="18"/>
        </w:rPr>
        <w:t>Poloniae</w:t>
      </w:r>
      <w:proofErr w:type="spellEnd"/>
      <w:r w:rsidRPr="00D32BCF">
        <w:rPr>
          <w:rFonts w:cs="Times New Roman"/>
          <w:i/>
          <w:iCs/>
          <w:sz w:val="20"/>
          <w:szCs w:val="18"/>
        </w:rPr>
        <w:t xml:space="preserve"> </w:t>
      </w:r>
      <w:proofErr w:type="spellStart"/>
      <w:r w:rsidRPr="00D32BCF">
        <w:rPr>
          <w:rFonts w:cs="Times New Roman"/>
          <w:i/>
          <w:iCs/>
          <w:sz w:val="20"/>
          <w:szCs w:val="18"/>
        </w:rPr>
        <w:t>Pharmaceutica</w:t>
      </w:r>
      <w:proofErr w:type="spellEnd"/>
      <w:r w:rsidRPr="00D32BCF">
        <w:rPr>
          <w:rFonts w:cs="Times New Roman"/>
          <w:i/>
          <w:iCs/>
          <w:sz w:val="20"/>
          <w:szCs w:val="18"/>
        </w:rPr>
        <w:t>, 64</w:t>
      </w:r>
      <w:r w:rsidRPr="00D32BCF">
        <w:rPr>
          <w:rFonts w:cs="Times New Roman"/>
          <w:sz w:val="20"/>
          <w:szCs w:val="18"/>
        </w:rPr>
        <w:t>(6), 481–486.</w:t>
      </w:r>
    </w:p>
    <w:p w14:paraId="7042F496"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Mjos</w:t>
      </w:r>
      <w:proofErr w:type="spellEnd"/>
      <w:r w:rsidRPr="00D32BCF">
        <w:rPr>
          <w:rFonts w:cs="Times New Roman"/>
          <w:sz w:val="20"/>
          <w:szCs w:val="18"/>
        </w:rPr>
        <w:t xml:space="preserve">, K. D., &amp; </w:t>
      </w:r>
      <w:proofErr w:type="spellStart"/>
      <w:r w:rsidRPr="00D32BCF">
        <w:rPr>
          <w:rFonts w:cs="Times New Roman"/>
          <w:sz w:val="20"/>
          <w:szCs w:val="18"/>
        </w:rPr>
        <w:t>Orvig</w:t>
      </w:r>
      <w:proofErr w:type="spellEnd"/>
      <w:r w:rsidRPr="00D32BCF">
        <w:rPr>
          <w:rFonts w:cs="Times New Roman"/>
          <w:sz w:val="20"/>
          <w:szCs w:val="18"/>
        </w:rPr>
        <w:t xml:space="preserve">, C. (2014). Metallodrugs in medicinal inorganic chemistry. </w:t>
      </w:r>
      <w:r w:rsidRPr="00D32BCF">
        <w:rPr>
          <w:rFonts w:cs="Times New Roman"/>
          <w:i/>
          <w:iCs/>
          <w:sz w:val="20"/>
          <w:szCs w:val="18"/>
        </w:rPr>
        <w:t>Chemical Reviews, 114</w:t>
      </w:r>
      <w:r w:rsidRPr="00D32BCF">
        <w:rPr>
          <w:rFonts w:cs="Times New Roman"/>
          <w:sz w:val="20"/>
          <w:szCs w:val="18"/>
        </w:rPr>
        <w:t xml:space="preserve">(8), 4540–4563. </w:t>
      </w:r>
      <w:hyperlink r:id="rId41" w:tgtFrame="_blank" w:history="1">
        <w:r w:rsidRPr="00D32BCF">
          <w:rPr>
            <w:rStyle w:val="Hyperlink"/>
            <w:rFonts w:cs="Times New Roman"/>
            <w:sz w:val="20"/>
            <w:szCs w:val="18"/>
          </w:rPr>
          <w:t>https://doi.org/10.1021/cr400460s</w:t>
        </w:r>
      </w:hyperlink>
    </w:p>
    <w:p w14:paraId="53AE0BBD" w14:textId="77777777" w:rsidR="00D32BCF" w:rsidRPr="00D32BCF" w:rsidRDefault="00D32BCF" w:rsidP="00D32BCF">
      <w:pPr>
        <w:ind w:hanging="720"/>
        <w:rPr>
          <w:rFonts w:cs="Times New Roman"/>
          <w:sz w:val="20"/>
          <w:szCs w:val="18"/>
        </w:rPr>
      </w:pPr>
      <w:r w:rsidRPr="00D32BCF">
        <w:rPr>
          <w:rFonts w:cs="Times New Roman"/>
          <w:sz w:val="20"/>
          <w:szCs w:val="18"/>
        </w:rPr>
        <w:t xml:space="preserve">Naeimi, H., &amp; Moradian, M. (2016). Synthesis and characterization of nitro-Schiff bases derived from 5-nitro-salicylaldehyde and various diamines and their complexes of </w:t>
      </w:r>
      <w:proofErr w:type="gramStart"/>
      <w:r w:rsidRPr="00D32BCF">
        <w:rPr>
          <w:rFonts w:cs="Times New Roman"/>
          <w:sz w:val="20"/>
          <w:szCs w:val="18"/>
        </w:rPr>
        <w:t>Co(</w:t>
      </w:r>
      <w:proofErr w:type="gramEnd"/>
      <w:r w:rsidRPr="00D32BCF">
        <w:rPr>
          <w:rFonts w:cs="Times New Roman"/>
          <w:sz w:val="20"/>
          <w:szCs w:val="18"/>
        </w:rPr>
        <w:t xml:space="preserve">II). </w:t>
      </w:r>
      <w:r w:rsidRPr="00D32BCF">
        <w:rPr>
          <w:rFonts w:cs="Times New Roman"/>
          <w:i/>
          <w:iCs/>
          <w:sz w:val="20"/>
          <w:szCs w:val="18"/>
        </w:rPr>
        <w:t>Journal of Coordination Chemistry, 63</w:t>
      </w:r>
      <w:r w:rsidRPr="00D32BCF">
        <w:rPr>
          <w:rFonts w:cs="Times New Roman"/>
          <w:sz w:val="20"/>
          <w:szCs w:val="18"/>
        </w:rPr>
        <w:t xml:space="preserve">(1), 156–162. </w:t>
      </w:r>
      <w:hyperlink r:id="rId42" w:tgtFrame="_blank" w:history="1">
        <w:r w:rsidRPr="00D32BCF">
          <w:rPr>
            <w:rStyle w:val="Hyperlink"/>
            <w:rFonts w:cs="Times New Roman"/>
            <w:sz w:val="20"/>
            <w:szCs w:val="18"/>
          </w:rPr>
          <w:t>https://doi.org/10.1080/00958970903225866</w:t>
        </w:r>
      </w:hyperlink>
    </w:p>
    <w:p w14:paraId="57052534" w14:textId="77777777" w:rsidR="00D32BCF" w:rsidRPr="00D32BCF" w:rsidRDefault="00D32BCF" w:rsidP="00D32BCF">
      <w:pPr>
        <w:ind w:hanging="720"/>
        <w:rPr>
          <w:rFonts w:cs="Times New Roman"/>
          <w:sz w:val="16"/>
          <w:szCs w:val="14"/>
        </w:rPr>
      </w:pPr>
      <w:proofErr w:type="spellStart"/>
      <w:r w:rsidRPr="00D32BCF">
        <w:rPr>
          <w:sz w:val="20"/>
          <w:szCs w:val="18"/>
        </w:rPr>
        <w:t>Nyang’ate</w:t>
      </w:r>
      <w:proofErr w:type="spellEnd"/>
      <w:r w:rsidRPr="00D32BCF">
        <w:rPr>
          <w:sz w:val="20"/>
          <w:szCs w:val="18"/>
        </w:rPr>
        <w:t xml:space="preserve">, S. O., </w:t>
      </w:r>
      <w:proofErr w:type="spellStart"/>
      <w:r w:rsidRPr="00D32BCF">
        <w:rPr>
          <w:sz w:val="20"/>
          <w:szCs w:val="18"/>
        </w:rPr>
        <w:t>Gichumbi</w:t>
      </w:r>
      <w:proofErr w:type="spellEnd"/>
      <w:r w:rsidRPr="00D32BCF">
        <w:rPr>
          <w:sz w:val="20"/>
          <w:szCs w:val="18"/>
        </w:rPr>
        <w:t xml:space="preserve">, J., &amp; Nthiga, E. (2025). Design, Synthesis, and Antimicrobial Profiling of Novel Schiff Base Metal (II) Complexes: Structural Characterization and Structure. </w:t>
      </w:r>
      <w:r w:rsidRPr="00D32BCF">
        <w:rPr>
          <w:i/>
          <w:iCs/>
          <w:sz w:val="20"/>
          <w:szCs w:val="18"/>
        </w:rPr>
        <w:t>American Journal of Applied Chemistry</w:t>
      </w:r>
      <w:r w:rsidRPr="00D32BCF">
        <w:rPr>
          <w:sz w:val="20"/>
          <w:szCs w:val="18"/>
        </w:rPr>
        <w:t xml:space="preserve">, </w:t>
      </w:r>
      <w:r w:rsidRPr="00D32BCF">
        <w:rPr>
          <w:i/>
          <w:iCs/>
          <w:sz w:val="20"/>
          <w:szCs w:val="18"/>
        </w:rPr>
        <w:t>13</w:t>
      </w:r>
      <w:r w:rsidRPr="00D32BCF">
        <w:rPr>
          <w:sz w:val="20"/>
          <w:szCs w:val="18"/>
        </w:rPr>
        <w:t xml:space="preserve">(6), 152–163. </w:t>
      </w:r>
      <w:hyperlink r:id="rId43" w:history="1">
        <w:r w:rsidRPr="00D32BCF">
          <w:rPr>
            <w:rStyle w:val="Hyperlink"/>
            <w:sz w:val="20"/>
            <w:szCs w:val="18"/>
          </w:rPr>
          <w:t>https://doi.org/10.11648/j.ajac.20251306.11</w:t>
        </w:r>
      </w:hyperlink>
    </w:p>
    <w:p w14:paraId="7B712A08"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Nyawade</w:t>
      </w:r>
      <w:proofErr w:type="spellEnd"/>
      <w:r w:rsidRPr="00D32BCF">
        <w:rPr>
          <w:rFonts w:cs="Times New Roman"/>
          <w:sz w:val="20"/>
          <w:szCs w:val="18"/>
        </w:rPr>
        <w:t xml:space="preserve">, E. A., Friedrich, H. B., Omondi, B., &amp; Mpungose, P. (2015a). Synthesis and characterization of new (η⁵-cyclopentadienyl) </w:t>
      </w:r>
      <w:proofErr w:type="spellStart"/>
      <w:proofErr w:type="gramStart"/>
      <w:r w:rsidRPr="00D32BCF">
        <w:rPr>
          <w:rFonts w:cs="Times New Roman"/>
          <w:sz w:val="20"/>
          <w:szCs w:val="18"/>
        </w:rPr>
        <w:t>dicarbonylruthenium</w:t>
      </w:r>
      <w:proofErr w:type="spellEnd"/>
      <w:r w:rsidRPr="00D32BCF">
        <w:rPr>
          <w:rFonts w:cs="Times New Roman"/>
          <w:sz w:val="20"/>
          <w:szCs w:val="18"/>
        </w:rPr>
        <w:t>(</w:t>
      </w:r>
      <w:proofErr w:type="gramEnd"/>
      <w:r w:rsidRPr="00D32BCF">
        <w:rPr>
          <w:rFonts w:cs="Times New Roman"/>
          <w:sz w:val="20"/>
          <w:szCs w:val="18"/>
        </w:rPr>
        <w:t xml:space="preserve">II) amine complexes: Their application as homogeneous catalysts in styrene oxidation. </w:t>
      </w:r>
      <w:r w:rsidRPr="00D32BCF">
        <w:rPr>
          <w:rFonts w:cs="Times New Roman"/>
          <w:i/>
          <w:iCs/>
          <w:sz w:val="20"/>
          <w:szCs w:val="18"/>
        </w:rPr>
        <w:t>Organometallics, 34</w:t>
      </w:r>
      <w:r w:rsidRPr="00D32BCF">
        <w:rPr>
          <w:rFonts w:cs="Times New Roman"/>
          <w:sz w:val="20"/>
          <w:szCs w:val="18"/>
        </w:rPr>
        <w:t xml:space="preserve">(20), 4922–4931. </w:t>
      </w:r>
      <w:hyperlink r:id="rId44" w:tgtFrame="_blank" w:history="1">
        <w:r w:rsidRPr="00D32BCF">
          <w:rPr>
            <w:rStyle w:val="Hyperlink"/>
            <w:rFonts w:cs="Times New Roman"/>
            <w:sz w:val="20"/>
            <w:szCs w:val="18"/>
          </w:rPr>
          <w:t>https://doi.org/10.1021/acs.organomet.5b01890</w:t>
        </w:r>
      </w:hyperlink>
    </w:p>
    <w:p w14:paraId="3F66758F" w14:textId="77777777" w:rsidR="00D32BCF" w:rsidRPr="00D32BCF" w:rsidRDefault="00D32BCF" w:rsidP="00D32BCF">
      <w:pPr>
        <w:ind w:hanging="720"/>
        <w:rPr>
          <w:rFonts w:cs="Times New Roman"/>
          <w:sz w:val="20"/>
          <w:szCs w:val="18"/>
        </w:rPr>
      </w:pPr>
      <w:r w:rsidRPr="00D32BCF">
        <w:rPr>
          <w:rFonts w:cs="Times New Roman"/>
          <w:sz w:val="20"/>
          <w:szCs w:val="18"/>
        </w:rPr>
        <w:t xml:space="preserve">Patel, P. O., &amp; Chaudhary, A. A. (2012). Synthesis and antimicrobial evaluation of some new Schiff base derivatives. </w:t>
      </w:r>
      <w:r w:rsidRPr="00D32BCF">
        <w:rPr>
          <w:rFonts w:cs="Times New Roman"/>
          <w:i/>
          <w:iCs/>
          <w:sz w:val="20"/>
          <w:szCs w:val="18"/>
        </w:rPr>
        <w:t>Der Pharma Chemica, 4</w:t>
      </w:r>
      <w:r w:rsidRPr="00D32BCF">
        <w:rPr>
          <w:rFonts w:cs="Times New Roman"/>
          <w:sz w:val="20"/>
          <w:szCs w:val="18"/>
        </w:rPr>
        <w:t>(6), 2535–2542.</w:t>
      </w:r>
    </w:p>
    <w:p w14:paraId="58B8C424" w14:textId="77777777" w:rsidR="00D32BCF" w:rsidRPr="00D32BCF" w:rsidRDefault="00D32BCF" w:rsidP="00D32BCF">
      <w:pPr>
        <w:ind w:hanging="720"/>
        <w:rPr>
          <w:rFonts w:cs="Times New Roman"/>
          <w:sz w:val="20"/>
          <w:szCs w:val="18"/>
        </w:rPr>
      </w:pPr>
      <w:r w:rsidRPr="00D32BCF">
        <w:rPr>
          <w:rFonts w:cs="Times New Roman"/>
          <w:sz w:val="20"/>
          <w:szCs w:val="18"/>
        </w:rPr>
        <w:t xml:space="preserve">Petrović, T. A., Dimitrijević, M. V., Mihajlović-Lalić, L. E., Stanković, D., Vlahović, F., </w:t>
      </w:r>
      <w:proofErr w:type="spellStart"/>
      <w:r w:rsidRPr="00D32BCF">
        <w:rPr>
          <w:rFonts w:cs="Times New Roman"/>
          <w:sz w:val="20"/>
          <w:szCs w:val="18"/>
        </w:rPr>
        <w:t>Grgurić-Šipka</w:t>
      </w:r>
      <w:proofErr w:type="spellEnd"/>
      <w:r w:rsidRPr="00D32BCF">
        <w:rPr>
          <w:rFonts w:cs="Times New Roman"/>
          <w:sz w:val="20"/>
          <w:szCs w:val="18"/>
        </w:rPr>
        <w:t xml:space="preserve">, S., &amp; </w:t>
      </w:r>
      <w:proofErr w:type="spellStart"/>
      <w:r w:rsidRPr="00D32BCF">
        <w:rPr>
          <w:rFonts w:cs="Times New Roman"/>
          <w:sz w:val="20"/>
          <w:szCs w:val="18"/>
        </w:rPr>
        <w:t>Poljarević</w:t>
      </w:r>
      <w:proofErr w:type="spellEnd"/>
      <w:r w:rsidRPr="00D32BCF">
        <w:rPr>
          <w:rFonts w:cs="Times New Roman"/>
          <w:sz w:val="20"/>
          <w:szCs w:val="18"/>
        </w:rPr>
        <w:t xml:space="preserve">, J. M. (2024). Synthesis and antimicrobial activity of new pyridine-based half-sandwich </w:t>
      </w:r>
      <w:proofErr w:type="gramStart"/>
      <w:r w:rsidRPr="00D32BCF">
        <w:rPr>
          <w:rFonts w:cs="Times New Roman"/>
          <w:sz w:val="20"/>
          <w:szCs w:val="18"/>
        </w:rPr>
        <w:t>Ru(</w:t>
      </w:r>
      <w:proofErr w:type="gramEnd"/>
      <w:r w:rsidRPr="00D32BCF">
        <w:rPr>
          <w:rFonts w:cs="Times New Roman"/>
          <w:sz w:val="20"/>
          <w:szCs w:val="18"/>
        </w:rPr>
        <w:t xml:space="preserve">II) complexes. </w:t>
      </w:r>
      <w:r w:rsidRPr="00D32BCF">
        <w:rPr>
          <w:rFonts w:cs="Times New Roman"/>
          <w:i/>
          <w:iCs/>
          <w:sz w:val="20"/>
          <w:szCs w:val="18"/>
        </w:rPr>
        <w:t>Journal of Coordination Chemistry, 77</w:t>
      </w:r>
      <w:r w:rsidRPr="00D32BCF">
        <w:rPr>
          <w:rFonts w:cs="Times New Roman"/>
          <w:sz w:val="20"/>
          <w:szCs w:val="18"/>
        </w:rPr>
        <w:t xml:space="preserve">(4), 1–16. </w:t>
      </w:r>
      <w:hyperlink r:id="rId45" w:tgtFrame="_blank" w:history="1">
        <w:r w:rsidRPr="00D32BCF">
          <w:rPr>
            <w:rStyle w:val="Hyperlink"/>
            <w:rFonts w:cs="Times New Roman"/>
            <w:sz w:val="20"/>
            <w:szCs w:val="18"/>
          </w:rPr>
          <w:t>https://doi.org/10.1080/00958972.2024.2302345</w:t>
        </w:r>
      </w:hyperlink>
    </w:p>
    <w:p w14:paraId="43498713" w14:textId="77777777" w:rsidR="00D32BCF" w:rsidRPr="00D32BCF" w:rsidRDefault="00D32BCF" w:rsidP="00D32BCF">
      <w:pPr>
        <w:ind w:hanging="720"/>
        <w:rPr>
          <w:rFonts w:cs="Times New Roman"/>
          <w:sz w:val="20"/>
          <w:szCs w:val="18"/>
        </w:rPr>
      </w:pPr>
      <w:r w:rsidRPr="00D32BCF">
        <w:rPr>
          <w:rFonts w:cs="Times New Roman"/>
          <w:sz w:val="20"/>
          <w:szCs w:val="18"/>
        </w:rPr>
        <w:t xml:space="preserve">Prakash, O., Sharma, K. N., Joshi, H., Gupta, P. L., &amp; Singh, A. K. (2013). Half sandwich complexes of </w:t>
      </w:r>
      <w:proofErr w:type="spellStart"/>
      <w:r w:rsidRPr="00D32BCF">
        <w:rPr>
          <w:rFonts w:cs="Times New Roman"/>
          <w:sz w:val="20"/>
          <w:szCs w:val="18"/>
        </w:rPr>
        <w:t>chalcogenated</w:t>
      </w:r>
      <w:proofErr w:type="spellEnd"/>
      <w:r w:rsidRPr="00D32BCF">
        <w:rPr>
          <w:rFonts w:cs="Times New Roman"/>
          <w:sz w:val="20"/>
          <w:szCs w:val="18"/>
        </w:rPr>
        <w:t xml:space="preserve"> pyridine based bi</w:t>
      </w:r>
      <w:proofErr w:type="gramStart"/>
      <w:r w:rsidRPr="00D32BCF">
        <w:rPr>
          <w:rFonts w:cs="Times New Roman"/>
          <w:sz w:val="20"/>
          <w:szCs w:val="18"/>
        </w:rPr>
        <w:t>-(</w:t>
      </w:r>
      <w:proofErr w:type="gramEnd"/>
      <w:r w:rsidRPr="00D32BCF">
        <w:rPr>
          <w:rFonts w:cs="Times New Roman"/>
          <w:sz w:val="20"/>
          <w:szCs w:val="18"/>
        </w:rPr>
        <w:t xml:space="preserve">N, S/Se) and </w:t>
      </w:r>
      <w:proofErr w:type="spellStart"/>
      <w:r w:rsidRPr="00D32BCF">
        <w:rPr>
          <w:rFonts w:cs="Times New Roman"/>
          <w:sz w:val="20"/>
          <w:szCs w:val="18"/>
        </w:rPr>
        <w:t>terdentate</w:t>
      </w:r>
      <w:proofErr w:type="spellEnd"/>
      <w:r w:rsidRPr="00D32BCF">
        <w:rPr>
          <w:rFonts w:cs="Times New Roman"/>
          <w:sz w:val="20"/>
          <w:szCs w:val="18"/>
        </w:rPr>
        <w:t xml:space="preserve"> (N, S/Se, N) ligands with (η⁶-benzene)ruthenium(II): Synthesis, structure and catalysis of transfer hydrogenation of ketones and oxidation of alcohols. </w:t>
      </w:r>
      <w:r w:rsidRPr="00D32BCF">
        <w:rPr>
          <w:rFonts w:cs="Times New Roman"/>
          <w:i/>
          <w:iCs/>
          <w:sz w:val="20"/>
          <w:szCs w:val="18"/>
        </w:rPr>
        <w:t>Dalton Transactions, 42</w:t>
      </w:r>
      <w:r w:rsidRPr="00D32BCF">
        <w:rPr>
          <w:rFonts w:cs="Times New Roman"/>
          <w:sz w:val="20"/>
          <w:szCs w:val="18"/>
        </w:rPr>
        <w:t xml:space="preserve">(24), 8736–8747. </w:t>
      </w:r>
      <w:hyperlink r:id="rId46" w:tgtFrame="_blank" w:history="1">
        <w:r w:rsidRPr="00D32BCF">
          <w:rPr>
            <w:rStyle w:val="Hyperlink"/>
            <w:rFonts w:cs="Times New Roman"/>
            <w:sz w:val="20"/>
            <w:szCs w:val="18"/>
          </w:rPr>
          <w:t>https://doi.org/10.1039/C3DT00126A</w:t>
        </w:r>
      </w:hyperlink>
    </w:p>
    <w:p w14:paraId="76CFB040" w14:textId="77777777" w:rsidR="00D32BCF" w:rsidRPr="00D32BCF" w:rsidRDefault="00D32BCF" w:rsidP="00D32BCF">
      <w:pPr>
        <w:ind w:hanging="720"/>
        <w:rPr>
          <w:rFonts w:cs="Times New Roman"/>
          <w:sz w:val="20"/>
          <w:szCs w:val="18"/>
        </w:rPr>
      </w:pPr>
      <w:r w:rsidRPr="00D32BCF">
        <w:rPr>
          <w:rFonts w:cs="Times New Roman"/>
          <w:sz w:val="20"/>
          <w:szCs w:val="18"/>
        </w:rPr>
        <w:t xml:space="preserve">Rosato, A., Catalano, A., Carocci, A., Carrieri, A., Carone, A., Caggiano, G., … &amp; Montagna, M. T. (2016). In vitro interactions between anidulafungin and nonsteroidal anti-inflammatory drugs on biofilms of </w:t>
      </w:r>
      <w:r w:rsidRPr="00D32BCF">
        <w:rPr>
          <w:rFonts w:cs="Times New Roman"/>
          <w:i/>
          <w:iCs/>
          <w:sz w:val="20"/>
          <w:szCs w:val="18"/>
        </w:rPr>
        <w:t>Candida</w:t>
      </w:r>
      <w:r w:rsidRPr="00D32BCF">
        <w:rPr>
          <w:rFonts w:cs="Times New Roman"/>
          <w:sz w:val="20"/>
          <w:szCs w:val="18"/>
        </w:rPr>
        <w:t xml:space="preserve"> spp. </w:t>
      </w:r>
      <w:r w:rsidRPr="00D32BCF">
        <w:rPr>
          <w:rFonts w:cs="Times New Roman"/>
          <w:i/>
          <w:iCs/>
          <w:sz w:val="20"/>
          <w:szCs w:val="18"/>
        </w:rPr>
        <w:t>Bioorganic &amp; Medicinal Chemistry, 24</w:t>
      </w:r>
      <w:r w:rsidRPr="00D32BCF">
        <w:rPr>
          <w:rFonts w:cs="Times New Roman"/>
          <w:sz w:val="20"/>
          <w:szCs w:val="18"/>
        </w:rPr>
        <w:t xml:space="preserve">(5), 1002–1005. </w:t>
      </w:r>
      <w:hyperlink r:id="rId47" w:tgtFrame="_blank" w:history="1">
        <w:r w:rsidRPr="00D32BCF">
          <w:rPr>
            <w:rStyle w:val="Hyperlink"/>
            <w:rFonts w:cs="Times New Roman"/>
            <w:sz w:val="20"/>
            <w:szCs w:val="18"/>
          </w:rPr>
          <w:t>https://doi.org/10.1016/j.bmc.2016.01.026</w:t>
        </w:r>
      </w:hyperlink>
    </w:p>
    <w:p w14:paraId="18A98AFA" w14:textId="77777777" w:rsidR="00D32BCF" w:rsidRPr="00D32BCF" w:rsidRDefault="00D32BCF" w:rsidP="00D32BCF">
      <w:pPr>
        <w:ind w:hanging="720"/>
        <w:rPr>
          <w:rFonts w:cs="Times New Roman"/>
          <w:sz w:val="20"/>
          <w:szCs w:val="18"/>
        </w:rPr>
      </w:pPr>
      <w:r w:rsidRPr="00D32BCF">
        <w:rPr>
          <w:rFonts w:cs="Times New Roman"/>
          <w:sz w:val="20"/>
          <w:szCs w:val="18"/>
        </w:rPr>
        <w:lastRenderedPageBreak/>
        <w:t xml:space="preserve">Sadi, A. H., Idris, M. I., &amp; Bashir, S. S. (2017). Synthesis, characterization and antimicrobial studies of </w:t>
      </w:r>
      <w:proofErr w:type="gramStart"/>
      <w:r w:rsidRPr="00D32BCF">
        <w:rPr>
          <w:rFonts w:cs="Times New Roman"/>
          <w:sz w:val="20"/>
          <w:szCs w:val="18"/>
        </w:rPr>
        <w:t>Ru(</w:t>
      </w:r>
      <w:proofErr w:type="gramEnd"/>
      <w:r w:rsidRPr="00D32BCF">
        <w:rPr>
          <w:rFonts w:cs="Times New Roman"/>
          <w:sz w:val="20"/>
          <w:szCs w:val="18"/>
        </w:rPr>
        <w:t xml:space="preserve">II) complexes with Schiff base co-ligand derived from 5,6-diamino-1,10-phenanthroline and benzene-1,4-dicarbaldehyde. </w:t>
      </w:r>
      <w:proofErr w:type="spellStart"/>
      <w:r w:rsidRPr="00D32BCF">
        <w:rPr>
          <w:rFonts w:cs="Times New Roman"/>
          <w:i/>
          <w:iCs/>
          <w:sz w:val="20"/>
          <w:szCs w:val="18"/>
        </w:rPr>
        <w:t>Bayero</w:t>
      </w:r>
      <w:proofErr w:type="spellEnd"/>
      <w:r w:rsidRPr="00D32BCF">
        <w:rPr>
          <w:rFonts w:cs="Times New Roman"/>
          <w:i/>
          <w:iCs/>
          <w:sz w:val="20"/>
          <w:szCs w:val="18"/>
        </w:rPr>
        <w:t xml:space="preserve"> Journal of Pure and Applied Sciences, 10</w:t>
      </w:r>
      <w:r w:rsidRPr="00D32BCF">
        <w:rPr>
          <w:rFonts w:cs="Times New Roman"/>
          <w:sz w:val="20"/>
          <w:szCs w:val="18"/>
        </w:rPr>
        <w:t xml:space="preserve">(1), 468–476. </w:t>
      </w:r>
      <w:hyperlink r:id="rId48" w:tgtFrame="_blank" w:history="1">
        <w:r w:rsidRPr="00D32BCF">
          <w:rPr>
            <w:rStyle w:val="Hyperlink"/>
            <w:rFonts w:cs="Times New Roman"/>
            <w:sz w:val="20"/>
            <w:szCs w:val="18"/>
          </w:rPr>
          <w:t>https://doi.org/10.4314/bajopas.v10i1.90</w:t>
        </w:r>
      </w:hyperlink>
    </w:p>
    <w:p w14:paraId="3B4558E2" w14:textId="77777777" w:rsidR="00D32BCF" w:rsidRPr="00D32BCF" w:rsidRDefault="00D32BCF" w:rsidP="00D32BCF">
      <w:pPr>
        <w:ind w:hanging="720"/>
        <w:rPr>
          <w:rFonts w:cs="Times New Roman"/>
          <w:sz w:val="20"/>
          <w:szCs w:val="18"/>
        </w:rPr>
      </w:pPr>
      <w:r w:rsidRPr="00D32BCF">
        <w:rPr>
          <w:rFonts w:cs="Times New Roman"/>
          <w:sz w:val="20"/>
          <w:szCs w:val="18"/>
        </w:rPr>
        <w:t xml:space="preserve">Singh, P., &amp; Srivastava, A. K. (2011). Synthesis, characterization and antimicrobial activity of Schiff base ligands and their metal complexes. </w:t>
      </w:r>
      <w:r w:rsidRPr="00D32BCF">
        <w:rPr>
          <w:rFonts w:cs="Times New Roman"/>
          <w:i/>
          <w:iCs/>
          <w:sz w:val="20"/>
          <w:szCs w:val="18"/>
        </w:rPr>
        <w:t>Journal of Chemical and Pharmaceutical Research, 3</w:t>
      </w:r>
      <w:r w:rsidRPr="00D32BCF">
        <w:rPr>
          <w:rFonts w:cs="Times New Roman"/>
          <w:sz w:val="20"/>
          <w:szCs w:val="18"/>
        </w:rPr>
        <w:t>(6), 425–431.</w:t>
      </w:r>
    </w:p>
    <w:p w14:paraId="6E6FBB8D" w14:textId="77777777" w:rsidR="00D32BCF" w:rsidRPr="00D32BCF" w:rsidRDefault="00D32BCF" w:rsidP="00D32BCF">
      <w:pPr>
        <w:ind w:hanging="720"/>
        <w:rPr>
          <w:rFonts w:cs="Times New Roman"/>
          <w:sz w:val="20"/>
          <w:szCs w:val="18"/>
        </w:rPr>
      </w:pPr>
      <w:r w:rsidRPr="00D32BCF">
        <w:rPr>
          <w:rFonts w:cs="Times New Roman"/>
          <w:sz w:val="20"/>
          <w:szCs w:val="18"/>
        </w:rPr>
        <w:t xml:space="preserve">Sur, V. P., Mazumdar, A., Kopel, P., Mukherjee, S., Vítek, P., Michalková, H., … &amp; </w:t>
      </w:r>
      <w:proofErr w:type="spellStart"/>
      <w:r w:rsidRPr="00D32BCF">
        <w:rPr>
          <w:rFonts w:cs="Times New Roman"/>
          <w:sz w:val="20"/>
          <w:szCs w:val="18"/>
        </w:rPr>
        <w:t>Moulick</w:t>
      </w:r>
      <w:proofErr w:type="spellEnd"/>
      <w:r w:rsidRPr="00D32BCF">
        <w:rPr>
          <w:rFonts w:cs="Times New Roman"/>
          <w:sz w:val="20"/>
          <w:szCs w:val="18"/>
        </w:rPr>
        <w:t xml:space="preserve">, A. (2020). A novel </w:t>
      </w:r>
      <w:proofErr w:type="gramStart"/>
      <w:r w:rsidRPr="00D32BCF">
        <w:rPr>
          <w:rFonts w:cs="Times New Roman"/>
          <w:sz w:val="20"/>
          <w:szCs w:val="18"/>
        </w:rPr>
        <w:t>ruthenium based</w:t>
      </w:r>
      <w:proofErr w:type="gramEnd"/>
      <w:r w:rsidRPr="00D32BCF">
        <w:rPr>
          <w:rFonts w:cs="Times New Roman"/>
          <w:sz w:val="20"/>
          <w:szCs w:val="18"/>
        </w:rPr>
        <w:t xml:space="preserve"> coordination compound against pathogenic bacteria. </w:t>
      </w:r>
      <w:r w:rsidRPr="00D32BCF">
        <w:rPr>
          <w:rFonts w:cs="Times New Roman"/>
          <w:i/>
          <w:iCs/>
          <w:sz w:val="20"/>
          <w:szCs w:val="18"/>
        </w:rPr>
        <w:t>International Journal of Molecular Sciences, 21</w:t>
      </w:r>
      <w:r w:rsidRPr="00D32BCF">
        <w:rPr>
          <w:rFonts w:cs="Times New Roman"/>
          <w:sz w:val="20"/>
          <w:szCs w:val="18"/>
        </w:rPr>
        <w:t xml:space="preserve">(7), 2656. </w:t>
      </w:r>
      <w:hyperlink r:id="rId49" w:tgtFrame="_blank" w:history="1">
        <w:r w:rsidRPr="00D32BCF">
          <w:rPr>
            <w:rStyle w:val="Hyperlink"/>
            <w:rFonts w:cs="Times New Roman"/>
            <w:sz w:val="20"/>
            <w:szCs w:val="18"/>
          </w:rPr>
          <w:t>https://doi.org/10.3390/ijms21072656</w:t>
        </w:r>
      </w:hyperlink>
    </w:p>
    <w:p w14:paraId="4F7B0E2D"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Vigato</w:t>
      </w:r>
      <w:proofErr w:type="spellEnd"/>
      <w:r w:rsidRPr="00D32BCF">
        <w:rPr>
          <w:rFonts w:cs="Times New Roman"/>
          <w:sz w:val="20"/>
          <w:szCs w:val="18"/>
        </w:rPr>
        <w:t xml:space="preserve">, P. A., &amp; Tamburini, S. (2004). The challenge of cyclic and acyclic Schiff bases and related derivatives. </w:t>
      </w:r>
      <w:r w:rsidRPr="00D32BCF">
        <w:rPr>
          <w:rFonts w:cs="Times New Roman"/>
          <w:i/>
          <w:iCs/>
          <w:sz w:val="20"/>
          <w:szCs w:val="18"/>
        </w:rPr>
        <w:t>Coordination Chemistry Reviews, 248</w:t>
      </w:r>
      <w:r w:rsidRPr="00D32BCF">
        <w:rPr>
          <w:rFonts w:cs="Times New Roman"/>
          <w:sz w:val="20"/>
          <w:szCs w:val="18"/>
        </w:rPr>
        <w:t xml:space="preserve">(17–20), 1717–2128. </w:t>
      </w:r>
      <w:hyperlink r:id="rId50" w:tgtFrame="_blank" w:history="1">
        <w:r w:rsidRPr="00D32BCF">
          <w:rPr>
            <w:rStyle w:val="Hyperlink"/>
            <w:rFonts w:cs="Times New Roman"/>
            <w:sz w:val="20"/>
            <w:szCs w:val="18"/>
          </w:rPr>
          <w:t>https://doi.org/10.1016/j.ccr.2003.09.003</w:t>
        </w:r>
      </w:hyperlink>
    </w:p>
    <w:p w14:paraId="3EDBBB39" w14:textId="77777777" w:rsidR="00D32BCF" w:rsidRPr="00D32BCF" w:rsidRDefault="00D32BCF" w:rsidP="00D32BCF">
      <w:pPr>
        <w:ind w:hanging="720"/>
        <w:rPr>
          <w:rFonts w:cs="Times New Roman"/>
          <w:sz w:val="20"/>
          <w:szCs w:val="18"/>
        </w:rPr>
      </w:pPr>
      <w:proofErr w:type="spellStart"/>
      <w:r w:rsidRPr="00D32BCF">
        <w:rPr>
          <w:rFonts w:cs="Times New Roman"/>
          <w:sz w:val="20"/>
          <w:szCs w:val="18"/>
        </w:rPr>
        <w:t>Wheate</w:t>
      </w:r>
      <w:proofErr w:type="spellEnd"/>
      <w:r w:rsidRPr="00D32BCF">
        <w:rPr>
          <w:rFonts w:cs="Times New Roman"/>
          <w:sz w:val="20"/>
          <w:szCs w:val="18"/>
        </w:rPr>
        <w:t xml:space="preserve">, N. J., Walker, S., Craig, G. E., &amp; </w:t>
      </w:r>
      <w:proofErr w:type="spellStart"/>
      <w:r w:rsidRPr="00D32BCF">
        <w:rPr>
          <w:rFonts w:cs="Times New Roman"/>
          <w:sz w:val="20"/>
          <w:szCs w:val="18"/>
        </w:rPr>
        <w:t>Oun</w:t>
      </w:r>
      <w:proofErr w:type="spellEnd"/>
      <w:r w:rsidRPr="00D32BCF">
        <w:rPr>
          <w:rFonts w:cs="Times New Roman"/>
          <w:sz w:val="20"/>
          <w:szCs w:val="18"/>
        </w:rPr>
        <w:t xml:space="preserve">, R. (2010). The status of platinum anticancer drugs in the clinic and in clinical trials. </w:t>
      </w:r>
      <w:r w:rsidRPr="00D32BCF">
        <w:rPr>
          <w:rFonts w:cs="Times New Roman"/>
          <w:i/>
          <w:iCs/>
          <w:sz w:val="20"/>
          <w:szCs w:val="18"/>
        </w:rPr>
        <w:t>Dalton Transactions, 39</w:t>
      </w:r>
      <w:r w:rsidRPr="00D32BCF">
        <w:rPr>
          <w:rFonts w:cs="Times New Roman"/>
          <w:sz w:val="20"/>
          <w:szCs w:val="18"/>
        </w:rPr>
        <w:t xml:space="preserve">(35), 8113–8127. </w:t>
      </w:r>
      <w:hyperlink r:id="rId51" w:tgtFrame="_blank" w:history="1">
        <w:r w:rsidRPr="00D32BCF">
          <w:rPr>
            <w:rStyle w:val="Hyperlink"/>
            <w:rFonts w:cs="Times New Roman"/>
            <w:sz w:val="20"/>
            <w:szCs w:val="18"/>
          </w:rPr>
          <w:t>https://doi.org/10.1039/c0dt00292e</w:t>
        </w:r>
      </w:hyperlink>
    </w:p>
    <w:p w14:paraId="0EAA629C" w14:textId="77777777" w:rsidR="00D32BCF" w:rsidRPr="00D32BCF" w:rsidRDefault="00D32BCF" w:rsidP="00D32BCF">
      <w:pPr>
        <w:ind w:hanging="720"/>
        <w:rPr>
          <w:rFonts w:cs="Times New Roman"/>
          <w:sz w:val="20"/>
          <w:szCs w:val="18"/>
        </w:rPr>
      </w:pPr>
      <w:r w:rsidRPr="00D32BCF">
        <w:rPr>
          <w:rFonts w:cs="Times New Roman"/>
          <w:sz w:val="20"/>
          <w:szCs w:val="18"/>
        </w:rPr>
        <w:t xml:space="preserve">Xie, Y., Yang, W., Tang, F., Chen, X., &amp; Ren, L. (2015). Antibacterial activities of flavonoids: Structure-activity relationship and mechanism. </w:t>
      </w:r>
      <w:r w:rsidRPr="00D32BCF">
        <w:rPr>
          <w:rFonts w:cs="Times New Roman"/>
          <w:i/>
          <w:iCs/>
          <w:sz w:val="20"/>
          <w:szCs w:val="18"/>
        </w:rPr>
        <w:t>Current Medicinal Chemistry, 22</w:t>
      </w:r>
      <w:r w:rsidRPr="00D32BCF">
        <w:rPr>
          <w:rFonts w:cs="Times New Roman"/>
          <w:sz w:val="20"/>
          <w:szCs w:val="18"/>
        </w:rPr>
        <w:t xml:space="preserve">(1), 132–149. </w:t>
      </w:r>
      <w:hyperlink r:id="rId52" w:tgtFrame="_blank" w:history="1">
        <w:r w:rsidRPr="00D32BCF">
          <w:rPr>
            <w:rStyle w:val="Hyperlink"/>
            <w:rFonts w:cs="Times New Roman"/>
            <w:sz w:val="20"/>
            <w:szCs w:val="18"/>
          </w:rPr>
          <w:t>https://doi.org/10.2174/0929867321666140916113443</w:t>
        </w:r>
      </w:hyperlink>
    </w:p>
    <w:p w14:paraId="3995B98A" w14:textId="693F786F" w:rsidR="00D32BCF" w:rsidRPr="00D32BCF" w:rsidRDefault="00D32BCF" w:rsidP="00D32BCF">
      <w:pPr>
        <w:ind w:hanging="720"/>
        <w:rPr>
          <w:rStyle w:val="Hyperlink"/>
          <w:rFonts w:cs="Times New Roman"/>
          <w:color w:val="auto"/>
          <w:sz w:val="20"/>
          <w:szCs w:val="18"/>
          <w:u w:val="none"/>
        </w:rPr>
      </w:pPr>
      <w:proofErr w:type="spellStart"/>
      <w:r w:rsidRPr="00D32BCF">
        <w:rPr>
          <w:rFonts w:cs="Times New Roman"/>
          <w:sz w:val="20"/>
          <w:szCs w:val="18"/>
        </w:rPr>
        <w:t>Yufa</w:t>
      </w:r>
      <w:proofErr w:type="spellEnd"/>
      <w:r w:rsidR="002C21EC" w:rsidRPr="002C21EC">
        <w:t xml:space="preserve"> </w:t>
      </w:r>
      <w:proofErr w:type="spellStart"/>
      <w:r w:rsidR="002C21EC" w:rsidRPr="002C21EC">
        <w:rPr>
          <w:rFonts w:cs="Times New Roman"/>
          <w:sz w:val="20"/>
          <w:szCs w:val="18"/>
        </w:rPr>
        <w:t>Yufanyi</w:t>
      </w:r>
      <w:proofErr w:type="spellEnd"/>
      <w:r w:rsidRPr="00D32BCF">
        <w:rPr>
          <w:rFonts w:cs="Times New Roman"/>
          <w:sz w:val="20"/>
          <w:szCs w:val="18"/>
        </w:rPr>
        <w:t xml:space="preserve">, D. M., Abbo, H. S., </w:t>
      </w:r>
      <w:proofErr w:type="spellStart"/>
      <w:r w:rsidRPr="00D32BCF">
        <w:rPr>
          <w:rFonts w:cs="Times New Roman"/>
          <w:sz w:val="20"/>
          <w:szCs w:val="18"/>
        </w:rPr>
        <w:t>Titinchi</w:t>
      </w:r>
      <w:proofErr w:type="spellEnd"/>
      <w:r w:rsidRPr="00D32BCF">
        <w:rPr>
          <w:rFonts w:cs="Times New Roman"/>
          <w:sz w:val="20"/>
          <w:szCs w:val="18"/>
        </w:rPr>
        <w:t xml:space="preserve">, S. J., &amp; Neville, T. (2020). </w:t>
      </w:r>
      <w:proofErr w:type="gramStart"/>
      <w:r w:rsidRPr="00D32BCF">
        <w:rPr>
          <w:rFonts w:cs="Times New Roman"/>
          <w:sz w:val="20"/>
          <w:szCs w:val="18"/>
        </w:rPr>
        <w:t>Platinum(</w:t>
      </w:r>
      <w:proofErr w:type="gramEnd"/>
      <w:r w:rsidRPr="00D32BCF">
        <w:rPr>
          <w:rFonts w:cs="Times New Roman"/>
          <w:sz w:val="20"/>
          <w:szCs w:val="18"/>
        </w:rPr>
        <w:t xml:space="preserve">II) and ruthenium(II) complexes in medicine: Antimycobacterial and anti-HIV activities. </w:t>
      </w:r>
      <w:r w:rsidRPr="00D32BCF">
        <w:rPr>
          <w:rFonts w:cs="Times New Roman"/>
          <w:i/>
          <w:iCs/>
          <w:sz w:val="20"/>
          <w:szCs w:val="18"/>
        </w:rPr>
        <w:t>Coordination Chemistry Reviews, 414</w:t>
      </w:r>
      <w:r w:rsidRPr="00D32BCF">
        <w:rPr>
          <w:rFonts w:cs="Times New Roman"/>
          <w:sz w:val="20"/>
          <w:szCs w:val="18"/>
        </w:rPr>
        <w:t xml:space="preserve">, 213285. </w:t>
      </w:r>
      <w:hyperlink r:id="rId53" w:tgtFrame="_blank" w:history="1">
        <w:r w:rsidRPr="00D32BCF">
          <w:rPr>
            <w:rStyle w:val="Hyperlink"/>
            <w:rFonts w:cs="Times New Roman"/>
            <w:sz w:val="20"/>
            <w:szCs w:val="18"/>
          </w:rPr>
          <w:t>https://doi.org/10.1016/j.ccr.2020.213285</w:t>
        </w:r>
      </w:hyperlink>
    </w:p>
    <w:p w14:paraId="7FD3839E" w14:textId="77777777" w:rsidR="00FE4C55" w:rsidRDefault="00FE4C55" w:rsidP="007F61B5">
      <w:pPr>
        <w:rPr>
          <w:rFonts w:cs="Times New Roman"/>
          <w:sz w:val="20"/>
          <w:szCs w:val="18"/>
        </w:rPr>
        <w:sectPr w:rsidR="00FE4C55" w:rsidSect="00A6279A">
          <w:type w:val="continuous"/>
          <w:pgSz w:w="12240" w:h="15840"/>
          <w:pgMar w:top="1440" w:right="1440" w:bottom="1440" w:left="1440" w:header="720" w:footer="720" w:gutter="0"/>
          <w:cols w:num="2" w:space="720"/>
          <w:docGrid w:linePitch="360"/>
        </w:sectPr>
      </w:pPr>
    </w:p>
    <w:p w14:paraId="177E9E84" w14:textId="77777777" w:rsidR="007F61B5" w:rsidRPr="00170363" w:rsidRDefault="007F61B5" w:rsidP="007F61B5">
      <w:pPr>
        <w:rPr>
          <w:rFonts w:cs="Times New Roman"/>
          <w:sz w:val="20"/>
          <w:szCs w:val="18"/>
        </w:rPr>
      </w:pPr>
    </w:p>
    <w:sectPr w:rsidR="007F61B5" w:rsidRPr="00170363" w:rsidSect="00924D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4F4A3" w14:textId="77777777" w:rsidR="007E77D4" w:rsidRDefault="007E77D4" w:rsidP="00CA71E0">
      <w:pPr>
        <w:spacing w:after="0" w:line="240" w:lineRule="auto"/>
      </w:pPr>
      <w:r>
        <w:separator/>
      </w:r>
    </w:p>
  </w:endnote>
  <w:endnote w:type="continuationSeparator" w:id="0">
    <w:p w14:paraId="3DF1BBCB" w14:textId="77777777" w:rsidR="007E77D4" w:rsidRDefault="007E77D4" w:rsidP="00CA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5B18" w14:textId="77777777" w:rsidR="00CA71E0" w:rsidRDefault="00CA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0CFE" w14:textId="77777777" w:rsidR="00CA71E0" w:rsidRDefault="00CA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36D9" w14:textId="77777777" w:rsidR="00CA71E0" w:rsidRDefault="00CA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518E6" w14:textId="77777777" w:rsidR="007E77D4" w:rsidRDefault="007E77D4" w:rsidP="00CA71E0">
      <w:pPr>
        <w:spacing w:after="0" w:line="240" w:lineRule="auto"/>
      </w:pPr>
      <w:r>
        <w:separator/>
      </w:r>
    </w:p>
  </w:footnote>
  <w:footnote w:type="continuationSeparator" w:id="0">
    <w:p w14:paraId="2D2D23A3" w14:textId="77777777" w:rsidR="007E77D4" w:rsidRDefault="007E77D4" w:rsidP="00CA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9ADC" w14:textId="782EE92A" w:rsidR="00CA71E0" w:rsidRDefault="00CA71E0">
    <w:pPr>
      <w:pStyle w:val="Header"/>
    </w:pPr>
    <w:r>
      <w:rPr>
        <w:noProof/>
      </w:rPr>
      <w:pict w14:anchorId="069AB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1452" w14:textId="054028A1" w:rsidR="00CA71E0" w:rsidRDefault="00CA71E0">
    <w:pPr>
      <w:pStyle w:val="Header"/>
    </w:pPr>
    <w:r>
      <w:rPr>
        <w:noProof/>
      </w:rPr>
      <w:pict w14:anchorId="3172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4F8F" w14:textId="54C0AFD1" w:rsidR="00CA71E0" w:rsidRDefault="00CA71E0">
    <w:pPr>
      <w:pStyle w:val="Header"/>
    </w:pPr>
    <w:r>
      <w:rPr>
        <w:noProof/>
      </w:rPr>
      <w:pict w14:anchorId="6748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54778"/>
    <w:multiLevelType w:val="hybridMultilevel"/>
    <w:tmpl w:val="27987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50860"/>
    <w:multiLevelType w:val="multilevel"/>
    <w:tmpl w:val="C4323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sz w:val="20"/>
        <w:szCs w:val="1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1sjC1NDGyNDEwMDZU0lEKTi0uzszPAykwqQUAnE32bSwAAAA="/>
  </w:docVars>
  <w:rsids>
    <w:rsidRoot w:val="007B1C4B"/>
    <w:rsid w:val="000764AC"/>
    <w:rsid w:val="001130CF"/>
    <w:rsid w:val="00170363"/>
    <w:rsid w:val="001D24C7"/>
    <w:rsid w:val="00276839"/>
    <w:rsid w:val="002C21EC"/>
    <w:rsid w:val="00306E5F"/>
    <w:rsid w:val="0031492F"/>
    <w:rsid w:val="003218F0"/>
    <w:rsid w:val="00321AD1"/>
    <w:rsid w:val="00336F3F"/>
    <w:rsid w:val="00337CD0"/>
    <w:rsid w:val="00372288"/>
    <w:rsid w:val="003E28CF"/>
    <w:rsid w:val="003E3CFA"/>
    <w:rsid w:val="00425FBA"/>
    <w:rsid w:val="00474DBF"/>
    <w:rsid w:val="004A7284"/>
    <w:rsid w:val="004C1A41"/>
    <w:rsid w:val="004F684E"/>
    <w:rsid w:val="0051488B"/>
    <w:rsid w:val="00586F7A"/>
    <w:rsid w:val="005925CC"/>
    <w:rsid w:val="0065396B"/>
    <w:rsid w:val="006A512A"/>
    <w:rsid w:val="006D42CA"/>
    <w:rsid w:val="006F13E8"/>
    <w:rsid w:val="007031A3"/>
    <w:rsid w:val="00713496"/>
    <w:rsid w:val="007348FA"/>
    <w:rsid w:val="007B1C4B"/>
    <w:rsid w:val="007B4A63"/>
    <w:rsid w:val="007E77D4"/>
    <w:rsid w:val="007F61B5"/>
    <w:rsid w:val="0081230E"/>
    <w:rsid w:val="008D4804"/>
    <w:rsid w:val="00913761"/>
    <w:rsid w:val="00924D4D"/>
    <w:rsid w:val="00A02763"/>
    <w:rsid w:val="00A6279A"/>
    <w:rsid w:val="00AA3AF6"/>
    <w:rsid w:val="00B022B2"/>
    <w:rsid w:val="00BF070A"/>
    <w:rsid w:val="00C02E90"/>
    <w:rsid w:val="00CA71E0"/>
    <w:rsid w:val="00D32BCF"/>
    <w:rsid w:val="00D845C2"/>
    <w:rsid w:val="00DA3AD2"/>
    <w:rsid w:val="00E23274"/>
    <w:rsid w:val="00E73A07"/>
    <w:rsid w:val="00EE6220"/>
    <w:rsid w:val="00F349A5"/>
    <w:rsid w:val="00F903B1"/>
    <w:rsid w:val="00F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92F91"/>
  <w15:chartTrackingRefBased/>
  <w15:docId w15:val="{9B2FBD3B-7785-4646-8B04-473DE267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E90"/>
    <w:rPr>
      <w:rFonts w:ascii="Times New Roman" w:hAnsi="Times New Roman"/>
      <w:sz w:val="24"/>
    </w:rPr>
  </w:style>
  <w:style w:type="paragraph" w:styleId="Heading2">
    <w:name w:val="heading 2"/>
    <w:basedOn w:val="Normal"/>
    <w:next w:val="BodyText"/>
    <w:link w:val="Heading2Char"/>
    <w:uiPriority w:val="9"/>
    <w:semiHidden/>
    <w:unhideWhenUsed/>
    <w:qFormat/>
    <w:rsid w:val="00170363"/>
    <w:pPr>
      <w:keepNext/>
      <w:keepLines/>
      <w:spacing w:before="160" w:after="80" w:line="240" w:lineRule="auto"/>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BodyText"/>
    <w:link w:val="Heading3Char"/>
    <w:uiPriority w:val="9"/>
    <w:unhideWhenUsed/>
    <w:qFormat/>
    <w:rsid w:val="00170363"/>
    <w:pPr>
      <w:keepNext/>
      <w:keepLines/>
      <w:spacing w:before="160" w:after="80" w:line="240" w:lineRule="auto"/>
      <w:outlineLvl w:val="2"/>
    </w:pPr>
    <w:rPr>
      <w:rFonts w:asciiTheme="minorHAnsi" w:eastAsiaTheme="majorEastAsia" w:hAnsiTheme="minorHAnsi" w:cstheme="majorBidi"/>
      <w:color w:val="2E74B5"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7B1C4B"/>
    <w:pPr>
      <w:widowControl w:val="0"/>
      <w:suppressAutoHyphens/>
      <w:adjustRightInd w:val="0"/>
      <w:snapToGrid w:val="0"/>
      <w:spacing w:before="60" w:after="60" w:line="264" w:lineRule="auto"/>
      <w:ind w:hangingChars="30" w:hanging="62"/>
    </w:pPr>
    <w:rPr>
      <w:rFonts w:eastAsia="Times New Roman"/>
      <w:sz w:val="21"/>
      <w:szCs w:val="18"/>
      <w:lang w:val="en-GB" w:eastAsia="zh-CN"/>
      <w14:ligatures w14:val="none"/>
    </w:rPr>
  </w:style>
  <w:style w:type="paragraph" w:customStyle="1" w:styleId="03AuthorName">
    <w:name w:val="03_AuthorName"/>
    <w:basedOn w:val="Normal"/>
    <w:qFormat/>
    <w:rsid w:val="007B1C4B"/>
    <w:pPr>
      <w:widowControl w:val="0"/>
      <w:suppressAutoHyphens/>
      <w:adjustRightInd w:val="0"/>
      <w:snapToGrid w:val="0"/>
      <w:spacing w:before="240" w:after="280" w:line="240" w:lineRule="auto"/>
    </w:pPr>
    <w:rPr>
      <w:rFonts w:eastAsia="Times New Roman"/>
      <w:b/>
      <w:sz w:val="28"/>
      <w:szCs w:val="24"/>
      <w:lang w:val="en-GB" w:eastAsia="zh-CN"/>
      <w14:ligatures w14:val="none"/>
    </w:rPr>
  </w:style>
  <w:style w:type="paragraph" w:customStyle="1" w:styleId="07AbatractContent">
    <w:name w:val="07_AbatractContent"/>
    <w:basedOn w:val="Normal"/>
    <w:qFormat/>
    <w:rsid w:val="007B1C4B"/>
    <w:pPr>
      <w:widowControl w:val="0"/>
      <w:suppressAutoHyphens/>
      <w:adjustRightInd w:val="0"/>
      <w:snapToGrid w:val="0"/>
      <w:spacing w:after="0" w:line="264" w:lineRule="auto"/>
      <w:jc w:val="both"/>
    </w:pPr>
    <w:rPr>
      <w:rFonts w:eastAsia="Times New Roman"/>
      <w:sz w:val="20"/>
      <w:szCs w:val="20"/>
      <w:lang w:eastAsia="zh-CN"/>
      <w14:ligatures w14:val="none"/>
    </w:rPr>
  </w:style>
  <w:style w:type="paragraph" w:styleId="ListParagraph">
    <w:name w:val="List Paragraph"/>
    <w:basedOn w:val="Normal"/>
    <w:uiPriority w:val="34"/>
    <w:qFormat/>
    <w:rsid w:val="007F61B5"/>
    <w:pPr>
      <w:ind w:left="720"/>
      <w:contextualSpacing/>
    </w:pPr>
  </w:style>
  <w:style w:type="character" w:styleId="Hyperlink">
    <w:name w:val="Hyperlink"/>
    <w:basedOn w:val="DefaultParagraphFont"/>
    <w:uiPriority w:val="99"/>
    <w:unhideWhenUsed/>
    <w:rsid w:val="00321AD1"/>
    <w:rPr>
      <w:color w:val="0563C1" w:themeColor="hyperlink"/>
      <w:u w:val="single"/>
    </w:rPr>
  </w:style>
  <w:style w:type="character" w:styleId="UnresolvedMention">
    <w:name w:val="Unresolved Mention"/>
    <w:basedOn w:val="DefaultParagraphFont"/>
    <w:uiPriority w:val="99"/>
    <w:semiHidden/>
    <w:unhideWhenUsed/>
    <w:rsid w:val="00321AD1"/>
    <w:rPr>
      <w:color w:val="605E5C"/>
      <w:shd w:val="clear" w:color="auto" w:fill="E1DFDD"/>
    </w:rPr>
  </w:style>
  <w:style w:type="character" w:customStyle="1" w:styleId="Heading2Char">
    <w:name w:val="Heading 2 Char"/>
    <w:basedOn w:val="DefaultParagraphFont"/>
    <w:link w:val="Heading2"/>
    <w:uiPriority w:val="9"/>
    <w:semiHidden/>
    <w:rsid w:val="00170363"/>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rsid w:val="00170363"/>
    <w:rPr>
      <w:rFonts w:eastAsiaTheme="majorEastAsia" w:cstheme="majorBidi"/>
      <w:color w:val="2E74B5" w:themeColor="accent1" w:themeShade="BF"/>
      <w:kern w:val="0"/>
      <w:sz w:val="28"/>
      <w:szCs w:val="28"/>
      <w14:ligatures w14:val="none"/>
    </w:rPr>
  </w:style>
  <w:style w:type="paragraph" w:styleId="BodyText">
    <w:name w:val="Body Text"/>
    <w:basedOn w:val="Normal"/>
    <w:link w:val="BodyTextChar"/>
    <w:qFormat/>
    <w:rsid w:val="00170363"/>
    <w:pPr>
      <w:spacing w:before="180" w:after="180" w:line="240" w:lineRule="auto"/>
    </w:pPr>
    <w:rPr>
      <w:rFonts w:asciiTheme="minorHAnsi" w:hAnsiTheme="minorHAnsi"/>
      <w:kern w:val="0"/>
      <w:szCs w:val="24"/>
      <w14:ligatures w14:val="none"/>
    </w:rPr>
  </w:style>
  <w:style w:type="character" w:customStyle="1" w:styleId="BodyTextChar">
    <w:name w:val="Body Text Char"/>
    <w:basedOn w:val="DefaultParagraphFont"/>
    <w:link w:val="BodyText"/>
    <w:rsid w:val="00170363"/>
    <w:rPr>
      <w:kern w:val="0"/>
      <w:sz w:val="24"/>
      <w:szCs w:val="24"/>
      <w14:ligatures w14:val="none"/>
    </w:rPr>
  </w:style>
  <w:style w:type="paragraph" w:customStyle="1" w:styleId="FirstParagraph">
    <w:name w:val="First Paragraph"/>
    <w:basedOn w:val="BodyText"/>
    <w:next w:val="BodyText"/>
    <w:qFormat/>
    <w:rsid w:val="00170363"/>
  </w:style>
  <w:style w:type="paragraph" w:styleId="Title">
    <w:name w:val="Title"/>
    <w:basedOn w:val="Normal"/>
    <w:next w:val="BodyText"/>
    <w:link w:val="TitleChar"/>
    <w:uiPriority w:val="10"/>
    <w:qFormat/>
    <w:rsid w:val="00170363"/>
    <w:pPr>
      <w:spacing w:after="80" w:line="240" w:lineRule="auto"/>
      <w:contextualSpacing/>
      <w:jc w:val="center"/>
    </w:pPr>
    <w:rPr>
      <w:rFonts w:asciiTheme="majorHAnsi" w:eastAsiaTheme="majorEastAsia" w:hAnsiTheme="majorHAnsi" w:cstheme="majorBidi"/>
      <w:kern w:val="0"/>
      <w:sz w:val="56"/>
      <w:szCs w:val="56"/>
      <w14:ligatures w14:val="none"/>
    </w:rPr>
  </w:style>
  <w:style w:type="character" w:customStyle="1" w:styleId="TitleChar">
    <w:name w:val="Title Char"/>
    <w:basedOn w:val="DefaultParagraphFont"/>
    <w:link w:val="Title"/>
    <w:uiPriority w:val="10"/>
    <w:rsid w:val="00170363"/>
    <w:rPr>
      <w:rFonts w:asciiTheme="majorHAnsi" w:eastAsiaTheme="majorEastAsia" w:hAnsiTheme="majorHAnsi" w:cstheme="majorBidi"/>
      <w:kern w:val="0"/>
      <w:sz w:val="56"/>
      <w:szCs w:val="56"/>
      <w14:ligatures w14:val="none"/>
    </w:rPr>
  </w:style>
  <w:style w:type="paragraph" w:customStyle="1" w:styleId="Author">
    <w:name w:val="Author"/>
    <w:basedOn w:val="Title"/>
    <w:next w:val="BodyText"/>
    <w:qFormat/>
    <w:rsid w:val="00170363"/>
    <w:pPr>
      <w:keepNext/>
      <w:keepLines/>
    </w:pPr>
    <w:rPr>
      <w:sz w:val="24"/>
      <w:szCs w:val="24"/>
    </w:rPr>
  </w:style>
  <w:style w:type="paragraph" w:styleId="Date">
    <w:name w:val="Date"/>
    <w:basedOn w:val="Title"/>
    <w:next w:val="BodyText"/>
    <w:link w:val="DateChar"/>
    <w:qFormat/>
    <w:rsid w:val="00170363"/>
    <w:pPr>
      <w:keepNext/>
      <w:keepLines/>
    </w:pPr>
    <w:rPr>
      <w:sz w:val="24"/>
      <w:szCs w:val="24"/>
    </w:rPr>
  </w:style>
  <w:style w:type="character" w:customStyle="1" w:styleId="DateChar">
    <w:name w:val="Date Char"/>
    <w:basedOn w:val="DefaultParagraphFont"/>
    <w:link w:val="Date"/>
    <w:rsid w:val="00170363"/>
    <w:rPr>
      <w:rFonts w:asciiTheme="majorHAnsi" w:eastAsiaTheme="majorEastAsia" w:hAnsiTheme="majorHAnsi" w:cstheme="majorBidi"/>
      <w:kern w:val="0"/>
      <w:sz w:val="24"/>
      <w:szCs w:val="24"/>
      <w14:ligatures w14:val="none"/>
    </w:rPr>
  </w:style>
  <w:style w:type="table" w:styleId="TableGrid">
    <w:name w:val="Table Grid"/>
    <w:basedOn w:val="TableNormal"/>
    <w:uiPriority w:val="59"/>
    <w:rsid w:val="0027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6839"/>
    <w:pPr>
      <w:spacing w:after="200" w:line="240" w:lineRule="auto"/>
    </w:pPr>
    <w:rPr>
      <w:i/>
      <w:iCs/>
      <w:color w:val="44546A" w:themeColor="text2"/>
      <w:sz w:val="18"/>
      <w:szCs w:val="18"/>
    </w:rPr>
  </w:style>
  <w:style w:type="paragraph" w:styleId="NormalWeb">
    <w:name w:val="Normal (Web)"/>
    <w:basedOn w:val="Normal"/>
    <w:uiPriority w:val="99"/>
    <w:semiHidden/>
    <w:unhideWhenUsed/>
    <w:rsid w:val="00FE4C55"/>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CA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E0"/>
    <w:rPr>
      <w:rFonts w:ascii="Times New Roman" w:hAnsi="Times New Roman"/>
      <w:sz w:val="24"/>
    </w:rPr>
  </w:style>
  <w:style w:type="paragraph" w:styleId="Footer">
    <w:name w:val="footer"/>
    <w:basedOn w:val="Normal"/>
    <w:link w:val="FooterChar"/>
    <w:uiPriority w:val="99"/>
    <w:unhideWhenUsed/>
    <w:rsid w:val="00CA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7809">
      <w:bodyDiv w:val="1"/>
      <w:marLeft w:val="0"/>
      <w:marRight w:val="0"/>
      <w:marTop w:val="0"/>
      <w:marBottom w:val="0"/>
      <w:divBdr>
        <w:top w:val="none" w:sz="0" w:space="0" w:color="auto"/>
        <w:left w:val="none" w:sz="0" w:space="0" w:color="auto"/>
        <w:bottom w:val="none" w:sz="0" w:space="0" w:color="auto"/>
        <w:right w:val="none" w:sz="0" w:space="0" w:color="auto"/>
      </w:divBdr>
    </w:div>
    <w:div w:id="140586224">
      <w:bodyDiv w:val="1"/>
      <w:marLeft w:val="0"/>
      <w:marRight w:val="0"/>
      <w:marTop w:val="0"/>
      <w:marBottom w:val="0"/>
      <w:divBdr>
        <w:top w:val="none" w:sz="0" w:space="0" w:color="auto"/>
        <w:left w:val="none" w:sz="0" w:space="0" w:color="auto"/>
        <w:bottom w:val="none" w:sz="0" w:space="0" w:color="auto"/>
        <w:right w:val="none" w:sz="0" w:space="0" w:color="auto"/>
      </w:divBdr>
    </w:div>
    <w:div w:id="255868581">
      <w:bodyDiv w:val="1"/>
      <w:marLeft w:val="0"/>
      <w:marRight w:val="0"/>
      <w:marTop w:val="0"/>
      <w:marBottom w:val="0"/>
      <w:divBdr>
        <w:top w:val="none" w:sz="0" w:space="0" w:color="auto"/>
        <w:left w:val="none" w:sz="0" w:space="0" w:color="auto"/>
        <w:bottom w:val="none" w:sz="0" w:space="0" w:color="auto"/>
        <w:right w:val="none" w:sz="0" w:space="0" w:color="auto"/>
      </w:divBdr>
    </w:div>
    <w:div w:id="774859799">
      <w:bodyDiv w:val="1"/>
      <w:marLeft w:val="0"/>
      <w:marRight w:val="0"/>
      <w:marTop w:val="0"/>
      <w:marBottom w:val="0"/>
      <w:divBdr>
        <w:top w:val="none" w:sz="0" w:space="0" w:color="auto"/>
        <w:left w:val="none" w:sz="0" w:space="0" w:color="auto"/>
        <w:bottom w:val="none" w:sz="0" w:space="0" w:color="auto"/>
        <w:right w:val="none" w:sz="0" w:space="0" w:color="auto"/>
      </w:divBdr>
    </w:div>
    <w:div w:id="788862221">
      <w:bodyDiv w:val="1"/>
      <w:marLeft w:val="0"/>
      <w:marRight w:val="0"/>
      <w:marTop w:val="0"/>
      <w:marBottom w:val="0"/>
      <w:divBdr>
        <w:top w:val="none" w:sz="0" w:space="0" w:color="auto"/>
        <w:left w:val="none" w:sz="0" w:space="0" w:color="auto"/>
        <w:bottom w:val="none" w:sz="0" w:space="0" w:color="auto"/>
        <w:right w:val="none" w:sz="0" w:space="0" w:color="auto"/>
      </w:divBdr>
      <w:divsChild>
        <w:div w:id="2049336178">
          <w:marLeft w:val="-720"/>
          <w:marRight w:val="0"/>
          <w:marTop w:val="0"/>
          <w:marBottom w:val="0"/>
          <w:divBdr>
            <w:top w:val="none" w:sz="0" w:space="0" w:color="auto"/>
            <w:left w:val="none" w:sz="0" w:space="0" w:color="auto"/>
            <w:bottom w:val="none" w:sz="0" w:space="0" w:color="auto"/>
            <w:right w:val="none" w:sz="0" w:space="0" w:color="auto"/>
          </w:divBdr>
        </w:div>
      </w:divsChild>
    </w:div>
    <w:div w:id="1225022699">
      <w:bodyDiv w:val="1"/>
      <w:marLeft w:val="0"/>
      <w:marRight w:val="0"/>
      <w:marTop w:val="0"/>
      <w:marBottom w:val="0"/>
      <w:divBdr>
        <w:top w:val="none" w:sz="0" w:space="0" w:color="auto"/>
        <w:left w:val="none" w:sz="0" w:space="0" w:color="auto"/>
        <w:bottom w:val="none" w:sz="0" w:space="0" w:color="auto"/>
        <w:right w:val="none" w:sz="0" w:space="0" w:color="auto"/>
      </w:divBdr>
    </w:div>
    <w:div w:id="1412041629">
      <w:bodyDiv w:val="1"/>
      <w:marLeft w:val="0"/>
      <w:marRight w:val="0"/>
      <w:marTop w:val="0"/>
      <w:marBottom w:val="0"/>
      <w:divBdr>
        <w:top w:val="none" w:sz="0" w:space="0" w:color="auto"/>
        <w:left w:val="none" w:sz="0" w:space="0" w:color="auto"/>
        <w:bottom w:val="none" w:sz="0" w:space="0" w:color="auto"/>
        <w:right w:val="none" w:sz="0" w:space="0" w:color="auto"/>
      </w:divBdr>
    </w:div>
    <w:div w:id="1571185339">
      <w:bodyDiv w:val="1"/>
      <w:marLeft w:val="0"/>
      <w:marRight w:val="0"/>
      <w:marTop w:val="0"/>
      <w:marBottom w:val="0"/>
      <w:divBdr>
        <w:top w:val="none" w:sz="0" w:space="0" w:color="auto"/>
        <w:left w:val="none" w:sz="0" w:space="0" w:color="auto"/>
        <w:bottom w:val="none" w:sz="0" w:space="0" w:color="auto"/>
        <w:right w:val="none" w:sz="0" w:space="0" w:color="auto"/>
      </w:divBdr>
    </w:div>
    <w:div w:id="20232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pha.2015.11.005" TargetMode="External"/><Relationship Id="rId26" Type="http://schemas.openxmlformats.org/officeDocument/2006/relationships/hyperlink" Target="https://doi.org/10.1016/j.saa.2011.05.062" TargetMode="External"/><Relationship Id="rId39" Type="http://schemas.openxmlformats.org/officeDocument/2006/relationships/hyperlink" Target="https://doi.org/10.1039/C4CS00343H" TargetMode="External"/><Relationship Id="rId21" Type="http://schemas.openxmlformats.org/officeDocument/2006/relationships/hyperlink" Target="https://doi.org/10.1016/j.ccr.2018.07.012" TargetMode="External"/><Relationship Id="rId34" Type="http://schemas.openxmlformats.org/officeDocument/2006/relationships/hyperlink" Target="https://doi.org/10.4489/MYCO.2008.36.1.070" TargetMode="External"/><Relationship Id="rId42" Type="http://schemas.openxmlformats.org/officeDocument/2006/relationships/hyperlink" Target="https://doi.org/10.1080/00958970903225866" TargetMode="External"/><Relationship Id="rId47" Type="http://schemas.openxmlformats.org/officeDocument/2006/relationships/hyperlink" Target="https://doi.org/10.1016/j.bmc.2016.01.026" TargetMode="External"/><Relationship Id="rId50" Type="http://schemas.openxmlformats.org/officeDocument/2006/relationships/hyperlink" Target="https://doi.org/10.1016/j.ccr.2003.09.00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080/00958972.2016.1243238" TargetMode="External"/><Relationship Id="rId11" Type="http://schemas.openxmlformats.org/officeDocument/2006/relationships/footer" Target="footer2.xml"/><Relationship Id="rId24" Type="http://schemas.openxmlformats.org/officeDocument/2006/relationships/hyperlink" Target="https://doi.org/10.1038/nrd.2017.23" TargetMode="External"/><Relationship Id="rId32" Type="http://schemas.openxmlformats.org/officeDocument/2006/relationships/hyperlink" Target="https://doi.org/10.3390/12020245" TargetMode="External"/><Relationship Id="rId37" Type="http://schemas.openxmlformats.org/officeDocument/2006/relationships/hyperlink" Target="https://doi.org/10.1039/C3CS60189G" TargetMode="External"/><Relationship Id="rId40" Type="http://schemas.openxmlformats.org/officeDocument/2006/relationships/hyperlink" Target="https://doi.org/10.1016/j.ccr.2019.03.010" TargetMode="External"/><Relationship Id="rId45" Type="http://schemas.openxmlformats.org/officeDocument/2006/relationships/hyperlink" Target="https://doi.org/10.1080/00958972.2024.2302345" TargetMode="External"/><Relationship Id="rId53" Type="http://schemas.openxmlformats.org/officeDocument/2006/relationships/hyperlink" Target="https://doi.org/10.1016/j.ccr.2020.213285"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39/C9RA05458A" TargetMode="External"/><Relationship Id="rId31" Type="http://schemas.openxmlformats.org/officeDocument/2006/relationships/hyperlink" Target="https://doi.org/10.3390/biom11081138" TargetMode="External"/><Relationship Id="rId44" Type="http://schemas.openxmlformats.org/officeDocument/2006/relationships/hyperlink" Target="https://doi.org/10.1021/acs.organomet.5b01890" TargetMode="External"/><Relationship Id="rId52" Type="http://schemas.openxmlformats.org/officeDocument/2006/relationships/hyperlink" Target="https://doi.org/10.2174/09298673216661409161134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molecules27030616" TargetMode="External"/><Relationship Id="rId27" Type="http://schemas.openxmlformats.org/officeDocument/2006/relationships/hyperlink" Target="https://doi.org/10.1016/j.jorganchem.2018.03.023" TargetMode="External"/><Relationship Id="rId30" Type="http://schemas.openxmlformats.org/officeDocument/2006/relationships/hyperlink" Target="https://doi.org/10.1007/s11094-018-1793-2" TargetMode="External"/><Relationship Id="rId35" Type="http://schemas.openxmlformats.org/officeDocument/2006/relationships/hyperlink" Target="https://doi.org/10.1177/0885066620973175" TargetMode="External"/><Relationship Id="rId43" Type="http://schemas.openxmlformats.org/officeDocument/2006/relationships/hyperlink" Target="https://doi.org/10.11648/j.ajac.20251306.11" TargetMode="External"/><Relationship Id="rId48" Type="http://schemas.openxmlformats.org/officeDocument/2006/relationships/hyperlink" Target="https://doi.org/10.4314/bajopas.v10i1.90" TargetMode="External"/><Relationship Id="rId8" Type="http://schemas.openxmlformats.org/officeDocument/2006/relationships/header" Target="header1.xml"/><Relationship Id="rId51" Type="http://schemas.openxmlformats.org/officeDocument/2006/relationships/hyperlink" Target="https://doi.org/10.1039/c0dt00292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molstruc.2013.06.025" TargetMode="External"/><Relationship Id="rId25" Type="http://schemas.openxmlformats.org/officeDocument/2006/relationships/hyperlink" Target="https://doi.org/10.1021/cr900289e" TargetMode="External"/><Relationship Id="rId33" Type="http://schemas.openxmlformats.org/officeDocument/2006/relationships/hyperlink" Target="https://doi.org/10.1021/jp307802g" TargetMode="External"/><Relationship Id="rId38" Type="http://schemas.openxmlformats.org/officeDocument/2006/relationships/hyperlink" Target="https://doi.org/10.1021/acs.inorgchem.6b01582" TargetMode="External"/><Relationship Id="rId46" Type="http://schemas.openxmlformats.org/officeDocument/2006/relationships/hyperlink" Target="https://doi.org/10.1039/C3DT00126A" TargetMode="External"/><Relationship Id="rId20" Type="http://schemas.openxmlformats.org/officeDocument/2006/relationships/hyperlink" Target="https://doi.org/10.1016/j.ejps.2010.12.004" TargetMode="External"/><Relationship Id="rId41" Type="http://schemas.openxmlformats.org/officeDocument/2006/relationships/hyperlink" Target="https://doi.org/10.1021/cr400460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3390/app11136027" TargetMode="External"/><Relationship Id="rId28" Type="http://schemas.openxmlformats.org/officeDocument/2006/relationships/hyperlink" Target="https://doi.org/10.1016/j.molcata.2016.02.012" TargetMode="External"/><Relationship Id="rId36" Type="http://schemas.openxmlformats.org/officeDocument/2006/relationships/hyperlink" Target="https://doi.org/10.17576/jsm-2020-4908-15" TargetMode="External"/><Relationship Id="rId49" Type="http://schemas.openxmlformats.org/officeDocument/2006/relationships/hyperlink" Target="https://doi.org/10.3390/ijms2107265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OGACHI%202024\ANTIBIOTIC.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Sheet2!$E$3</c:f>
              <c:strCache>
                <c:ptCount val="1"/>
                <c:pt idx="0">
                  <c:v> Zone</c:v>
                </c:pt>
              </c:strCache>
            </c:strRef>
          </c:tx>
          <c:spPr>
            <a:pattFill prst="ltUpDiag">
              <a:fgClr>
                <a:schemeClr val="tx1"/>
              </a:fgClr>
              <a:bgClr>
                <a:schemeClr val="bg1"/>
              </a:bgClr>
            </a:pattFill>
            <a:ln>
              <a:solidFill>
                <a:schemeClr val="tx1"/>
              </a:solid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Sheet2!$C$4:$D$9</c:f>
              <c:multiLvlStrCache>
                <c:ptCount val="6"/>
                <c:lvl>
                  <c:pt idx="0">
                    <c:v>E. Coli</c:v>
                  </c:pt>
                  <c:pt idx="1">
                    <c:v>S. aureus</c:v>
                  </c:pt>
                  <c:pt idx="2">
                    <c:v>E. Coli</c:v>
                  </c:pt>
                  <c:pt idx="3">
                    <c:v>S. aureus</c:v>
                  </c:pt>
                  <c:pt idx="4">
                    <c:v>E. Coli</c:v>
                  </c:pt>
                  <c:pt idx="5">
                    <c:v>S. aureus</c:v>
                  </c:pt>
                </c:lvl>
                <c:lvl>
                  <c:pt idx="0">
                    <c:v>L2</c:v>
                  </c:pt>
                  <c:pt idx="2">
                    <c:v>L2_Ru</c:v>
                  </c:pt>
                  <c:pt idx="4">
                    <c:v>L2_C3</c:v>
                  </c:pt>
                </c:lvl>
              </c:multiLvlStrCache>
            </c:multiLvlStrRef>
          </c:cat>
          <c:val>
            <c:numRef>
              <c:f>Sheet2!$E$4:$E$9</c:f>
              <c:numCache>
                <c:formatCode>General</c:formatCode>
                <c:ptCount val="6"/>
                <c:pt idx="0">
                  <c:v>8</c:v>
                </c:pt>
                <c:pt idx="1">
                  <c:v>9</c:v>
                </c:pt>
                <c:pt idx="2">
                  <c:v>8.5</c:v>
                </c:pt>
                <c:pt idx="3">
                  <c:v>10.5</c:v>
                </c:pt>
                <c:pt idx="4">
                  <c:v>9</c:v>
                </c:pt>
                <c:pt idx="5">
                  <c:v>8.5</c:v>
                </c:pt>
              </c:numCache>
            </c:numRef>
          </c:val>
          <c:extLst>
            <c:ext xmlns:c16="http://schemas.microsoft.com/office/drawing/2014/chart" uri="{C3380CC4-5D6E-409C-BE32-E72D297353CC}">
              <c16:uniqueId val="{00000000-897F-4D0A-9FA3-47C01E008F86}"/>
            </c:ext>
          </c:extLst>
        </c:ser>
        <c:dLbls>
          <c:dLblPos val="outEnd"/>
          <c:showLegendKey val="0"/>
          <c:showVal val="1"/>
          <c:showCatName val="0"/>
          <c:showSerName val="0"/>
          <c:showPercent val="0"/>
          <c:showBubbleSize val="0"/>
        </c:dLbls>
        <c:gapWidth val="164"/>
        <c:overlap val="-22"/>
        <c:axId val="355120256"/>
        <c:axId val="355504512"/>
      </c:barChart>
      <c:catAx>
        <c:axId val="3551202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rPr>
                  <a:t>Synthetic</a:t>
                </a:r>
                <a:r>
                  <a:rPr lang="en-US" b="0" baseline="0">
                    <a:solidFill>
                      <a:sysClr val="windowText" lastClr="000000"/>
                    </a:solidFill>
                  </a:rPr>
                  <a:t> compounds</a:t>
                </a:r>
                <a:endParaRPr lang="en-US" b="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5504512"/>
        <c:crosses val="autoZero"/>
        <c:auto val="1"/>
        <c:lblAlgn val="ctr"/>
        <c:lblOffset val="100"/>
        <c:noMultiLvlLbl val="0"/>
      </c:catAx>
      <c:valAx>
        <c:axId val="355504512"/>
        <c:scaling>
          <c:orientation val="minMax"/>
        </c:scaling>
        <c:delete val="1"/>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rPr>
                  <a:t>Zones of inhibition (mm</a:t>
                </a:r>
                <a:r>
                  <a:rPr lang="en-US">
                    <a:solidFill>
                      <a:sysClr val="windowText" lastClr="000000"/>
                    </a:solidFill>
                  </a:rPr>
                  <a:t>)</a:t>
                </a:r>
              </a:p>
            </c:rich>
          </c:tx>
          <c:layout>
            <c:manualLayout>
              <c:xMode val="edge"/>
              <c:yMode val="edge"/>
              <c:x val="2.0062695924764892E-2"/>
              <c:y val="4.8958005249343822E-2"/>
            </c:manualLayout>
          </c:layout>
          <c:overlay val="0"/>
          <c:spPr>
            <a:noFill/>
            <a:ln>
              <a:noFill/>
            </a:ln>
            <a:effectLst/>
          </c:spPr>
        </c:title>
        <c:numFmt formatCode="General" sourceLinked="1"/>
        <c:majorTickMark val="none"/>
        <c:minorTickMark val="none"/>
        <c:tickLblPos val="nextTo"/>
        <c:crossAx val="355120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8402-D006-4318-A216-B28E235A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6496</Words>
  <Characters>37032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Wandera</dc:creator>
  <cp:keywords/>
  <dc:description/>
  <cp:lastModifiedBy>SDI 1084</cp:lastModifiedBy>
  <cp:revision>50</cp:revision>
  <cp:lastPrinted>2026-01-13T10:54:00Z</cp:lastPrinted>
  <dcterms:created xsi:type="dcterms:W3CDTF">2026-01-10T14:23:00Z</dcterms:created>
  <dcterms:modified xsi:type="dcterms:W3CDTF">2026-02-18T07:52:00Z</dcterms:modified>
</cp:coreProperties>
</file>