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699B" w14:textId="78366B7F" w:rsidR="00754C9A" w:rsidRDefault="007630B5" w:rsidP="00441B6F">
      <w:pPr>
        <w:pStyle w:val="Title"/>
        <w:spacing w:after="0"/>
        <w:jc w:val="both"/>
        <w:rPr>
          <w:rFonts w:ascii="Arial" w:hAnsi="Arial" w:cs="Arial"/>
          <w:sz w:val="32"/>
          <w:szCs w:val="18"/>
          <w:u w:val="single"/>
        </w:rPr>
      </w:pPr>
      <w:r w:rsidRPr="007630B5">
        <w:rPr>
          <w:rFonts w:ascii="Arial" w:hAnsi="Arial" w:cs="Arial"/>
          <w:sz w:val="32"/>
          <w:szCs w:val="18"/>
          <w:u w:val="single"/>
        </w:rPr>
        <w:t>Original Research Article</w:t>
      </w:r>
    </w:p>
    <w:p w14:paraId="2D401AE4" w14:textId="77777777" w:rsidR="007630B5" w:rsidRPr="007630B5" w:rsidRDefault="007630B5" w:rsidP="00441B6F">
      <w:pPr>
        <w:pStyle w:val="Title"/>
        <w:spacing w:after="0"/>
        <w:jc w:val="both"/>
        <w:rPr>
          <w:rFonts w:ascii="Arial" w:hAnsi="Arial" w:cs="Arial"/>
          <w:sz w:val="32"/>
          <w:szCs w:val="18"/>
          <w:u w:val="single"/>
        </w:rPr>
      </w:pPr>
    </w:p>
    <w:p w14:paraId="441109C1" w14:textId="5B84946C" w:rsidR="006E135D" w:rsidRPr="00D3093B" w:rsidRDefault="006E135D" w:rsidP="006E135D">
      <w:pPr>
        <w:jc w:val="right"/>
        <w:rPr>
          <w:rFonts w:ascii="Arial" w:hAnsi="Arial" w:cs="Arial"/>
          <w:b/>
          <w:bCs/>
          <w:sz w:val="36"/>
          <w:szCs w:val="36"/>
        </w:rPr>
      </w:pPr>
      <w:bookmarkStart w:id="0" w:name="_Hlk224657136"/>
      <w:bookmarkEnd w:id="0"/>
      <w:r w:rsidRPr="00D3093B">
        <w:rPr>
          <w:rFonts w:ascii="Arial" w:hAnsi="Arial" w:cs="Arial"/>
          <w:b/>
          <w:bCs/>
          <w:sz w:val="36"/>
          <w:szCs w:val="36"/>
        </w:rPr>
        <w:t xml:space="preserve">Agronomic Benefits and Contaminant Risks of Municipal Solid Waste Leachate Irrigation: An </w:t>
      </w:r>
      <w:r w:rsidRPr="00D3093B">
        <w:rPr>
          <w:rFonts w:ascii="Arial" w:hAnsi="Arial" w:cs="Arial"/>
          <w:b/>
          <w:bCs/>
          <w:i/>
          <w:sz w:val="36"/>
          <w:szCs w:val="36"/>
        </w:rPr>
        <w:t xml:space="preserve">in-situ </w:t>
      </w:r>
      <w:r w:rsidRPr="00D3093B">
        <w:rPr>
          <w:rFonts w:ascii="Arial" w:hAnsi="Arial" w:cs="Arial"/>
          <w:b/>
          <w:bCs/>
          <w:sz w:val="36"/>
          <w:szCs w:val="36"/>
        </w:rPr>
        <w:t>analysis</w:t>
      </w:r>
    </w:p>
    <w:p w14:paraId="5CAFFC7D" w14:textId="77777777" w:rsidR="006E135D" w:rsidRPr="00D570E4" w:rsidRDefault="006E135D" w:rsidP="006E135D">
      <w:pPr>
        <w:jc w:val="both"/>
        <w:rPr>
          <w:rFonts w:ascii="Times New Roman" w:hAnsi="Times New Roman"/>
          <w:b/>
          <w:bCs/>
          <w:sz w:val="32"/>
          <w:szCs w:val="24"/>
        </w:rPr>
      </w:pPr>
    </w:p>
    <w:p w14:paraId="4D9F4379" w14:textId="480557C9" w:rsidR="007630B5" w:rsidRDefault="007630B5" w:rsidP="006E135D">
      <w:pPr>
        <w:pStyle w:val="Affiliation"/>
        <w:spacing w:after="0" w:line="240" w:lineRule="auto"/>
        <w:rPr>
          <w:rFonts w:ascii="Arial" w:hAnsi="Arial" w:cs="Arial"/>
          <w:i/>
          <w:iCs/>
        </w:rPr>
      </w:pPr>
    </w:p>
    <w:p w14:paraId="35C53ECA" w14:textId="77777777" w:rsidR="006E135D" w:rsidRDefault="006E135D" w:rsidP="006E135D">
      <w:pPr>
        <w:pStyle w:val="Affiliation"/>
        <w:spacing w:after="0" w:line="240" w:lineRule="auto"/>
        <w:rPr>
          <w:rFonts w:ascii="Arial" w:hAnsi="Arial" w:cs="Arial"/>
          <w:i/>
          <w:iCs/>
        </w:rPr>
      </w:pPr>
    </w:p>
    <w:p w14:paraId="113B5D57" w14:textId="77777777" w:rsidR="00B01FCD" w:rsidRPr="00FB3A86" w:rsidRDefault="00444727" w:rsidP="00441B6F">
      <w:pPr>
        <w:pStyle w:val="Copyright"/>
        <w:spacing w:after="0" w:line="240" w:lineRule="auto"/>
        <w:jc w:val="both"/>
        <w:rPr>
          <w:rFonts w:ascii="Arial" w:hAnsi="Arial" w:cs="Arial"/>
        </w:rPr>
        <w:sectPr w:rsidR="00B01FCD" w:rsidRPr="00FB3A86" w:rsidSect="00C253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0B83597">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D78815D" w14:textId="228965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078D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7D33FA" w14:textId="77777777" w:rsidTr="001E44FE">
        <w:tc>
          <w:tcPr>
            <w:tcW w:w="9576" w:type="dxa"/>
            <w:shd w:val="clear" w:color="auto" w:fill="F2F2F2"/>
          </w:tcPr>
          <w:p w14:paraId="766581C0" w14:textId="536034C0" w:rsidR="006E135D" w:rsidRPr="006E135D" w:rsidRDefault="006E135D" w:rsidP="006E135D">
            <w:pPr>
              <w:jc w:val="both"/>
              <w:rPr>
                <w:rFonts w:ascii="Arial" w:hAnsi="Arial" w:cs="Arial"/>
              </w:rPr>
            </w:pPr>
            <w:r w:rsidRPr="00D3093B">
              <w:rPr>
                <w:rFonts w:ascii="Arial" w:hAnsi="Arial" w:cs="Arial"/>
              </w:rPr>
              <w:t>Municipal solid waste (MSW) leachate is increasingly being explored as a low-cost soil amendment due to its high nutrient content. This study evaluated the effects of MSW leachate (MSWL) application on soil properties and heavy metal accumulation in some cereals and millets.</w:t>
            </w:r>
            <w:r w:rsidRPr="00D3093B">
              <w:rPr>
                <w:rFonts w:ascii="Arial" w:hAnsi="Arial" w:cs="Arial"/>
                <w:color w:val="FF0000"/>
              </w:rPr>
              <w:t xml:space="preserve"> </w:t>
            </w:r>
            <w:r w:rsidRPr="00D3093B">
              <w:rPr>
                <w:rFonts w:ascii="Arial" w:hAnsi="Arial" w:cs="Arial"/>
              </w:rPr>
              <w:t>The leachate was characterized by acidic pH and high electrical conductivity, with substantial concentrations of potassium, calcium, and phosphorus. Results indicated enhanced uptake of essential micronutrients such as zinc (Zn) and copper (Cu), with concentrations remaining within FAO/WHO permissible limits. In contrast, toxic metals such as cadmium (Cd) and nickel (Ni) were present at low levels across all crops. However, lead (Pb) concentrations in leaves exceeded recommended limits, while chromium (Cr) showed moderate accumulation, occasionally surpassing reference values. Transfer factor (TF) and bioconcentration factor (BCF) analyses revealed that Zn and Cu were readily translocated to aerial parts, whereas Cr and Ni were largely retained in roots. Crop-specific variations indicated higher accumulation in ragi and restricted uptake in green gram. The findings suggest that MSW leachate can improve soil fertility and plant nutrition, but its application requires careful consideration to mitigate potential risks associated with heavy metal accumulation.</w:t>
            </w:r>
          </w:p>
          <w:p w14:paraId="2F2F953E" w14:textId="3D6A4254" w:rsidR="00505F06" w:rsidRPr="00BA1B01" w:rsidRDefault="00505F06" w:rsidP="00441B6F">
            <w:pPr>
              <w:pStyle w:val="Body"/>
              <w:spacing w:after="0"/>
              <w:rPr>
                <w:rFonts w:ascii="Arial" w:eastAsia="Calibri" w:hAnsi="Arial" w:cs="Arial"/>
                <w:szCs w:val="22"/>
              </w:rPr>
            </w:pPr>
          </w:p>
        </w:tc>
      </w:tr>
    </w:tbl>
    <w:p w14:paraId="113FF077" w14:textId="77777777" w:rsidR="00636EB2" w:rsidRDefault="00636EB2" w:rsidP="00441B6F">
      <w:pPr>
        <w:pStyle w:val="Body"/>
        <w:spacing w:after="0"/>
        <w:rPr>
          <w:rFonts w:ascii="Arial" w:hAnsi="Arial" w:cs="Arial"/>
          <w:i/>
        </w:rPr>
      </w:pPr>
    </w:p>
    <w:p w14:paraId="5CF8B542" w14:textId="153E79F4" w:rsidR="00A24E7E" w:rsidRDefault="00A24E7E" w:rsidP="00441B6F">
      <w:pPr>
        <w:pStyle w:val="Body"/>
        <w:spacing w:after="0"/>
        <w:rPr>
          <w:rFonts w:ascii="Arial" w:hAnsi="Arial" w:cs="Arial"/>
          <w:i/>
        </w:rPr>
      </w:pPr>
      <w:r>
        <w:rPr>
          <w:rFonts w:ascii="Arial" w:hAnsi="Arial" w:cs="Arial"/>
          <w:i/>
        </w:rPr>
        <w:t xml:space="preserve">Keywords: </w:t>
      </w:r>
      <w:r w:rsidR="006E135D">
        <w:rPr>
          <w:rFonts w:ascii="Arial" w:hAnsi="Arial" w:cs="Arial"/>
          <w:i/>
        </w:rPr>
        <w:t>Accumulation, Bioconcentration factor, Heavy metals, MSW Leachate, Transfer factor</w:t>
      </w:r>
    </w:p>
    <w:p w14:paraId="3A0574DC" w14:textId="77777777" w:rsidR="006E135D" w:rsidRDefault="00444727" w:rsidP="006E135D">
      <w:pPr>
        <w:pStyle w:val="Body"/>
        <w:spacing w:after="0"/>
        <w:rPr>
          <w:rFonts w:ascii="Arial" w:hAnsi="Arial" w:cs="Arial"/>
        </w:rPr>
      </w:pPr>
      <w:r>
        <w:rPr>
          <w:rFonts w:ascii="Arial" w:hAnsi="Arial" w:cs="Arial"/>
        </w:rPr>
      </w:r>
      <w:r>
        <w:rPr>
          <w:rFonts w:ascii="Arial" w:hAnsi="Arial" w:cs="Arial"/>
        </w:rPr>
        <w:pict w14:anchorId="327E801C">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6CCE203" w14:textId="77777777" w:rsidR="006E135D" w:rsidRPr="00D047E9" w:rsidRDefault="006E135D" w:rsidP="006E135D">
      <w:pPr>
        <w:pStyle w:val="Body"/>
        <w:spacing w:after="0"/>
        <w:rPr>
          <w:rFonts w:ascii="Arial" w:hAnsi="Arial" w:cs="Arial"/>
          <w:i/>
          <w:iCs/>
        </w:rPr>
      </w:pPr>
    </w:p>
    <w:p w14:paraId="4C4E8F60" w14:textId="77777777" w:rsidR="00790ADA" w:rsidRDefault="00790ADA" w:rsidP="00441B6F">
      <w:pPr>
        <w:pStyle w:val="Body"/>
        <w:spacing w:after="0"/>
        <w:rPr>
          <w:rFonts w:ascii="Arial" w:hAnsi="Arial" w:cs="Arial"/>
          <w:i/>
        </w:rPr>
      </w:pPr>
    </w:p>
    <w:p w14:paraId="1C9EBD33" w14:textId="238CC88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CD0A4C" w14:textId="77777777" w:rsidR="00790ADA" w:rsidRPr="00FB3A86" w:rsidRDefault="00790ADA" w:rsidP="00441B6F">
      <w:pPr>
        <w:pStyle w:val="AbstHead"/>
        <w:spacing w:after="0"/>
        <w:jc w:val="both"/>
        <w:rPr>
          <w:rFonts w:ascii="Arial" w:hAnsi="Arial" w:cs="Arial"/>
        </w:rPr>
      </w:pPr>
    </w:p>
    <w:p w14:paraId="54300C18" w14:textId="77777777" w:rsidR="006E135D" w:rsidRPr="0006536D" w:rsidRDefault="006E135D" w:rsidP="006E135D">
      <w:pPr>
        <w:jc w:val="both"/>
        <w:rPr>
          <w:rFonts w:ascii="Arial" w:hAnsi="Arial" w:cs="Arial"/>
        </w:rPr>
      </w:pPr>
      <w:r w:rsidRPr="0006536D">
        <w:rPr>
          <w:rFonts w:ascii="Arial" w:hAnsi="Arial" w:cs="Arial"/>
        </w:rPr>
        <w:t xml:space="preserve">Rapid urbanization has led to a substantial increase in MSW generation worldwide, particularly in rapidly growing cities such as Bengaluru, India </w:t>
      </w:r>
      <w:r w:rsidRPr="0006536D">
        <w:rPr>
          <w:rFonts w:ascii="Arial" w:hAnsi="Arial" w:cs="Arial"/>
        </w:rPr>
        <w:fldChar w:fldCharType="begin" w:fldLock="1"/>
      </w:r>
      <w:r w:rsidRPr="0006536D">
        <w:rPr>
          <w:rFonts w:ascii="Arial" w:hAnsi="Arial" w:cs="Arial"/>
        </w:rPr>
        <w:instrText>ADDIN CSL_CITATION {"citationItems":[{"id":"ITEM-1","itemData":{"DOI":"10.1080/10962247.2020.1738285","ISSN":"21622906","PMID":"32150518","abstract":"India is witnessing the formation of many densely populated megacities where management of burgeoning wastes, both municipal solid waste (MSW) and industrial hazardous waste (IHW), has become a very critical issue. The city municipalities are showing their inability to manage the waste efficiently. In this paper, the core indicator of environmental pressure, i.e., per capita municipal solid waste (MSW) generation for the top 10 most populous Indian cities and their trend over the years, has been ascertained to understand the severity of the problem. The study finds that the MSW generation per capita is increasing in all the top 10 populated cities of the country. In terms of growth of MSW generation, the city Surat and Delhi grew alarmingly at the rate of 2172% and 1036%, respectively, during the period 1971 to 2015. The level of per capita waste generation of three large Indian cities, i.e., Chennai, Kolkata, and Mumbai, was almost at par the level of OECD member countries. All the 10 cities are broadly indicating the existence of “coupling,” i.e., the standard of living increments was associated with an increase in MSW generation per capita. The city of Mumbai is also facing the challenge of managing the growing IHW generation as well. However, the city municipalities are helplessly witnessing untreated waste lying for months and years at dumpsites. The reported case of contaminated waste dumping sites raising concern toward imminent health hazards for the city dwellers. To counter the waste-related health hazards, the municipalities the top 10 cities first required to launch “generators as segregators” program for efficient handling of generated waste followed by pay-as-you-throw (PAYT) system to discourage waste generation without any delay. Implications: The burgeoning per capita municipality solid waste (MSW) generation for the top 10 most populated Indian cities and their upward trend through 1971 to 2015 calls for the need for scientific disposal of waste and policies to encourage waste minimization with the adoption of cleaner technologies. A complete mismatch between population increase and waste processing capacity increase, in the case of the top 10 populous cities of India, is raising a concern toward imminent health hazards for the city dwellers. This paper depicted the dismal MSW and IHW management performance in populous Indian cities and proposed a strategy for realistic measurement and management of waste.","author":[{"dropping-particle":"","family":"Dutta","given":"Abhishek","non-dropping-particle":"","parse-names":false,"suffix":""},{"dropping-particle":"","family":"Jinsart","given":"Wanida","non-dropping-particle":"","parse-names":false,"suffix":""}],"container-title":"Journal of the Air and Waste Management Association","id":"ITEM-1","issue":"5","issued":{"date-parts":[["2020"]]},"page":"491-503","publisher":"Taylor &amp; Francis","title":"Waste generation and management status in the fast-expanding Indian cities: A review","type":"article-journal","volume":"70"},"uris":["http://www.mendeley.com/documents/?uuid=35514536-5cd2-466e-bcda-01dd77fa7afa"]}],"mendeley":{"formattedCitation":"(Dutta &amp; Jinsart, 2020)","plainTextFormattedCitation":"(Dutta &amp; Jinsart, 2020)","previouslyFormattedCitation":"(Dutta &amp; Jinsart, 2020)"},"properties":{"noteIndex":0},"schema":"https://github.com/citation-style-language/schema/raw/master/csl-citation.json"}</w:instrText>
      </w:r>
      <w:r w:rsidRPr="0006536D">
        <w:rPr>
          <w:rFonts w:ascii="Arial" w:hAnsi="Arial" w:cs="Arial"/>
        </w:rPr>
        <w:fldChar w:fldCharType="separate"/>
      </w:r>
      <w:r w:rsidRPr="0006536D">
        <w:rPr>
          <w:rFonts w:ascii="Arial" w:hAnsi="Arial" w:cs="Arial"/>
          <w:noProof/>
        </w:rPr>
        <w:t>(Dutta &amp; Jinsart, 2020)</w:t>
      </w:r>
      <w:r w:rsidRPr="0006536D">
        <w:rPr>
          <w:rFonts w:ascii="Arial" w:hAnsi="Arial" w:cs="Arial"/>
        </w:rPr>
        <w:fldChar w:fldCharType="end"/>
      </w:r>
      <w:r w:rsidRPr="0006536D">
        <w:rPr>
          <w:rFonts w:ascii="Arial" w:hAnsi="Arial" w:cs="Arial"/>
        </w:rPr>
        <w:t xml:space="preserve">. The management of MSW through composting has emerged as a sustainable strategy for waste valorization, producing compost that can enhance soil fertility </w:t>
      </w:r>
      <w:r w:rsidRPr="0006536D">
        <w:rPr>
          <w:rFonts w:ascii="Arial" w:hAnsi="Arial" w:cs="Arial"/>
        </w:rPr>
        <w:fldChar w:fldCharType="begin" w:fldLock="1"/>
      </w:r>
      <w:r w:rsidRPr="0006536D">
        <w:rPr>
          <w:rFonts w:ascii="Arial" w:hAnsi="Arial" w:cs="Arial"/>
        </w:rPr>
        <w:instrText>ADDIN CSL_CITATION {"citationItems":[{"id":"ITEM-1","itemData":{"DOI":"10.3390/su16156329","ISSN":"20711050","abstract":"With increases in global population and urbanization, the production of Municipal Solid Waste (MSW) is growing rapidly, thus contributing to social and environmental concerns for sustainable waste management. This study addresses the research gap in optimizing composting, hypothesizing that integrating best practices and recent innovations can enhance the efficiency of the process. Data were collected through a systematic review of existing literature using Google Scholar and Scopus databases. The review provides an overview of municipal organic waste composting, outlining its processes, benefits, and challenges with the aim of identifying key area of further improvement and possibilities of adopting recent technological innovations. The analysis emphasized that technological advances in composting, as microbial inoculants or in-vessel composting have greatly improved the efficiency and quality of the resulting compost. However, several challenges remain, including managing contaminants such as heavy metals and microplastics, ensuring the compost quality and safety and addressing socioeconomic barriers that prevent widespread adoption. Moreover, process optimization, environmental and economic evaluation, as well as political and public involvement are essential to unlock the whole potential of composting systems.","author":[{"dropping-particle":"","family":"Manea","given":"Elena Elisabeta","non-dropping-particle":"","parse-names":false,"suffix":""},{"dropping-particle":"","family":"Bumbac","given":"Costel","non-dropping-particle":"","parse-names":false,"suffix":""},{"dropping-particle":"","family":"Dinu","given":"Laurentiu Razvan","non-dropping-particle":"","parse-names":false,"suffix":""},{"dropping-particle":"","family":"Bumbac","given":"Marius","non-dropping-particle":"","parse-names":false,"suffix":""},{"dropping-particle":"","family":"Nicolescu","given":"Cristina Mihaela","non-dropping-particle":"","parse-names":false,"suffix":""}],"container-title":"Sustainability (Switzerland)","id":"ITEM-1","issue":"15","issued":{"date-parts":[["2024"]]},"page":"1-25","title":"Composting as a Sustainable Solution for Organic Solid Waste Management: Current Practices and Potential Improvements","type":"article-journal","volume":"16"},"uris":["http://www.mendeley.com/documents/?uuid=3f58a3cd-2add-4bca-a47e-2272695a62fe"]}],"mendeley":{"formattedCitation":"(Manea et al., 2024)","plainTextFormattedCitation":"(Manea et al., 2024)","previouslyFormattedCitation":"(Manea et al., 2024)"},"properties":{"noteIndex":0},"schema":"https://github.com/citation-style-language/schema/raw/master/csl-citation.json"}</w:instrText>
      </w:r>
      <w:r w:rsidRPr="0006536D">
        <w:rPr>
          <w:rFonts w:ascii="Arial" w:hAnsi="Arial" w:cs="Arial"/>
        </w:rPr>
        <w:fldChar w:fldCharType="separate"/>
      </w:r>
      <w:r w:rsidRPr="0006536D">
        <w:rPr>
          <w:rFonts w:ascii="Arial" w:hAnsi="Arial" w:cs="Arial"/>
          <w:noProof/>
        </w:rPr>
        <w:t>(Manea et al., 2024)</w:t>
      </w:r>
      <w:r w:rsidRPr="0006536D">
        <w:rPr>
          <w:rFonts w:ascii="Arial" w:hAnsi="Arial" w:cs="Arial"/>
        </w:rPr>
        <w:fldChar w:fldCharType="end"/>
      </w:r>
      <w:r w:rsidRPr="0006536D">
        <w:rPr>
          <w:rFonts w:ascii="Arial" w:hAnsi="Arial" w:cs="Arial"/>
        </w:rPr>
        <w:t>. However, composting processes also generate leachate—a liquid byproduct rich in dissolved organic matter, nutrients, and potentially toxic contaminants. In recent years, the use of MSWL for agricultural irrigation has gained attention as a low-cost alternative resource for water and nutrient supply.</w:t>
      </w:r>
    </w:p>
    <w:p w14:paraId="524CE2CA" w14:textId="77777777" w:rsidR="006E135D" w:rsidRPr="0006536D" w:rsidRDefault="006E135D" w:rsidP="006E135D">
      <w:pPr>
        <w:jc w:val="both"/>
        <w:rPr>
          <w:rFonts w:ascii="Arial" w:hAnsi="Arial" w:cs="Arial"/>
        </w:rPr>
      </w:pPr>
    </w:p>
    <w:p w14:paraId="6AA532B3" w14:textId="77777777" w:rsidR="006E135D" w:rsidRPr="0006536D" w:rsidRDefault="006E135D" w:rsidP="006E135D">
      <w:pPr>
        <w:jc w:val="both"/>
        <w:rPr>
          <w:rFonts w:ascii="Arial" w:hAnsi="Arial" w:cs="Arial"/>
        </w:rPr>
      </w:pPr>
      <w:r w:rsidRPr="0006536D">
        <w:rPr>
          <w:rFonts w:ascii="Arial" w:hAnsi="Arial" w:cs="Arial"/>
        </w:rPr>
        <w:t xml:space="preserve">MSW leachate typically contains significant concentrations of macronutrients such as nitrogen (N), phosphorus (P), and potassium (K), which are essential for plant growth. Its application in agricultural systems may therefore contribute to improved soil fertility, enhanced crop productivity, and reduced dependence on synthetic fertilizers. Previous </w:t>
      </w:r>
      <w:r w:rsidRPr="0006536D">
        <w:rPr>
          <w:rFonts w:ascii="Arial" w:hAnsi="Arial" w:cs="Arial"/>
        </w:rPr>
        <w:lastRenderedPageBreak/>
        <w:t xml:space="preserve">studies have indicated that organic amendments derived from MSW can improve soil physicochemical properties, including organic carbon content, moisture retention, and microbial activity </w:t>
      </w:r>
      <w:r w:rsidRPr="0006536D">
        <w:rPr>
          <w:rFonts w:ascii="Arial" w:hAnsi="Arial" w:cs="Arial"/>
        </w:rPr>
        <w:fldChar w:fldCharType="begin" w:fldLock="1"/>
      </w:r>
      <w:r w:rsidRPr="0006536D">
        <w:rPr>
          <w:rFonts w:ascii="Arial" w:hAnsi="Arial" w:cs="Arial"/>
        </w:rPr>
        <w:instrText>ADDIN CSL_CITATION {"citationItems":[{"id":"ITEM-1","itemData":{"DOI":"10.1371/journal.pstr.0000007","ISBN":"1111111111","ISSN":"27673197","abstract":"Amongst the soil qualities that are taken into consideration while quantifying the fertility status of soil for agri-production, the properties of water holding capacity, bulk density, electrical conductivity and soil pH play crucially important roles, directly as well as indirectly. The role of organic matter content of soil in altering the aforesaid properties occurs through various complex interactions. In our study we attempted to understand the impact of amendments in traditional ecological knowledge (TEK)-based organic input agri-management systems (A1), versus conventional chemical-intensive agri-systems (A2) in altering/modifying the few important properties viz soil organic matter (SOM), pH, electrical conductivity (EC), bulk density, and water holding capacity of the soil in the three different crop phases viz. pre, mid and the post-harvest, spread over six cropping seasons in four years. The study area was a geo-ecologically unique terrain of Kachchh, Western India. Natural stressors as erratic rainfall, drought and salinity are a typical feature of this zone. Physico-chemical soil attributes have shown significant differences in the amendment systems. The application of organic manures and concoctions like Jivamrit from indigenous knowledge base of local farming community, certainly rendered better organic matter content that affect soil structure and stability, which in turn affected the maximum water holding capacity (MWHC), which was significantly higher in A1 (47.53%; (Standard Error [SE] = ±0.92%) across phases and seasons than A2 (37.99%; SE = ±0.74%). Probably, for the same reason, amendments with organic inputs had a lower bulk density (1.04 g/cm3; SE = ±0.02 g/cm3) as compared to amendments with no or very few organic inputs (1.31 g/cm3; SE = ± 0.03 g/cm3).The reduction in pH and electrical conductivity in A1 may be ascribed to increased amounts of SOM as a result of addition of green manures and organic concoctions. Even during the stressed period of drought in cropping seasons of season 2 (Kharif2012) and season 3 (Rabi 2012–2013) this trend was followed. This clearly shows that salinity endurance and drought resistance are remarkable features of organically amended soils and this resilience to drought is achieved over continual usage of organic manures. The arid and semi-arid tropics are highly prone to stressors like drought, highly erratic rainfall patterns, and salinity, and the present study advocates the supremacy of TEK-bas…","author":[{"dropping-particle":"","family":"Sharma","given":"Seema B.","non-dropping-particle":"","parse-names":false,"suffix":""}],"container-title":"PLOS Sustainability and Transformation","id":"ITEM-1","issue":"3","issued":{"date-parts":[["2022"]]},"page":"1-17","title":"Trend setting impacts of organic matter on soil physico-chemical properties in traditional vis -a- vis chemical-based amendment practices","type":"article-journal","volume":"1"},"uris":["http://www.mendeley.com/documents/?uuid=0fe6fa02-5539-4b6b-8b70-81e6504f8272"]}],"mendeley":{"formattedCitation":"(Sharma, 2022)","plainTextFormattedCitation":"(Sharma, 2022)","previouslyFormattedCitation":"(Sharma, 2022)"},"properties":{"noteIndex":0},"schema":"https://github.com/citation-style-language/schema/raw/master/csl-citation.json"}</w:instrText>
      </w:r>
      <w:r w:rsidRPr="0006536D">
        <w:rPr>
          <w:rFonts w:ascii="Arial" w:hAnsi="Arial" w:cs="Arial"/>
        </w:rPr>
        <w:fldChar w:fldCharType="separate"/>
      </w:r>
      <w:r w:rsidRPr="0006536D">
        <w:rPr>
          <w:rFonts w:ascii="Arial" w:hAnsi="Arial" w:cs="Arial"/>
          <w:noProof/>
        </w:rPr>
        <w:t>(Sharma, 2022)</w:t>
      </w:r>
      <w:r w:rsidRPr="0006536D">
        <w:rPr>
          <w:rFonts w:ascii="Arial" w:hAnsi="Arial" w:cs="Arial"/>
        </w:rPr>
        <w:fldChar w:fldCharType="end"/>
      </w:r>
      <w:r w:rsidRPr="0006536D">
        <w:rPr>
          <w:rFonts w:ascii="Arial" w:hAnsi="Arial" w:cs="Arial"/>
        </w:rPr>
        <w:t>. Such benefits make MSWL a potentially valuable input in sustainable agriculture, particularly in peri-urban farming systems.</w:t>
      </w:r>
    </w:p>
    <w:p w14:paraId="5E96FCA1" w14:textId="77777777" w:rsidR="006E135D" w:rsidRPr="0006536D" w:rsidRDefault="006E135D" w:rsidP="006E135D">
      <w:pPr>
        <w:jc w:val="both"/>
        <w:rPr>
          <w:rFonts w:ascii="Arial" w:hAnsi="Arial" w:cs="Arial"/>
        </w:rPr>
      </w:pPr>
    </w:p>
    <w:p w14:paraId="61669323" w14:textId="77777777" w:rsidR="006E135D" w:rsidRPr="0006536D" w:rsidRDefault="006E135D" w:rsidP="006E135D">
      <w:pPr>
        <w:jc w:val="both"/>
        <w:rPr>
          <w:rFonts w:ascii="Arial" w:hAnsi="Arial" w:cs="Arial"/>
        </w:rPr>
      </w:pPr>
      <w:r w:rsidRPr="0006536D">
        <w:rPr>
          <w:rFonts w:ascii="Arial" w:hAnsi="Arial" w:cs="Arial"/>
        </w:rPr>
        <w:t xml:space="preserve">Despite these agronomic advantages, concerns remain regarding the presence of heavy metals and other contaminants in MSW-derived products. Leachate generated from heterogeneous waste streams may contain trace metals such as Cd, Pb, Cr, Ni, Cu, and Zn, which can accumulate in soils over time. The repeated application of MSWL may therefore pose risks of soil contamination and subsequent uptake of metals by crops, potentially entering the food chain and posing risks to human health. The soil–plant system plays a critical role in determining the fate and mobility of these metals. Factors such as soil pH, organic matter content, and cation exchange capacity influence metal availability and plant uptake </w:t>
      </w:r>
      <w:r w:rsidRPr="0006536D">
        <w:rPr>
          <w:rFonts w:ascii="Arial" w:hAnsi="Arial" w:cs="Arial"/>
        </w:rPr>
        <w:fldChar w:fldCharType="begin" w:fldLock="1"/>
      </w:r>
      <w:r w:rsidRPr="0006536D">
        <w:rPr>
          <w:rFonts w:ascii="Arial" w:hAnsi="Arial" w:cs="Arial"/>
        </w:rPr>
        <w:instrText>ADDIN CSL_CITATION {"citationItems":[{"id":"ITEM-1","itemData":{"DOI":"10.1021/acs.jafc.0c00183","ISSN":"15205118","PMID":"32155055","abstract":"Heavy metals in agricultural soils exist in diverse dissolved (free cations and complexed species of positive, neutral, or negative charges), particulate (sorbed, structural, and coprecipitated), and colloidal (micro- and nanometer-sized particles) species. The fate of different heavy metal species is controlled by the master variables: pH (solubility), ionic strength (activity and charge-shielding), and dissolved organic carbon (complexation). In the rhizosphere, chemical speciation controls toxicokinetics (uptake and transport of metals by plants) while toxicodynamics (interaction between the plant and absorbed species) drives the toxicity outcome. Based on the critical review, the authors recommend omics and data mining techniques to link discrete knowledge bases from the speciation dynamics, soil microbiome, and plant transporter/gene expression relevant to homeostasis conditions of modern agriculture. Such efforts could offer a disruptive application tool to improve and sustain plant tolerance, food safety, and environmental quality.","author":[{"dropping-particle":"","family":"Uchimiya","given":"Minori","non-dropping-particle":"","parse-names":false,"suffix":""},{"dropping-particle":"","family":"Bannon","given":"Desmond","non-dropping-particle":"","parse-names":false,"suffix":""},{"dropping-particle":"","family":"Nakanishi","given":"Hiromi","non-dropping-particle":"","parse-names":false,"suffix":""},{"dropping-particle":"","family":"McBride","given":"Murray B.","non-dropping-particle":"","parse-names":false,"suffix":""},{"dropping-particle":"","family":"Williams","given":"Marc A.","non-dropping-particle":"","parse-names":false,"suffix":""},{"dropping-particle":"","family":"Yoshihara","given":"Toshihiro","non-dropping-particle":"","parse-names":false,"suffix":""}],"container-title":"Journal of Agricultural and Food Chemistry","id":"ITEM-1","issue":"46","issued":{"date-parts":[["2020"]]},"page":"12856-12869","title":"Chemical Speciation, Plant Uptake, and Toxicity of Heavy Metals in Agricultural Soils","type":"article-journal","volume":"68"},"uris":["http://www.mendeley.com/documents/?uuid=deacc337-6500-4a30-9b8a-61be68257a55"]}],"mendeley":{"formattedCitation":"(Uchimiya et al., 2020)","plainTextFormattedCitation":"(Uchimiya et al., 2020)","previouslyFormattedCitation":"(Uchimiya et al., 2020)"},"properties":{"noteIndex":0},"schema":"https://github.com/citation-style-language/schema/raw/master/csl-citation.json"}</w:instrText>
      </w:r>
      <w:r w:rsidRPr="0006536D">
        <w:rPr>
          <w:rFonts w:ascii="Arial" w:hAnsi="Arial" w:cs="Arial"/>
        </w:rPr>
        <w:fldChar w:fldCharType="separate"/>
      </w:r>
      <w:r w:rsidRPr="0006536D">
        <w:rPr>
          <w:rFonts w:ascii="Arial" w:hAnsi="Arial" w:cs="Arial"/>
          <w:noProof/>
        </w:rPr>
        <w:t>(Uchimiya et al., 2020)</w:t>
      </w:r>
      <w:r w:rsidRPr="0006536D">
        <w:rPr>
          <w:rFonts w:ascii="Arial" w:hAnsi="Arial" w:cs="Arial"/>
        </w:rPr>
        <w:fldChar w:fldCharType="end"/>
      </w:r>
      <w:r w:rsidRPr="0006536D">
        <w:rPr>
          <w:rFonts w:ascii="Arial" w:hAnsi="Arial" w:cs="Arial"/>
        </w:rPr>
        <w:t xml:space="preserve">. The extent of metal transfer from soil to plant is commonly evaluated using indicators such as the BCF and TF, which provide insights into accumulation patterns and internal distribution within plants </w:t>
      </w:r>
      <w:r w:rsidRPr="0006536D">
        <w:rPr>
          <w:rFonts w:ascii="Arial" w:hAnsi="Arial" w:cs="Arial"/>
        </w:rPr>
        <w:fldChar w:fldCharType="begin" w:fldLock="1"/>
      </w:r>
      <w:r w:rsidRPr="0006536D">
        <w:rPr>
          <w:rFonts w:ascii="Arial" w:hAnsi="Arial" w:cs="Arial"/>
        </w:rPr>
        <w:instrText>ADDIN CSL_CITATION {"citationItems":[{"id":"ITEM-1","itemData":{"DOI":"10.1016/j.chemosphere.2007.07.062","author":[{"dropping-particle":"","family":"Bose","given":"Sutapa","non-dropping-particle":"","parse-names":false,"suffix":""},{"dropping-particle":"","family":"Bhattacharyya","given":"A K","non-dropping-particle":"","parse-names":false,"suffix":""}],"id":"ITEM-1","issued":{"date-parts":[["2008"]]},"page":"1264-1272","title":"Heavy metal accumulation in wheat plant grown in soil amended with industrial sludge","type":"article-journal","volume":"70"},"uris":["http://www.mendeley.com/documents/?uuid=047ac66f-e959-4fd4-855e-a8caf1489777"]}],"mendeley":{"formattedCitation":"(Bose &amp; Bhattacharyya, 2008)","plainTextFormattedCitation":"(Bose &amp; Bhattacharyya, 2008)","previouslyFormattedCitation":"(Bose &amp; Bhattacharyya, 2008)"},"properties":{"noteIndex":0},"schema":"https://github.com/citation-style-language/schema/raw/master/csl-citation.json"}</w:instrText>
      </w:r>
      <w:r w:rsidRPr="0006536D">
        <w:rPr>
          <w:rFonts w:ascii="Arial" w:hAnsi="Arial" w:cs="Arial"/>
        </w:rPr>
        <w:fldChar w:fldCharType="separate"/>
      </w:r>
      <w:r w:rsidRPr="0006536D">
        <w:rPr>
          <w:rFonts w:ascii="Arial" w:hAnsi="Arial" w:cs="Arial"/>
          <w:noProof/>
        </w:rPr>
        <w:t>(Bose &amp; Bhattacharyya, 2008)</w:t>
      </w:r>
      <w:r w:rsidRPr="0006536D">
        <w:rPr>
          <w:rFonts w:ascii="Arial" w:hAnsi="Arial" w:cs="Arial"/>
        </w:rPr>
        <w:fldChar w:fldCharType="end"/>
      </w:r>
      <w:r w:rsidRPr="0006536D">
        <w:rPr>
          <w:rFonts w:ascii="Arial" w:hAnsi="Arial" w:cs="Arial"/>
        </w:rPr>
        <w:t>. Understanding these dynamics is essential for assessing the safety and sustainability of MSWL use in agriculture.</w:t>
      </w:r>
    </w:p>
    <w:p w14:paraId="3727A013" w14:textId="77777777" w:rsidR="006E135D" w:rsidRPr="0006536D" w:rsidRDefault="006E135D" w:rsidP="006E135D">
      <w:pPr>
        <w:jc w:val="both"/>
        <w:rPr>
          <w:rFonts w:ascii="Arial" w:hAnsi="Arial" w:cs="Arial"/>
        </w:rPr>
      </w:pPr>
    </w:p>
    <w:p w14:paraId="0634C422" w14:textId="77777777" w:rsidR="006E135D" w:rsidRPr="0006536D" w:rsidRDefault="006E135D" w:rsidP="006E135D">
      <w:pPr>
        <w:jc w:val="both"/>
        <w:rPr>
          <w:rFonts w:ascii="Arial" w:hAnsi="Arial" w:cs="Arial"/>
        </w:rPr>
      </w:pPr>
      <w:r w:rsidRPr="0006536D">
        <w:rPr>
          <w:rFonts w:ascii="Arial" w:hAnsi="Arial" w:cs="Arial"/>
        </w:rPr>
        <w:t>While several studies have examined the application of MSW compost in soils, limited field-based investigations have focused specifically on the use of MSW leachate and its dual role as a nutrient source and a potential contaminant pathway under real farming conditions. Moreover, comparative assessments between MSWL-amended fields and conventionally managed fields remain scarce, particularly in the Indian context. Therefore, the present study aims to evaluate both the agronomic benefits and environmental risks associated with MSW leachate irrigation in agricultural fields of Bengaluru. Specifically, the objectives are to: (i) assess soil nutrient enrichment following MSWL application, (ii) quantify heavy metal concentrations in leachate, soil, and crops, and (iii) evaluate the extent of metal transfer from soil to plants. By integrating soil and plant analyses under farmer-managed conditions, this study provides a comprehensive assessment of the sustainability of MSWL use in agriculture.</w:t>
      </w:r>
    </w:p>
    <w:p w14:paraId="31550DEA" w14:textId="77777777" w:rsidR="006E135D" w:rsidRPr="0006536D" w:rsidRDefault="006E135D" w:rsidP="006E135D">
      <w:pPr>
        <w:jc w:val="both"/>
        <w:rPr>
          <w:rFonts w:ascii="Arial" w:hAnsi="Arial" w:cs="Arial"/>
        </w:rPr>
      </w:pPr>
    </w:p>
    <w:p w14:paraId="41A1D945" w14:textId="77777777" w:rsidR="00790ADA" w:rsidRPr="00FB3A86" w:rsidRDefault="00790ADA" w:rsidP="00441B6F">
      <w:pPr>
        <w:pStyle w:val="Body"/>
        <w:spacing w:after="0"/>
        <w:rPr>
          <w:rFonts w:ascii="Arial" w:hAnsi="Arial" w:cs="Arial"/>
        </w:rPr>
      </w:pPr>
    </w:p>
    <w:p w14:paraId="79190753" w14:textId="443DFE9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03B047F" w14:textId="77777777" w:rsidR="00790ADA" w:rsidRPr="00FB3A86" w:rsidRDefault="00790ADA" w:rsidP="00441B6F">
      <w:pPr>
        <w:pStyle w:val="AbstHead"/>
        <w:spacing w:after="0"/>
        <w:jc w:val="both"/>
        <w:rPr>
          <w:rFonts w:ascii="Arial" w:hAnsi="Arial" w:cs="Arial"/>
        </w:rPr>
      </w:pPr>
    </w:p>
    <w:p w14:paraId="0663A1B1" w14:textId="77777777" w:rsidR="006E135D" w:rsidRPr="0006536D" w:rsidRDefault="006E135D" w:rsidP="006E135D">
      <w:pPr>
        <w:jc w:val="both"/>
        <w:rPr>
          <w:rFonts w:ascii="Arial" w:hAnsi="Arial" w:cs="Arial"/>
          <w:sz w:val="22"/>
        </w:rPr>
      </w:pPr>
      <w:r w:rsidRPr="0006536D">
        <w:rPr>
          <w:rFonts w:ascii="Arial" w:hAnsi="Arial" w:cs="Arial"/>
          <w:b/>
          <w:bCs/>
          <w:sz w:val="22"/>
        </w:rPr>
        <w:t>2.1 Study Area and Site Selection</w:t>
      </w:r>
    </w:p>
    <w:p w14:paraId="03285408" w14:textId="3C87F1B5" w:rsidR="00B95236" w:rsidRDefault="00B95236" w:rsidP="00441B6F">
      <w:pPr>
        <w:pStyle w:val="Body"/>
        <w:spacing w:after="0"/>
        <w:rPr>
          <w:rFonts w:ascii="Arial" w:hAnsi="Arial" w:cs="Arial"/>
        </w:rPr>
      </w:pPr>
    </w:p>
    <w:p w14:paraId="3D1AA675" w14:textId="6952E03D" w:rsidR="006E135D" w:rsidRDefault="006E135D" w:rsidP="006E135D">
      <w:pPr>
        <w:jc w:val="both"/>
        <w:rPr>
          <w:rFonts w:ascii="Arial" w:hAnsi="Arial" w:cs="Arial"/>
        </w:rPr>
      </w:pPr>
      <w:r w:rsidRPr="0006536D">
        <w:rPr>
          <w:rFonts w:ascii="Arial" w:hAnsi="Arial" w:cs="Arial"/>
        </w:rPr>
        <w:t xml:space="preserve">The study was conducted at multiple agricultural sites in the Bengaluru and Tumakuru districts of Karnataka, India, where MSW-derived compost leachate is routinely applied. Leachate samples were collected from six active reception zones at composting facilities (Fig. 1) managed by the Bruhat Bengaluru Mahanagara Palike (BBMP) and the Karnataka Urban Infrastructure Development and Finance Corporation (KUIDFC) in Bengaluru Urban District. </w:t>
      </w:r>
    </w:p>
    <w:p w14:paraId="3794210D" w14:textId="77777777" w:rsidR="00F37555" w:rsidRDefault="00F37555" w:rsidP="006E135D">
      <w:pPr>
        <w:jc w:val="both"/>
        <w:rPr>
          <w:rFonts w:ascii="Arial" w:hAnsi="Arial" w:cs="Arial"/>
        </w:rPr>
      </w:pPr>
    </w:p>
    <w:p w14:paraId="32B25DD4" w14:textId="77777777" w:rsidR="00F37555" w:rsidRPr="00D3093B" w:rsidRDefault="00F37555" w:rsidP="00F37555">
      <w:pPr>
        <w:jc w:val="center"/>
        <w:rPr>
          <w:rFonts w:ascii="Arial" w:hAnsi="Arial" w:cs="Arial"/>
          <w:sz w:val="24"/>
          <w:szCs w:val="24"/>
        </w:rPr>
      </w:pPr>
      <w:r w:rsidRPr="00D3093B">
        <w:rPr>
          <w:rFonts w:ascii="Arial" w:hAnsi="Arial" w:cs="Arial"/>
          <w:noProof/>
          <w:sz w:val="24"/>
          <w:szCs w:val="24"/>
        </w:rPr>
        <w:lastRenderedPageBreak/>
        <w:drawing>
          <wp:inline distT="0" distB="0" distL="0" distR="0" wp14:anchorId="6AD8E658" wp14:editId="1E09B1E3">
            <wp:extent cx="1417955" cy="1401746"/>
            <wp:effectExtent l="0" t="0" r="0" b="8255"/>
            <wp:docPr id="433892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8573" cy="1422128"/>
                    </a:xfrm>
                    <a:prstGeom prst="rect">
                      <a:avLst/>
                    </a:prstGeom>
                    <a:noFill/>
                    <a:ln>
                      <a:noFill/>
                    </a:ln>
                  </pic:spPr>
                </pic:pic>
              </a:graphicData>
            </a:graphic>
          </wp:inline>
        </w:drawing>
      </w:r>
      <w:r w:rsidRPr="00D3093B">
        <w:rPr>
          <w:rFonts w:ascii="Arial" w:hAnsi="Arial" w:cs="Arial"/>
          <w:noProof/>
          <w:sz w:val="24"/>
          <w:szCs w:val="24"/>
        </w:rPr>
        <w:drawing>
          <wp:inline distT="0" distB="0" distL="0" distR="0" wp14:anchorId="74FA04F0" wp14:editId="369C6339">
            <wp:extent cx="1371600" cy="1403985"/>
            <wp:effectExtent l="0" t="0" r="0" b="5715"/>
            <wp:docPr id="11772526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195" cy="1416877"/>
                    </a:xfrm>
                    <a:prstGeom prst="rect">
                      <a:avLst/>
                    </a:prstGeom>
                    <a:noFill/>
                    <a:ln>
                      <a:noFill/>
                    </a:ln>
                  </pic:spPr>
                </pic:pic>
              </a:graphicData>
            </a:graphic>
          </wp:inline>
        </w:drawing>
      </w:r>
    </w:p>
    <w:p w14:paraId="7FC65EA3" w14:textId="77777777" w:rsidR="00F37555" w:rsidRPr="00D3093B" w:rsidRDefault="00F37555" w:rsidP="00F37555">
      <w:pPr>
        <w:jc w:val="center"/>
        <w:rPr>
          <w:rFonts w:ascii="Arial" w:hAnsi="Arial" w:cs="Arial"/>
          <w:sz w:val="24"/>
          <w:szCs w:val="24"/>
        </w:rPr>
      </w:pPr>
      <w:r w:rsidRPr="00D3093B">
        <w:rPr>
          <w:rFonts w:ascii="Arial" w:hAnsi="Arial" w:cs="Arial"/>
          <w:noProof/>
          <w:sz w:val="24"/>
          <w:szCs w:val="24"/>
        </w:rPr>
        <w:drawing>
          <wp:inline distT="0" distB="0" distL="0" distR="0" wp14:anchorId="28975B40" wp14:editId="51945C0C">
            <wp:extent cx="2882265" cy="1671144"/>
            <wp:effectExtent l="0" t="0" r="0" b="5715"/>
            <wp:docPr id="196745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7477" cy="1685762"/>
                    </a:xfrm>
                    <a:prstGeom prst="rect">
                      <a:avLst/>
                    </a:prstGeom>
                    <a:noFill/>
                    <a:ln>
                      <a:noFill/>
                    </a:ln>
                  </pic:spPr>
                </pic:pic>
              </a:graphicData>
            </a:graphic>
          </wp:inline>
        </w:drawing>
      </w:r>
    </w:p>
    <w:p w14:paraId="78297E22" w14:textId="77777777" w:rsidR="00F37555" w:rsidRPr="00F37555" w:rsidRDefault="00F37555" w:rsidP="00F37555">
      <w:pPr>
        <w:jc w:val="center"/>
        <w:rPr>
          <w:rFonts w:ascii="Arial" w:hAnsi="Arial" w:cs="Arial"/>
          <w:bCs/>
        </w:rPr>
      </w:pPr>
      <w:r w:rsidRPr="00F37555">
        <w:rPr>
          <w:rFonts w:ascii="Arial" w:hAnsi="Arial" w:cs="Arial"/>
          <w:b/>
        </w:rPr>
        <w:t xml:space="preserve">Figure 1: </w:t>
      </w:r>
      <w:r w:rsidRPr="00F37555">
        <w:rPr>
          <w:rFonts w:ascii="Arial" w:hAnsi="Arial" w:cs="Arial"/>
          <w:bCs/>
        </w:rPr>
        <w:t>Leachate sampling locations in Bengaluru</w:t>
      </w:r>
    </w:p>
    <w:p w14:paraId="09BCFC0F" w14:textId="77777777" w:rsidR="00F37555" w:rsidRPr="00F37555" w:rsidRDefault="00F37555" w:rsidP="00F37555">
      <w:pPr>
        <w:jc w:val="center"/>
        <w:rPr>
          <w:rFonts w:ascii="Arial" w:hAnsi="Arial" w:cs="Arial"/>
          <w:sz w:val="16"/>
          <w:szCs w:val="16"/>
        </w:rPr>
      </w:pPr>
    </w:p>
    <w:p w14:paraId="4F971112" w14:textId="77777777" w:rsidR="00F37555" w:rsidRPr="008B6E8C" w:rsidRDefault="00F37555" w:rsidP="00F37555">
      <w:pPr>
        <w:jc w:val="both"/>
        <w:rPr>
          <w:rFonts w:ascii="Arial" w:hAnsi="Arial" w:cs="Arial"/>
          <w:lang w:val="en-GB"/>
        </w:rPr>
      </w:pPr>
      <w:r w:rsidRPr="008B6E8C">
        <w:rPr>
          <w:rFonts w:ascii="Arial" w:hAnsi="Arial" w:cs="Arial"/>
        </w:rPr>
        <w:t>Corresponding plant and soil samples were obtained from leachate-amended fields in Tumakuru (Fig. 2) with a documented history of MSW compost leachate application. Leachate was reported to be applied at approximately a 1:10 (leachate: water) ratio based on farmer practice in the study area. Adjacent fields cultivating similar crops under conventional management (chemical fertilizers and/or farmyard manure) were selected as control sites to enable comparative assessment. T</w:t>
      </w:r>
      <w:proofErr w:type="spellStart"/>
      <w:r w:rsidRPr="008B6E8C">
        <w:rPr>
          <w:rFonts w:ascii="Arial" w:hAnsi="Arial" w:cs="Arial"/>
          <w:lang w:val="en-GB"/>
        </w:rPr>
        <w:t>hree</w:t>
      </w:r>
      <w:proofErr w:type="spellEnd"/>
      <w:r w:rsidRPr="008B6E8C">
        <w:rPr>
          <w:rFonts w:ascii="Arial" w:hAnsi="Arial" w:cs="Arial"/>
          <w:lang w:val="en-GB"/>
        </w:rPr>
        <w:t xml:space="preserve"> different crop types were </w:t>
      </w:r>
      <w:r w:rsidRPr="008B6E8C">
        <w:rPr>
          <w:rFonts w:ascii="Arial" w:hAnsi="Arial" w:cs="Arial"/>
        </w:rPr>
        <w:t xml:space="preserve">collected from </w:t>
      </w:r>
      <w:r w:rsidRPr="008B6E8C">
        <w:rPr>
          <w:rFonts w:ascii="Arial" w:hAnsi="Arial" w:cs="Arial"/>
          <w:lang w:val="en-GB"/>
        </w:rPr>
        <w:t xml:space="preserve">Tumkur district, namely, </w:t>
      </w:r>
      <w:r w:rsidRPr="008B6E8C">
        <w:rPr>
          <w:rFonts w:ascii="Arial" w:hAnsi="Arial" w:cs="Arial"/>
          <w:i/>
          <w:iCs/>
          <w:lang w:val="en-GB"/>
        </w:rPr>
        <w:t>Eleusine coracana</w:t>
      </w:r>
      <w:r w:rsidRPr="008B6E8C">
        <w:rPr>
          <w:rFonts w:ascii="Arial" w:hAnsi="Arial" w:cs="Arial"/>
          <w:lang w:val="en-GB"/>
        </w:rPr>
        <w:t xml:space="preserve"> (Millet- Ragi), </w:t>
      </w:r>
      <w:r w:rsidRPr="008B6E8C">
        <w:rPr>
          <w:rFonts w:ascii="Arial" w:hAnsi="Arial" w:cs="Arial"/>
          <w:i/>
          <w:iCs/>
          <w:lang w:val="en-GB"/>
        </w:rPr>
        <w:t>Zea mays</w:t>
      </w:r>
      <w:r w:rsidRPr="008B6E8C">
        <w:rPr>
          <w:rFonts w:ascii="Arial" w:hAnsi="Arial" w:cs="Arial"/>
          <w:lang w:val="en-GB"/>
        </w:rPr>
        <w:t xml:space="preserve"> (Cereal -Maize), and </w:t>
      </w:r>
      <w:r w:rsidRPr="008B6E8C">
        <w:rPr>
          <w:rFonts w:ascii="Arial" w:hAnsi="Arial" w:cs="Arial"/>
        </w:rPr>
        <w:t>Vigna </w:t>
      </w:r>
      <w:r w:rsidRPr="008B6E8C">
        <w:rPr>
          <w:rFonts w:ascii="Arial" w:hAnsi="Arial" w:cs="Arial"/>
          <w:lang w:val="en-GB"/>
        </w:rPr>
        <w:t>radiata (Pulses- Green gram) for the study.</w:t>
      </w:r>
    </w:p>
    <w:p w14:paraId="4B1FBE64" w14:textId="77777777" w:rsidR="006E135D" w:rsidRDefault="006E135D" w:rsidP="00441B6F">
      <w:pPr>
        <w:pStyle w:val="Body"/>
        <w:spacing w:after="0"/>
        <w:rPr>
          <w:rFonts w:ascii="Arial" w:hAnsi="Arial" w:cs="Arial"/>
        </w:rPr>
      </w:pPr>
    </w:p>
    <w:p w14:paraId="296DA83A" w14:textId="77777777" w:rsidR="00F37555" w:rsidRPr="00D3093B" w:rsidRDefault="00F37555" w:rsidP="00F37555">
      <w:pPr>
        <w:jc w:val="center"/>
        <w:rPr>
          <w:rFonts w:ascii="Arial" w:hAnsi="Arial" w:cs="Arial"/>
          <w:sz w:val="24"/>
          <w:szCs w:val="24"/>
        </w:rPr>
      </w:pPr>
      <w:r w:rsidRPr="00D3093B">
        <w:rPr>
          <w:rFonts w:ascii="Arial" w:hAnsi="Arial" w:cs="Arial"/>
          <w:noProof/>
          <w:sz w:val="24"/>
          <w:szCs w:val="24"/>
        </w:rPr>
        <w:lastRenderedPageBreak/>
        <w:drawing>
          <wp:inline distT="0" distB="0" distL="0" distR="0" wp14:anchorId="77E4EEB8" wp14:editId="24A70800">
            <wp:extent cx="1051200" cy="1153795"/>
            <wp:effectExtent l="0" t="0" r="0" b="8255"/>
            <wp:docPr id="350263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1062" cy="1186571"/>
                    </a:xfrm>
                    <a:prstGeom prst="rect">
                      <a:avLst/>
                    </a:prstGeom>
                    <a:noFill/>
                    <a:ln>
                      <a:noFill/>
                    </a:ln>
                  </pic:spPr>
                </pic:pic>
              </a:graphicData>
            </a:graphic>
          </wp:inline>
        </w:drawing>
      </w:r>
      <w:r w:rsidRPr="00D3093B">
        <w:rPr>
          <w:rFonts w:ascii="Arial" w:hAnsi="Arial" w:cs="Arial"/>
          <w:noProof/>
          <w:sz w:val="24"/>
          <w:szCs w:val="24"/>
        </w:rPr>
        <w:drawing>
          <wp:inline distT="0" distB="0" distL="0" distR="0" wp14:anchorId="36EAA4EB" wp14:editId="5E3E32D5">
            <wp:extent cx="1052286" cy="1183640"/>
            <wp:effectExtent l="0" t="0" r="0" b="0"/>
            <wp:docPr id="1810627938" name="Content Placeholder 4">
              <a:extLst xmlns:a="http://schemas.openxmlformats.org/drawingml/2006/main">
                <a:ext uri="{FF2B5EF4-FFF2-40B4-BE49-F238E27FC236}">
                  <a16:creationId xmlns:a16="http://schemas.microsoft.com/office/drawing/2014/main" id="{CAD786A0-C7D3-5952-C1F4-A9CD7CD177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4">
                      <a:extLst>
                        <a:ext uri="{FF2B5EF4-FFF2-40B4-BE49-F238E27FC236}">
                          <a16:creationId xmlns:a16="http://schemas.microsoft.com/office/drawing/2014/main" id="{CAD786A0-C7D3-5952-C1F4-A9CD7CD177EF}"/>
                        </a:ext>
                      </a:extLst>
                    </pic:cNvPr>
                    <pic:cNvPicPr>
                      <a:picLocks noChangeAspect="1"/>
                    </pic:cNvPicPr>
                  </pic:nvPicPr>
                  <pic:blipFill>
                    <a:blip r:embed="rId18" cstate="print">
                      <a:extLst>
                        <a:ext uri="{28A0092B-C50C-407E-A947-70E740481C1C}">
                          <a14:useLocalDpi xmlns:a14="http://schemas.microsoft.com/office/drawing/2010/main" val="0"/>
                        </a:ext>
                      </a:extLst>
                    </a:blip>
                    <a:srcRect l="6375" t="7842" r="48322" b="45573"/>
                    <a:stretch>
                      <a:fillRect/>
                    </a:stretch>
                  </pic:blipFill>
                  <pic:spPr bwMode="auto">
                    <a:xfrm>
                      <a:off x="0" y="0"/>
                      <a:ext cx="1087282" cy="1223004"/>
                    </a:xfrm>
                    <a:prstGeom prst="rect">
                      <a:avLst/>
                    </a:prstGeom>
                    <a:noFill/>
                    <a:ln>
                      <a:noFill/>
                    </a:ln>
                  </pic:spPr>
                </pic:pic>
              </a:graphicData>
            </a:graphic>
          </wp:inline>
        </w:drawing>
      </w:r>
      <w:r w:rsidRPr="00D3093B">
        <w:rPr>
          <w:rFonts w:ascii="Arial" w:hAnsi="Arial" w:cs="Arial"/>
          <w:noProof/>
          <w:sz w:val="24"/>
          <w:szCs w:val="24"/>
        </w:rPr>
        <w:drawing>
          <wp:inline distT="0" distB="0" distL="0" distR="0" wp14:anchorId="517FCFE3" wp14:editId="3BA6CC90">
            <wp:extent cx="1031240" cy="1172834"/>
            <wp:effectExtent l="0" t="0" r="0" b="0"/>
            <wp:docPr id="1387881607" name="Content Placeholder 4" descr="Karnataka &#10;Bangalore &#10;Location Map of Study Area &#10;Bangalo &#10;Tumkur &#10;Tumkur ">
              <a:extLst xmlns:a="http://schemas.openxmlformats.org/drawingml/2006/main">
                <a:ext uri="{FF2B5EF4-FFF2-40B4-BE49-F238E27FC236}">
                  <a16:creationId xmlns:a16="http://schemas.microsoft.com/office/drawing/2014/main" id="{5A1BCE32-4953-DDF3-44F3-5BB2D935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4" descr="Karnataka &#10;Bangalore &#10;Location Map of Study Area &#10;Bangalo &#10;Tumkur &#10;Tumkur ">
                      <a:extLst>
                        <a:ext uri="{FF2B5EF4-FFF2-40B4-BE49-F238E27FC236}">
                          <a16:creationId xmlns:a16="http://schemas.microsoft.com/office/drawing/2014/main" id="{5A1BCE32-4953-DDF3-44F3-5BB2D9359CAC}"/>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69158" t="7097" r="2515" b="47217"/>
                    <a:stretch>
                      <a:fillRect/>
                    </a:stretch>
                  </pic:blipFill>
                  <pic:spPr bwMode="auto">
                    <a:xfrm>
                      <a:off x="0" y="0"/>
                      <a:ext cx="1039558" cy="1182294"/>
                    </a:xfrm>
                    <a:prstGeom prst="rect">
                      <a:avLst/>
                    </a:prstGeom>
                    <a:noFill/>
                    <a:ln>
                      <a:noFill/>
                    </a:ln>
                    <a:extLst>
                      <a:ext uri="{53640926-AAD7-44D8-BBD7-CCE9431645EC}">
                        <a14:shadowObscured xmlns:a14="http://schemas.microsoft.com/office/drawing/2010/main"/>
                      </a:ext>
                    </a:extLst>
                  </pic:spPr>
                </pic:pic>
              </a:graphicData>
            </a:graphic>
          </wp:inline>
        </w:drawing>
      </w:r>
      <w:r w:rsidRPr="00D3093B">
        <w:rPr>
          <w:rFonts w:ascii="Arial" w:hAnsi="Arial" w:cs="Arial"/>
          <w:noProof/>
          <w:sz w:val="24"/>
          <w:szCs w:val="24"/>
        </w:rPr>
        <w:drawing>
          <wp:inline distT="0" distB="0" distL="0" distR="0" wp14:anchorId="39D553CB" wp14:editId="47FC6B29">
            <wp:extent cx="3127707" cy="3025775"/>
            <wp:effectExtent l="0" t="0" r="0" b="3175"/>
            <wp:docPr id="11" name="Picture 10">
              <a:extLst xmlns:a="http://schemas.openxmlformats.org/drawingml/2006/main">
                <a:ext uri="{FF2B5EF4-FFF2-40B4-BE49-F238E27FC236}">
                  <a16:creationId xmlns:a16="http://schemas.microsoft.com/office/drawing/2014/main" id="{61218965-0C37-3B14-4300-19EED0638B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1218965-0C37-3B14-4300-19EED0638BE9}"/>
                        </a:ext>
                      </a:extLst>
                    </pic:cNvPr>
                    <pic:cNvPicPr>
                      <a:picLocks noChangeAspect="1"/>
                    </pic:cNvPicPr>
                  </pic:nvPicPr>
                  <pic:blipFill>
                    <a:blip r:embed="rId20" cstate="print">
                      <a:extLst>
                        <a:ext uri="{28A0092B-C50C-407E-A947-70E740481C1C}">
                          <a14:useLocalDpi xmlns:a14="http://schemas.microsoft.com/office/drawing/2010/main" val="0"/>
                        </a:ext>
                      </a:extLst>
                    </a:blip>
                    <a:srcRect l="2886" t="1430" r="2886" b="2982"/>
                    <a:stretch>
                      <a:fillRect/>
                    </a:stretch>
                  </pic:blipFill>
                  <pic:spPr>
                    <a:xfrm>
                      <a:off x="0" y="0"/>
                      <a:ext cx="3171383" cy="3068027"/>
                    </a:xfrm>
                    <a:prstGeom prst="rect">
                      <a:avLst/>
                    </a:prstGeom>
                  </pic:spPr>
                </pic:pic>
              </a:graphicData>
            </a:graphic>
          </wp:inline>
        </w:drawing>
      </w:r>
    </w:p>
    <w:p w14:paraId="7236AE93" w14:textId="6EDB8E09" w:rsidR="00502516" w:rsidRPr="00F37555" w:rsidRDefault="00F37555" w:rsidP="00F37555">
      <w:pPr>
        <w:pStyle w:val="Body"/>
        <w:spacing w:after="0"/>
        <w:jc w:val="center"/>
        <w:rPr>
          <w:rFonts w:ascii="Arial" w:hAnsi="Arial" w:cs="Arial"/>
          <w:sz w:val="16"/>
          <w:szCs w:val="16"/>
        </w:rPr>
      </w:pPr>
      <w:r w:rsidRPr="00F37555">
        <w:rPr>
          <w:rFonts w:ascii="Arial" w:hAnsi="Arial" w:cs="Arial"/>
          <w:b/>
        </w:rPr>
        <w:t xml:space="preserve">Figure 2: </w:t>
      </w:r>
      <w:r w:rsidRPr="00F37555">
        <w:rPr>
          <w:rFonts w:ascii="Arial" w:hAnsi="Arial" w:cs="Arial"/>
          <w:bCs/>
        </w:rPr>
        <w:t>Plant and soil sampling locations in Tumkur</w:t>
      </w:r>
    </w:p>
    <w:p w14:paraId="36D43630" w14:textId="77777777" w:rsidR="00790ADA" w:rsidRPr="00502516" w:rsidRDefault="00790ADA" w:rsidP="00441B6F">
      <w:pPr>
        <w:pStyle w:val="Body"/>
        <w:spacing w:after="0"/>
        <w:rPr>
          <w:rFonts w:ascii="Arial" w:hAnsi="Arial" w:cs="Arial"/>
        </w:rPr>
      </w:pPr>
    </w:p>
    <w:p w14:paraId="484A3A1F" w14:textId="77777777" w:rsidR="0075475E" w:rsidRPr="00D3093B" w:rsidRDefault="00E66E10" w:rsidP="0075475E">
      <w:pPr>
        <w:jc w:val="both"/>
        <w:rPr>
          <w:rFonts w:ascii="Arial" w:hAnsi="Arial" w:cs="Arial"/>
          <w:b/>
          <w:bCs/>
          <w:sz w:val="24"/>
          <w:szCs w:val="24"/>
        </w:rPr>
      </w:pPr>
      <w:r>
        <w:rPr>
          <w:rFonts w:ascii="Arial" w:eastAsia="Calibri" w:hAnsi="Arial" w:cs="Arial"/>
          <w:color w:val="FF0000"/>
          <w:szCs w:val="22"/>
        </w:rPr>
        <w:t>.</w:t>
      </w:r>
    </w:p>
    <w:p w14:paraId="62A49CB7" w14:textId="77777777" w:rsidR="0075475E" w:rsidRPr="00064A21" w:rsidRDefault="0075475E" w:rsidP="0075475E">
      <w:pPr>
        <w:jc w:val="both"/>
        <w:rPr>
          <w:rFonts w:ascii="Arial" w:hAnsi="Arial" w:cs="Arial"/>
          <w:sz w:val="22"/>
        </w:rPr>
      </w:pPr>
      <w:r w:rsidRPr="00064A21">
        <w:rPr>
          <w:rFonts w:ascii="Arial" w:hAnsi="Arial" w:cs="Arial"/>
          <w:b/>
          <w:bCs/>
          <w:sz w:val="22"/>
        </w:rPr>
        <w:t>2.2 Experimental Design</w:t>
      </w:r>
    </w:p>
    <w:p w14:paraId="601D0713" w14:textId="77777777" w:rsidR="0075475E" w:rsidRPr="008B6E8C" w:rsidRDefault="0075475E" w:rsidP="0075475E">
      <w:pPr>
        <w:jc w:val="both"/>
        <w:rPr>
          <w:rFonts w:ascii="Arial" w:hAnsi="Arial" w:cs="Arial"/>
          <w:szCs w:val="18"/>
        </w:rPr>
      </w:pPr>
    </w:p>
    <w:p w14:paraId="54A541A3" w14:textId="77777777" w:rsidR="0075475E" w:rsidRPr="008B6E8C" w:rsidRDefault="0075475E" w:rsidP="0075475E">
      <w:pPr>
        <w:jc w:val="both"/>
        <w:rPr>
          <w:rFonts w:ascii="Arial" w:hAnsi="Arial" w:cs="Arial"/>
        </w:rPr>
      </w:pPr>
      <w:r w:rsidRPr="008B6E8C">
        <w:rPr>
          <w:rFonts w:ascii="Arial" w:hAnsi="Arial" w:cs="Arial"/>
        </w:rPr>
        <w:t>A field-based comparative study design was adopted. Two categories of sites were considered:</w:t>
      </w:r>
    </w:p>
    <w:p w14:paraId="62D3ECF8" w14:textId="77777777" w:rsidR="0075475E" w:rsidRPr="008B6E8C" w:rsidRDefault="0075475E" w:rsidP="0075475E">
      <w:pPr>
        <w:numPr>
          <w:ilvl w:val="0"/>
          <w:numId w:val="31"/>
        </w:numPr>
        <w:jc w:val="both"/>
        <w:rPr>
          <w:rFonts w:ascii="Arial" w:hAnsi="Arial" w:cs="Arial"/>
          <w:b/>
          <w:bCs/>
        </w:rPr>
      </w:pPr>
      <w:r w:rsidRPr="008B6E8C">
        <w:rPr>
          <w:rFonts w:ascii="Arial" w:hAnsi="Arial" w:cs="Arial"/>
          <w:b/>
          <w:bCs/>
        </w:rPr>
        <w:t>MSWL-amended fields</w:t>
      </w:r>
      <w:r w:rsidRPr="008B6E8C">
        <w:rPr>
          <w:rFonts w:ascii="Arial" w:hAnsi="Arial" w:cs="Arial"/>
        </w:rPr>
        <w:t xml:space="preserve"> (irrigated with MSW leachate at ~1:10 ratio of leachate: water)</w:t>
      </w:r>
    </w:p>
    <w:p w14:paraId="7736CF5D" w14:textId="77777777" w:rsidR="0075475E" w:rsidRPr="008B6E8C" w:rsidRDefault="0075475E" w:rsidP="0075475E">
      <w:pPr>
        <w:numPr>
          <w:ilvl w:val="0"/>
          <w:numId w:val="31"/>
        </w:numPr>
        <w:jc w:val="both"/>
        <w:rPr>
          <w:rFonts w:ascii="Arial" w:hAnsi="Arial" w:cs="Arial"/>
          <w:b/>
          <w:bCs/>
        </w:rPr>
      </w:pPr>
      <w:r w:rsidRPr="008B6E8C">
        <w:rPr>
          <w:rFonts w:ascii="Arial" w:hAnsi="Arial" w:cs="Arial"/>
          <w:b/>
          <w:bCs/>
        </w:rPr>
        <w:t>Control fields</w:t>
      </w:r>
      <w:r w:rsidRPr="008B6E8C">
        <w:rPr>
          <w:rFonts w:ascii="Arial" w:hAnsi="Arial" w:cs="Arial"/>
        </w:rPr>
        <w:t xml:space="preserve"> (irrigated with conventional water sources and fertilization practices)</w:t>
      </w:r>
    </w:p>
    <w:p w14:paraId="0CBE2ADC" w14:textId="77777777" w:rsidR="0075475E" w:rsidRPr="008B6E8C" w:rsidRDefault="0075475E" w:rsidP="0075475E">
      <w:pPr>
        <w:jc w:val="both"/>
        <w:rPr>
          <w:rFonts w:ascii="Arial" w:hAnsi="Arial" w:cs="Arial"/>
        </w:rPr>
      </w:pPr>
      <w:r w:rsidRPr="008B6E8C">
        <w:rPr>
          <w:rFonts w:ascii="Arial" w:hAnsi="Arial" w:cs="Arial"/>
        </w:rPr>
        <w:t>The study did not involve controlled plot experimentation; instead, it relied on existing farmer-managed systems to reflect real-world agricultural conditions.</w:t>
      </w:r>
    </w:p>
    <w:p w14:paraId="767EE800" w14:textId="77777777" w:rsidR="0075475E" w:rsidRPr="008B6E8C" w:rsidRDefault="0075475E" w:rsidP="0075475E">
      <w:pPr>
        <w:jc w:val="both"/>
        <w:rPr>
          <w:rFonts w:ascii="Arial" w:hAnsi="Arial" w:cs="Arial"/>
          <w:b/>
          <w:bCs/>
        </w:rPr>
      </w:pPr>
    </w:p>
    <w:p w14:paraId="7D973D09" w14:textId="77777777" w:rsidR="0075475E" w:rsidRPr="00064A21" w:rsidRDefault="0075475E" w:rsidP="0075475E">
      <w:pPr>
        <w:jc w:val="both"/>
        <w:rPr>
          <w:rFonts w:ascii="Arial" w:hAnsi="Arial" w:cs="Arial"/>
          <w:sz w:val="22"/>
          <w:szCs w:val="18"/>
        </w:rPr>
      </w:pPr>
      <w:r w:rsidRPr="00064A21">
        <w:rPr>
          <w:rFonts w:ascii="Arial" w:hAnsi="Arial" w:cs="Arial"/>
          <w:b/>
          <w:bCs/>
          <w:sz w:val="22"/>
          <w:szCs w:val="18"/>
        </w:rPr>
        <w:t>2.3 Sample Collection</w:t>
      </w:r>
    </w:p>
    <w:p w14:paraId="2E0D77FC" w14:textId="77777777" w:rsidR="0075475E" w:rsidRPr="00D3093B" w:rsidRDefault="0075475E" w:rsidP="0075475E">
      <w:pPr>
        <w:jc w:val="both"/>
        <w:rPr>
          <w:rFonts w:ascii="Arial" w:hAnsi="Arial" w:cs="Arial"/>
          <w:b/>
          <w:bCs/>
          <w:sz w:val="28"/>
          <w:szCs w:val="24"/>
        </w:rPr>
      </w:pPr>
    </w:p>
    <w:p w14:paraId="55C0BFCF" w14:textId="77777777" w:rsidR="0075475E" w:rsidRPr="00064A21" w:rsidRDefault="0075475E" w:rsidP="0075475E">
      <w:pPr>
        <w:jc w:val="both"/>
        <w:rPr>
          <w:rFonts w:ascii="Arial" w:hAnsi="Arial" w:cs="Arial"/>
          <w:szCs w:val="18"/>
          <w:u w:val="single"/>
        </w:rPr>
      </w:pPr>
      <w:r w:rsidRPr="00064A21">
        <w:rPr>
          <w:rFonts w:ascii="Arial" w:hAnsi="Arial" w:cs="Arial"/>
          <w:b/>
          <w:bCs/>
          <w:szCs w:val="18"/>
          <w:u w:val="single"/>
        </w:rPr>
        <w:t xml:space="preserve">2.3.1 Leachate </w:t>
      </w:r>
    </w:p>
    <w:p w14:paraId="5E8B4A0E" w14:textId="77777777" w:rsidR="0075475E" w:rsidRPr="00D3093B" w:rsidRDefault="0075475E" w:rsidP="0075475E">
      <w:pPr>
        <w:jc w:val="both"/>
        <w:rPr>
          <w:rFonts w:ascii="Arial" w:hAnsi="Arial" w:cs="Arial"/>
          <w:sz w:val="24"/>
          <w:szCs w:val="24"/>
        </w:rPr>
      </w:pPr>
    </w:p>
    <w:p w14:paraId="20A4DD78" w14:textId="77777777" w:rsidR="0075475E" w:rsidRPr="00064A21" w:rsidRDefault="0075475E" w:rsidP="0075475E">
      <w:pPr>
        <w:jc w:val="both"/>
        <w:rPr>
          <w:rFonts w:ascii="Arial" w:hAnsi="Arial" w:cs="Arial"/>
        </w:rPr>
      </w:pPr>
      <w:r w:rsidRPr="00064A21">
        <w:rPr>
          <w:rFonts w:ascii="Arial" w:hAnsi="Arial" w:cs="Arial"/>
        </w:rPr>
        <w:t>Leachate samples were collected from MSW composting facilities supplying or associated with the selected agricultural fields. Leachate samples were collected from collection tanks and sumps, into clean, labelled, thoroughly rinsed bottles. For heavy metal analyses, samples were collected separately in 100 ml pre-cleaned polyethene containers, acidified with a few drops of concentrated Nitric acid on site to prevent the precipitation of metals. The samples were kept in an ice box below 5</w:t>
      </w:r>
      <w:r w:rsidRPr="00064A21">
        <w:rPr>
          <w:rFonts w:ascii="Arial" w:hAnsi="Arial" w:cs="Arial"/>
          <w:vertAlign w:val="superscript"/>
        </w:rPr>
        <w:t>°</w:t>
      </w:r>
      <w:r w:rsidRPr="00064A21">
        <w:rPr>
          <w:rFonts w:ascii="Arial" w:hAnsi="Arial" w:cs="Arial"/>
        </w:rPr>
        <w:t>C, immediately transported to the laboratory, and stored in a refrigerator at 4</w:t>
      </w:r>
      <w:r w:rsidRPr="00064A21">
        <w:rPr>
          <w:rFonts w:ascii="Arial" w:hAnsi="Arial" w:cs="Arial"/>
          <w:vertAlign w:val="superscript"/>
        </w:rPr>
        <w:t>°</w:t>
      </w:r>
      <w:r w:rsidRPr="00064A21">
        <w:rPr>
          <w:rFonts w:ascii="Arial" w:hAnsi="Arial" w:cs="Arial"/>
        </w:rPr>
        <w:t xml:space="preserve">C before analysis. Sample collection and preservation were </w:t>
      </w:r>
      <w:r w:rsidRPr="00064A21">
        <w:rPr>
          <w:rFonts w:ascii="Arial" w:hAnsi="Arial" w:cs="Arial"/>
        </w:rPr>
        <w:lastRenderedPageBreak/>
        <w:t xml:space="preserve">carried out according to the protocols prescribed by the National (BIS) and international standards </w:t>
      </w:r>
      <w:r w:rsidRPr="00064A21">
        <w:rPr>
          <w:rFonts w:ascii="Arial" w:hAnsi="Arial" w:cs="Arial"/>
        </w:rPr>
        <w:fldChar w:fldCharType="begin" w:fldLock="1"/>
      </w:r>
      <w:r w:rsidRPr="00064A21">
        <w:rPr>
          <w:rFonts w:ascii="Arial" w:hAnsi="Arial" w:cs="Arial"/>
        </w:rPr>
        <w:instrText>ADDIN CSL_CITATION {"citationItems":[{"id":"ITEM-1","itemData":{"ISBN":"1014049202","PMID":"38252772","author":[{"dropping-particle":"","family":"APHA","given":"AWWA and WEF","non-dropping-particle":"","parse-names":false,"suffix":""}],"edition":"23rd","editor":[{"dropping-particle":"","family":"RODGER B. BAIRD, ANDREW D. EATON","given":"EUGENE W. RICE","non-dropping-particle":"","parse-names":false,"suffix":""}],"id":"ITEM-1","issued":{"date-parts":[["2017"]]},"number-of-pages":"1545","publisher":"APHA Press","publisher-place":"Washington DC USA","title":"Standard Methods for the Examination of Water and Wastewater","type":"book"},"uris":["http://www.mendeley.com/documents/?uuid=c8a25c76-c8c6-4b0a-85b9-2c568a8c6da8"]}],"mendeley":{"formattedCitation":"(APHA, 2017)","plainTextFormattedCitation":"(APHA, 2017)"},"properties":{"noteIndex":0},"schema":"https://github.com/citation-style-language/schema/raw/master/csl-citation.json"}</w:instrText>
      </w:r>
      <w:r w:rsidRPr="00064A21">
        <w:rPr>
          <w:rFonts w:ascii="Arial" w:hAnsi="Arial" w:cs="Arial"/>
        </w:rPr>
        <w:fldChar w:fldCharType="separate"/>
      </w:r>
      <w:r w:rsidRPr="00064A21">
        <w:rPr>
          <w:rFonts w:ascii="Arial" w:hAnsi="Arial" w:cs="Arial"/>
          <w:noProof/>
        </w:rPr>
        <w:t>(APHA, 2017)</w:t>
      </w:r>
      <w:r w:rsidRPr="00064A21">
        <w:rPr>
          <w:rFonts w:ascii="Arial" w:hAnsi="Arial" w:cs="Arial"/>
        </w:rPr>
        <w:fldChar w:fldCharType="end"/>
      </w:r>
      <w:r w:rsidRPr="00064A21">
        <w:rPr>
          <w:rFonts w:ascii="Arial" w:hAnsi="Arial" w:cs="Arial"/>
        </w:rPr>
        <w:t xml:space="preserve">. </w:t>
      </w:r>
    </w:p>
    <w:p w14:paraId="6FD10B06" w14:textId="77777777" w:rsidR="0075475E" w:rsidRPr="00064A21" w:rsidRDefault="0075475E" w:rsidP="0075475E">
      <w:pPr>
        <w:jc w:val="both"/>
        <w:rPr>
          <w:rFonts w:ascii="Arial" w:hAnsi="Arial" w:cs="Arial"/>
          <w:sz w:val="18"/>
          <w:szCs w:val="18"/>
          <w:u w:val="single"/>
        </w:rPr>
      </w:pPr>
    </w:p>
    <w:p w14:paraId="41A0DB7E" w14:textId="77777777" w:rsidR="0075475E" w:rsidRPr="00064A21" w:rsidRDefault="0075475E" w:rsidP="0075475E">
      <w:pPr>
        <w:jc w:val="both"/>
        <w:rPr>
          <w:rFonts w:ascii="Arial" w:hAnsi="Arial" w:cs="Arial"/>
          <w:szCs w:val="18"/>
          <w:u w:val="single"/>
        </w:rPr>
      </w:pPr>
      <w:r w:rsidRPr="00064A21">
        <w:rPr>
          <w:rFonts w:ascii="Arial" w:hAnsi="Arial" w:cs="Arial"/>
          <w:b/>
          <w:bCs/>
          <w:szCs w:val="18"/>
          <w:u w:val="single"/>
        </w:rPr>
        <w:t xml:space="preserve">2.3.2 Soil </w:t>
      </w:r>
    </w:p>
    <w:p w14:paraId="5311436B" w14:textId="77777777" w:rsidR="0075475E" w:rsidRDefault="0075475E" w:rsidP="0075475E">
      <w:pPr>
        <w:jc w:val="both"/>
        <w:rPr>
          <w:rFonts w:ascii="Arial" w:hAnsi="Arial" w:cs="Arial"/>
        </w:rPr>
      </w:pPr>
    </w:p>
    <w:p w14:paraId="5854471F" w14:textId="77777777" w:rsidR="0075475E" w:rsidRPr="00D3093B" w:rsidRDefault="0075475E" w:rsidP="0075475E">
      <w:pPr>
        <w:jc w:val="both"/>
        <w:rPr>
          <w:rFonts w:ascii="Arial" w:hAnsi="Arial" w:cs="Arial"/>
          <w:sz w:val="24"/>
          <w:szCs w:val="24"/>
        </w:rPr>
      </w:pPr>
      <w:r w:rsidRPr="00064A21">
        <w:rPr>
          <w:rFonts w:ascii="Arial" w:hAnsi="Arial" w:cs="Arial"/>
        </w:rPr>
        <w:t>Soil samples were collected from both MSWCL-amended and control fields at a depth of 0–20 cm using a stainless-steel auger. One composite soil sample was collected from each field, created from 5 subsamples collected from randomly selected positions to obtain representative samples. The samples were air-dried, homogenized, and sieved (2 mm) before analysis</w:t>
      </w:r>
      <w:r w:rsidRPr="00D3093B">
        <w:rPr>
          <w:rFonts w:ascii="Arial" w:hAnsi="Arial" w:cs="Arial"/>
          <w:sz w:val="24"/>
          <w:szCs w:val="24"/>
        </w:rPr>
        <w:t>.</w:t>
      </w:r>
    </w:p>
    <w:p w14:paraId="343955A4" w14:textId="77777777" w:rsidR="0075475E" w:rsidRPr="00D3093B" w:rsidRDefault="0075475E" w:rsidP="0075475E">
      <w:pPr>
        <w:jc w:val="both"/>
        <w:rPr>
          <w:rFonts w:ascii="Arial" w:hAnsi="Arial" w:cs="Arial"/>
          <w:b/>
          <w:bCs/>
          <w:sz w:val="24"/>
          <w:szCs w:val="24"/>
        </w:rPr>
      </w:pPr>
    </w:p>
    <w:p w14:paraId="16974534" w14:textId="77777777" w:rsidR="0075475E" w:rsidRPr="00064A21" w:rsidRDefault="0075475E" w:rsidP="0075475E">
      <w:pPr>
        <w:jc w:val="both"/>
        <w:rPr>
          <w:rFonts w:ascii="Arial" w:hAnsi="Arial" w:cs="Arial"/>
          <w:szCs w:val="18"/>
          <w:u w:val="single"/>
        </w:rPr>
      </w:pPr>
      <w:r w:rsidRPr="00064A21">
        <w:rPr>
          <w:rFonts w:ascii="Arial" w:hAnsi="Arial" w:cs="Arial"/>
          <w:b/>
          <w:bCs/>
          <w:szCs w:val="18"/>
          <w:u w:val="single"/>
        </w:rPr>
        <w:t xml:space="preserve">2.3.3 Plant </w:t>
      </w:r>
    </w:p>
    <w:p w14:paraId="4446A073" w14:textId="77777777" w:rsidR="0075475E" w:rsidRPr="004E5681" w:rsidRDefault="0075475E" w:rsidP="0075475E">
      <w:pPr>
        <w:jc w:val="both"/>
        <w:rPr>
          <w:rFonts w:ascii="Arial" w:hAnsi="Arial" w:cs="Arial"/>
        </w:rPr>
      </w:pPr>
    </w:p>
    <w:p w14:paraId="64863D55" w14:textId="77777777" w:rsidR="0075475E" w:rsidRPr="00064A21" w:rsidRDefault="0075475E" w:rsidP="0075475E">
      <w:pPr>
        <w:jc w:val="both"/>
        <w:rPr>
          <w:rFonts w:ascii="Arial" w:hAnsi="Arial" w:cs="Arial"/>
        </w:rPr>
      </w:pPr>
      <w:r w:rsidRPr="00064A21">
        <w:rPr>
          <w:rFonts w:ascii="Arial" w:hAnsi="Arial" w:cs="Arial"/>
        </w:rPr>
        <w:t>Whole plant samples, together with the associated soil samples, were collected from the selected fields. Plants were uprooted, labelled, and taken to the laboratory for analysis. Plant samples were separated into roots, leaves, and fruits (if present at the time of sample collection), and further subsampled for various analyses. The root samples were thoroughly washed under running tap water to remove the soil particles adhering to the roots. Samples were air-dried at room temperature for two weeks and then ground to a fine powder for analysis.</w:t>
      </w:r>
    </w:p>
    <w:p w14:paraId="0CEBD2C1" w14:textId="77777777" w:rsidR="0075475E" w:rsidRPr="004E5681" w:rsidRDefault="0075475E" w:rsidP="0075475E">
      <w:pPr>
        <w:jc w:val="both"/>
        <w:rPr>
          <w:rFonts w:ascii="Arial" w:hAnsi="Arial" w:cs="Arial"/>
          <w:b/>
          <w:bCs/>
        </w:rPr>
      </w:pPr>
    </w:p>
    <w:p w14:paraId="7B3C341C" w14:textId="77777777" w:rsidR="004E5681" w:rsidRPr="00064A21" w:rsidRDefault="004E5681" w:rsidP="004E5681">
      <w:pPr>
        <w:jc w:val="both"/>
        <w:rPr>
          <w:rFonts w:ascii="Arial" w:hAnsi="Arial" w:cs="Arial"/>
          <w:b/>
          <w:bCs/>
          <w:sz w:val="22"/>
          <w:szCs w:val="18"/>
        </w:rPr>
      </w:pPr>
      <w:r w:rsidRPr="00064A21">
        <w:rPr>
          <w:rFonts w:ascii="Arial" w:hAnsi="Arial" w:cs="Arial"/>
          <w:b/>
          <w:bCs/>
          <w:sz w:val="22"/>
          <w:szCs w:val="18"/>
        </w:rPr>
        <w:t>2.4 Analytical Methods</w:t>
      </w:r>
    </w:p>
    <w:p w14:paraId="4FA803CB" w14:textId="77777777" w:rsidR="004E5681" w:rsidRPr="008407E2" w:rsidRDefault="004E5681" w:rsidP="004E5681">
      <w:pPr>
        <w:jc w:val="both"/>
        <w:rPr>
          <w:rFonts w:ascii="Arial" w:hAnsi="Arial" w:cs="Arial"/>
          <w:b/>
          <w:bCs/>
        </w:rPr>
      </w:pPr>
    </w:p>
    <w:p w14:paraId="7BA652B1" w14:textId="77777777" w:rsidR="004E5681" w:rsidRPr="00064A21" w:rsidRDefault="004E5681" w:rsidP="004E5681">
      <w:pPr>
        <w:jc w:val="both"/>
        <w:rPr>
          <w:rFonts w:ascii="Arial" w:hAnsi="Arial" w:cs="Arial"/>
          <w:b/>
          <w:bCs/>
          <w:szCs w:val="18"/>
          <w:u w:val="single"/>
        </w:rPr>
      </w:pPr>
      <w:r w:rsidRPr="00064A21">
        <w:rPr>
          <w:rFonts w:ascii="Arial" w:hAnsi="Arial" w:cs="Arial"/>
          <w:b/>
          <w:bCs/>
          <w:szCs w:val="18"/>
          <w:u w:val="single"/>
        </w:rPr>
        <w:t>2.4.1 Physicochemical Analysis of Leachate and Soil</w:t>
      </w:r>
    </w:p>
    <w:p w14:paraId="36BF493C" w14:textId="77777777" w:rsidR="004E5681" w:rsidRPr="00064A21" w:rsidRDefault="004E5681" w:rsidP="004E5681">
      <w:pPr>
        <w:ind w:right="95"/>
        <w:jc w:val="both"/>
        <w:rPr>
          <w:rFonts w:ascii="Arial" w:hAnsi="Arial" w:cs="Arial"/>
          <w:szCs w:val="18"/>
          <w:u w:val="single"/>
        </w:rPr>
      </w:pPr>
    </w:p>
    <w:p w14:paraId="6369633A" w14:textId="77777777" w:rsidR="004E5681" w:rsidRPr="00064A21" w:rsidRDefault="004E5681" w:rsidP="004E5681">
      <w:pPr>
        <w:ind w:right="95"/>
        <w:jc w:val="both"/>
        <w:rPr>
          <w:rFonts w:ascii="Arial" w:hAnsi="Arial" w:cs="Arial"/>
        </w:rPr>
      </w:pPr>
      <w:r w:rsidRPr="00064A21">
        <w:rPr>
          <w:rFonts w:ascii="Arial" w:hAnsi="Arial" w:cs="Arial"/>
        </w:rPr>
        <w:t xml:space="preserve">Leachate samples were analysed according to the protocols prescribed by the National (BIS) and International (APHA) standards. pH and EC were recorded on-site during sampling using a digital pH and EC meter. C: N ratio was determined using a CHNS analyzer (Elementar, Vario-Micro cube). 10mg of the leachate samples in tin capsules were combusted in the combustion chamber to their respective oxide forms, which were finally measured using a thermal conductivity detector (TCD) as C, N, H, and S. Potassium (K) was analysed using the flame photometric method (Systronics µ-controller based Flame photometer with Compressor, Type: 128). Phosphorus was quantified by inductively coupled plasma optical emission spectrophotometry (ICP-OES - Thermofischer Scientific ICAP 7000). </w:t>
      </w:r>
    </w:p>
    <w:p w14:paraId="5D109F81" w14:textId="77777777" w:rsidR="004E5681" w:rsidRPr="00064A21" w:rsidRDefault="004E5681" w:rsidP="004E5681">
      <w:pPr>
        <w:jc w:val="both"/>
        <w:rPr>
          <w:rFonts w:ascii="Arial" w:hAnsi="Arial" w:cs="Arial"/>
        </w:rPr>
      </w:pPr>
      <w:r w:rsidRPr="00064A21">
        <w:rPr>
          <w:rFonts w:ascii="Arial" w:hAnsi="Arial" w:cs="Arial"/>
        </w:rPr>
        <w:t xml:space="preserve">Soil pH and EC were measured in 1:2.5 soil: water extracts using a pH and conductivity meter </w:t>
      </w:r>
      <w:r w:rsidRPr="00064A21">
        <w:rPr>
          <w:rFonts w:ascii="Arial" w:hAnsi="Arial" w:cs="Arial"/>
        </w:rPr>
        <w:fldChar w:fldCharType="begin" w:fldLock="1"/>
      </w:r>
      <w:r w:rsidRPr="00064A21">
        <w:rPr>
          <w:rFonts w:ascii="Arial" w:hAnsi="Arial" w:cs="Arial"/>
        </w:rPr>
        <w:instrText>ADDIN CSL_CITATION {"citationItems":[{"id":"ITEM-1","itemData":{"author":[{"dropping-particle":"","family":"Jackson","given":"M.L.","non-dropping-particle":"","parse-names":false,"suffix":""}],"id":"ITEM-1","issued":{"date-parts":[["1962"]]},"publisher":"Prentice Hall Inc., Englewood Cliffs, New Jersey, USA","publisher-place":"Englewood Cliffs, New Jersey, USA","title":"Soil Chemical Analysis","type":"book"},"uris":["http://www.mendeley.com/documents/?uuid=3dbdb3ca-da7f-4671-b3f6-cbb777f13659"]}],"mendeley":{"formattedCitation":"(Jackson, 1962)","plainTextFormattedCitation":"(Jackson, 1962)","previouslyFormattedCitation":"(Jackson, 1962)"},"properties":{"noteIndex":0},"schema":"https://github.com/citation-style-language/schema/raw/master/csl-citation.json"}</w:instrText>
      </w:r>
      <w:r w:rsidRPr="00064A21">
        <w:rPr>
          <w:rFonts w:ascii="Arial" w:hAnsi="Arial" w:cs="Arial"/>
        </w:rPr>
        <w:fldChar w:fldCharType="separate"/>
      </w:r>
      <w:r w:rsidRPr="00064A21">
        <w:rPr>
          <w:rFonts w:ascii="Arial" w:hAnsi="Arial" w:cs="Arial"/>
          <w:noProof/>
        </w:rPr>
        <w:t>(Jackson, 1962)</w:t>
      </w:r>
      <w:r w:rsidRPr="00064A21">
        <w:rPr>
          <w:rFonts w:ascii="Arial" w:hAnsi="Arial" w:cs="Arial"/>
        </w:rPr>
        <w:fldChar w:fldCharType="end"/>
      </w:r>
      <w:r w:rsidRPr="00064A21">
        <w:rPr>
          <w:rFonts w:ascii="Arial" w:hAnsi="Arial" w:cs="Arial"/>
        </w:rPr>
        <w:t xml:space="preserve">. Organic Matter was determined by the Walkley and Black’s wet oxidation method </w:t>
      </w:r>
      <w:r w:rsidRPr="00064A21">
        <w:rPr>
          <w:rFonts w:ascii="Arial" w:hAnsi="Arial" w:cs="Arial"/>
        </w:rPr>
        <w:fldChar w:fldCharType="begin" w:fldLock="1"/>
      </w:r>
      <w:r w:rsidRPr="00064A21">
        <w:rPr>
          <w:rFonts w:ascii="Arial" w:hAnsi="Arial" w:cs="Arial"/>
        </w:rPr>
        <w:instrText>ADDIN CSL_CITATION {"citationItems":[{"id":"ITEM-1","itemData":{"author":[{"dropping-particle":"","family":"Jackson","given":"M.L.","non-dropping-particle":"","parse-names":false,"suffix":""}],"id":"ITEM-1","issued":{"date-parts":[["1962"]]},"publisher":"Prentice Hall Inc., Englewood Cliffs, New Jersey, USA","publisher-place":"Englewood Cliffs, New Jersey, USA","title":"Soil Chemical Analysis","type":"book"},"uris":["http://www.mendeley.com/documents/?uuid=3dbdb3ca-da7f-4671-b3f6-cbb777f13659"]}],"mendeley":{"formattedCitation":"(Jackson, 1962)","plainTextFormattedCitation":"(Jackson, 1962)","previouslyFormattedCitation":"(Jackson, 1962)"},"properties":{"noteIndex":0},"schema":"https://github.com/citation-style-language/schema/raw/master/csl-citation.json"}</w:instrText>
      </w:r>
      <w:r w:rsidRPr="00064A21">
        <w:rPr>
          <w:rFonts w:ascii="Arial" w:hAnsi="Arial" w:cs="Arial"/>
        </w:rPr>
        <w:fldChar w:fldCharType="separate"/>
      </w:r>
      <w:r w:rsidRPr="00064A21">
        <w:rPr>
          <w:rFonts w:ascii="Arial" w:hAnsi="Arial" w:cs="Arial"/>
          <w:noProof/>
        </w:rPr>
        <w:t>(Jackson, 1962)</w:t>
      </w:r>
      <w:r w:rsidRPr="00064A21">
        <w:rPr>
          <w:rFonts w:ascii="Arial" w:hAnsi="Arial" w:cs="Arial"/>
        </w:rPr>
        <w:fldChar w:fldCharType="end"/>
      </w:r>
      <w:r w:rsidRPr="00064A21">
        <w:rPr>
          <w:rFonts w:ascii="Arial" w:hAnsi="Arial" w:cs="Arial"/>
        </w:rPr>
        <w:t xml:space="preserve">. . The C: N ratio was determined using a CHNS analyzer </w:t>
      </w:r>
      <w:r w:rsidRPr="00064A21">
        <w:rPr>
          <w:rFonts w:ascii="Arial" w:hAnsi="Arial" w:cs="Arial"/>
        </w:rPr>
        <w:fldChar w:fldCharType="begin" w:fldLock="1"/>
      </w:r>
      <w:r w:rsidRPr="00064A21">
        <w:rPr>
          <w:rFonts w:ascii="Arial" w:hAnsi="Arial" w:cs="Arial"/>
        </w:rPr>
        <w:instrText>ADDIN CSL_CITATION {"citationItems":[{"id":"ITEM-1","itemData":{"ISSN":"2349-5162","abstract":"Many rivers in India are threatened by water and soil pollution, particularly those that flow through industrial areas. The Patalganga river flows through Khopoli township, Khalapur area, Patalganga industrial sector and provides water to over 40 villages in Raigad district, Maharashtra. Pollutants in the water have an impact on the soil quality of the riverbed, which is principally responsible for supplying nutrients to aquatic vegetation. Carbon, hydrogen, nitrogen and sulphur are important elements which contribute to the productive capacity of soil. In the present investigation, six monthly soil samples from seven selected sites along the Patalganga river belt were collected for C, H, N, S analysis. The highest elemental (C, H, N, S) percentage was found to be carbon while hydrogen and nitrogen levels varied in the soil samples. The study showed significant relationship between the elements and pollution impacting the river ecosystem.","author":[{"dropping-particle":"","family":"Marathe","given":"Ninad","non-dropping-particle":"","parse-names":false,"suffix":""},{"dropping-particle":"","family":"Chavan","given":"Bhavita P","non-dropping-particle":"","parse-names":false,"suffix":""}],"container-title":"JETIR2203221 Journal of Emerging Technologies and Innovative Research","id":"ITEM-1","issue":"3","issued":{"date-parts":[["2022"]]},"page":"134-141","title":"CHNS Analysis of Soil Samples from Patalganga\nRiver\n(Maharashtra, India)","type":"article-journal","volume":"9"},"uris":["http://www.mendeley.com/documents/?uuid=b404da7b-9fee-4438-854a-3338cc423d40"]}],"mendeley":{"formattedCitation":"(Marathe &amp; Chavan, 2022)","plainTextFormattedCitation":"(Marathe &amp; Chavan, 2022)","previouslyFormattedCitation":"(Marathe &amp; Chavan, 2022)"},"properties":{"noteIndex":0},"schema":"https://github.com/citation-style-language/schema/raw/master/csl-citation.json"}</w:instrText>
      </w:r>
      <w:r w:rsidRPr="00064A21">
        <w:rPr>
          <w:rFonts w:ascii="Arial" w:hAnsi="Arial" w:cs="Arial"/>
        </w:rPr>
        <w:fldChar w:fldCharType="separate"/>
      </w:r>
      <w:r w:rsidRPr="00064A21">
        <w:rPr>
          <w:rFonts w:ascii="Arial" w:hAnsi="Arial" w:cs="Arial"/>
          <w:noProof/>
        </w:rPr>
        <w:t>(Marathe &amp; Chavan, 2022)</w:t>
      </w:r>
      <w:r w:rsidRPr="00064A21">
        <w:rPr>
          <w:rFonts w:ascii="Arial" w:hAnsi="Arial" w:cs="Arial"/>
        </w:rPr>
        <w:fldChar w:fldCharType="end"/>
      </w:r>
      <w:r w:rsidRPr="00064A21">
        <w:rPr>
          <w:rFonts w:ascii="Arial" w:hAnsi="Arial" w:cs="Arial"/>
        </w:rPr>
        <w:t xml:space="preserve">. </w:t>
      </w:r>
    </w:p>
    <w:p w14:paraId="61C4063B" w14:textId="77777777" w:rsidR="004E5681" w:rsidRPr="00064A21" w:rsidRDefault="004E5681" w:rsidP="004E5681">
      <w:pPr>
        <w:spacing w:before="240"/>
        <w:jc w:val="both"/>
        <w:rPr>
          <w:rFonts w:ascii="Arial" w:hAnsi="Arial" w:cs="Arial"/>
          <w:b/>
          <w:bCs/>
          <w:szCs w:val="18"/>
          <w:u w:val="single"/>
        </w:rPr>
      </w:pPr>
      <w:r w:rsidRPr="00064A21">
        <w:rPr>
          <w:rFonts w:ascii="Arial" w:hAnsi="Arial" w:cs="Arial"/>
          <w:b/>
          <w:bCs/>
          <w:szCs w:val="18"/>
          <w:u w:val="single"/>
        </w:rPr>
        <w:t>2.4.2 Heavy metal analysis of Leachate, Soil, and Plant samples</w:t>
      </w:r>
    </w:p>
    <w:p w14:paraId="382FF4A1" w14:textId="77777777" w:rsidR="004E5681" w:rsidRPr="00D3093B" w:rsidRDefault="004E5681" w:rsidP="004E5681">
      <w:pPr>
        <w:ind w:right="95"/>
        <w:jc w:val="both"/>
        <w:rPr>
          <w:rFonts w:ascii="Arial" w:hAnsi="Arial" w:cs="Arial"/>
          <w:sz w:val="24"/>
          <w:szCs w:val="24"/>
        </w:rPr>
      </w:pPr>
    </w:p>
    <w:p w14:paraId="22C88D3F" w14:textId="77777777" w:rsidR="004E5681" w:rsidRPr="00064A21" w:rsidRDefault="004E5681" w:rsidP="004E5681">
      <w:pPr>
        <w:ind w:right="95"/>
        <w:jc w:val="both"/>
        <w:rPr>
          <w:rFonts w:ascii="Arial" w:hAnsi="Arial" w:cs="Arial"/>
        </w:rPr>
      </w:pPr>
      <w:r w:rsidRPr="00064A21">
        <w:rPr>
          <w:rFonts w:ascii="Arial" w:hAnsi="Arial" w:cs="Arial"/>
        </w:rPr>
        <w:t>Heavy metals (Zn, Cu, Cd, Pb, Ni, and Cr) in leachate were quantified by inductively coupled plasma optical emission spectrophotometry (ICP-OES - Thermofischer Scientific ICAP 7000). Soil micronutrients were extracted with DTPA and quantified as Zn and Cu using AAS and Pb, Cd, Cr, and Ni</w:t>
      </w:r>
      <w:r w:rsidRPr="00064A21">
        <w:rPr>
          <w:rFonts w:ascii="Arial" w:hAnsi="Arial" w:cs="Arial"/>
          <w:b/>
          <w:bCs/>
        </w:rPr>
        <w:t xml:space="preserve"> </w:t>
      </w:r>
      <w:r w:rsidRPr="00064A21">
        <w:rPr>
          <w:rFonts w:ascii="Arial" w:hAnsi="Arial" w:cs="Arial"/>
        </w:rPr>
        <w:t>using</w:t>
      </w:r>
      <w:r w:rsidRPr="00064A21">
        <w:rPr>
          <w:rFonts w:ascii="Arial" w:hAnsi="Arial" w:cs="Arial"/>
          <w:b/>
          <w:bCs/>
        </w:rPr>
        <w:t xml:space="preserve"> </w:t>
      </w:r>
      <w:r w:rsidRPr="00064A21">
        <w:rPr>
          <w:rFonts w:ascii="Arial" w:hAnsi="Arial" w:cs="Arial"/>
        </w:rPr>
        <w:t>ICP-OES. Plant samples were subjected to dry-ashing, wherein 1 g of material was incinerated in a muffle furnace at 550 °C for 5 h. The cooled ash was dissolved in 5 mL of 20% HCl, filtered, and quantitatively transferred to a 50 mL volumetric flask with deionized water. The resulting solution was analyzed for total micronutrient concentrations using ICP-OES.</w:t>
      </w:r>
    </w:p>
    <w:p w14:paraId="46447892" w14:textId="4E00E6AB" w:rsidR="00E66E10" w:rsidRDefault="00E66E10" w:rsidP="00441B6F">
      <w:pPr>
        <w:pStyle w:val="Body"/>
        <w:spacing w:after="0"/>
        <w:rPr>
          <w:rFonts w:ascii="Arial" w:hAnsi="Arial" w:cs="Arial"/>
        </w:rPr>
      </w:pPr>
    </w:p>
    <w:p w14:paraId="7717FC8E" w14:textId="77777777" w:rsidR="004E5681" w:rsidRPr="00064A21" w:rsidRDefault="004E5681" w:rsidP="004E5681">
      <w:pPr>
        <w:jc w:val="both"/>
        <w:rPr>
          <w:rFonts w:ascii="Arial" w:hAnsi="Arial" w:cs="Arial"/>
          <w:b/>
          <w:bCs/>
          <w:sz w:val="22"/>
          <w:szCs w:val="22"/>
        </w:rPr>
      </w:pPr>
      <w:r w:rsidRPr="00064A21">
        <w:rPr>
          <w:rFonts w:ascii="Arial" w:hAnsi="Arial" w:cs="Arial"/>
          <w:b/>
          <w:bCs/>
          <w:sz w:val="22"/>
          <w:szCs w:val="22"/>
        </w:rPr>
        <w:t xml:space="preserve">2.6 Assessment of Metal Transfer </w:t>
      </w:r>
    </w:p>
    <w:p w14:paraId="6E40CB2B" w14:textId="77777777" w:rsidR="004E5681" w:rsidRPr="008407E2" w:rsidRDefault="004E5681" w:rsidP="004E5681">
      <w:pPr>
        <w:jc w:val="both"/>
        <w:rPr>
          <w:rFonts w:ascii="Arial" w:hAnsi="Arial" w:cs="Arial"/>
          <w:b/>
          <w:bCs/>
        </w:rPr>
      </w:pPr>
    </w:p>
    <w:p w14:paraId="46BF2CED" w14:textId="77777777" w:rsidR="004E5681" w:rsidRPr="00D3093B" w:rsidRDefault="004E5681" w:rsidP="004E5681">
      <w:pPr>
        <w:jc w:val="both"/>
        <w:rPr>
          <w:rFonts w:ascii="Arial" w:hAnsi="Arial" w:cs="Arial"/>
          <w:sz w:val="28"/>
          <w:szCs w:val="24"/>
        </w:rPr>
      </w:pPr>
      <w:r w:rsidRPr="00064A21">
        <w:rPr>
          <w:rFonts w:ascii="Arial" w:hAnsi="Arial" w:cs="Arial"/>
          <w:b/>
          <w:bCs/>
          <w:u w:val="single"/>
        </w:rPr>
        <w:lastRenderedPageBreak/>
        <w:t>2.6.1 Bioconcentration Factor (BCF) and Translocation Factor (TF</w:t>
      </w:r>
      <w:r w:rsidRPr="00D3093B">
        <w:rPr>
          <w:rFonts w:ascii="Arial" w:hAnsi="Arial" w:cs="Arial"/>
          <w:b/>
          <w:bCs/>
          <w:sz w:val="28"/>
          <w:szCs w:val="24"/>
        </w:rPr>
        <w:t>)</w:t>
      </w:r>
    </w:p>
    <w:p w14:paraId="2F2B6720" w14:textId="77777777" w:rsidR="004E5681" w:rsidRPr="00D3093B" w:rsidRDefault="004E5681" w:rsidP="004E5681">
      <w:pPr>
        <w:jc w:val="both"/>
        <w:rPr>
          <w:rFonts w:ascii="Arial" w:hAnsi="Arial" w:cs="Arial"/>
          <w:sz w:val="24"/>
          <w:szCs w:val="24"/>
        </w:rPr>
      </w:pPr>
    </w:p>
    <w:p w14:paraId="2F200719" w14:textId="77777777" w:rsidR="004E5681" w:rsidRPr="008407E2" w:rsidRDefault="004E5681" w:rsidP="004E5681">
      <w:pPr>
        <w:jc w:val="both"/>
        <w:rPr>
          <w:rFonts w:ascii="Arial" w:hAnsi="Arial" w:cs="Arial"/>
        </w:rPr>
      </w:pPr>
      <w:r w:rsidRPr="008407E2">
        <w:rPr>
          <w:rFonts w:ascii="Arial" w:hAnsi="Arial" w:cs="Arial"/>
        </w:rPr>
        <w:t xml:space="preserve">The transfer of metals from soil to plant was assessed using the BCF, calculated as the ratio of metal concentration in individual plant parts (root, leaf, and fruit) to that in soil </w:t>
      </w:r>
      <w:r w:rsidRPr="008407E2">
        <w:rPr>
          <w:rFonts w:ascii="Arial" w:hAnsi="Arial" w:cs="Arial"/>
        </w:rPr>
        <w:fldChar w:fldCharType="begin" w:fldLock="1"/>
      </w:r>
      <w:r w:rsidRPr="008407E2">
        <w:rPr>
          <w:rFonts w:ascii="Arial" w:hAnsi="Arial" w:cs="Arial"/>
        </w:rPr>
        <w:instrText>ADDIN CSL_CITATION {"citationItems":[{"id":"ITEM-1","itemData":{"DOI":"10.1016/j.ecolind.2017.07.003","ISSN":"1470160X","abstract":"This paper reviews the various factors, coefficients and indexes developed to evaluate terrestrial plant performance in respect to phytoremediation. A brief list of indexes includes the Accumulation factor, Bioabsorption coefficient, Bioaccumulation coefficient, Bioaccumulation factor, Bioconcentration, Bioconcentration coefficient, Bioconcentration factor, Biological absorption coefficient, Biological accumulation coefficient, Biological concentration factor, Biological transfer coefficient, Concentration factor, Enrichment coefficient, Enrichment factor, Extraction coefficient, Index of bioaccumulation, Mobility index, Shoot accumulation factor, Soil host transfer factor, Soil-plant transfer coefficient, Soil-plant transfer factor, Transfer factor and Translocation factor. These indexes represent the result of a ratio calculation between element concentrations in plant parts to that of substrata. In other cases indexes arise from the ratio calculation of element concentrations in two distinct plant parts. In the literature different terms have been attributed to the same ratio and this often represents an overlap in terminology. On the other hand the same term corresponds to several different ratios and this could create confusion and misinterpretation in data comparison. Furthermore, the evaluation of hyperaccumulation, phytostabilization or phytoextraction of plant species is not always performed in the same way. Different plant parts are considered as well as different extraction procedures for both plant and substrata element assessment. As a consequence, a direct comparison between obtained data is not always reliable and possible. In this paper the various available indexes are reviewed, highlighting both the similarity and differences between them with the aim of helping the community in choosing the appropriate term for both data evaluation and comparison. In this author's opinion there is no need of new terms to define indexes. I would stress the need for conformity to the original definitions and criteria.","author":[{"dropping-particle":"","family":"Buscaroli","given":"Alessandro","non-dropping-particle":"","parse-names":false,"suffix":""}],"container-title":"Ecological Indicators","id":"ITEM-1","issued":{"date-parts":[["2017","11","1"]]},"page":"367-380","publisher":"Elsevier B.V.","title":"An overview of indexes to evaluate terrestrial plants for phytoremediation purposes (Review)","type":"article","volume":"82"},"uris":["http://www.mendeley.com/documents/?uuid=c8458b83-82e3-37e2-8c67-49b7357a06ab"]}],"mendeley":{"formattedCitation":"(Buscaroli, 2017)","plainTextFormattedCitation":"(Buscaroli, 2017)","previouslyFormattedCitation":"(Buscaroli, 2017)"},"properties":{"noteIndex":0},"schema":"https://github.com/citation-style-language/schema/raw/master/csl-citation.json"}</w:instrText>
      </w:r>
      <w:r w:rsidRPr="008407E2">
        <w:rPr>
          <w:rFonts w:ascii="Arial" w:hAnsi="Arial" w:cs="Arial"/>
        </w:rPr>
        <w:fldChar w:fldCharType="separate"/>
      </w:r>
      <w:r w:rsidRPr="008407E2">
        <w:rPr>
          <w:rFonts w:ascii="Arial" w:hAnsi="Arial" w:cs="Arial"/>
          <w:noProof/>
        </w:rPr>
        <w:t>(Buscaroli, 2017)</w:t>
      </w:r>
      <w:r w:rsidRPr="008407E2">
        <w:rPr>
          <w:rFonts w:ascii="Arial" w:hAnsi="Arial" w:cs="Arial"/>
        </w:rPr>
        <w:fldChar w:fldCharType="end"/>
      </w:r>
      <w:r w:rsidRPr="008407E2">
        <w:rPr>
          <w:rFonts w:ascii="Arial" w:hAnsi="Arial" w:cs="Arial"/>
        </w:rPr>
        <w:t xml:space="preserve">. </w:t>
      </w:r>
    </w:p>
    <w:p w14:paraId="7ABD2711" w14:textId="77777777" w:rsidR="004E5681" w:rsidRPr="008407E2" w:rsidRDefault="004E5681" w:rsidP="004E5681">
      <w:pPr>
        <w:jc w:val="both"/>
        <w:rPr>
          <w:rFonts w:ascii="Arial" w:eastAsiaTheme="minorEastAsia" w:hAnsi="Arial" w:cs="Arial"/>
        </w:rPr>
      </w:pPr>
      <m:oMathPara>
        <m:oMath>
          <m:r>
            <m:rPr>
              <m:sty m:val="p"/>
            </m:rPr>
            <w:rPr>
              <w:rFonts w:ascii="Cambria Math" w:hAnsi="Cambria Math" w:cs="Arial"/>
            </w:rPr>
            <m:t>BCF =</m:t>
          </m:r>
          <m:f>
            <m:fPr>
              <m:ctrlPr>
                <w:rPr>
                  <w:rFonts w:ascii="Cambria Math" w:hAnsi="Cambria Math" w:cs="Arial"/>
                </w:rPr>
              </m:ctrlPr>
            </m:fPr>
            <m:num>
              <m:r>
                <m:rPr>
                  <m:sty m:val="p"/>
                </m:rPr>
                <w:rPr>
                  <w:rFonts w:ascii="Cambria Math" w:hAnsi="Cambria Math" w:cs="Arial"/>
                </w:rPr>
                <m:t>C</m:t>
              </m:r>
              <m:r>
                <m:rPr>
                  <m:sty m:val="p"/>
                </m:rPr>
                <w:rPr>
                  <w:rFonts w:ascii="Cambria Math" w:hAnsi="Cambria Math" w:cs="Arial"/>
                  <w:vertAlign w:val="subscript"/>
                </w:rPr>
                <m:t>parts</m:t>
              </m:r>
              <m:d>
                <m:dPr>
                  <m:ctrlPr>
                    <w:rPr>
                      <w:rFonts w:ascii="Cambria Math" w:hAnsi="Cambria Math" w:cs="Arial"/>
                      <w:vertAlign w:val="subscript"/>
                    </w:rPr>
                  </m:ctrlPr>
                </m:dPr>
                <m:e>
                  <m:r>
                    <m:rPr>
                      <m:sty m:val="p"/>
                    </m:rPr>
                    <w:rPr>
                      <w:rFonts w:ascii="Cambria Math" w:hAnsi="Cambria Math" w:cs="Arial"/>
                      <w:vertAlign w:val="subscript"/>
                    </w:rPr>
                    <m:t>root,shoot,leaves,grains</m:t>
                  </m:r>
                </m:e>
              </m:d>
              <m:ctrlPr>
                <w:rPr>
                  <w:rFonts w:ascii="Cambria Math" w:hAnsi="Cambria Math" w:cs="Arial"/>
                  <w:i/>
                </w:rPr>
              </m:ctrlPr>
            </m:num>
            <m:den>
              <m:r>
                <m:rPr>
                  <m:sty m:val="p"/>
                </m:rPr>
                <w:rPr>
                  <w:rFonts w:ascii="Cambria Math" w:hAnsi="Cambria Math" w:cs="Arial"/>
                </w:rPr>
                <m:t>Csoil</m:t>
              </m:r>
              <m:ctrlPr>
                <w:rPr>
                  <w:rFonts w:ascii="Cambria Math" w:hAnsi="Cambria Math" w:cs="Arial"/>
                  <w:i/>
                </w:rPr>
              </m:ctrlPr>
            </m:den>
          </m:f>
        </m:oMath>
      </m:oMathPara>
    </w:p>
    <w:p w14:paraId="4590A0F9" w14:textId="77777777" w:rsidR="004E5681" w:rsidRPr="008407E2" w:rsidRDefault="004E5681" w:rsidP="004E5681">
      <w:pPr>
        <w:jc w:val="both"/>
        <w:rPr>
          <w:rFonts w:ascii="Arial" w:hAnsi="Arial" w:cs="Arial"/>
        </w:rPr>
      </w:pPr>
    </w:p>
    <w:p w14:paraId="587C5C94" w14:textId="77777777" w:rsidR="004E5681" w:rsidRPr="008407E2" w:rsidRDefault="004E5681" w:rsidP="004E5681">
      <w:pPr>
        <w:jc w:val="both"/>
        <w:rPr>
          <w:rFonts w:ascii="Arial" w:hAnsi="Arial" w:cs="Arial"/>
        </w:rPr>
      </w:pPr>
      <w:r w:rsidRPr="008407E2">
        <w:rPr>
          <w:rFonts w:ascii="Arial" w:hAnsi="Arial" w:cs="Arial"/>
        </w:rPr>
        <w:t xml:space="preserve">Where applicable, the movement of metals within plant parts was evaluated using TF, calculated as the ratio of the heavy metal concentration in the aerial plant to the metal concentration in roots </w:t>
      </w:r>
      <w:r w:rsidRPr="008407E2">
        <w:rPr>
          <w:rFonts w:ascii="Arial" w:hAnsi="Arial" w:cs="Arial"/>
        </w:rPr>
        <w:fldChar w:fldCharType="begin" w:fldLock="1"/>
      </w:r>
      <w:r w:rsidRPr="008407E2">
        <w:rPr>
          <w:rFonts w:ascii="Arial" w:hAnsi="Arial" w:cs="Arial"/>
        </w:rPr>
        <w:instrText>ADDIN CSL_CITATION {"citationItems":[{"id":"ITEM-1","itemData":{"DOI":"10.1016/j.ecolind.2017.07.003","ISSN":"1470160X","abstract":"This paper reviews the various factors, coefficients and indexes developed to evaluate terrestrial plant performance in respect to phytoremediation. A brief list of indexes includes the Accumulation factor, Bioabsorption coefficient, Bioaccumulation coefficient, Bioaccumulation factor, Bioconcentration, Bioconcentration coefficient, Bioconcentration factor, Biological absorption coefficient, Biological accumulation coefficient, Biological concentration factor, Biological transfer coefficient, Concentration factor, Enrichment coefficient, Enrichment factor, Extraction coefficient, Index of bioaccumulation, Mobility index, Shoot accumulation factor, Soil host transfer factor, Soil-plant transfer coefficient, Soil-plant transfer factor, Transfer factor and Translocation factor. These indexes represent the result of a ratio calculation between element concentrations in plant parts to that of substrata. In other cases indexes arise from the ratio calculation of element concentrations in two distinct plant parts. In the literature different terms have been attributed to the same ratio and this often represents an overlap in terminology. On the other hand the same term corresponds to several different ratios and this could create confusion and misinterpretation in data comparison. Furthermore, the evaluation of hyperaccumulation, phytostabilization or phytoextraction of plant species is not always performed in the same way. Different plant parts are considered as well as different extraction procedures for both plant and substrata element assessment. As a consequence, a direct comparison between obtained data is not always reliable and possible. In this paper the various available indexes are reviewed, highlighting both the similarity and differences between them with the aim of helping the community in choosing the appropriate term for both data evaluation and comparison. In this author's opinion there is no need of new terms to define indexes. I would stress the need for conformity to the original definitions and criteria.","author":[{"dropping-particle":"","family":"Buscaroli","given":"Alessandro","non-dropping-particle":"","parse-names":false,"suffix":""}],"container-title":"Ecological Indicators","id":"ITEM-1","issued":{"date-parts":[["2017","11","1"]]},"page":"367-380","publisher":"Elsevier B.V.","title":"An overview of indexes to evaluate terrestrial plants for phytoremediation purposes (Review)","type":"article","volume":"82"},"uris":["http://www.mendeley.com/documents/?uuid=c8458b83-82e3-37e2-8c67-49b7357a06ab"]}],"mendeley":{"formattedCitation":"(Buscaroli, 2017)","plainTextFormattedCitation":"(Buscaroli, 2017)","previouslyFormattedCitation":"(Buscaroli, 2017)"},"properties":{"noteIndex":0},"schema":"https://github.com/citation-style-language/schema/raw/master/csl-citation.json"}</w:instrText>
      </w:r>
      <w:r w:rsidRPr="008407E2">
        <w:rPr>
          <w:rFonts w:ascii="Arial" w:hAnsi="Arial" w:cs="Arial"/>
        </w:rPr>
        <w:fldChar w:fldCharType="separate"/>
      </w:r>
      <w:r w:rsidRPr="008407E2">
        <w:rPr>
          <w:rFonts w:ascii="Arial" w:hAnsi="Arial" w:cs="Arial"/>
          <w:noProof/>
        </w:rPr>
        <w:t>(Buscaroli, 2017)</w:t>
      </w:r>
      <w:r w:rsidRPr="008407E2">
        <w:rPr>
          <w:rFonts w:ascii="Arial" w:hAnsi="Arial" w:cs="Arial"/>
        </w:rPr>
        <w:fldChar w:fldCharType="end"/>
      </w:r>
      <w:r w:rsidRPr="008407E2">
        <w:rPr>
          <w:rFonts w:ascii="Arial" w:hAnsi="Arial" w:cs="Arial"/>
        </w:rPr>
        <w:t xml:space="preserve">. </w:t>
      </w:r>
    </w:p>
    <w:p w14:paraId="35F877BA" w14:textId="77777777" w:rsidR="004E5681" w:rsidRPr="008407E2" w:rsidRDefault="004E5681" w:rsidP="004E5681">
      <w:pPr>
        <w:jc w:val="both"/>
        <w:rPr>
          <w:rFonts w:ascii="Arial" w:hAnsi="Arial" w:cs="Arial"/>
        </w:rPr>
      </w:pPr>
    </w:p>
    <w:p w14:paraId="1815EBDF" w14:textId="77777777" w:rsidR="004E5681" w:rsidRPr="008407E2" w:rsidRDefault="004E5681" w:rsidP="004E5681">
      <w:pPr>
        <w:jc w:val="both"/>
        <w:rPr>
          <w:rFonts w:ascii="Arial" w:hAnsi="Arial" w:cs="Arial"/>
        </w:rPr>
      </w:pPr>
      <m:oMathPara>
        <m:oMath>
          <m:r>
            <m:rPr>
              <m:sty m:val="p"/>
            </m:rPr>
            <w:rPr>
              <w:rFonts w:ascii="Cambria Math" w:hAnsi="Cambria Math" w:cs="Arial"/>
            </w:rPr>
            <m:t xml:space="preserve">TF = </m:t>
          </m:r>
          <m:f>
            <m:fPr>
              <m:ctrlPr>
                <w:rPr>
                  <w:rFonts w:ascii="Cambria Math" w:hAnsi="Cambria Math" w:cs="Arial"/>
                </w:rPr>
              </m:ctrlPr>
            </m:fPr>
            <m:num>
              <m:r>
                <m:rPr>
                  <m:sty m:val="p"/>
                </m:rPr>
                <w:rPr>
                  <w:rFonts w:ascii="Cambria Math" w:hAnsi="Cambria Math" w:cs="Arial"/>
                </w:rPr>
                <m:t>C</m:t>
              </m:r>
              <m:r>
                <m:rPr>
                  <m:sty m:val="p"/>
                </m:rPr>
                <w:rPr>
                  <w:rFonts w:ascii="Cambria Math" w:hAnsi="Cambria Math" w:cs="Arial"/>
                  <w:vertAlign w:val="subscript"/>
                </w:rPr>
                <m:t>parts</m:t>
              </m:r>
              <m:d>
                <m:dPr>
                  <m:ctrlPr>
                    <w:rPr>
                      <w:rFonts w:ascii="Cambria Math" w:hAnsi="Cambria Math" w:cs="Arial"/>
                      <w:vertAlign w:val="subscript"/>
                    </w:rPr>
                  </m:ctrlPr>
                </m:dPr>
                <m:e>
                  <m:r>
                    <m:rPr>
                      <m:sty m:val="p"/>
                    </m:rPr>
                    <w:rPr>
                      <w:rFonts w:ascii="Cambria Math" w:hAnsi="Cambria Math" w:cs="Arial"/>
                      <w:vertAlign w:val="subscript"/>
                    </w:rPr>
                    <m:t>shoot,leaves,fruit</m:t>
                  </m:r>
                </m:e>
              </m:d>
              <m:ctrlPr>
                <w:rPr>
                  <w:rFonts w:ascii="Cambria Math" w:hAnsi="Cambria Math" w:cs="Arial"/>
                  <w:i/>
                </w:rPr>
              </m:ctrlPr>
            </m:num>
            <m:den>
              <m:r>
                <m:rPr>
                  <m:sty m:val="p"/>
                </m:rPr>
                <w:rPr>
                  <w:rFonts w:ascii="Cambria Math" w:hAnsi="Cambria Math" w:cs="Arial"/>
                </w:rPr>
                <m:t>Croot </m:t>
              </m:r>
              <m:ctrlPr>
                <w:rPr>
                  <w:rFonts w:ascii="Cambria Math" w:hAnsi="Cambria Math" w:cs="Arial"/>
                  <w:i/>
                </w:rPr>
              </m:ctrlPr>
            </m:den>
          </m:f>
        </m:oMath>
      </m:oMathPara>
    </w:p>
    <w:p w14:paraId="1C068090" w14:textId="77777777" w:rsidR="004E5681" w:rsidRPr="008407E2" w:rsidRDefault="004E5681" w:rsidP="004E5681">
      <w:pPr>
        <w:jc w:val="both"/>
        <w:rPr>
          <w:rFonts w:ascii="Arial" w:hAnsi="Arial" w:cs="Arial"/>
        </w:rPr>
      </w:pPr>
    </w:p>
    <w:p w14:paraId="407ED0C8" w14:textId="77777777" w:rsidR="004E5681" w:rsidRPr="008407E2" w:rsidRDefault="004E5681" w:rsidP="004E5681">
      <w:pPr>
        <w:jc w:val="both"/>
        <w:rPr>
          <w:rFonts w:ascii="Arial" w:hAnsi="Arial" w:cs="Arial"/>
          <w:u w:val="single"/>
        </w:rPr>
      </w:pPr>
      <w:r w:rsidRPr="008407E2">
        <w:rPr>
          <w:rFonts w:ascii="Arial" w:hAnsi="Arial" w:cs="Arial"/>
        </w:rPr>
        <w:t>where C</w:t>
      </w:r>
      <w:r w:rsidRPr="008407E2">
        <w:rPr>
          <w:rFonts w:ascii="Arial" w:hAnsi="Arial" w:cs="Arial"/>
          <w:vertAlign w:val="subscript"/>
        </w:rPr>
        <w:t>root</w:t>
      </w:r>
      <w:r w:rsidRPr="008407E2">
        <w:rPr>
          <w:rFonts w:ascii="Arial" w:hAnsi="Arial" w:cs="Arial"/>
        </w:rPr>
        <w:t>, C</w:t>
      </w:r>
      <w:r w:rsidRPr="008407E2">
        <w:rPr>
          <w:rFonts w:ascii="Arial" w:hAnsi="Arial" w:cs="Arial"/>
          <w:vertAlign w:val="subscript"/>
        </w:rPr>
        <w:t>leaf</w:t>
      </w:r>
      <w:r w:rsidRPr="008407E2">
        <w:rPr>
          <w:rFonts w:ascii="Arial" w:hAnsi="Arial" w:cs="Arial"/>
        </w:rPr>
        <w:t>​, C</w:t>
      </w:r>
      <w:r w:rsidRPr="008407E2">
        <w:rPr>
          <w:rFonts w:ascii="Arial" w:hAnsi="Arial" w:cs="Arial"/>
          <w:vertAlign w:val="subscript"/>
        </w:rPr>
        <w:t>fruit,</w:t>
      </w:r>
      <w:r w:rsidRPr="008407E2">
        <w:rPr>
          <w:rFonts w:ascii="Arial" w:hAnsi="Arial" w:cs="Arial"/>
        </w:rPr>
        <w:t xml:space="preserve"> and C</w:t>
      </w:r>
      <w:r w:rsidRPr="008407E2">
        <w:rPr>
          <w:rFonts w:ascii="Arial" w:hAnsi="Arial" w:cs="Arial"/>
          <w:vertAlign w:val="subscript"/>
        </w:rPr>
        <w:t>soil</w:t>
      </w:r>
      <w:r w:rsidRPr="008407E2">
        <w:rPr>
          <w:rFonts w:ascii="Arial" w:hAnsi="Arial" w:cs="Arial"/>
        </w:rPr>
        <w:t xml:space="preserve"> represent metal concentrations (mg kg</w:t>
      </w:r>
      <w:r w:rsidRPr="008407E2">
        <w:rPr>
          <w:rFonts w:ascii="Arial" w:hAnsi="Arial" w:cs="Arial"/>
          <w:vertAlign w:val="superscript"/>
        </w:rPr>
        <w:t>−1</w:t>
      </w:r>
      <w:r w:rsidRPr="008407E2">
        <w:rPr>
          <w:rFonts w:ascii="Arial" w:hAnsi="Arial" w:cs="Arial"/>
        </w:rPr>
        <w:t xml:space="preserve">, dry weight basis) in roots, leaves, fruit, and soil, respectively. </w:t>
      </w:r>
    </w:p>
    <w:p w14:paraId="5C1C5289" w14:textId="77777777" w:rsidR="004E5681" w:rsidRDefault="004E5681" w:rsidP="004E5681">
      <w:pPr>
        <w:jc w:val="both"/>
        <w:rPr>
          <w:rFonts w:ascii="Arial" w:hAnsi="Arial" w:cs="Arial"/>
          <w:b/>
          <w:bCs/>
        </w:rPr>
      </w:pPr>
    </w:p>
    <w:p w14:paraId="319B848A" w14:textId="77777777" w:rsidR="004E5681" w:rsidRPr="008407E2" w:rsidRDefault="004E5681" w:rsidP="004E5681">
      <w:pPr>
        <w:jc w:val="both"/>
        <w:rPr>
          <w:rFonts w:ascii="Arial" w:hAnsi="Arial" w:cs="Arial"/>
          <w:sz w:val="22"/>
          <w:szCs w:val="22"/>
        </w:rPr>
      </w:pPr>
      <w:r w:rsidRPr="008407E2">
        <w:rPr>
          <w:rFonts w:ascii="Arial" w:hAnsi="Arial" w:cs="Arial"/>
          <w:b/>
          <w:bCs/>
          <w:sz w:val="22"/>
          <w:szCs w:val="22"/>
        </w:rPr>
        <w:t>2.7 Statistical Analysis</w:t>
      </w:r>
    </w:p>
    <w:p w14:paraId="363863D9" w14:textId="77777777" w:rsidR="004E5681" w:rsidRPr="008407E2" w:rsidRDefault="004E5681" w:rsidP="004E5681">
      <w:pPr>
        <w:jc w:val="both"/>
        <w:rPr>
          <w:rFonts w:ascii="Arial" w:hAnsi="Arial" w:cs="Arial"/>
        </w:rPr>
      </w:pPr>
    </w:p>
    <w:p w14:paraId="2C5B3AC6" w14:textId="77777777" w:rsidR="004E5681" w:rsidRPr="008407E2" w:rsidRDefault="004E5681" w:rsidP="004E5681">
      <w:pPr>
        <w:jc w:val="both"/>
        <w:rPr>
          <w:rFonts w:ascii="Arial" w:hAnsi="Arial" w:cs="Arial"/>
          <w:lang w:val="en-GB"/>
        </w:rPr>
      </w:pPr>
      <w:r w:rsidRPr="008407E2">
        <w:rPr>
          <w:rFonts w:ascii="Arial" w:hAnsi="Arial" w:cs="Arial"/>
        </w:rPr>
        <w:t xml:space="preserve">Data were analyzed using appropriate statistical tools. Descriptive statistics (mean, standard deviation) were computed for all parameters. To assess statistical significance and compare means between the conventional and amended groups, a parametric analysis (Welch’s t-test) was performed. The findings are presented as means ± standard deviations (SD), with p &lt; 0.05 denoting statistical significance. All data were processed using R 4.4.3 and Microsoft Excel 2019. </w:t>
      </w:r>
    </w:p>
    <w:p w14:paraId="457B03B1" w14:textId="77777777" w:rsidR="004E5681" w:rsidRDefault="004E5681" w:rsidP="004E5681">
      <w:pPr>
        <w:jc w:val="both"/>
        <w:rPr>
          <w:rFonts w:ascii="Arial" w:hAnsi="Arial" w:cs="Arial"/>
          <w:b/>
          <w:bCs/>
        </w:rPr>
      </w:pPr>
    </w:p>
    <w:p w14:paraId="43B98681" w14:textId="77777777" w:rsidR="004E5681" w:rsidRPr="008407E2" w:rsidRDefault="004E5681" w:rsidP="004E5681">
      <w:pPr>
        <w:jc w:val="both"/>
        <w:rPr>
          <w:rFonts w:ascii="Arial" w:hAnsi="Arial" w:cs="Arial"/>
          <w:sz w:val="22"/>
          <w:szCs w:val="22"/>
        </w:rPr>
      </w:pPr>
      <w:r w:rsidRPr="008407E2">
        <w:rPr>
          <w:rFonts w:ascii="Arial" w:hAnsi="Arial" w:cs="Arial"/>
          <w:b/>
          <w:bCs/>
          <w:sz w:val="22"/>
          <w:szCs w:val="22"/>
        </w:rPr>
        <w:t>2.8 Quality Assurance and Quality Control (QA/QC)</w:t>
      </w:r>
    </w:p>
    <w:p w14:paraId="3F69DB81" w14:textId="77777777" w:rsidR="004E5681" w:rsidRPr="008407E2" w:rsidRDefault="004E5681" w:rsidP="004E5681">
      <w:pPr>
        <w:tabs>
          <w:tab w:val="num" w:pos="720"/>
        </w:tabs>
        <w:jc w:val="both"/>
        <w:rPr>
          <w:rFonts w:ascii="Arial" w:hAnsi="Arial" w:cs="Arial"/>
        </w:rPr>
      </w:pPr>
    </w:p>
    <w:p w14:paraId="5B16B921" w14:textId="77777777" w:rsidR="004E5681" w:rsidRPr="008407E2" w:rsidRDefault="004E5681" w:rsidP="004E5681">
      <w:pPr>
        <w:tabs>
          <w:tab w:val="num" w:pos="720"/>
        </w:tabs>
        <w:jc w:val="both"/>
        <w:rPr>
          <w:rFonts w:ascii="Arial" w:hAnsi="Arial" w:cs="Arial"/>
        </w:rPr>
      </w:pPr>
      <w:r w:rsidRPr="008407E2">
        <w:rPr>
          <w:rFonts w:ascii="Arial" w:hAnsi="Arial" w:cs="Arial"/>
        </w:rPr>
        <w:t>All analyses were conducted following strict QA/QC protocols, including use of analytical grade reagents, calibration with standard solutions, analysis of blanks and replicates, and recovery studies to ensure accuracy and precision.</w:t>
      </w:r>
    </w:p>
    <w:p w14:paraId="11C91BF4" w14:textId="77777777" w:rsidR="004E5681" w:rsidRPr="00D3093B" w:rsidRDefault="004E5681" w:rsidP="004E5681">
      <w:pPr>
        <w:tabs>
          <w:tab w:val="num" w:pos="720"/>
        </w:tabs>
        <w:jc w:val="both"/>
        <w:rPr>
          <w:rFonts w:ascii="Arial" w:hAnsi="Arial" w:cs="Arial"/>
          <w:b/>
          <w:bCs/>
          <w:sz w:val="24"/>
          <w:szCs w:val="24"/>
        </w:rPr>
      </w:pPr>
    </w:p>
    <w:p w14:paraId="59441D2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9D9949" w14:textId="77777777" w:rsidR="004E5681" w:rsidRPr="00F556D8" w:rsidRDefault="004E5681" w:rsidP="00441B6F">
      <w:pPr>
        <w:pStyle w:val="Head1"/>
        <w:spacing w:after="0"/>
        <w:jc w:val="both"/>
        <w:rPr>
          <w:rFonts w:ascii="Arial" w:hAnsi="Arial" w:cs="Arial"/>
          <w:sz w:val="20"/>
          <w:szCs w:val="18"/>
        </w:rPr>
      </w:pPr>
    </w:p>
    <w:p w14:paraId="6CE7550B" w14:textId="77777777" w:rsidR="009140D2" w:rsidRPr="008407E2" w:rsidRDefault="009140D2" w:rsidP="009140D2">
      <w:pPr>
        <w:tabs>
          <w:tab w:val="num" w:pos="720"/>
        </w:tabs>
        <w:jc w:val="both"/>
        <w:rPr>
          <w:rFonts w:ascii="Arial" w:hAnsi="Arial" w:cs="Arial"/>
          <w:sz w:val="22"/>
          <w:szCs w:val="22"/>
        </w:rPr>
      </w:pPr>
      <w:r w:rsidRPr="008407E2">
        <w:rPr>
          <w:rFonts w:ascii="Arial" w:hAnsi="Arial" w:cs="Arial"/>
          <w:b/>
          <w:bCs/>
          <w:sz w:val="22"/>
          <w:szCs w:val="22"/>
        </w:rPr>
        <w:t>3.1 Characteristics of MSW leachate</w:t>
      </w:r>
    </w:p>
    <w:p w14:paraId="01B684E1" w14:textId="77777777" w:rsidR="009140D2" w:rsidRPr="008407E2" w:rsidRDefault="009140D2" w:rsidP="009140D2">
      <w:pPr>
        <w:tabs>
          <w:tab w:val="num" w:pos="720"/>
        </w:tabs>
        <w:jc w:val="both"/>
        <w:rPr>
          <w:rFonts w:ascii="Arial" w:hAnsi="Arial" w:cs="Arial"/>
        </w:rPr>
      </w:pPr>
    </w:p>
    <w:p w14:paraId="52146535" w14:textId="77777777" w:rsidR="009140D2" w:rsidRPr="008407E2" w:rsidRDefault="009140D2" w:rsidP="009140D2">
      <w:pPr>
        <w:tabs>
          <w:tab w:val="num" w:pos="720"/>
        </w:tabs>
        <w:jc w:val="both"/>
        <w:rPr>
          <w:rFonts w:ascii="Arial" w:hAnsi="Arial" w:cs="Arial"/>
        </w:rPr>
      </w:pPr>
      <w:r w:rsidRPr="008407E2">
        <w:rPr>
          <w:rFonts w:ascii="Arial" w:hAnsi="Arial" w:cs="Arial"/>
        </w:rPr>
        <w:t>The MSWL had a pH of 4.2, indicating a strongly acidic condition, and a very high conductivity of 33 dS/m, reflecting a high concentration of dissolved salts and ions (Table 1). The acidic nature of the leachate may be due to the organic acids formed during the breakdown of biodegradable waste fractions, a phenomenon commonly reported in MSW leachates (Naveen et al., 2017; Kanmani &amp; Gandhimathi, 2013).</w:t>
      </w:r>
    </w:p>
    <w:p w14:paraId="737B884E" w14:textId="77777777" w:rsidR="009140D2" w:rsidRDefault="009140D2" w:rsidP="009140D2">
      <w:pPr>
        <w:spacing w:before="240"/>
        <w:jc w:val="center"/>
        <w:rPr>
          <w:rFonts w:ascii="Arial" w:hAnsi="Arial" w:cs="Arial"/>
          <w:szCs w:val="18"/>
        </w:rPr>
      </w:pPr>
      <w:r w:rsidRPr="00D3093B">
        <w:rPr>
          <w:rFonts w:ascii="Arial" w:hAnsi="Arial" w:cs="Arial"/>
          <w:b/>
          <w:bCs/>
          <w:szCs w:val="18"/>
        </w:rPr>
        <w:t xml:space="preserve">Table 1 </w:t>
      </w:r>
      <w:r w:rsidRPr="00D3093B">
        <w:rPr>
          <w:rFonts w:ascii="Arial" w:hAnsi="Arial" w:cs="Arial"/>
          <w:szCs w:val="18"/>
        </w:rPr>
        <w:t>MSW leachate composition (Values in mg/l unless otherwise stated)</w:t>
      </w:r>
    </w:p>
    <w:p w14:paraId="65291850" w14:textId="77777777" w:rsidR="009140D2" w:rsidRPr="00D3093B" w:rsidRDefault="009140D2" w:rsidP="009140D2">
      <w:pPr>
        <w:jc w:val="center"/>
        <w:rPr>
          <w:rFonts w:ascii="Arial" w:hAnsi="Arial" w:cs="Arial"/>
          <w:szCs w:val="18"/>
        </w:rPr>
      </w:pPr>
    </w:p>
    <w:tbl>
      <w:tblPr>
        <w:tblStyle w:val="TableGrid"/>
        <w:tblW w:w="6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93"/>
        <w:gridCol w:w="1283"/>
        <w:gridCol w:w="1650"/>
      </w:tblGrid>
      <w:tr w:rsidR="009140D2" w:rsidRPr="00D3093B" w14:paraId="6D930FD2" w14:textId="77777777" w:rsidTr="0003283A">
        <w:trPr>
          <w:jc w:val="center"/>
        </w:trPr>
        <w:tc>
          <w:tcPr>
            <w:tcW w:w="2127" w:type="dxa"/>
            <w:tcBorders>
              <w:top w:val="single" w:sz="12" w:space="0" w:color="auto"/>
              <w:bottom w:val="single" w:sz="6" w:space="0" w:color="auto"/>
            </w:tcBorders>
          </w:tcPr>
          <w:p w14:paraId="74969831" w14:textId="77777777" w:rsidR="009140D2" w:rsidRPr="00BE0EF2" w:rsidRDefault="009140D2" w:rsidP="0003283A">
            <w:pPr>
              <w:jc w:val="both"/>
              <w:rPr>
                <w:rFonts w:ascii="Arial" w:hAnsi="Arial" w:cs="Arial"/>
                <w:b/>
                <w:bCs/>
                <w:sz w:val="20"/>
                <w:szCs w:val="20"/>
                <w:lang w:val="en-GB"/>
              </w:rPr>
            </w:pPr>
            <w:r w:rsidRPr="00BE0EF2">
              <w:rPr>
                <w:rFonts w:ascii="Arial" w:hAnsi="Arial" w:cs="Arial"/>
                <w:b/>
                <w:bCs/>
                <w:sz w:val="20"/>
                <w:szCs w:val="20"/>
              </w:rPr>
              <w:t>Parameters</w:t>
            </w:r>
          </w:p>
        </w:tc>
        <w:tc>
          <w:tcPr>
            <w:tcW w:w="1693" w:type="dxa"/>
            <w:tcBorders>
              <w:top w:val="single" w:sz="12" w:space="0" w:color="auto"/>
              <w:bottom w:val="single" w:sz="6" w:space="0" w:color="auto"/>
            </w:tcBorders>
          </w:tcPr>
          <w:p w14:paraId="5059758E" w14:textId="77777777" w:rsidR="009140D2" w:rsidRPr="00BE0EF2" w:rsidRDefault="009140D2" w:rsidP="0003283A">
            <w:pPr>
              <w:jc w:val="both"/>
              <w:rPr>
                <w:rFonts w:ascii="Arial" w:hAnsi="Arial" w:cs="Arial"/>
                <w:b/>
                <w:bCs/>
                <w:sz w:val="20"/>
                <w:szCs w:val="20"/>
                <w:lang w:val="en-GB"/>
              </w:rPr>
            </w:pPr>
            <w:r w:rsidRPr="00BE0EF2">
              <w:rPr>
                <w:rFonts w:ascii="Arial" w:hAnsi="Arial" w:cs="Arial"/>
                <w:b/>
                <w:bCs/>
                <w:sz w:val="20"/>
                <w:szCs w:val="20"/>
              </w:rPr>
              <w:t>Conc. Range</w:t>
            </w:r>
          </w:p>
        </w:tc>
        <w:tc>
          <w:tcPr>
            <w:tcW w:w="1283" w:type="dxa"/>
            <w:tcBorders>
              <w:top w:val="single" w:sz="12" w:space="0" w:color="auto"/>
              <w:bottom w:val="single" w:sz="6" w:space="0" w:color="auto"/>
            </w:tcBorders>
          </w:tcPr>
          <w:p w14:paraId="12FF95D7" w14:textId="77777777" w:rsidR="009140D2" w:rsidRPr="00BE0EF2" w:rsidRDefault="009140D2" w:rsidP="0003283A">
            <w:pPr>
              <w:jc w:val="both"/>
              <w:rPr>
                <w:rFonts w:ascii="Arial" w:hAnsi="Arial" w:cs="Arial"/>
                <w:b/>
                <w:bCs/>
                <w:sz w:val="20"/>
                <w:szCs w:val="20"/>
                <w:lang w:val="en-GB"/>
              </w:rPr>
            </w:pPr>
            <w:r w:rsidRPr="00BE0EF2">
              <w:rPr>
                <w:rFonts w:ascii="Arial" w:hAnsi="Arial" w:cs="Arial"/>
                <w:b/>
                <w:bCs/>
                <w:sz w:val="20"/>
                <w:szCs w:val="20"/>
              </w:rPr>
              <w:t>Average</w:t>
            </w:r>
          </w:p>
        </w:tc>
        <w:tc>
          <w:tcPr>
            <w:tcW w:w="1650" w:type="dxa"/>
            <w:tcBorders>
              <w:top w:val="single" w:sz="12" w:space="0" w:color="auto"/>
              <w:bottom w:val="single" w:sz="6" w:space="0" w:color="auto"/>
            </w:tcBorders>
          </w:tcPr>
          <w:p w14:paraId="722416FE" w14:textId="77777777" w:rsidR="009140D2" w:rsidRPr="00BE0EF2" w:rsidRDefault="009140D2" w:rsidP="0003283A">
            <w:pPr>
              <w:jc w:val="both"/>
              <w:rPr>
                <w:rFonts w:ascii="Arial" w:hAnsi="Arial" w:cs="Arial"/>
                <w:b/>
                <w:bCs/>
                <w:sz w:val="20"/>
                <w:szCs w:val="20"/>
                <w:lang w:val="en-GB"/>
              </w:rPr>
            </w:pPr>
            <w:r w:rsidRPr="00BE0EF2">
              <w:rPr>
                <w:rFonts w:ascii="Arial" w:hAnsi="Arial" w:cs="Arial"/>
                <w:b/>
                <w:bCs/>
                <w:sz w:val="20"/>
                <w:szCs w:val="20"/>
              </w:rPr>
              <w:t>Std. Deviation</w:t>
            </w:r>
          </w:p>
        </w:tc>
      </w:tr>
      <w:tr w:rsidR="009140D2" w:rsidRPr="00D3093B" w14:paraId="3F2BCFD7" w14:textId="77777777" w:rsidTr="0003283A">
        <w:trPr>
          <w:jc w:val="center"/>
        </w:trPr>
        <w:tc>
          <w:tcPr>
            <w:tcW w:w="2127" w:type="dxa"/>
            <w:tcBorders>
              <w:top w:val="single" w:sz="6" w:space="0" w:color="auto"/>
            </w:tcBorders>
          </w:tcPr>
          <w:p w14:paraId="3DD2EDBD"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pH</w:t>
            </w:r>
          </w:p>
        </w:tc>
        <w:tc>
          <w:tcPr>
            <w:tcW w:w="1693" w:type="dxa"/>
            <w:tcBorders>
              <w:top w:val="single" w:sz="6" w:space="0" w:color="auto"/>
            </w:tcBorders>
          </w:tcPr>
          <w:p w14:paraId="5FF74EA4"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3.8 – 5</w:t>
            </w:r>
          </w:p>
        </w:tc>
        <w:tc>
          <w:tcPr>
            <w:tcW w:w="1283" w:type="dxa"/>
            <w:tcBorders>
              <w:top w:val="single" w:sz="6" w:space="0" w:color="auto"/>
            </w:tcBorders>
          </w:tcPr>
          <w:p w14:paraId="2D90C165"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4.2</w:t>
            </w:r>
          </w:p>
        </w:tc>
        <w:tc>
          <w:tcPr>
            <w:tcW w:w="1650" w:type="dxa"/>
            <w:tcBorders>
              <w:top w:val="single" w:sz="6" w:space="0" w:color="auto"/>
            </w:tcBorders>
          </w:tcPr>
          <w:p w14:paraId="25581509"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w:t>
            </w:r>
          </w:p>
        </w:tc>
      </w:tr>
      <w:tr w:rsidR="009140D2" w:rsidRPr="00D3093B" w14:paraId="30F6FD43" w14:textId="77777777" w:rsidTr="0003283A">
        <w:trPr>
          <w:jc w:val="center"/>
        </w:trPr>
        <w:tc>
          <w:tcPr>
            <w:tcW w:w="2127" w:type="dxa"/>
          </w:tcPr>
          <w:p w14:paraId="0ED12F38"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 xml:space="preserve">EC </w:t>
            </w:r>
            <w:r w:rsidRPr="00BE0EF2">
              <w:rPr>
                <w:rFonts w:ascii="Arial" w:eastAsia="Times New Roman" w:hAnsi="Arial" w:cs="Arial"/>
                <w:color w:val="000000"/>
                <w:sz w:val="20"/>
                <w:szCs w:val="20"/>
                <w:lang w:eastAsia="en-IN"/>
              </w:rPr>
              <w:t>(ds/cm)</w:t>
            </w:r>
          </w:p>
        </w:tc>
        <w:tc>
          <w:tcPr>
            <w:tcW w:w="1693" w:type="dxa"/>
          </w:tcPr>
          <w:p w14:paraId="0A0D2F1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28.3 – 39.9</w:t>
            </w:r>
          </w:p>
        </w:tc>
        <w:tc>
          <w:tcPr>
            <w:tcW w:w="1283" w:type="dxa"/>
          </w:tcPr>
          <w:p w14:paraId="36D46497"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33.0</w:t>
            </w:r>
          </w:p>
        </w:tc>
        <w:tc>
          <w:tcPr>
            <w:tcW w:w="1650" w:type="dxa"/>
          </w:tcPr>
          <w:p w14:paraId="0D23C987"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4.7</w:t>
            </w:r>
          </w:p>
        </w:tc>
      </w:tr>
      <w:tr w:rsidR="009140D2" w:rsidRPr="00D3093B" w14:paraId="1A250CF9" w14:textId="77777777" w:rsidTr="0003283A">
        <w:trPr>
          <w:jc w:val="center"/>
        </w:trPr>
        <w:tc>
          <w:tcPr>
            <w:tcW w:w="2127" w:type="dxa"/>
          </w:tcPr>
          <w:p w14:paraId="0E5EB62E"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Carbon (%)</w:t>
            </w:r>
          </w:p>
        </w:tc>
        <w:tc>
          <w:tcPr>
            <w:tcW w:w="1693" w:type="dxa"/>
          </w:tcPr>
          <w:p w14:paraId="627FB716"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3.0 - 4.4</w:t>
            </w:r>
          </w:p>
        </w:tc>
        <w:tc>
          <w:tcPr>
            <w:tcW w:w="1283" w:type="dxa"/>
          </w:tcPr>
          <w:p w14:paraId="589F9F8E"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3.6</w:t>
            </w:r>
          </w:p>
        </w:tc>
        <w:tc>
          <w:tcPr>
            <w:tcW w:w="1650" w:type="dxa"/>
          </w:tcPr>
          <w:p w14:paraId="7EB8FF3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0.5</w:t>
            </w:r>
          </w:p>
        </w:tc>
      </w:tr>
      <w:tr w:rsidR="009140D2" w:rsidRPr="00D3093B" w14:paraId="6D1F9E2F" w14:textId="77777777" w:rsidTr="0003283A">
        <w:trPr>
          <w:jc w:val="center"/>
        </w:trPr>
        <w:tc>
          <w:tcPr>
            <w:tcW w:w="2127" w:type="dxa"/>
          </w:tcPr>
          <w:p w14:paraId="1A6F7451"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Nitrogen (%)</w:t>
            </w:r>
          </w:p>
        </w:tc>
        <w:tc>
          <w:tcPr>
            <w:tcW w:w="1693" w:type="dxa"/>
          </w:tcPr>
          <w:p w14:paraId="40CE0252"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 – 0.5</w:t>
            </w:r>
          </w:p>
        </w:tc>
        <w:tc>
          <w:tcPr>
            <w:tcW w:w="1283" w:type="dxa"/>
          </w:tcPr>
          <w:p w14:paraId="3A3BD4CA"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w:t>
            </w:r>
          </w:p>
        </w:tc>
        <w:tc>
          <w:tcPr>
            <w:tcW w:w="1650" w:type="dxa"/>
          </w:tcPr>
          <w:p w14:paraId="245F0A6C"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0.1</w:t>
            </w:r>
          </w:p>
        </w:tc>
      </w:tr>
      <w:tr w:rsidR="009140D2" w:rsidRPr="00D3093B" w14:paraId="0F635FFC" w14:textId="77777777" w:rsidTr="0003283A">
        <w:trPr>
          <w:jc w:val="center"/>
        </w:trPr>
        <w:tc>
          <w:tcPr>
            <w:tcW w:w="2127" w:type="dxa"/>
          </w:tcPr>
          <w:p w14:paraId="71045FD1"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Phosphorus</w:t>
            </w:r>
          </w:p>
        </w:tc>
        <w:tc>
          <w:tcPr>
            <w:tcW w:w="1693" w:type="dxa"/>
          </w:tcPr>
          <w:p w14:paraId="4FDCC0B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292 - 460</w:t>
            </w:r>
          </w:p>
        </w:tc>
        <w:tc>
          <w:tcPr>
            <w:tcW w:w="1283" w:type="dxa"/>
          </w:tcPr>
          <w:p w14:paraId="62DB47E9"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367</w:t>
            </w:r>
          </w:p>
        </w:tc>
        <w:tc>
          <w:tcPr>
            <w:tcW w:w="1650" w:type="dxa"/>
          </w:tcPr>
          <w:p w14:paraId="11629E66"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60</w:t>
            </w:r>
          </w:p>
        </w:tc>
      </w:tr>
      <w:tr w:rsidR="009140D2" w:rsidRPr="00D3093B" w14:paraId="69DB9421" w14:textId="77777777" w:rsidTr="0003283A">
        <w:trPr>
          <w:jc w:val="center"/>
        </w:trPr>
        <w:tc>
          <w:tcPr>
            <w:tcW w:w="2127" w:type="dxa"/>
          </w:tcPr>
          <w:p w14:paraId="72661179"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Potassium</w:t>
            </w:r>
          </w:p>
        </w:tc>
        <w:tc>
          <w:tcPr>
            <w:tcW w:w="1693" w:type="dxa"/>
          </w:tcPr>
          <w:p w14:paraId="50B9415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2635 - 4259</w:t>
            </w:r>
          </w:p>
        </w:tc>
        <w:tc>
          <w:tcPr>
            <w:tcW w:w="1283" w:type="dxa"/>
          </w:tcPr>
          <w:p w14:paraId="6E0DC16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3662</w:t>
            </w:r>
          </w:p>
        </w:tc>
        <w:tc>
          <w:tcPr>
            <w:tcW w:w="1650" w:type="dxa"/>
          </w:tcPr>
          <w:p w14:paraId="20C2BD0E"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602</w:t>
            </w:r>
          </w:p>
        </w:tc>
      </w:tr>
      <w:tr w:rsidR="009140D2" w:rsidRPr="00D3093B" w14:paraId="62B82D25" w14:textId="77777777" w:rsidTr="0003283A">
        <w:trPr>
          <w:jc w:val="center"/>
        </w:trPr>
        <w:tc>
          <w:tcPr>
            <w:tcW w:w="2127" w:type="dxa"/>
          </w:tcPr>
          <w:p w14:paraId="27CEB239"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lastRenderedPageBreak/>
              <w:t>Calcium</w:t>
            </w:r>
          </w:p>
        </w:tc>
        <w:tc>
          <w:tcPr>
            <w:tcW w:w="1693" w:type="dxa"/>
          </w:tcPr>
          <w:p w14:paraId="3F97EE54"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1532 - 3515</w:t>
            </w:r>
          </w:p>
        </w:tc>
        <w:tc>
          <w:tcPr>
            <w:tcW w:w="1283" w:type="dxa"/>
          </w:tcPr>
          <w:p w14:paraId="429EDA24"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2379</w:t>
            </w:r>
          </w:p>
        </w:tc>
        <w:tc>
          <w:tcPr>
            <w:tcW w:w="1650" w:type="dxa"/>
          </w:tcPr>
          <w:p w14:paraId="632377C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797</w:t>
            </w:r>
          </w:p>
        </w:tc>
      </w:tr>
      <w:tr w:rsidR="009140D2" w:rsidRPr="00D3093B" w14:paraId="4F940D67" w14:textId="77777777" w:rsidTr="0003283A">
        <w:trPr>
          <w:jc w:val="center"/>
        </w:trPr>
        <w:tc>
          <w:tcPr>
            <w:tcW w:w="2127" w:type="dxa"/>
          </w:tcPr>
          <w:p w14:paraId="4EA8C253"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Magnesium</w:t>
            </w:r>
          </w:p>
        </w:tc>
        <w:tc>
          <w:tcPr>
            <w:tcW w:w="1693" w:type="dxa"/>
          </w:tcPr>
          <w:p w14:paraId="3B33DAD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440 – 653</w:t>
            </w:r>
          </w:p>
        </w:tc>
        <w:tc>
          <w:tcPr>
            <w:tcW w:w="1283" w:type="dxa"/>
          </w:tcPr>
          <w:p w14:paraId="4F5F7180"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541</w:t>
            </w:r>
          </w:p>
        </w:tc>
        <w:tc>
          <w:tcPr>
            <w:tcW w:w="1650" w:type="dxa"/>
          </w:tcPr>
          <w:p w14:paraId="1B921DF5"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81.6</w:t>
            </w:r>
          </w:p>
        </w:tc>
      </w:tr>
      <w:tr w:rsidR="009140D2" w:rsidRPr="00D3093B" w14:paraId="31398965" w14:textId="77777777" w:rsidTr="0003283A">
        <w:trPr>
          <w:jc w:val="center"/>
        </w:trPr>
        <w:tc>
          <w:tcPr>
            <w:tcW w:w="2127" w:type="dxa"/>
          </w:tcPr>
          <w:p w14:paraId="7DD31A9B"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Iron</w:t>
            </w:r>
          </w:p>
        </w:tc>
        <w:tc>
          <w:tcPr>
            <w:tcW w:w="1693" w:type="dxa"/>
          </w:tcPr>
          <w:p w14:paraId="26B0A59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172 – 303</w:t>
            </w:r>
          </w:p>
        </w:tc>
        <w:tc>
          <w:tcPr>
            <w:tcW w:w="1283" w:type="dxa"/>
          </w:tcPr>
          <w:p w14:paraId="61CE7B3C"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247</w:t>
            </w:r>
          </w:p>
        </w:tc>
        <w:tc>
          <w:tcPr>
            <w:tcW w:w="1650" w:type="dxa"/>
          </w:tcPr>
          <w:p w14:paraId="495A88A9"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57.5</w:t>
            </w:r>
          </w:p>
        </w:tc>
      </w:tr>
      <w:tr w:rsidR="009140D2" w:rsidRPr="00D3093B" w14:paraId="34F3A214" w14:textId="77777777" w:rsidTr="0003283A">
        <w:trPr>
          <w:jc w:val="center"/>
        </w:trPr>
        <w:tc>
          <w:tcPr>
            <w:tcW w:w="2127" w:type="dxa"/>
          </w:tcPr>
          <w:p w14:paraId="0758C4E8"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Manganese</w:t>
            </w:r>
          </w:p>
        </w:tc>
        <w:tc>
          <w:tcPr>
            <w:tcW w:w="1693" w:type="dxa"/>
          </w:tcPr>
          <w:p w14:paraId="7386AA41"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8.2 -19.3</w:t>
            </w:r>
          </w:p>
        </w:tc>
        <w:tc>
          <w:tcPr>
            <w:tcW w:w="1283" w:type="dxa"/>
          </w:tcPr>
          <w:p w14:paraId="103E85BD"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13.7</w:t>
            </w:r>
          </w:p>
        </w:tc>
        <w:tc>
          <w:tcPr>
            <w:tcW w:w="1650" w:type="dxa"/>
          </w:tcPr>
          <w:p w14:paraId="499D5C8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4.1</w:t>
            </w:r>
          </w:p>
        </w:tc>
      </w:tr>
      <w:tr w:rsidR="009140D2" w:rsidRPr="00D3093B" w14:paraId="7BBB41EE" w14:textId="77777777" w:rsidTr="0003283A">
        <w:trPr>
          <w:jc w:val="center"/>
        </w:trPr>
        <w:tc>
          <w:tcPr>
            <w:tcW w:w="2127" w:type="dxa"/>
          </w:tcPr>
          <w:p w14:paraId="019D967C"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Zinc</w:t>
            </w:r>
          </w:p>
        </w:tc>
        <w:tc>
          <w:tcPr>
            <w:tcW w:w="1693" w:type="dxa"/>
          </w:tcPr>
          <w:p w14:paraId="15A2D5E3"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11.3 – 46.4</w:t>
            </w:r>
          </w:p>
        </w:tc>
        <w:tc>
          <w:tcPr>
            <w:tcW w:w="1283" w:type="dxa"/>
          </w:tcPr>
          <w:p w14:paraId="22F419D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21.0</w:t>
            </w:r>
          </w:p>
        </w:tc>
        <w:tc>
          <w:tcPr>
            <w:tcW w:w="1650" w:type="dxa"/>
          </w:tcPr>
          <w:p w14:paraId="0990312D"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13.0</w:t>
            </w:r>
          </w:p>
        </w:tc>
      </w:tr>
      <w:tr w:rsidR="009140D2" w:rsidRPr="00D3093B" w14:paraId="307C1324" w14:textId="77777777" w:rsidTr="0003283A">
        <w:trPr>
          <w:jc w:val="center"/>
        </w:trPr>
        <w:tc>
          <w:tcPr>
            <w:tcW w:w="2127" w:type="dxa"/>
          </w:tcPr>
          <w:p w14:paraId="59DD40F5"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Copper</w:t>
            </w:r>
          </w:p>
        </w:tc>
        <w:tc>
          <w:tcPr>
            <w:tcW w:w="1693" w:type="dxa"/>
          </w:tcPr>
          <w:p w14:paraId="1811D20B"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0.2 – 1.2</w:t>
            </w:r>
          </w:p>
        </w:tc>
        <w:tc>
          <w:tcPr>
            <w:tcW w:w="1283" w:type="dxa"/>
          </w:tcPr>
          <w:p w14:paraId="7EB3BE11"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0.5</w:t>
            </w:r>
          </w:p>
        </w:tc>
        <w:tc>
          <w:tcPr>
            <w:tcW w:w="1650" w:type="dxa"/>
          </w:tcPr>
          <w:p w14:paraId="508F9CB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w:t>
            </w:r>
          </w:p>
        </w:tc>
      </w:tr>
      <w:tr w:rsidR="009140D2" w:rsidRPr="00D3093B" w14:paraId="2AC7BBAF" w14:textId="77777777" w:rsidTr="0003283A">
        <w:trPr>
          <w:jc w:val="center"/>
        </w:trPr>
        <w:tc>
          <w:tcPr>
            <w:tcW w:w="2127" w:type="dxa"/>
          </w:tcPr>
          <w:p w14:paraId="22F70CD1"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Nickel</w:t>
            </w:r>
          </w:p>
        </w:tc>
        <w:tc>
          <w:tcPr>
            <w:tcW w:w="1693" w:type="dxa"/>
          </w:tcPr>
          <w:p w14:paraId="7AB3855D"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0.5 – 1.2</w:t>
            </w:r>
          </w:p>
        </w:tc>
        <w:tc>
          <w:tcPr>
            <w:tcW w:w="1283" w:type="dxa"/>
          </w:tcPr>
          <w:p w14:paraId="54104003"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0.7</w:t>
            </w:r>
          </w:p>
        </w:tc>
        <w:tc>
          <w:tcPr>
            <w:tcW w:w="1650" w:type="dxa"/>
          </w:tcPr>
          <w:p w14:paraId="0E749D6B"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0.3</w:t>
            </w:r>
          </w:p>
        </w:tc>
      </w:tr>
      <w:tr w:rsidR="009140D2" w:rsidRPr="00D3093B" w14:paraId="6D314D77" w14:textId="77777777" w:rsidTr="0003283A">
        <w:trPr>
          <w:jc w:val="center"/>
        </w:trPr>
        <w:tc>
          <w:tcPr>
            <w:tcW w:w="2127" w:type="dxa"/>
          </w:tcPr>
          <w:p w14:paraId="4B77E9B0"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Lead</w:t>
            </w:r>
          </w:p>
        </w:tc>
        <w:tc>
          <w:tcPr>
            <w:tcW w:w="1693" w:type="dxa"/>
          </w:tcPr>
          <w:p w14:paraId="524CD8DB"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0.1 – 0.7</w:t>
            </w:r>
          </w:p>
        </w:tc>
        <w:tc>
          <w:tcPr>
            <w:tcW w:w="1283" w:type="dxa"/>
          </w:tcPr>
          <w:p w14:paraId="6928342E"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0.3</w:t>
            </w:r>
          </w:p>
        </w:tc>
        <w:tc>
          <w:tcPr>
            <w:tcW w:w="1650" w:type="dxa"/>
          </w:tcPr>
          <w:p w14:paraId="4666B4C2"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0.3</w:t>
            </w:r>
          </w:p>
        </w:tc>
      </w:tr>
      <w:tr w:rsidR="009140D2" w:rsidRPr="00D3093B" w14:paraId="13DEDD8D" w14:textId="77777777" w:rsidTr="0003283A">
        <w:trPr>
          <w:jc w:val="center"/>
        </w:trPr>
        <w:tc>
          <w:tcPr>
            <w:tcW w:w="2127" w:type="dxa"/>
          </w:tcPr>
          <w:p w14:paraId="1775CA04"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Cadmium</w:t>
            </w:r>
          </w:p>
        </w:tc>
        <w:tc>
          <w:tcPr>
            <w:tcW w:w="1693" w:type="dxa"/>
          </w:tcPr>
          <w:p w14:paraId="1CD3B1A1"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0.0 - 0.2</w:t>
            </w:r>
          </w:p>
        </w:tc>
        <w:tc>
          <w:tcPr>
            <w:tcW w:w="1283" w:type="dxa"/>
          </w:tcPr>
          <w:p w14:paraId="00522D7B"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0.1</w:t>
            </w:r>
          </w:p>
        </w:tc>
        <w:tc>
          <w:tcPr>
            <w:tcW w:w="1650" w:type="dxa"/>
          </w:tcPr>
          <w:p w14:paraId="6BA77FCD"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0.1</w:t>
            </w:r>
          </w:p>
        </w:tc>
      </w:tr>
      <w:tr w:rsidR="009140D2" w:rsidRPr="00D3093B" w14:paraId="33346FAD" w14:textId="77777777" w:rsidTr="0003283A">
        <w:trPr>
          <w:jc w:val="center"/>
        </w:trPr>
        <w:tc>
          <w:tcPr>
            <w:tcW w:w="2127" w:type="dxa"/>
            <w:tcBorders>
              <w:bottom w:val="single" w:sz="12" w:space="0" w:color="auto"/>
            </w:tcBorders>
          </w:tcPr>
          <w:p w14:paraId="67E638AC" w14:textId="77777777" w:rsidR="009140D2" w:rsidRPr="00BE0EF2" w:rsidRDefault="009140D2" w:rsidP="0003283A">
            <w:pPr>
              <w:jc w:val="both"/>
              <w:rPr>
                <w:rFonts w:ascii="Arial" w:hAnsi="Arial" w:cs="Arial"/>
                <w:sz w:val="20"/>
                <w:szCs w:val="20"/>
                <w:lang w:val="en-GB"/>
              </w:rPr>
            </w:pPr>
            <w:r w:rsidRPr="00BE0EF2">
              <w:rPr>
                <w:rFonts w:ascii="Arial" w:hAnsi="Arial" w:cs="Arial"/>
                <w:sz w:val="20"/>
                <w:szCs w:val="20"/>
              </w:rPr>
              <w:t>Chromium</w:t>
            </w:r>
          </w:p>
        </w:tc>
        <w:tc>
          <w:tcPr>
            <w:tcW w:w="1693" w:type="dxa"/>
            <w:tcBorders>
              <w:bottom w:val="single" w:sz="12" w:space="0" w:color="auto"/>
            </w:tcBorders>
          </w:tcPr>
          <w:p w14:paraId="0618FF25"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0.4 – 0.9</w:t>
            </w:r>
          </w:p>
        </w:tc>
        <w:tc>
          <w:tcPr>
            <w:tcW w:w="1283" w:type="dxa"/>
            <w:tcBorders>
              <w:bottom w:val="single" w:sz="12" w:space="0" w:color="auto"/>
            </w:tcBorders>
          </w:tcPr>
          <w:p w14:paraId="0800EE0F"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0.6</w:t>
            </w:r>
          </w:p>
        </w:tc>
        <w:tc>
          <w:tcPr>
            <w:tcW w:w="1650" w:type="dxa"/>
            <w:tcBorders>
              <w:bottom w:val="single" w:sz="12" w:space="0" w:color="auto"/>
            </w:tcBorders>
          </w:tcPr>
          <w:p w14:paraId="26B97118" w14:textId="77777777" w:rsidR="009140D2" w:rsidRPr="00BE0EF2" w:rsidRDefault="009140D2" w:rsidP="0003283A">
            <w:pPr>
              <w:jc w:val="center"/>
              <w:rPr>
                <w:rFonts w:ascii="Arial" w:hAnsi="Arial" w:cs="Arial"/>
                <w:sz w:val="20"/>
                <w:szCs w:val="20"/>
                <w:lang w:val="en-GB"/>
              </w:rPr>
            </w:pPr>
            <w:r w:rsidRPr="00BE0EF2">
              <w:rPr>
                <w:rFonts w:ascii="Arial" w:hAnsi="Arial" w:cs="Arial"/>
                <w:sz w:val="20"/>
                <w:szCs w:val="20"/>
              </w:rPr>
              <w:t>0.2</w:t>
            </w:r>
          </w:p>
        </w:tc>
      </w:tr>
    </w:tbl>
    <w:p w14:paraId="7DACFE09" w14:textId="77777777" w:rsidR="009140D2" w:rsidRPr="00D3093B" w:rsidRDefault="009140D2" w:rsidP="009140D2">
      <w:pPr>
        <w:tabs>
          <w:tab w:val="num" w:pos="720"/>
        </w:tabs>
        <w:jc w:val="both"/>
        <w:rPr>
          <w:rFonts w:ascii="Arial" w:hAnsi="Arial" w:cs="Arial"/>
          <w:sz w:val="24"/>
          <w:szCs w:val="24"/>
        </w:rPr>
      </w:pPr>
    </w:p>
    <w:p w14:paraId="709A9654" w14:textId="77777777" w:rsidR="009140D2" w:rsidRPr="00BE0EF2" w:rsidRDefault="009140D2" w:rsidP="009140D2">
      <w:pPr>
        <w:tabs>
          <w:tab w:val="num" w:pos="720"/>
        </w:tabs>
        <w:jc w:val="both"/>
        <w:rPr>
          <w:rFonts w:ascii="Arial" w:hAnsi="Arial" w:cs="Arial"/>
        </w:rPr>
      </w:pPr>
      <w:r w:rsidRPr="00BE0EF2">
        <w:rPr>
          <w:rFonts w:ascii="Arial" w:hAnsi="Arial" w:cs="Arial"/>
        </w:rPr>
        <w:t>The leachate was found to be rich in nutrients, particularly K (3,662 mg/l), Ca (2,379 mg/l), and P (367 mg/l), with measurable levels of N (0.4%) and organic carbon (3.6%</w:t>
      </w:r>
      <w:r w:rsidRPr="00BE0EF2">
        <w:rPr>
          <w:rFonts w:ascii="Arial" w:hAnsi="Arial" w:cs="Arial"/>
          <w:b/>
          <w:bCs/>
        </w:rPr>
        <w:t>)</w:t>
      </w:r>
      <w:r w:rsidRPr="00BE0EF2">
        <w:rPr>
          <w:rFonts w:ascii="Arial" w:hAnsi="Arial" w:cs="Arial"/>
        </w:rPr>
        <w:t xml:space="preserve">. The elevated potassium concentration suggests that the leachate could serve as a significant source of plant nutrients, especially for potassium-demanding crops. Similar nutrient enrichment in MSW-derived leachates has been reported in previous studies, highlighting their potential agronomic value </w:t>
      </w:r>
      <w:r w:rsidRPr="00BE0EF2">
        <w:rPr>
          <w:rFonts w:ascii="Arial" w:hAnsi="Arial" w:cs="Arial"/>
        </w:rPr>
        <w:fldChar w:fldCharType="begin" w:fldLock="1"/>
      </w:r>
      <w:r w:rsidRPr="00BE0EF2">
        <w:rPr>
          <w:rFonts w:ascii="Arial" w:hAnsi="Arial" w:cs="Arial"/>
        </w:rPr>
        <w:instrText>ADDIN CSL_CITATION {"citationItems":[{"id":"ITEM-1","itemData":{"DOI":"10.1016/j.enmm.2017.07.005","ISSN":"22151532","abstract":"The aim of this study was to assess the suitability of landfill leachate irrigation for wheat plant (Triticum aestivum) by evaluating the trace element accumulation, plant growth (shoot length, root length, number of leaves), and harvest index at different leachate dose rate soil. For the laboratory simulated irrigation, leachate sample was collected from the Ghazipur landfill site, Delhi which has an area of 30 ha and a dumping quantity of 2800 tons per day (TPD) of solid waste. The three treatment groups: control soil (C), fertilizer treated soil (C-F) and leachate treated soil with different concentration: C-L1 (50 ml), C-L2 (150 ml), C-L3 (300 ml), C-L4 (450 ml) and C-L5 (600 ml) were used for this experiment to assess the wheat plant growth under various treatments. Leachate irrigation on soil modified the physicochemical properties of soil by increasing the pH, EC (electrical conductivity), organic content, exchangeable nutrients, available phosphorous (Avail. PO4), total nitrogen (TN) and trace elements. Trace elements concentrations in soil and wheat grain were below the Indian permissible limit under various treatments. Growth parameters of wheat plant showed positive response at all leachate dose rate soil and fertilizer treated soil as compared to control soil. The highest harvest index (HI) found in 450 ml leachate dose rate soil (C-L4) due to higher number of grains suggests that leachate can be used as fertilizer. In order to estimate the potential health risk from trace elements by consuming wheat grain, hazard quotient and hazard index have been calculated. It has been observed that trace element risk was not noticeable except 600 ml leachate irrigated soil (C-L5). The study recommends that the optimum dose of leachate can be used as a fertilizer.","author":[{"dropping-particle":"","family":"Singh","given":"Shubhra","non-dropping-particle":"","parse-names":false,"suffix":""},{"dropping-particle":"","family":"Janardhana Raju","given":"N.","non-dropping-particle":"","parse-names":false,"suffix":""},{"dropping-particle":"","family":"RamaKrishna","given":"Ch","non-dropping-particle":"","parse-names":false,"suffix":""}],"container-title":"Environmental Nanotechnology, Monitoring and Management","id":"ITEM-1","issued":{"date-parts":[["2017"]]},"page":"150-156","publisher":"Environmental Nanotechnology, Monitoring &amp;#x0026; Management","title":"Assessment of the effect of landfill leachate irrigation of different doses on wheat plant growth and harvest index: A laboratory simulation study","type":"article-journal","volume":"8"},"uris":["http://www.mendeley.com/documents/?uuid=842be137-429e-4ee8-bd22-d03f765e11e6"]}],"mendeley":{"formattedCitation":"(S. Singh et al., 2017)","manualFormatting":"(Singh et al., 2017)","plainTextFormattedCitation":"(S. Singh et al., 2017)","previouslyFormattedCitation":"(S. Singh et al., 2017)"},"properties":{"noteIndex":0},"schema":"https://github.com/citation-style-language/schema/raw/master/csl-citation.json"}</w:instrText>
      </w:r>
      <w:r w:rsidRPr="00BE0EF2">
        <w:rPr>
          <w:rFonts w:ascii="Arial" w:hAnsi="Arial" w:cs="Arial"/>
        </w:rPr>
        <w:fldChar w:fldCharType="separate"/>
      </w:r>
      <w:r w:rsidRPr="00BE0EF2">
        <w:rPr>
          <w:rFonts w:ascii="Arial" w:hAnsi="Arial" w:cs="Arial"/>
          <w:noProof/>
        </w:rPr>
        <w:t>(Singh et al., 2017)</w:t>
      </w:r>
      <w:r w:rsidRPr="00BE0EF2">
        <w:rPr>
          <w:rFonts w:ascii="Arial" w:hAnsi="Arial" w:cs="Arial"/>
        </w:rPr>
        <w:fldChar w:fldCharType="end"/>
      </w:r>
      <w:r w:rsidRPr="00BE0EF2">
        <w:rPr>
          <w:rFonts w:ascii="Arial" w:hAnsi="Arial" w:cs="Arial"/>
        </w:rPr>
        <w:t>.</w:t>
      </w:r>
    </w:p>
    <w:p w14:paraId="7586067B" w14:textId="77777777" w:rsidR="009140D2" w:rsidRPr="00BE0EF2" w:rsidRDefault="009140D2" w:rsidP="009140D2">
      <w:pPr>
        <w:tabs>
          <w:tab w:val="num" w:pos="720"/>
        </w:tabs>
        <w:jc w:val="both"/>
        <w:rPr>
          <w:rFonts w:ascii="Arial" w:hAnsi="Arial" w:cs="Arial"/>
        </w:rPr>
      </w:pPr>
    </w:p>
    <w:p w14:paraId="31B3812A" w14:textId="77777777" w:rsidR="009140D2" w:rsidRPr="00BE0EF2" w:rsidRDefault="009140D2" w:rsidP="009140D2">
      <w:pPr>
        <w:tabs>
          <w:tab w:val="num" w:pos="720"/>
        </w:tabs>
        <w:jc w:val="both"/>
        <w:rPr>
          <w:rFonts w:ascii="Arial" w:hAnsi="Arial" w:cs="Arial"/>
        </w:rPr>
      </w:pPr>
      <w:r w:rsidRPr="00BE0EF2">
        <w:rPr>
          <w:rFonts w:ascii="Arial" w:hAnsi="Arial" w:cs="Arial"/>
        </w:rPr>
        <w:t xml:space="preserve">In addition to macronutrients, the leachate contained appreciable concentrations of micronutrients - Fe, Zn, and Mn, which are essential for plant growth but may pose toxicity risks at elevated levels. Copper concentration was comparatively low (0.5 mg/l), suggesting limited input or lower mobility in the leachate matrix. Trace amounts of heavy metals, Ni (0.7 mg/l), Pb (0.3 mg/l), Cd (0.1 mg/l), and Cr (0.6 mg/l), were also detected. Heavy metals in leachate, despite being present in lower concentrations, could be problematic if they exceed the threshold levels of 5.00, 0.01, 0.10, and 0.20 mg/l, respectively, as indicated by the Guidelines for Water Reuse and Water Quality Standards for Agriculture </w:t>
      </w:r>
      <w:r w:rsidRPr="00BE0EF2">
        <w:rPr>
          <w:rFonts w:ascii="Arial" w:hAnsi="Arial" w:cs="Arial"/>
        </w:rPr>
        <w:fldChar w:fldCharType="begin" w:fldLock="1"/>
      </w:r>
      <w:r w:rsidRPr="00BE0EF2">
        <w:rPr>
          <w:rFonts w:ascii="Arial" w:hAnsi="Arial" w:cs="Arial"/>
        </w:rPr>
        <w:instrText>ADDIN CSL_CITATION {"citationItems":[{"id":"ITEM-1","itemData":{"ISBN":"9251022631","abstract":"Severe acute respiratory syndrome coronavirus 2 (SARS-CoV-2) is a novel etiological agent of coronavirus disease 2019 (COVID-19). Nigella sativa, commonly known as black seed or black cumin, has been a historical and traditional plant since thousands of years. Based on their therapeutic efficacy, the chief components of terpenoids and flavonoids were selected from N. sativa seeds and seed oil. This study was designed to check the antiviral efficacy of N. sativa main phytoconstituents against five potential targets of SARS-CoV-2 using in silico structure-based virtual screening approach. Out of twenty five phytocompo-nents, ten components showed best binding affinity against two viral proteins viz. N-terminal RNA binding domain (NRBD; PDB ID: 6M3M) of nucleocapsid protein and papain-like protease (PL-PRO ; PDB ID: 6W9C) of SARS-CoV-2 using AutoDock 4.2.6, AutoDock Vina and iGEMDOCK. PASS analyses of all ten phytocomponents using Lipinski's Rule of five showed promising results. Further, druglikeness and toxicity assessment using OSIRIS Data Warrior v5.2.1 software exhibited the feasibility of phytocomponents as drug candidates with no predicted toxicity. Molecular dynamics simulation study of NRBD of SARS-CoV-2 nucleocapsid protein-alpha-spinasterol complex and PL-PRO-cycloeucalenol complex displayed strong stability at 300 K. Both these complexes exhibited constant root mean square deviation (RMSDs) of protein side chains and Ca atoms throughout the simulation run time. Interestingly, PL-PRO and NRBD are key proteins in viral replication, host cell immune evasion and viral assembly. Thus, NRBD and PL-PRO have the potential to serve as therapeutic targets for N. sativa phytoconstituents in drug discovery process against COVID-19. ARTICLE HISTORY","author":[{"dropping-particle":"","family":"Ayers, R. S., Westcot","given":"D. W","non-dropping-particle":"","parse-names":false,"suffix":""}],"edition":"Food and A","editor":[{"dropping-particle":"","family":"Nations","given":"Food and Agriculture Organization of the United","non-dropping-particle":"","parse-names":false,"suffix":""}],"id":"ITEM-1","issued":{"date-parts":[["1985"]]},"publisher":"Food and Agriculture Organization of the United Nations","publisher-place":"Rome","title":"Water for agr Water quality for agriculture","type":"book"},"uris":["http://www.mendeley.com/documents/?uuid=ce12f9ba-67e3-44a0-b451-82fa26168b87"]},{"id":"ITEM-2","itemData":{"abstract":"Water reclamation for nonpotable reuse has been adopted in the United States and elsewhere without the benefit of national or international guidelines or standards. However, in recent years, many states in the U.S. have adopted standards or guidelines, and the World Health Organization (WHO) has published guidelines for reuse for agricultural irrigation. The primary purpose of this document is to present guidelines, with supporting information, for utilities and regulatory agencies in the U.S. In states where standards do not exist or are being revised or expanded, the Guidelines can assist in developing reuse programs or appropriate regulations. The Guidelines will also be useful to consulting engineers and others involved in the evaluation, planning, design, operation, or management of water reclamation and reuse facilities. In addition, a section on reuse internationally is offered to provide background and discuss relevant issues for authorities in other countries where reuse is being considered. The document does not propose standards by either the U.S. Environmental Protection Agency (EPA) or the U.S. Agency for International Development (AID). In the U.S., water reclamation and reuse standards are the responsibility of state agencies.These guidelines primarily address water reclamation for nonpotable urban, industrial, and agricultural reuse, about which little controversy exists. Also, attention is given to augmentation of potable water supplies by indirect reuse. Because direct potable reuse is not currently practiced in the U.S., only a brief overview is provided. Superceded by 129543, EPA/625/R-04/108 Information","author":[{"dropping-particle":"","family":"EPA","given":"Environmet protection Agency","non-dropping-particle":"","parse-names":false,"suffix":""}],"container-title":"Guidelines for water reuse","id":"ITEM-2","issue":"September","issued":{"date-parts":[["2012"]]},"page":"643","title":"EPA Guidlines for Water Reuse U.S. Environmental Protection Agency","type":"article-journal"},"uris":["http://www.mendeley.com/documents/?uuid=d450bcbf-7c0e-414a-a77c-1a288c3954ca"]}],"mendeley":{"formattedCitation":"(Ayers, R. S., Westcot, 1985; EPA, 2012)","manualFormatting":"(Ayers and Westcot, 1985; EPA, 2012)","plainTextFormattedCitation":"(Ayers, R. S., Westcot, 1985; EPA, 2012)","previouslyFormattedCitation":"(Ayers, R. S., Westcot, 1985; EPA, 2012)"},"properties":{"noteIndex":0},"schema":"https://github.com/citation-style-language/schema/raw/master/csl-citation.json"}</w:instrText>
      </w:r>
      <w:r w:rsidRPr="00BE0EF2">
        <w:rPr>
          <w:rFonts w:ascii="Arial" w:hAnsi="Arial" w:cs="Arial"/>
        </w:rPr>
        <w:fldChar w:fldCharType="separate"/>
      </w:r>
      <w:r w:rsidRPr="00BE0EF2">
        <w:rPr>
          <w:rFonts w:ascii="Arial" w:hAnsi="Arial" w:cs="Arial"/>
          <w:noProof/>
        </w:rPr>
        <w:t>(Ayers and Westcot, 1985; EPA, 2012)</w:t>
      </w:r>
      <w:r w:rsidRPr="00BE0EF2">
        <w:rPr>
          <w:rFonts w:ascii="Arial" w:hAnsi="Arial" w:cs="Arial"/>
        </w:rPr>
        <w:fldChar w:fldCharType="end"/>
      </w:r>
      <w:r w:rsidRPr="00BE0EF2">
        <w:rPr>
          <w:rFonts w:ascii="Arial" w:hAnsi="Arial" w:cs="Arial"/>
        </w:rPr>
        <w:t>. Exceedances were observed for Cd, Cr, and Ni, raising concern that repeated irrigation with such leachate could lead to their gradual accumulation in soils, thereby posing long-term risks to agroecosystem health.</w:t>
      </w:r>
    </w:p>
    <w:p w14:paraId="4E6EF210" w14:textId="77777777" w:rsidR="009140D2" w:rsidRPr="00BE0EF2" w:rsidRDefault="009140D2" w:rsidP="009140D2">
      <w:pPr>
        <w:tabs>
          <w:tab w:val="num" w:pos="720"/>
        </w:tabs>
        <w:jc w:val="both"/>
        <w:rPr>
          <w:rFonts w:ascii="Arial" w:hAnsi="Arial" w:cs="Arial"/>
        </w:rPr>
      </w:pPr>
    </w:p>
    <w:p w14:paraId="1149266F" w14:textId="77777777" w:rsidR="009140D2" w:rsidRPr="00BE0EF2" w:rsidRDefault="009140D2" w:rsidP="009140D2">
      <w:pPr>
        <w:tabs>
          <w:tab w:val="num" w:pos="720"/>
        </w:tabs>
        <w:jc w:val="both"/>
        <w:rPr>
          <w:rFonts w:ascii="Arial" w:hAnsi="Arial" w:cs="Arial"/>
        </w:rPr>
      </w:pPr>
      <w:r w:rsidRPr="00BE0EF2">
        <w:rPr>
          <w:rFonts w:ascii="Arial" w:hAnsi="Arial" w:cs="Arial"/>
        </w:rPr>
        <w:t xml:space="preserve">The combined presence of high nutrient loads and trace metals indicates that MSWL has a dual role as both a nutrient source and a potential contaminant. However, in the present study, the leachate was applied at a 1:10 dilution (leachate: water) in accordance with local agricultural practices. Such dilution likely reduces the immediate effects of high salinity and contaminant concentrations on soil and crops. Overall, the characteristics of MSWCL observed in this study are consistent with earlier reports describing leachate as a complex mixture of organic and inorganic constituents with both agronomic benefits and environmental implications </w:t>
      </w:r>
      <w:r w:rsidRPr="00BE0EF2">
        <w:rPr>
          <w:rFonts w:ascii="Arial" w:hAnsi="Arial" w:cs="Arial"/>
        </w:rPr>
        <w:fldChar w:fldCharType="begin" w:fldLock="1"/>
      </w:r>
      <w:r w:rsidRPr="00BE0EF2">
        <w:rPr>
          <w:rFonts w:ascii="Arial" w:hAnsi="Arial" w:cs="Arial"/>
        </w:rPr>
        <w:instrText>ADDIN CSL_CITATION {"citationItems":[{"id":"ITEM-1","itemData":{"DOI":"10.1016/j.enmm.2017.07.005","ISSN":"22151532","abstract":"The aim of this study was to assess the suitability of landfill leachate irrigation for wheat plant (Triticum aestivum) by evaluating the trace element accumulation, plant growth (shoot length, root length, number of leaves), and harvest index at different leachate dose rate soil. For the laboratory simulated irrigation, leachate sample was collected from the Ghazipur landfill site, Delhi which has an area of 30 ha and a dumping quantity of 2800 tons per day (TPD) of solid waste. The three treatment groups: control soil (C), fertilizer treated soil (C-F) and leachate treated soil with different concentration: C-L1 (50 ml), C-L2 (150 ml), C-L3 (300 ml), C-L4 (450 ml) and C-L5 (600 ml) were used for this experiment to assess the wheat plant growth under various treatments. Leachate irrigation on soil modified the physicochemical properties of soil by increasing the pH, EC (electrical conductivity), organic content, exchangeable nutrients, available phosphorous (Avail. PO4), total nitrogen (TN) and trace elements. Trace elements concentrations in soil and wheat grain were below the Indian permissible limit under various treatments. Growth parameters of wheat plant showed positive response at all leachate dose rate soil and fertilizer treated soil as compared to control soil. The highest harvest index (HI) found in 450 ml leachate dose rate soil (C-L4) due to higher number of grains suggests that leachate can be used as fertilizer. In order to estimate the potential health risk from trace elements by consuming wheat grain, hazard quotient and hazard index have been calculated. It has been observed that trace element risk was not noticeable except 600 ml leachate irrigated soil (C-L5). The study recommends that the optimum dose of leachate can be used as a fertilizer.","author":[{"dropping-particle":"","family":"Singh","given":"Shubhra","non-dropping-particle":"","parse-names":false,"suffix":""},{"dropping-particle":"","family":"Janardhana Raju","given":"N.","non-dropping-particle":"","parse-names":false,"suffix":""},{"dropping-particle":"","family":"RamaKrishna","given":"Ch","non-dropping-particle":"","parse-names":false,"suffix":""}],"container-title":"Environmental Nanotechnology, Monitoring and Management","id":"ITEM-1","issued":{"date-parts":[["2017"]]},"page":"150-156","publisher":"Environmental Nanotechnology, Monitoring &amp;#x0026; Management","title":"Assessment of the effect of landfill leachate irrigation of different doses on wheat plant growth and harvest index: A laboratory simulation study","type":"article-journal","volume":"8"},"uris":["http://www.mendeley.com/documents/?uuid=842be137-429e-4ee8-bd22-d03f765e11e6"]},{"id":"ITEM-2","itemData":{"DOI":"10.1007/s13201-012-0072-z","ISSN":"21905495","abstract":"The concentration of heavy metals was studied in the soil samples collected around the municipal solid waste (MSW) open dumpsite, Ariyamangalam, Tiruchirappalli, Tamilnadu to understand the heavy metal contamination due to leachate migration from an open dumping site. The dump site receives approximately 400-470 tonnes of municipal solid waste. Solid waste characterization was carried out for the fresh and old municipal solid waste to know the basic composition of solid waste which is dumped in the dumping site. The heavy metal concentration in the municipal solid waste fine fraction and soil samples were analyzed. The heavy metal concentration in the collected soil sample was found in the following order: Mn &gt; Pb &gt; Cu &gt; Cd. The presence of heavy metals in soil sample indicates that there is appreciable contamination of the soil by leachate migration from an open dumping site. However, these pollutants species will continuously migrated and attenuated through the soil strata and after certain period of time they might contaminate the groundwater system if there is no action to be taken to prevent this phenomenon. © 2012 The Author(s).","author":[{"dropping-particle":"","family":"Kanmani","given":"S.","non-dropping-particle":"","parse-names":false,"suffix":""},{"dropping-particle":"","family":"Gandhimathi","given":"R.","non-dropping-particle":"","parse-names":false,"suffix":""}],"container-title":"Applied Water Science","id":"ITEM-2","issue":"1","issued":{"date-parts":[["2013"]]},"page":"193-205","title":"Assessment of heavy metal contamination in soil due to leachate migration from an open dumping site","type":"article-journal","volume":"3"},"uris":["http://www.mendeley.com/documents/?uuid=fc360e13-b53a-4bae-8fa9-316ea9f23db6"]}],"mendeley":{"formattedCitation":"(Kanmani &amp; Gandhimathi, 2013; S. Singh et al., 2017)","manualFormatting":"(Singh et al 2017; Kanmani and Gandhimathi 2013)","plainTextFormattedCitation":"(Kanmani &amp; Gandhimathi, 2013; S. Singh et al., 2017)","previouslyFormattedCitation":"(Kanmani &amp; Gandhimathi, 2013; S. Singh et al., 2017)"},"properties":{"noteIndex":0},"schema":"https://github.com/citation-style-language/schema/raw/master/csl-citation.json"}</w:instrText>
      </w:r>
      <w:r w:rsidRPr="00BE0EF2">
        <w:rPr>
          <w:rFonts w:ascii="Arial" w:hAnsi="Arial" w:cs="Arial"/>
        </w:rPr>
        <w:fldChar w:fldCharType="separate"/>
      </w:r>
      <w:r w:rsidRPr="00BE0EF2">
        <w:rPr>
          <w:rFonts w:ascii="Arial" w:hAnsi="Arial" w:cs="Arial"/>
          <w:noProof/>
        </w:rPr>
        <w:t>(Singh et al 2017; Kanmani and Gandhimathi 2013)</w:t>
      </w:r>
      <w:r w:rsidRPr="00BE0EF2">
        <w:rPr>
          <w:rFonts w:ascii="Arial" w:hAnsi="Arial" w:cs="Arial"/>
        </w:rPr>
        <w:fldChar w:fldCharType="end"/>
      </w:r>
      <w:r w:rsidRPr="00BE0EF2">
        <w:rPr>
          <w:rFonts w:ascii="Arial" w:hAnsi="Arial" w:cs="Arial"/>
        </w:rPr>
        <w:t xml:space="preserve">. </w:t>
      </w:r>
    </w:p>
    <w:p w14:paraId="3E5422E7" w14:textId="77777777" w:rsidR="009140D2" w:rsidRPr="00BE0EF2" w:rsidRDefault="009140D2" w:rsidP="009140D2">
      <w:pPr>
        <w:tabs>
          <w:tab w:val="num" w:pos="720"/>
        </w:tabs>
        <w:jc w:val="both"/>
        <w:rPr>
          <w:rFonts w:ascii="Arial" w:hAnsi="Arial" w:cs="Arial"/>
          <w:b/>
          <w:bCs/>
          <w:sz w:val="22"/>
        </w:rPr>
      </w:pPr>
    </w:p>
    <w:p w14:paraId="3CCBC2B2" w14:textId="77777777" w:rsidR="009140D2" w:rsidRPr="00BE0EF2" w:rsidRDefault="009140D2" w:rsidP="009140D2">
      <w:pPr>
        <w:tabs>
          <w:tab w:val="num" w:pos="720"/>
        </w:tabs>
        <w:jc w:val="both"/>
        <w:rPr>
          <w:rFonts w:ascii="Arial" w:hAnsi="Arial" w:cs="Arial"/>
          <w:b/>
          <w:bCs/>
          <w:sz w:val="22"/>
          <w:szCs w:val="22"/>
        </w:rPr>
      </w:pPr>
      <w:r w:rsidRPr="00BE0EF2">
        <w:rPr>
          <w:rFonts w:ascii="Arial" w:hAnsi="Arial" w:cs="Arial"/>
          <w:b/>
          <w:bCs/>
          <w:sz w:val="22"/>
          <w:szCs w:val="22"/>
        </w:rPr>
        <w:t xml:space="preserve">3.2 Soil Properties </w:t>
      </w:r>
    </w:p>
    <w:p w14:paraId="6FF90B24" w14:textId="77777777" w:rsidR="009140D2" w:rsidRPr="00BE0EF2" w:rsidRDefault="009140D2" w:rsidP="009140D2">
      <w:pPr>
        <w:tabs>
          <w:tab w:val="num" w:pos="720"/>
        </w:tabs>
        <w:jc w:val="both"/>
        <w:rPr>
          <w:rFonts w:ascii="Arial" w:hAnsi="Arial" w:cs="Arial"/>
        </w:rPr>
      </w:pPr>
    </w:p>
    <w:p w14:paraId="402D542C" w14:textId="77777777" w:rsidR="009140D2" w:rsidRPr="00BE0EF2" w:rsidRDefault="009140D2" w:rsidP="009140D2">
      <w:pPr>
        <w:tabs>
          <w:tab w:val="num" w:pos="720"/>
        </w:tabs>
        <w:jc w:val="both"/>
        <w:rPr>
          <w:rFonts w:ascii="Arial" w:hAnsi="Arial" w:cs="Arial"/>
        </w:rPr>
      </w:pPr>
      <w:r w:rsidRPr="00BE0EF2">
        <w:rPr>
          <w:rFonts w:ascii="Arial" w:hAnsi="Arial" w:cs="Arial"/>
        </w:rPr>
        <w:t>Soil physicochemical properties varied significantly between control and amended treatments across ragi, maize, and green gram soils (Table 2), with letters (a, b) denoting significant differences (p &lt; 0.05) within each crop based on Welch’s T-test followed by post-hoc tests.</w:t>
      </w:r>
    </w:p>
    <w:p w14:paraId="2602EBA3" w14:textId="77777777" w:rsidR="009140D2" w:rsidRPr="00D3093B" w:rsidRDefault="009140D2" w:rsidP="009140D2">
      <w:pPr>
        <w:tabs>
          <w:tab w:val="num" w:pos="720"/>
        </w:tabs>
        <w:jc w:val="both"/>
        <w:rPr>
          <w:rFonts w:ascii="Arial" w:hAnsi="Arial" w:cs="Arial"/>
          <w:b/>
          <w:bCs/>
        </w:rPr>
      </w:pPr>
    </w:p>
    <w:p w14:paraId="591682E9" w14:textId="77777777" w:rsidR="009140D2" w:rsidRDefault="009140D2" w:rsidP="009140D2">
      <w:pPr>
        <w:tabs>
          <w:tab w:val="num" w:pos="720"/>
        </w:tabs>
        <w:jc w:val="both"/>
        <w:rPr>
          <w:rFonts w:ascii="Arial" w:hAnsi="Arial" w:cs="Arial"/>
          <w:b/>
          <w:bCs/>
        </w:rPr>
      </w:pPr>
      <w:r w:rsidRPr="00D3093B">
        <w:rPr>
          <w:rFonts w:ascii="Arial" w:hAnsi="Arial" w:cs="Arial"/>
          <w:b/>
          <w:bCs/>
        </w:rPr>
        <w:t>Table 2:</w:t>
      </w:r>
      <w:r w:rsidRPr="00D3093B">
        <w:rPr>
          <w:rFonts w:ascii="Arial" w:hAnsi="Arial" w:cs="Arial"/>
        </w:rPr>
        <w:t xml:space="preserve"> </w:t>
      </w:r>
      <w:r w:rsidRPr="00D3093B">
        <w:rPr>
          <w:rFonts w:ascii="Arial" w:hAnsi="Arial" w:cs="Arial"/>
          <w:b/>
          <w:bCs/>
        </w:rPr>
        <w:t>Soil parameters (mean ± SD) for control and MSW leachate-amended treatments</w:t>
      </w:r>
    </w:p>
    <w:p w14:paraId="4FA91569" w14:textId="77777777" w:rsidR="009140D2" w:rsidRPr="00D3093B" w:rsidRDefault="009140D2" w:rsidP="009140D2">
      <w:pPr>
        <w:tabs>
          <w:tab w:val="num" w:pos="720"/>
        </w:tabs>
        <w:jc w:val="both"/>
        <w:rPr>
          <w:rFonts w:ascii="Arial" w:hAnsi="Arial" w:cs="Arial"/>
          <w:sz w:val="24"/>
          <w:szCs w:val="24"/>
        </w:rPr>
      </w:pPr>
    </w:p>
    <w:tbl>
      <w:tblPr>
        <w:tblW w:w="8907" w:type="dxa"/>
        <w:tblLook w:val="04A0" w:firstRow="1" w:lastRow="0" w:firstColumn="1" w:lastColumn="0" w:noHBand="0" w:noVBand="1"/>
      </w:tblPr>
      <w:tblGrid>
        <w:gridCol w:w="1420"/>
        <w:gridCol w:w="1230"/>
        <w:gridCol w:w="1290"/>
        <w:gridCol w:w="1216"/>
        <w:gridCol w:w="1319"/>
        <w:gridCol w:w="1216"/>
        <w:gridCol w:w="1216"/>
      </w:tblGrid>
      <w:tr w:rsidR="009140D2" w:rsidRPr="00D3093B" w14:paraId="36369740" w14:textId="77777777" w:rsidTr="0003283A">
        <w:trPr>
          <w:trHeight w:val="290"/>
        </w:trPr>
        <w:tc>
          <w:tcPr>
            <w:tcW w:w="1420" w:type="dxa"/>
            <w:tcBorders>
              <w:top w:val="nil"/>
              <w:left w:val="nil"/>
              <w:bottom w:val="nil"/>
              <w:right w:val="nil"/>
            </w:tcBorders>
            <w:shd w:val="clear" w:color="000000" w:fill="FCE4D6"/>
            <w:noWrap/>
            <w:vAlign w:val="bottom"/>
            <w:hideMark/>
          </w:tcPr>
          <w:p w14:paraId="24A74526" w14:textId="77777777" w:rsidR="009140D2" w:rsidRPr="00D3093B" w:rsidRDefault="009140D2" w:rsidP="0003283A">
            <w:pPr>
              <w:rPr>
                <w:rFonts w:ascii="Arial" w:hAnsi="Arial" w:cs="Arial"/>
                <w:color w:val="000000"/>
                <w:lang w:eastAsia="en-IN"/>
              </w:rPr>
            </w:pPr>
            <w:r w:rsidRPr="00D3093B">
              <w:rPr>
                <w:rFonts w:ascii="Arial" w:hAnsi="Arial" w:cs="Arial"/>
                <w:color w:val="000000"/>
                <w:lang w:eastAsia="en-IN"/>
              </w:rPr>
              <w:t> </w:t>
            </w:r>
          </w:p>
        </w:tc>
        <w:tc>
          <w:tcPr>
            <w:tcW w:w="2520" w:type="dxa"/>
            <w:gridSpan w:val="2"/>
            <w:tcBorders>
              <w:top w:val="nil"/>
              <w:left w:val="nil"/>
              <w:bottom w:val="nil"/>
              <w:right w:val="nil"/>
            </w:tcBorders>
            <w:shd w:val="clear" w:color="000000" w:fill="FCE4D6"/>
            <w:noWrap/>
            <w:vAlign w:val="bottom"/>
            <w:hideMark/>
          </w:tcPr>
          <w:p w14:paraId="40147AC7"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Ragi Soil</w:t>
            </w:r>
          </w:p>
        </w:tc>
        <w:tc>
          <w:tcPr>
            <w:tcW w:w="2535" w:type="dxa"/>
            <w:gridSpan w:val="2"/>
            <w:tcBorders>
              <w:top w:val="nil"/>
              <w:left w:val="nil"/>
              <w:bottom w:val="nil"/>
              <w:right w:val="nil"/>
            </w:tcBorders>
            <w:shd w:val="clear" w:color="000000" w:fill="FCE4D6"/>
            <w:noWrap/>
            <w:vAlign w:val="bottom"/>
            <w:hideMark/>
          </w:tcPr>
          <w:p w14:paraId="6CB6F211"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Maize Soil</w:t>
            </w:r>
          </w:p>
        </w:tc>
        <w:tc>
          <w:tcPr>
            <w:tcW w:w="2432" w:type="dxa"/>
            <w:gridSpan w:val="2"/>
            <w:tcBorders>
              <w:top w:val="nil"/>
              <w:left w:val="nil"/>
              <w:bottom w:val="nil"/>
              <w:right w:val="nil"/>
            </w:tcBorders>
            <w:shd w:val="clear" w:color="000000" w:fill="FCE4D6"/>
            <w:noWrap/>
            <w:vAlign w:val="bottom"/>
            <w:hideMark/>
          </w:tcPr>
          <w:p w14:paraId="417164D8"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Green gram Soil</w:t>
            </w:r>
          </w:p>
        </w:tc>
      </w:tr>
      <w:tr w:rsidR="009140D2" w:rsidRPr="00D3093B" w14:paraId="4A2DB897" w14:textId="77777777" w:rsidTr="0003283A">
        <w:trPr>
          <w:trHeight w:val="290"/>
        </w:trPr>
        <w:tc>
          <w:tcPr>
            <w:tcW w:w="1420" w:type="dxa"/>
            <w:tcBorders>
              <w:top w:val="nil"/>
              <w:left w:val="nil"/>
              <w:bottom w:val="nil"/>
              <w:right w:val="nil"/>
            </w:tcBorders>
            <w:shd w:val="clear" w:color="000000" w:fill="E2EFDA"/>
            <w:noWrap/>
            <w:vAlign w:val="bottom"/>
            <w:hideMark/>
          </w:tcPr>
          <w:p w14:paraId="6755317D" w14:textId="77777777" w:rsidR="009140D2" w:rsidRPr="00BE0EF2" w:rsidRDefault="009140D2" w:rsidP="0003283A">
            <w:pPr>
              <w:rPr>
                <w:rFonts w:ascii="Arial" w:hAnsi="Arial" w:cs="Arial"/>
                <w:b/>
                <w:bCs/>
                <w:color w:val="000000"/>
                <w:lang w:eastAsia="en-IN"/>
              </w:rPr>
            </w:pPr>
            <w:r w:rsidRPr="00BE0EF2">
              <w:rPr>
                <w:rFonts w:ascii="Arial" w:hAnsi="Arial" w:cs="Arial"/>
                <w:b/>
                <w:bCs/>
                <w:color w:val="000000"/>
                <w:lang w:eastAsia="en-IN"/>
              </w:rPr>
              <w:t>Parameters</w:t>
            </w:r>
          </w:p>
        </w:tc>
        <w:tc>
          <w:tcPr>
            <w:tcW w:w="1230" w:type="dxa"/>
            <w:tcBorders>
              <w:top w:val="nil"/>
              <w:left w:val="nil"/>
              <w:bottom w:val="nil"/>
              <w:right w:val="nil"/>
            </w:tcBorders>
            <w:shd w:val="clear" w:color="000000" w:fill="E2EFDA"/>
            <w:noWrap/>
            <w:vAlign w:val="bottom"/>
            <w:hideMark/>
          </w:tcPr>
          <w:p w14:paraId="4A586DF0"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Control</w:t>
            </w:r>
          </w:p>
        </w:tc>
        <w:tc>
          <w:tcPr>
            <w:tcW w:w="1290" w:type="dxa"/>
            <w:tcBorders>
              <w:top w:val="nil"/>
              <w:left w:val="nil"/>
              <w:bottom w:val="nil"/>
              <w:right w:val="nil"/>
            </w:tcBorders>
            <w:shd w:val="clear" w:color="000000" w:fill="E2EFDA"/>
            <w:noWrap/>
            <w:vAlign w:val="bottom"/>
            <w:hideMark/>
          </w:tcPr>
          <w:p w14:paraId="3D7E6EBF"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Amended</w:t>
            </w:r>
          </w:p>
        </w:tc>
        <w:tc>
          <w:tcPr>
            <w:tcW w:w="1216" w:type="dxa"/>
            <w:tcBorders>
              <w:top w:val="nil"/>
              <w:left w:val="nil"/>
              <w:bottom w:val="nil"/>
              <w:right w:val="nil"/>
            </w:tcBorders>
            <w:shd w:val="clear" w:color="000000" w:fill="E2EFDA"/>
            <w:noWrap/>
            <w:vAlign w:val="bottom"/>
            <w:hideMark/>
          </w:tcPr>
          <w:p w14:paraId="366B7811"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Control</w:t>
            </w:r>
          </w:p>
        </w:tc>
        <w:tc>
          <w:tcPr>
            <w:tcW w:w="1319" w:type="dxa"/>
            <w:tcBorders>
              <w:top w:val="nil"/>
              <w:left w:val="nil"/>
              <w:bottom w:val="nil"/>
              <w:right w:val="nil"/>
            </w:tcBorders>
            <w:shd w:val="clear" w:color="000000" w:fill="E2EFDA"/>
            <w:noWrap/>
            <w:vAlign w:val="bottom"/>
            <w:hideMark/>
          </w:tcPr>
          <w:p w14:paraId="53EA067B"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Amended</w:t>
            </w:r>
          </w:p>
        </w:tc>
        <w:tc>
          <w:tcPr>
            <w:tcW w:w="1216" w:type="dxa"/>
            <w:tcBorders>
              <w:top w:val="nil"/>
              <w:left w:val="nil"/>
              <w:bottom w:val="nil"/>
              <w:right w:val="nil"/>
            </w:tcBorders>
            <w:shd w:val="clear" w:color="000000" w:fill="E2EFDA"/>
            <w:noWrap/>
            <w:vAlign w:val="bottom"/>
            <w:hideMark/>
          </w:tcPr>
          <w:p w14:paraId="54078283"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Control</w:t>
            </w:r>
          </w:p>
        </w:tc>
        <w:tc>
          <w:tcPr>
            <w:tcW w:w="1216" w:type="dxa"/>
            <w:tcBorders>
              <w:top w:val="nil"/>
              <w:left w:val="nil"/>
              <w:bottom w:val="nil"/>
              <w:right w:val="nil"/>
            </w:tcBorders>
            <w:shd w:val="clear" w:color="000000" w:fill="E2EFDA"/>
            <w:noWrap/>
            <w:vAlign w:val="bottom"/>
            <w:hideMark/>
          </w:tcPr>
          <w:p w14:paraId="3F26AFA9" w14:textId="77777777" w:rsidR="009140D2" w:rsidRPr="00BE0EF2" w:rsidRDefault="009140D2" w:rsidP="0003283A">
            <w:pPr>
              <w:jc w:val="center"/>
              <w:rPr>
                <w:rFonts w:ascii="Arial" w:hAnsi="Arial" w:cs="Arial"/>
                <w:b/>
                <w:bCs/>
                <w:color w:val="000000"/>
                <w:lang w:eastAsia="en-IN"/>
              </w:rPr>
            </w:pPr>
            <w:r w:rsidRPr="00BE0EF2">
              <w:rPr>
                <w:rFonts w:ascii="Arial" w:hAnsi="Arial" w:cs="Arial"/>
                <w:b/>
                <w:bCs/>
                <w:color w:val="000000"/>
                <w:lang w:eastAsia="en-IN"/>
              </w:rPr>
              <w:t>Amended</w:t>
            </w:r>
          </w:p>
        </w:tc>
      </w:tr>
      <w:tr w:rsidR="009140D2" w:rsidRPr="00D3093B" w14:paraId="16280AFC" w14:textId="77777777" w:rsidTr="0003283A">
        <w:trPr>
          <w:trHeight w:val="290"/>
        </w:trPr>
        <w:tc>
          <w:tcPr>
            <w:tcW w:w="1420" w:type="dxa"/>
            <w:tcBorders>
              <w:top w:val="nil"/>
              <w:left w:val="nil"/>
              <w:bottom w:val="nil"/>
              <w:right w:val="nil"/>
            </w:tcBorders>
            <w:noWrap/>
            <w:vAlign w:val="bottom"/>
            <w:hideMark/>
          </w:tcPr>
          <w:p w14:paraId="570F5CA9"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Ph</w:t>
            </w:r>
          </w:p>
        </w:tc>
        <w:tc>
          <w:tcPr>
            <w:tcW w:w="1230" w:type="dxa"/>
            <w:tcBorders>
              <w:top w:val="nil"/>
              <w:left w:val="nil"/>
              <w:bottom w:val="nil"/>
              <w:right w:val="nil"/>
            </w:tcBorders>
            <w:noWrap/>
            <w:vAlign w:val="bottom"/>
            <w:hideMark/>
          </w:tcPr>
          <w:p w14:paraId="03629724"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6.04±0.02a</w:t>
            </w:r>
          </w:p>
        </w:tc>
        <w:tc>
          <w:tcPr>
            <w:tcW w:w="1290" w:type="dxa"/>
            <w:tcBorders>
              <w:top w:val="nil"/>
              <w:left w:val="nil"/>
              <w:bottom w:val="nil"/>
              <w:right w:val="nil"/>
            </w:tcBorders>
            <w:noWrap/>
            <w:vAlign w:val="bottom"/>
            <w:hideMark/>
          </w:tcPr>
          <w:p w14:paraId="784CE816"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6.52±0.02 b</w:t>
            </w:r>
          </w:p>
        </w:tc>
        <w:tc>
          <w:tcPr>
            <w:tcW w:w="1216" w:type="dxa"/>
            <w:tcBorders>
              <w:top w:val="nil"/>
              <w:left w:val="nil"/>
              <w:bottom w:val="nil"/>
              <w:right w:val="nil"/>
            </w:tcBorders>
            <w:noWrap/>
            <w:vAlign w:val="bottom"/>
            <w:hideMark/>
          </w:tcPr>
          <w:p w14:paraId="3970940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5.96±0.02 a</w:t>
            </w:r>
          </w:p>
        </w:tc>
        <w:tc>
          <w:tcPr>
            <w:tcW w:w="1319" w:type="dxa"/>
            <w:tcBorders>
              <w:top w:val="nil"/>
              <w:left w:val="nil"/>
              <w:bottom w:val="nil"/>
              <w:right w:val="nil"/>
            </w:tcBorders>
            <w:noWrap/>
            <w:vAlign w:val="bottom"/>
            <w:hideMark/>
          </w:tcPr>
          <w:p w14:paraId="2EEC542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6.61±0.07 b</w:t>
            </w:r>
          </w:p>
        </w:tc>
        <w:tc>
          <w:tcPr>
            <w:tcW w:w="1216" w:type="dxa"/>
            <w:tcBorders>
              <w:top w:val="nil"/>
              <w:left w:val="nil"/>
              <w:bottom w:val="nil"/>
              <w:right w:val="nil"/>
            </w:tcBorders>
            <w:noWrap/>
            <w:vAlign w:val="bottom"/>
            <w:hideMark/>
          </w:tcPr>
          <w:p w14:paraId="3B65DE3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6.31±0.06a</w:t>
            </w:r>
          </w:p>
        </w:tc>
        <w:tc>
          <w:tcPr>
            <w:tcW w:w="1216" w:type="dxa"/>
            <w:tcBorders>
              <w:top w:val="nil"/>
              <w:left w:val="nil"/>
              <w:bottom w:val="nil"/>
              <w:right w:val="nil"/>
            </w:tcBorders>
            <w:noWrap/>
            <w:vAlign w:val="bottom"/>
            <w:hideMark/>
          </w:tcPr>
          <w:p w14:paraId="4E0AFA1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6.88±0.09b</w:t>
            </w:r>
          </w:p>
        </w:tc>
      </w:tr>
      <w:tr w:rsidR="009140D2" w:rsidRPr="00D3093B" w14:paraId="0FE5E273" w14:textId="77777777" w:rsidTr="0003283A">
        <w:trPr>
          <w:trHeight w:val="290"/>
        </w:trPr>
        <w:tc>
          <w:tcPr>
            <w:tcW w:w="1420" w:type="dxa"/>
            <w:tcBorders>
              <w:top w:val="nil"/>
              <w:left w:val="nil"/>
              <w:bottom w:val="nil"/>
              <w:right w:val="nil"/>
            </w:tcBorders>
            <w:noWrap/>
            <w:vAlign w:val="bottom"/>
            <w:hideMark/>
          </w:tcPr>
          <w:p w14:paraId="193A30DA"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lastRenderedPageBreak/>
              <w:t xml:space="preserve">EC (µs/cm) </w:t>
            </w:r>
          </w:p>
        </w:tc>
        <w:tc>
          <w:tcPr>
            <w:tcW w:w="1230" w:type="dxa"/>
            <w:tcBorders>
              <w:top w:val="nil"/>
              <w:left w:val="nil"/>
              <w:bottom w:val="nil"/>
              <w:right w:val="nil"/>
            </w:tcBorders>
            <w:noWrap/>
            <w:vAlign w:val="bottom"/>
            <w:hideMark/>
          </w:tcPr>
          <w:p w14:paraId="6870E3B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141.4±4.1a</w:t>
            </w:r>
          </w:p>
        </w:tc>
        <w:tc>
          <w:tcPr>
            <w:tcW w:w="1290" w:type="dxa"/>
            <w:tcBorders>
              <w:top w:val="nil"/>
              <w:left w:val="nil"/>
              <w:bottom w:val="nil"/>
              <w:right w:val="nil"/>
            </w:tcBorders>
            <w:noWrap/>
            <w:vAlign w:val="bottom"/>
            <w:hideMark/>
          </w:tcPr>
          <w:p w14:paraId="4DDD29D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202.1±2.6 b</w:t>
            </w:r>
          </w:p>
        </w:tc>
        <w:tc>
          <w:tcPr>
            <w:tcW w:w="1216" w:type="dxa"/>
            <w:tcBorders>
              <w:top w:val="nil"/>
              <w:left w:val="nil"/>
              <w:bottom w:val="nil"/>
              <w:right w:val="nil"/>
            </w:tcBorders>
            <w:noWrap/>
            <w:vAlign w:val="bottom"/>
            <w:hideMark/>
          </w:tcPr>
          <w:p w14:paraId="389A0933"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117.5±1.6 a</w:t>
            </w:r>
          </w:p>
        </w:tc>
        <w:tc>
          <w:tcPr>
            <w:tcW w:w="1319" w:type="dxa"/>
            <w:tcBorders>
              <w:top w:val="nil"/>
              <w:left w:val="nil"/>
              <w:bottom w:val="nil"/>
              <w:right w:val="nil"/>
            </w:tcBorders>
            <w:noWrap/>
            <w:vAlign w:val="bottom"/>
            <w:hideMark/>
          </w:tcPr>
          <w:p w14:paraId="085FADF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153.9±2.6 b</w:t>
            </w:r>
          </w:p>
        </w:tc>
        <w:tc>
          <w:tcPr>
            <w:tcW w:w="1216" w:type="dxa"/>
            <w:tcBorders>
              <w:top w:val="nil"/>
              <w:left w:val="nil"/>
              <w:bottom w:val="nil"/>
              <w:right w:val="nil"/>
            </w:tcBorders>
            <w:noWrap/>
            <w:vAlign w:val="bottom"/>
            <w:hideMark/>
          </w:tcPr>
          <w:p w14:paraId="59A0A3C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171.2±2.2a</w:t>
            </w:r>
          </w:p>
        </w:tc>
        <w:tc>
          <w:tcPr>
            <w:tcW w:w="1216" w:type="dxa"/>
            <w:tcBorders>
              <w:top w:val="nil"/>
              <w:left w:val="nil"/>
              <w:bottom w:val="nil"/>
              <w:right w:val="nil"/>
            </w:tcBorders>
            <w:noWrap/>
            <w:vAlign w:val="bottom"/>
            <w:hideMark/>
          </w:tcPr>
          <w:p w14:paraId="02B90AF4"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133.0±2.1b</w:t>
            </w:r>
          </w:p>
        </w:tc>
      </w:tr>
      <w:tr w:rsidR="009140D2" w:rsidRPr="00D3093B" w14:paraId="7072F812" w14:textId="77777777" w:rsidTr="0003283A">
        <w:trPr>
          <w:trHeight w:val="290"/>
        </w:trPr>
        <w:tc>
          <w:tcPr>
            <w:tcW w:w="1420" w:type="dxa"/>
            <w:tcBorders>
              <w:top w:val="nil"/>
              <w:left w:val="nil"/>
              <w:bottom w:val="nil"/>
              <w:right w:val="nil"/>
            </w:tcBorders>
            <w:noWrap/>
            <w:vAlign w:val="bottom"/>
            <w:hideMark/>
          </w:tcPr>
          <w:p w14:paraId="012D04EA"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Moisture (%)</w:t>
            </w:r>
          </w:p>
        </w:tc>
        <w:tc>
          <w:tcPr>
            <w:tcW w:w="1230" w:type="dxa"/>
            <w:tcBorders>
              <w:top w:val="nil"/>
              <w:left w:val="nil"/>
              <w:bottom w:val="nil"/>
              <w:right w:val="nil"/>
            </w:tcBorders>
            <w:noWrap/>
            <w:vAlign w:val="bottom"/>
            <w:hideMark/>
          </w:tcPr>
          <w:p w14:paraId="372232C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7.88±0.1a</w:t>
            </w:r>
          </w:p>
        </w:tc>
        <w:tc>
          <w:tcPr>
            <w:tcW w:w="1290" w:type="dxa"/>
            <w:tcBorders>
              <w:top w:val="nil"/>
              <w:left w:val="nil"/>
              <w:bottom w:val="nil"/>
              <w:right w:val="nil"/>
            </w:tcBorders>
            <w:noWrap/>
            <w:vAlign w:val="bottom"/>
            <w:hideMark/>
          </w:tcPr>
          <w:p w14:paraId="3603488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8.45±0.09 b</w:t>
            </w:r>
          </w:p>
        </w:tc>
        <w:tc>
          <w:tcPr>
            <w:tcW w:w="1216" w:type="dxa"/>
            <w:tcBorders>
              <w:top w:val="nil"/>
              <w:left w:val="nil"/>
              <w:bottom w:val="nil"/>
              <w:right w:val="nil"/>
            </w:tcBorders>
            <w:noWrap/>
            <w:vAlign w:val="bottom"/>
            <w:hideMark/>
          </w:tcPr>
          <w:p w14:paraId="37030E0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7.88±0.08 a</w:t>
            </w:r>
          </w:p>
        </w:tc>
        <w:tc>
          <w:tcPr>
            <w:tcW w:w="1319" w:type="dxa"/>
            <w:tcBorders>
              <w:top w:val="nil"/>
              <w:left w:val="nil"/>
              <w:bottom w:val="nil"/>
              <w:right w:val="nil"/>
            </w:tcBorders>
            <w:noWrap/>
            <w:vAlign w:val="bottom"/>
            <w:hideMark/>
          </w:tcPr>
          <w:p w14:paraId="0B3D32D4"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8.45±0.09 b</w:t>
            </w:r>
          </w:p>
        </w:tc>
        <w:tc>
          <w:tcPr>
            <w:tcW w:w="1216" w:type="dxa"/>
            <w:tcBorders>
              <w:top w:val="nil"/>
              <w:left w:val="nil"/>
              <w:bottom w:val="nil"/>
              <w:right w:val="nil"/>
            </w:tcBorders>
            <w:noWrap/>
            <w:vAlign w:val="bottom"/>
            <w:hideMark/>
          </w:tcPr>
          <w:p w14:paraId="45D3A92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7.88±0.09a</w:t>
            </w:r>
          </w:p>
        </w:tc>
        <w:tc>
          <w:tcPr>
            <w:tcW w:w="1216" w:type="dxa"/>
            <w:tcBorders>
              <w:top w:val="nil"/>
              <w:left w:val="nil"/>
              <w:bottom w:val="nil"/>
              <w:right w:val="nil"/>
            </w:tcBorders>
            <w:noWrap/>
            <w:vAlign w:val="bottom"/>
            <w:hideMark/>
          </w:tcPr>
          <w:p w14:paraId="640D61EF"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8.45±0.11b</w:t>
            </w:r>
          </w:p>
        </w:tc>
      </w:tr>
      <w:tr w:rsidR="009140D2" w:rsidRPr="00D3093B" w14:paraId="68FCEFDE" w14:textId="77777777" w:rsidTr="0003283A">
        <w:trPr>
          <w:trHeight w:val="290"/>
        </w:trPr>
        <w:tc>
          <w:tcPr>
            <w:tcW w:w="1420" w:type="dxa"/>
            <w:tcBorders>
              <w:top w:val="nil"/>
              <w:left w:val="nil"/>
              <w:bottom w:val="nil"/>
              <w:right w:val="nil"/>
            </w:tcBorders>
            <w:noWrap/>
            <w:vAlign w:val="bottom"/>
            <w:hideMark/>
          </w:tcPr>
          <w:p w14:paraId="05A3BA1C"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Org matter (%)</w:t>
            </w:r>
          </w:p>
        </w:tc>
        <w:tc>
          <w:tcPr>
            <w:tcW w:w="1230" w:type="dxa"/>
            <w:tcBorders>
              <w:top w:val="nil"/>
              <w:left w:val="nil"/>
              <w:bottom w:val="nil"/>
              <w:right w:val="nil"/>
            </w:tcBorders>
            <w:noWrap/>
            <w:vAlign w:val="bottom"/>
            <w:hideMark/>
          </w:tcPr>
          <w:p w14:paraId="7527897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0.85±0.02a</w:t>
            </w:r>
          </w:p>
        </w:tc>
        <w:tc>
          <w:tcPr>
            <w:tcW w:w="1290" w:type="dxa"/>
            <w:tcBorders>
              <w:top w:val="nil"/>
              <w:left w:val="nil"/>
              <w:bottom w:val="nil"/>
              <w:right w:val="nil"/>
            </w:tcBorders>
            <w:noWrap/>
            <w:vAlign w:val="bottom"/>
            <w:hideMark/>
          </w:tcPr>
          <w:p w14:paraId="08D20E33"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0.31±0.02 b</w:t>
            </w:r>
          </w:p>
        </w:tc>
        <w:tc>
          <w:tcPr>
            <w:tcW w:w="1216" w:type="dxa"/>
            <w:tcBorders>
              <w:top w:val="nil"/>
              <w:left w:val="nil"/>
              <w:bottom w:val="nil"/>
              <w:right w:val="nil"/>
            </w:tcBorders>
            <w:noWrap/>
            <w:vAlign w:val="bottom"/>
            <w:hideMark/>
          </w:tcPr>
          <w:p w14:paraId="7D777E2F"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7.880.05 a</w:t>
            </w:r>
          </w:p>
        </w:tc>
        <w:tc>
          <w:tcPr>
            <w:tcW w:w="1319" w:type="dxa"/>
            <w:tcBorders>
              <w:top w:val="nil"/>
              <w:left w:val="nil"/>
              <w:bottom w:val="nil"/>
              <w:right w:val="nil"/>
            </w:tcBorders>
            <w:noWrap/>
            <w:vAlign w:val="bottom"/>
            <w:hideMark/>
          </w:tcPr>
          <w:p w14:paraId="6C30D21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8.45±0.08 b</w:t>
            </w:r>
          </w:p>
        </w:tc>
        <w:tc>
          <w:tcPr>
            <w:tcW w:w="1216" w:type="dxa"/>
            <w:tcBorders>
              <w:top w:val="nil"/>
              <w:left w:val="nil"/>
              <w:bottom w:val="nil"/>
              <w:right w:val="nil"/>
            </w:tcBorders>
            <w:noWrap/>
            <w:vAlign w:val="bottom"/>
            <w:hideMark/>
          </w:tcPr>
          <w:p w14:paraId="27F9013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0.52±0.06a</w:t>
            </w:r>
          </w:p>
        </w:tc>
        <w:tc>
          <w:tcPr>
            <w:tcW w:w="1216" w:type="dxa"/>
            <w:tcBorders>
              <w:top w:val="nil"/>
              <w:left w:val="nil"/>
              <w:bottom w:val="nil"/>
              <w:right w:val="nil"/>
            </w:tcBorders>
            <w:noWrap/>
            <w:vAlign w:val="bottom"/>
            <w:hideMark/>
          </w:tcPr>
          <w:p w14:paraId="16AF953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0.67±0.08b</w:t>
            </w:r>
          </w:p>
        </w:tc>
      </w:tr>
      <w:tr w:rsidR="009140D2" w:rsidRPr="00D3093B" w14:paraId="7222A496" w14:textId="77777777" w:rsidTr="0003283A">
        <w:trPr>
          <w:trHeight w:val="290"/>
        </w:trPr>
        <w:tc>
          <w:tcPr>
            <w:tcW w:w="1420" w:type="dxa"/>
            <w:tcBorders>
              <w:top w:val="nil"/>
              <w:left w:val="nil"/>
              <w:bottom w:val="nil"/>
              <w:right w:val="nil"/>
            </w:tcBorders>
            <w:noWrap/>
            <w:vAlign w:val="bottom"/>
            <w:hideMark/>
          </w:tcPr>
          <w:p w14:paraId="4A8B0604"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 (%)</w:t>
            </w:r>
          </w:p>
        </w:tc>
        <w:tc>
          <w:tcPr>
            <w:tcW w:w="1230" w:type="dxa"/>
            <w:tcBorders>
              <w:top w:val="nil"/>
              <w:left w:val="nil"/>
              <w:bottom w:val="nil"/>
              <w:right w:val="nil"/>
            </w:tcBorders>
            <w:noWrap/>
            <w:vAlign w:val="bottom"/>
            <w:hideMark/>
          </w:tcPr>
          <w:p w14:paraId="5272B6A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0.71±0.01a</w:t>
            </w:r>
          </w:p>
        </w:tc>
        <w:tc>
          <w:tcPr>
            <w:tcW w:w="1290" w:type="dxa"/>
            <w:tcBorders>
              <w:top w:val="nil"/>
              <w:left w:val="nil"/>
              <w:bottom w:val="nil"/>
              <w:right w:val="nil"/>
            </w:tcBorders>
            <w:noWrap/>
            <w:vAlign w:val="bottom"/>
            <w:hideMark/>
          </w:tcPr>
          <w:p w14:paraId="15D5C71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0.62±0.02b</w:t>
            </w:r>
          </w:p>
        </w:tc>
        <w:tc>
          <w:tcPr>
            <w:tcW w:w="1216" w:type="dxa"/>
            <w:tcBorders>
              <w:top w:val="nil"/>
              <w:left w:val="nil"/>
              <w:bottom w:val="nil"/>
              <w:right w:val="nil"/>
            </w:tcBorders>
            <w:noWrap/>
            <w:vAlign w:val="bottom"/>
            <w:hideMark/>
          </w:tcPr>
          <w:p w14:paraId="4542729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0.06±0.002a</w:t>
            </w:r>
          </w:p>
        </w:tc>
        <w:tc>
          <w:tcPr>
            <w:tcW w:w="1319" w:type="dxa"/>
            <w:tcBorders>
              <w:top w:val="nil"/>
              <w:left w:val="nil"/>
              <w:bottom w:val="nil"/>
              <w:right w:val="nil"/>
            </w:tcBorders>
            <w:noWrap/>
            <w:vAlign w:val="bottom"/>
            <w:hideMark/>
          </w:tcPr>
          <w:p w14:paraId="213343D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0.47±0.01b</w:t>
            </w:r>
          </w:p>
        </w:tc>
        <w:tc>
          <w:tcPr>
            <w:tcW w:w="1216" w:type="dxa"/>
            <w:tcBorders>
              <w:top w:val="nil"/>
              <w:left w:val="nil"/>
              <w:bottom w:val="nil"/>
              <w:right w:val="nil"/>
            </w:tcBorders>
            <w:noWrap/>
            <w:vAlign w:val="bottom"/>
            <w:hideMark/>
          </w:tcPr>
          <w:p w14:paraId="46BEEE1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0.42±0.05a</w:t>
            </w:r>
          </w:p>
        </w:tc>
        <w:tc>
          <w:tcPr>
            <w:tcW w:w="1216" w:type="dxa"/>
            <w:tcBorders>
              <w:top w:val="nil"/>
              <w:left w:val="nil"/>
              <w:bottom w:val="nil"/>
              <w:right w:val="nil"/>
            </w:tcBorders>
            <w:noWrap/>
            <w:vAlign w:val="bottom"/>
            <w:hideMark/>
          </w:tcPr>
          <w:p w14:paraId="25C0D7C7"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0.48±0.06b</w:t>
            </w:r>
          </w:p>
        </w:tc>
      </w:tr>
      <w:tr w:rsidR="009140D2" w:rsidRPr="00D3093B" w14:paraId="5F1873F2" w14:textId="77777777" w:rsidTr="0003283A">
        <w:trPr>
          <w:trHeight w:val="290"/>
        </w:trPr>
        <w:tc>
          <w:tcPr>
            <w:tcW w:w="1420" w:type="dxa"/>
            <w:tcBorders>
              <w:top w:val="nil"/>
              <w:left w:val="nil"/>
              <w:bottom w:val="nil"/>
              <w:right w:val="nil"/>
            </w:tcBorders>
            <w:noWrap/>
            <w:vAlign w:val="bottom"/>
            <w:hideMark/>
          </w:tcPr>
          <w:p w14:paraId="361110A5"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N (%)</w:t>
            </w:r>
          </w:p>
        </w:tc>
        <w:tc>
          <w:tcPr>
            <w:tcW w:w="1230" w:type="dxa"/>
            <w:tcBorders>
              <w:top w:val="nil"/>
              <w:left w:val="nil"/>
              <w:bottom w:val="nil"/>
              <w:right w:val="nil"/>
            </w:tcBorders>
            <w:noWrap/>
            <w:vAlign w:val="bottom"/>
            <w:hideMark/>
          </w:tcPr>
          <w:p w14:paraId="47B8510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0.09±0.002a</w:t>
            </w:r>
          </w:p>
        </w:tc>
        <w:tc>
          <w:tcPr>
            <w:tcW w:w="1290" w:type="dxa"/>
            <w:tcBorders>
              <w:top w:val="nil"/>
              <w:left w:val="nil"/>
              <w:bottom w:val="nil"/>
              <w:right w:val="nil"/>
            </w:tcBorders>
            <w:noWrap/>
            <w:vAlign w:val="bottom"/>
            <w:hideMark/>
          </w:tcPr>
          <w:p w14:paraId="050A21A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0.10±0.01a</w:t>
            </w:r>
          </w:p>
        </w:tc>
        <w:tc>
          <w:tcPr>
            <w:tcW w:w="1216" w:type="dxa"/>
            <w:tcBorders>
              <w:top w:val="nil"/>
              <w:left w:val="nil"/>
              <w:bottom w:val="nil"/>
              <w:right w:val="nil"/>
            </w:tcBorders>
            <w:noWrap/>
            <w:vAlign w:val="bottom"/>
            <w:hideMark/>
          </w:tcPr>
          <w:p w14:paraId="70BA243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0.08±0.002a</w:t>
            </w:r>
          </w:p>
        </w:tc>
        <w:tc>
          <w:tcPr>
            <w:tcW w:w="1319" w:type="dxa"/>
            <w:tcBorders>
              <w:top w:val="nil"/>
              <w:left w:val="nil"/>
              <w:bottom w:val="nil"/>
              <w:right w:val="nil"/>
            </w:tcBorders>
            <w:noWrap/>
            <w:vAlign w:val="bottom"/>
            <w:hideMark/>
          </w:tcPr>
          <w:p w14:paraId="300D1BD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0.08±0.01a</w:t>
            </w:r>
          </w:p>
        </w:tc>
        <w:tc>
          <w:tcPr>
            <w:tcW w:w="1216" w:type="dxa"/>
            <w:tcBorders>
              <w:top w:val="nil"/>
              <w:left w:val="nil"/>
              <w:bottom w:val="nil"/>
              <w:right w:val="nil"/>
            </w:tcBorders>
            <w:noWrap/>
            <w:vAlign w:val="bottom"/>
            <w:hideMark/>
          </w:tcPr>
          <w:p w14:paraId="01F0EAE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0.07±0.01a</w:t>
            </w:r>
          </w:p>
        </w:tc>
        <w:tc>
          <w:tcPr>
            <w:tcW w:w="1216" w:type="dxa"/>
            <w:tcBorders>
              <w:top w:val="nil"/>
              <w:left w:val="nil"/>
              <w:bottom w:val="nil"/>
              <w:right w:val="nil"/>
            </w:tcBorders>
            <w:noWrap/>
            <w:vAlign w:val="bottom"/>
            <w:hideMark/>
          </w:tcPr>
          <w:p w14:paraId="126F9E4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0.07±0.02a</w:t>
            </w:r>
          </w:p>
        </w:tc>
      </w:tr>
      <w:tr w:rsidR="009140D2" w:rsidRPr="00D3093B" w14:paraId="742E9B0E" w14:textId="77777777" w:rsidTr="0003283A">
        <w:trPr>
          <w:trHeight w:val="290"/>
        </w:trPr>
        <w:tc>
          <w:tcPr>
            <w:tcW w:w="1420" w:type="dxa"/>
            <w:tcBorders>
              <w:top w:val="nil"/>
              <w:left w:val="nil"/>
              <w:bottom w:val="nil"/>
              <w:right w:val="nil"/>
            </w:tcBorders>
            <w:noWrap/>
            <w:vAlign w:val="bottom"/>
            <w:hideMark/>
          </w:tcPr>
          <w:p w14:paraId="4824ED72"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P (%)</w:t>
            </w:r>
          </w:p>
        </w:tc>
        <w:tc>
          <w:tcPr>
            <w:tcW w:w="1230" w:type="dxa"/>
            <w:tcBorders>
              <w:top w:val="nil"/>
              <w:left w:val="nil"/>
              <w:bottom w:val="nil"/>
              <w:right w:val="nil"/>
            </w:tcBorders>
            <w:noWrap/>
            <w:vAlign w:val="bottom"/>
            <w:hideMark/>
          </w:tcPr>
          <w:p w14:paraId="4BB602C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25.52±0.16a</w:t>
            </w:r>
          </w:p>
        </w:tc>
        <w:tc>
          <w:tcPr>
            <w:tcW w:w="1290" w:type="dxa"/>
            <w:tcBorders>
              <w:top w:val="nil"/>
              <w:left w:val="nil"/>
              <w:bottom w:val="nil"/>
              <w:right w:val="nil"/>
            </w:tcBorders>
            <w:noWrap/>
            <w:vAlign w:val="bottom"/>
            <w:hideMark/>
          </w:tcPr>
          <w:p w14:paraId="2095A0B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34.66±0.08b</w:t>
            </w:r>
          </w:p>
        </w:tc>
        <w:tc>
          <w:tcPr>
            <w:tcW w:w="1216" w:type="dxa"/>
            <w:tcBorders>
              <w:top w:val="nil"/>
              <w:left w:val="nil"/>
              <w:bottom w:val="nil"/>
              <w:right w:val="nil"/>
            </w:tcBorders>
            <w:noWrap/>
            <w:vAlign w:val="bottom"/>
            <w:hideMark/>
          </w:tcPr>
          <w:p w14:paraId="2743D2E4"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24.42±0.38a</w:t>
            </w:r>
          </w:p>
        </w:tc>
        <w:tc>
          <w:tcPr>
            <w:tcW w:w="1319" w:type="dxa"/>
            <w:tcBorders>
              <w:top w:val="nil"/>
              <w:left w:val="nil"/>
              <w:bottom w:val="nil"/>
              <w:right w:val="nil"/>
            </w:tcBorders>
            <w:noWrap/>
            <w:vAlign w:val="bottom"/>
            <w:hideMark/>
          </w:tcPr>
          <w:p w14:paraId="6FFE4E1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30.25±0.49b</w:t>
            </w:r>
          </w:p>
        </w:tc>
        <w:tc>
          <w:tcPr>
            <w:tcW w:w="1216" w:type="dxa"/>
            <w:tcBorders>
              <w:top w:val="nil"/>
              <w:left w:val="nil"/>
              <w:bottom w:val="nil"/>
              <w:right w:val="nil"/>
            </w:tcBorders>
            <w:noWrap/>
            <w:vAlign w:val="bottom"/>
            <w:hideMark/>
          </w:tcPr>
          <w:p w14:paraId="0A05C8D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26.15±0.21a</w:t>
            </w:r>
          </w:p>
        </w:tc>
        <w:tc>
          <w:tcPr>
            <w:tcW w:w="1216" w:type="dxa"/>
            <w:tcBorders>
              <w:top w:val="nil"/>
              <w:left w:val="nil"/>
              <w:bottom w:val="nil"/>
              <w:right w:val="nil"/>
            </w:tcBorders>
            <w:noWrap/>
            <w:vAlign w:val="bottom"/>
            <w:hideMark/>
          </w:tcPr>
          <w:p w14:paraId="1AF6412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22.69±0.25b</w:t>
            </w:r>
          </w:p>
        </w:tc>
      </w:tr>
      <w:tr w:rsidR="009140D2" w:rsidRPr="00D3093B" w14:paraId="5AEE01A2" w14:textId="77777777" w:rsidTr="0003283A">
        <w:trPr>
          <w:trHeight w:val="290"/>
        </w:trPr>
        <w:tc>
          <w:tcPr>
            <w:tcW w:w="1420" w:type="dxa"/>
            <w:tcBorders>
              <w:top w:val="nil"/>
              <w:left w:val="nil"/>
              <w:bottom w:val="nil"/>
              <w:right w:val="nil"/>
            </w:tcBorders>
            <w:noWrap/>
            <w:vAlign w:val="bottom"/>
            <w:hideMark/>
          </w:tcPr>
          <w:p w14:paraId="3AFF6E22"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K (%)</w:t>
            </w:r>
          </w:p>
        </w:tc>
        <w:tc>
          <w:tcPr>
            <w:tcW w:w="1230" w:type="dxa"/>
            <w:tcBorders>
              <w:top w:val="nil"/>
              <w:left w:val="nil"/>
              <w:bottom w:val="nil"/>
              <w:right w:val="nil"/>
            </w:tcBorders>
            <w:noWrap/>
            <w:vAlign w:val="bottom"/>
            <w:hideMark/>
          </w:tcPr>
          <w:p w14:paraId="7430E68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279.44±3.8a</w:t>
            </w:r>
          </w:p>
        </w:tc>
        <w:tc>
          <w:tcPr>
            <w:tcW w:w="1290" w:type="dxa"/>
            <w:tcBorders>
              <w:top w:val="nil"/>
              <w:left w:val="nil"/>
              <w:bottom w:val="nil"/>
              <w:right w:val="nil"/>
            </w:tcBorders>
            <w:noWrap/>
            <w:vAlign w:val="bottom"/>
            <w:hideMark/>
          </w:tcPr>
          <w:p w14:paraId="1309345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609.36±4.1b</w:t>
            </w:r>
          </w:p>
        </w:tc>
        <w:tc>
          <w:tcPr>
            <w:tcW w:w="1216" w:type="dxa"/>
            <w:tcBorders>
              <w:top w:val="nil"/>
              <w:left w:val="nil"/>
              <w:bottom w:val="nil"/>
              <w:right w:val="nil"/>
            </w:tcBorders>
            <w:noWrap/>
            <w:vAlign w:val="bottom"/>
            <w:hideMark/>
          </w:tcPr>
          <w:p w14:paraId="6328EEC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191.0±3.4a</w:t>
            </w:r>
          </w:p>
        </w:tc>
        <w:tc>
          <w:tcPr>
            <w:tcW w:w="1319" w:type="dxa"/>
            <w:tcBorders>
              <w:top w:val="nil"/>
              <w:left w:val="nil"/>
              <w:bottom w:val="nil"/>
              <w:right w:val="nil"/>
            </w:tcBorders>
            <w:noWrap/>
            <w:vAlign w:val="bottom"/>
            <w:hideMark/>
          </w:tcPr>
          <w:p w14:paraId="345C281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472.16±4.8b</w:t>
            </w:r>
          </w:p>
        </w:tc>
        <w:tc>
          <w:tcPr>
            <w:tcW w:w="1216" w:type="dxa"/>
            <w:tcBorders>
              <w:top w:val="nil"/>
              <w:left w:val="nil"/>
              <w:bottom w:val="nil"/>
              <w:right w:val="nil"/>
            </w:tcBorders>
            <w:noWrap/>
            <w:vAlign w:val="bottom"/>
            <w:hideMark/>
          </w:tcPr>
          <w:p w14:paraId="4E7B139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381.16±5.2a</w:t>
            </w:r>
          </w:p>
        </w:tc>
        <w:tc>
          <w:tcPr>
            <w:tcW w:w="1216" w:type="dxa"/>
            <w:tcBorders>
              <w:top w:val="nil"/>
              <w:left w:val="nil"/>
              <w:bottom w:val="nil"/>
              <w:right w:val="nil"/>
            </w:tcBorders>
            <w:noWrap/>
            <w:vAlign w:val="bottom"/>
            <w:hideMark/>
          </w:tcPr>
          <w:p w14:paraId="62AB266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298.24±4.5b</w:t>
            </w:r>
          </w:p>
        </w:tc>
      </w:tr>
      <w:tr w:rsidR="009140D2" w:rsidRPr="00D3093B" w14:paraId="227C9957" w14:textId="77777777" w:rsidTr="0003283A">
        <w:trPr>
          <w:trHeight w:val="290"/>
        </w:trPr>
        <w:tc>
          <w:tcPr>
            <w:tcW w:w="1420" w:type="dxa"/>
            <w:tcBorders>
              <w:top w:val="nil"/>
              <w:left w:val="nil"/>
              <w:bottom w:val="nil"/>
              <w:right w:val="nil"/>
            </w:tcBorders>
            <w:noWrap/>
            <w:vAlign w:val="bottom"/>
            <w:hideMark/>
          </w:tcPr>
          <w:p w14:paraId="77C17C1D"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Ca (%)</w:t>
            </w:r>
          </w:p>
        </w:tc>
        <w:tc>
          <w:tcPr>
            <w:tcW w:w="1230" w:type="dxa"/>
            <w:tcBorders>
              <w:top w:val="nil"/>
              <w:left w:val="nil"/>
              <w:bottom w:val="nil"/>
              <w:right w:val="nil"/>
            </w:tcBorders>
            <w:noWrap/>
            <w:vAlign w:val="bottom"/>
            <w:hideMark/>
          </w:tcPr>
          <w:p w14:paraId="54C363B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5.20±0.02a</w:t>
            </w:r>
          </w:p>
        </w:tc>
        <w:tc>
          <w:tcPr>
            <w:tcW w:w="1290" w:type="dxa"/>
            <w:tcBorders>
              <w:top w:val="nil"/>
              <w:left w:val="nil"/>
              <w:bottom w:val="nil"/>
              <w:right w:val="nil"/>
            </w:tcBorders>
            <w:noWrap/>
            <w:vAlign w:val="bottom"/>
            <w:hideMark/>
          </w:tcPr>
          <w:p w14:paraId="66D43A37"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3.30±0.002b</w:t>
            </w:r>
          </w:p>
        </w:tc>
        <w:tc>
          <w:tcPr>
            <w:tcW w:w="1216" w:type="dxa"/>
            <w:tcBorders>
              <w:top w:val="nil"/>
              <w:left w:val="nil"/>
              <w:bottom w:val="nil"/>
              <w:right w:val="nil"/>
            </w:tcBorders>
            <w:noWrap/>
            <w:vAlign w:val="bottom"/>
            <w:hideMark/>
          </w:tcPr>
          <w:p w14:paraId="76CA43A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3.50±0.22a</w:t>
            </w:r>
          </w:p>
        </w:tc>
        <w:tc>
          <w:tcPr>
            <w:tcW w:w="1319" w:type="dxa"/>
            <w:tcBorders>
              <w:top w:val="nil"/>
              <w:left w:val="nil"/>
              <w:bottom w:val="nil"/>
              <w:right w:val="nil"/>
            </w:tcBorders>
            <w:noWrap/>
            <w:vAlign w:val="bottom"/>
            <w:hideMark/>
          </w:tcPr>
          <w:p w14:paraId="4892E25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4.80±0.15b</w:t>
            </w:r>
          </w:p>
        </w:tc>
        <w:tc>
          <w:tcPr>
            <w:tcW w:w="1216" w:type="dxa"/>
            <w:tcBorders>
              <w:top w:val="nil"/>
              <w:left w:val="nil"/>
              <w:bottom w:val="nil"/>
              <w:right w:val="nil"/>
            </w:tcBorders>
            <w:noWrap/>
            <w:vAlign w:val="bottom"/>
            <w:hideMark/>
          </w:tcPr>
          <w:p w14:paraId="4602211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4.0±0.7a</w:t>
            </w:r>
          </w:p>
        </w:tc>
        <w:tc>
          <w:tcPr>
            <w:tcW w:w="1216" w:type="dxa"/>
            <w:tcBorders>
              <w:top w:val="nil"/>
              <w:left w:val="nil"/>
              <w:bottom w:val="nil"/>
              <w:right w:val="nil"/>
            </w:tcBorders>
            <w:noWrap/>
            <w:vAlign w:val="bottom"/>
            <w:hideMark/>
          </w:tcPr>
          <w:p w14:paraId="5ABD1287"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4.30±0.6b</w:t>
            </w:r>
          </w:p>
        </w:tc>
      </w:tr>
      <w:tr w:rsidR="009140D2" w:rsidRPr="00D3093B" w14:paraId="53055C59" w14:textId="77777777" w:rsidTr="0003283A">
        <w:trPr>
          <w:trHeight w:val="290"/>
        </w:trPr>
        <w:tc>
          <w:tcPr>
            <w:tcW w:w="1420" w:type="dxa"/>
            <w:tcBorders>
              <w:top w:val="nil"/>
              <w:left w:val="nil"/>
              <w:bottom w:val="nil"/>
              <w:right w:val="nil"/>
            </w:tcBorders>
            <w:noWrap/>
            <w:vAlign w:val="bottom"/>
            <w:hideMark/>
          </w:tcPr>
          <w:p w14:paraId="21135F59"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Mg (%)</w:t>
            </w:r>
          </w:p>
        </w:tc>
        <w:tc>
          <w:tcPr>
            <w:tcW w:w="1230" w:type="dxa"/>
            <w:tcBorders>
              <w:top w:val="nil"/>
              <w:left w:val="nil"/>
              <w:bottom w:val="nil"/>
              <w:right w:val="nil"/>
            </w:tcBorders>
            <w:noWrap/>
            <w:vAlign w:val="bottom"/>
            <w:hideMark/>
          </w:tcPr>
          <w:p w14:paraId="7F3D8A6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2.80±0.01a</w:t>
            </w:r>
          </w:p>
        </w:tc>
        <w:tc>
          <w:tcPr>
            <w:tcW w:w="1290" w:type="dxa"/>
            <w:tcBorders>
              <w:top w:val="nil"/>
              <w:left w:val="nil"/>
              <w:bottom w:val="nil"/>
              <w:right w:val="nil"/>
            </w:tcBorders>
            <w:noWrap/>
            <w:vAlign w:val="bottom"/>
            <w:hideMark/>
          </w:tcPr>
          <w:p w14:paraId="76F3B70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0.20±0.01b</w:t>
            </w:r>
          </w:p>
        </w:tc>
        <w:tc>
          <w:tcPr>
            <w:tcW w:w="1216" w:type="dxa"/>
            <w:tcBorders>
              <w:top w:val="nil"/>
              <w:left w:val="nil"/>
              <w:bottom w:val="nil"/>
              <w:right w:val="nil"/>
            </w:tcBorders>
            <w:noWrap/>
            <w:vAlign w:val="bottom"/>
            <w:hideMark/>
          </w:tcPr>
          <w:p w14:paraId="7EC0B20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0.200.02a</w:t>
            </w:r>
          </w:p>
        </w:tc>
        <w:tc>
          <w:tcPr>
            <w:tcW w:w="1319" w:type="dxa"/>
            <w:tcBorders>
              <w:top w:val="nil"/>
              <w:left w:val="nil"/>
              <w:bottom w:val="nil"/>
              <w:right w:val="nil"/>
            </w:tcBorders>
            <w:noWrap/>
            <w:vAlign w:val="bottom"/>
            <w:hideMark/>
          </w:tcPr>
          <w:p w14:paraId="417B6CF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1.20±0.06b</w:t>
            </w:r>
          </w:p>
        </w:tc>
        <w:tc>
          <w:tcPr>
            <w:tcW w:w="1216" w:type="dxa"/>
            <w:tcBorders>
              <w:top w:val="nil"/>
              <w:left w:val="nil"/>
              <w:bottom w:val="nil"/>
              <w:right w:val="nil"/>
            </w:tcBorders>
            <w:noWrap/>
            <w:vAlign w:val="bottom"/>
            <w:hideMark/>
          </w:tcPr>
          <w:p w14:paraId="3710549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0.50±0.02a</w:t>
            </w:r>
          </w:p>
        </w:tc>
        <w:tc>
          <w:tcPr>
            <w:tcW w:w="1216" w:type="dxa"/>
            <w:tcBorders>
              <w:top w:val="nil"/>
              <w:left w:val="nil"/>
              <w:bottom w:val="nil"/>
              <w:right w:val="nil"/>
            </w:tcBorders>
            <w:noWrap/>
            <w:vAlign w:val="bottom"/>
            <w:hideMark/>
          </w:tcPr>
          <w:p w14:paraId="088AE1C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0.40±0.06b</w:t>
            </w:r>
          </w:p>
        </w:tc>
      </w:tr>
      <w:tr w:rsidR="009140D2" w:rsidRPr="00D3093B" w14:paraId="748DA6C2" w14:textId="77777777" w:rsidTr="0003283A">
        <w:trPr>
          <w:trHeight w:val="290"/>
        </w:trPr>
        <w:tc>
          <w:tcPr>
            <w:tcW w:w="1420" w:type="dxa"/>
            <w:tcBorders>
              <w:top w:val="nil"/>
              <w:left w:val="nil"/>
              <w:bottom w:val="nil"/>
              <w:right w:val="nil"/>
            </w:tcBorders>
            <w:noWrap/>
            <w:vAlign w:val="bottom"/>
            <w:hideMark/>
          </w:tcPr>
          <w:p w14:paraId="0FB4AB3C"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Fe (mg/kg)</w:t>
            </w:r>
          </w:p>
        </w:tc>
        <w:tc>
          <w:tcPr>
            <w:tcW w:w="1230" w:type="dxa"/>
            <w:tcBorders>
              <w:top w:val="nil"/>
              <w:left w:val="nil"/>
              <w:bottom w:val="nil"/>
              <w:right w:val="nil"/>
            </w:tcBorders>
            <w:noWrap/>
            <w:vAlign w:val="bottom"/>
            <w:hideMark/>
          </w:tcPr>
          <w:p w14:paraId="2119DBA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26.08±0.16a</w:t>
            </w:r>
          </w:p>
        </w:tc>
        <w:tc>
          <w:tcPr>
            <w:tcW w:w="1290" w:type="dxa"/>
            <w:tcBorders>
              <w:top w:val="nil"/>
              <w:left w:val="nil"/>
              <w:bottom w:val="nil"/>
              <w:right w:val="nil"/>
            </w:tcBorders>
            <w:noWrap/>
            <w:vAlign w:val="bottom"/>
            <w:hideMark/>
          </w:tcPr>
          <w:p w14:paraId="780CCB7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28.62±0.21b</w:t>
            </w:r>
          </w:p>
        </w:tc>
        <w:tc>
          <w:tcPr>
            <w:tcW w:w="1216" w:type="dxa"/>
            <w:tcBorders>
              <w:top w:val="nil"/>
              <w:left w:val="nil"/>
              <w:bottom w:val="nil"/>
              <w:right w:val="nil"/>
            </w:tcBorders>
            <w:noWrap/>
            <w:vAlign w:val="bottom"/>
            <w:hideMark/>
          </w:tcPr>
          <w:p w14:paraId="1DE5A13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47.59±0.31a</w:t>
            </w:r>
          </w:p>
        </w:tc>
        <w:tc>
          <w:tcPr>
            <w:tcW w:w="1319" w:type="dxa"/>
            <w:tcBorders>
              <w:top w:val="nil"/>
              <w:left w:val="nil"/>
              <w:bottom w:val="nil"/>
              <w:right w:val="nil"/>
            </w:tcBorders>
            <w:noWrap/>
            <w:vAlign w:val="bottom"/>
            <w:hideMark/>
          </w:tcPr>
          <w:p w14:paraId="0D669BD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28.62±0.16b</w:t>
            </w:r>
          </w:p>
        </w:tc>
        <w:tc>
          <w:tcPr>
            <w:tcW w:w="1216" w:type="dxa"/>
            <w:tcBorders>
              <w:top w:val="nil"/>
              <w:left w:val="nil"/>
              <w:bottom w:val="nil"/>
              <w:right w:val="nil"/>
            </w:tcBorders>
            <w:noWrap/>
            <w:vAlign w:val="bottom"/>
            <w:hideMark/>
          </w:tcPr>
          <w:p w14:paraId="347641C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36.68±0.25a</w:t>
            </w:r>
          </w:p>
        </w:tc>
        <w:tc>
          <w:tcPr>
            <w:tcW w:w="1216" w:type="dxa"/>
            <w:tcBorders>
              <w:top w:val="nil"/>
              <w:left w:val="nil"/>
              <w:bottom w:val="nil"/>
              <w:right w:val="nil"/>
            </w:tcBorders>
            <w:noWrap/>
            <w:vAlign w:val="bottom"/>
            <w:hideMark/>
          </w:tcPr>
          <w:p w14:paraId="37C7517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38.80±0.29b</w:t>
            </w:r>
          </w:p>
        </w:tc>
      </w:tr>
      <w:tr w:rsidR="009140D2" w:rsidRPr="00D3093B" w14:paraId="25ECEA54" w14:textId="77777777" w:rsidTr="0003283A">
        <w:trPr>
          <w:trHeight w:val="290"/>
        </w:trPr>
        <w:tc>
          <w:tcPr>
            <w:tcW w:w="1420" w:type="dxa"/>
            <w:tcBorders>
              <w:top w:val="nil"/>
              <w:left w:val="nil"/>
              <w:bottom w:val="nil"/>
              <w:right w:val="nil"/>
            </w:tcBorders>
            <w:noWrap/>
            <w:vAlign w:val="bottom"/>
            <w:hideMark/>
          </w:tcPr>
          <w:p w14:paraId="794360D3"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Mn (mg/kg)</w:t>
            </w:r>
          </w:p>
        </w:tc>
        <w:tc>
          <w:tcPr>
            <w:tcW w:w="1230" w:type="dxa"/>
            <w:tcBorders>
              <w:top w:val="nil"/>
              <w:left w:val="nil"/>
              <w:bottom w:val="nil"/>
              <w:right w:val="nil"/>
            </w:tcBorders>
            <w:noWrap/>
            <w:vAlign w:val="bottom"/>
            <w:hideMark/>
          </w:tcPr>
          <w:p w14:paraId="28E684B3"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37.08±0.16a</w:t>
            </w:r>
          </w:p>
        </w:tc>
        <w:tc>
          <w:tcPr>
            <w:tcW w:w="1290" w:type="dxa"/>
            <w:tcBorders>
              <w:top w:val="nil"/>
              <w:left w:val="nil"/>
              <w:bottom w:val="nil"/>
              <w:right w:val="nil"/>
            </w:tcBorders>
            <w:noWrap/>
            <w:vAlign w:val="bottom"/>
            <w:hideMark/>
          </w:tcPr>
          <w:p w14:paraId="2E7D9F3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51.82±0.24 b</w:t>
            </w:r>
          </w:p>
        </w:tc>
        <w:tc>
          <w:tcPr>
            <w:tcW w:w="1216" w:type="dxa"/>
            <w:tcBorders>
              <w:top w:val="nil"/>
              <w:left w:val="nil"/>
              <w:bottom w:val="nil"/>
              <w:right w:val="nil"/>
            </w:tcBorders>
            <w:noWrap/>
            <w:vAlign w:val="bottom"/>
            <w:hideMark/>
          </w:tcPr>
          <w:p w14:paraId="2451F92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19.63±0.16a</w:t>
            </w:r>
          </w:p>
        </w:tc>
        <w:tc>
          <w:tcPr>
            <w:tcW w:w="1319" w:type="dxa"/>
            <w:tcBorders>
              <w:top w:val="nil"/>
              <w:left w:val="nil"/>
              <w:bottom w:val="nil"/>
              <w:right w:val="nil"/>
            </w:tcBorders>
            <w:noWrap/>
            <w:vAlign w:val="bottom"/>
            <w:hideMark/>
          </w:tcPr>
          <w:p w14:paraId="77D0A79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40.92±0.31b</w:t>
            </w:r>
          </w:p>
        </w:tc>
        <w:tc>
          <w:tcPr>
            <w:tcW w:w="1216" w:type="dxa"/>
            <w:tcBorders>
              <w:top w:val="nil"/>
              <w:left w:val="nil"/>
              <w:bottom w:val="nil"/>
              <w:right w:val="nil"/>
            </w:tcBorders>
            <w:noWrap/>
            <w:vAlign w:val="bottom"/>
            <w:hideMark/>
          </w:tcPr>
          <w:p w14:paraId="1AB9EB7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65.65±1.5a</w:t>
            </w:r>
          </w:p>
        </w:tc>
        <w:tc>
          <w:tcPr>
            <w:tcW w:w="1216" w:type="dxa"/>
            <w:tcBorders>
              <w:top w:val="nil"/>
              <w:left w:val="nil"/>
              <w:bottom w:val="nil"/>
              <w:right w:val="nil"/>
            </w:tcBorders>
            <w:noWrap/>
            <w:vAlign w:val="bottom"/>
            <w:hideMark/>
          </w:tcPr>
          <w:p w14:paraId="698B73F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54.02±1.2b</w:t>
            </w:r>
          </w:p>
        </w:tc>
      </w:tr>
      <w:tr w:rsidR="009140D2" w:rsidRPr="00D3093B" w14:paraId="69899B5B" w14:textId="77777777" w:rsidTr="0003283A">
        <w:trPr>
          <w:trHeight w:val="290"/>
        </w:trPr>
        <w:tc>
          <w:tcPr>
            <w:tcW w:w="1420" w:type="dxa"/>
            <w:tcBorders>
              <w:top w:val="nil"/>
              <w:left w:val="nil"/>
              <w:bottom w:val="nil"/>
              <w:right w:val="nil"/>
            </w:tcBorders>
            <w:noWrap/>
            <w:vAlign w:val="bottom"/>
            <w:hideMark/>
          </w:tcPr>
          <w:p w14:paraId="0CE66E50"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Zn (mg/kg)</w:t>
            </w:r>
          </w:p>
        </w:tc>
        <w:tc>
          <w:tcPr>
            <w:tcW w:w="1230" w:type="dxa"/>
            <w:tcBorders>
              <w:top w:val="nil"/>
              <w:left w:val="nil"/>
              <w:bottom w:val="nil"/>
              <w:right w:val="nil"/>
            </w:tcBorders>
            <w:noWrap/>
            <w:vAlign w:val="bottom"/>
            <w:hideMark/>
          </w:tcPr>
          <w:p w14:paraId="7F22A5B6"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5.01±0.06a</w:t>
            </w:r>
          </w:p>
        </w:tc>
        <w:tc>
          <w:tcPr>
            <w:tcW w:w="1290" w:type="dxa"/>
            <w:tcBorders>
              <w:top w:val="nil"/>
              <w:left w:val="nil"/>
              <w:bottom w:val="nil"/>
              <w:right w:val="nil"/>
            </w:tcBorders>
            <w:noWrap/>
            <w:vAlign w:val="bottom"/>
            <w:hideMark/>
          </w:tcPr>
          <w:p w14:paraId="6F3C2F3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11.78±0.1 b</w:t>
            </w:r>
          </w:p>
        </w:tc>
        <w:tc>
          <w:tcPr>
            <w:tcW w:w="1216" w:type="dxa"/>
            <w:tcBorders>
              <w:top w:val="nil"/>
              <w:left w:val="nil"/>
              <w:bottom w:val="nil"/>
              <w:right w:val="nil"/>
            </w:tcBorders>
            <w:noWrap/>
            <w:vAlign w:val="bottom"/>
            <w:hideMark/>
          </w:tcPr>
          <w:p w14:paraId="72ECA48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7.76±0.08a</w:t>
            </w:r>
          </w:p>
        </w:tc>
        <w:tc>
          <w:tcPr>
            <w:tcW w:w="1319" w:type="dxa"/>
            <w:tcBorders>
              <w:top w:val="nil"/>
              <w:left w:val="nil"/>
              <w:bottom w:val="nil"/>
              <w:right w:val="nil"/>
            </w:tcBorders>
            <w:noWrap/>
            <w:vAlign w:val="bottom"/>
            <w:hideMark/>
          </w:tcPr>
          <w:p w14:paraId="7B6FBA0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10.05±0.16b</w:t>
            </w:r>
          </w:p>
        </w:tc>
        <w:tc>
          <w:tcPr>
            <w:tcW w:w="1216" w:type="dxa"/>
            <w:tcBorders>
              <w:top w:val="nil"/>
              <w:left w:val="nil"/>
              <w:bottom w:val="nil"/>
              <w:right w:val="nil"/>
            </w:tcBorders>
            <w:noWrap/>
            <w:vAlign w:val="bottom"/>
            <w:hideMark/>
          </w:tcPr>
          <w:p w14:paraId="083FD42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11.89±0.21a</w:t>
            </w:r>
          </w:p>
        </w:tc>
        <w:tc>
          <w:tcPr>
            <w:tcW w:w="1216" w:type="dxa"/>
            <w:tcBorders>
              <w:top w:val="nil"/>
              <w:left w:val="nil"/>
              <w:bottom w:val="nil"/>
              <w:right w:val="nil"/>
            </w:tcBorders>
            <w:noWrap/>
            <w:vAlign w:val="bottom"/>
            <w:hideMark/>
          </w:tcPr>
          <w:p w14:paraId="13BA34D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6.99±0.16b</w:t>
            </w:r>
          </w:p>
        </w:tc>
      </w:tr>
      <w:tr w:rsidR="009140D2" w:rsidRPr="00D3093B" w14:paraId="7C5C3769" w14:textId="77777777" w:rsidTr="0003283A">
        <w:trPr>
          <w:trHeight w:val="290"/>
        </w:trPr>
        <w:tc>
          <w:tcPr>
            <w:tcW w:w="1420" w:type="dxa"/>
            <w:tcBorders>
              <w:top w:val="nil"/>
              <w:left w:val="nil"/>
              <w:bottom w:val="nil"/>
              <w:right w:val="nil"/>
            </w:tcBorders>
            <w:noWrap/>
            <w:vAlign w:val="bottom"/>
            <w:hideMark/>
          </w:tcPr>
          <w:p w14:paraId="5F19D2F0"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Cu (mg/kg)</w:t>
            </w:r>
          </w:p>
        </w:tc>
        <w:tc>
          <w:tcPr>
            <w:tcW w:w="1230" w:type="dxa"/>
            <w:tcBorders>
              <w:top w:val="nil"/>
              <w:left w:val="nil"/>
              <w:bottom w:val="nil"/>
              <w:right w:val="nil"/>
            </w:tcBorders>
            <w:noWrap/>
            <w:vAlign w:val="bottom"/>
            <w:hideMark/>
          </w:tcPr>
          <w:p w14:paraId="7CBE3C11"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4.69±0.08a</w:t>
            </w:r>
          </w:p>
        </w:tc>
        <w:tc>
          <w:tcPr>
            <w:tcW w:w="1290" w:type="dxa"/>
            <w:tcBorders>
              <w:top w:val="nil"/>
              <w:left w:val="nil"/>
              <w:bottom w:val="nil"/>
              <w:right w:val="nil"/>
            </w:tcBorders>
            <w:noWrap/>
            <w:vAlign w:val="bottom"/>
            <w:hideMark/>
          </w:tcPr>
          <w:p w14:paraId="2913542F"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11.98±0.17b</w:t>
            </w:r>
          </w:p>
        </w:tc>
        <w:tc>
          <w:tcPr>
            <w:tcW w:w="1216" w:type="dxa"/>
            <w:tcBorders>
              <w:top w:val="nil"/>
              <w:left w:val="nil"/>
              <w:bottom w:val="nil"/>
              <w:right w:val="nil"/>
            </w:tcBorders>
            <w:noWrap/>
            <w:vAlign w:val="bottom"/>
            <w:hideMark/>
          </w:tcPr>
          <w:p w14:paraId="65915A3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1.79±0.05a</w:t>
            </w:r>
          </w:p>
        </w:tc>
        <w:tc>
          <w:tcPr>
            <w:tcW w:w="1319" w:type="dxa"/>
            <w:tcBorders>
              <w:top w:val="nil"/>
              <w:left w:val="nil"/>
              <w:bottom w:val="nil"/>
              <w:right w:val="nil"/>
            </w:tcBorders>
            <w:noWrap/>
            <w:vAlign w:val="bottom"/>
            <w:hideMark/>
          </w:tcPr>
          <w:p w14:paraId="143F440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9.33±0.16b</w:t>
            </w:r>
          </w:p>
        </w:tc>
        <w:tc>
          <w:tcPr>
            <w:tcW w:w="1216" w:type="dxa"/>
            <w:tcBorders>
              <w:top w:val="nil"/>
              <w:left w:val="nil"/>
              <w:bottom w:val="nil"/>
              <w:right w:val="nil"/>
            </w:tcBorders>
            <w:noWrap/>
            <w:vAlign w:val="bottom"/>
            <w:hideMark/>
          </w:tcPr>
          <w:p w14:paraId="5A219C07"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6.65±0.19a</w:t>
            </w:r>
          </w:p>
        </w:tc>
        <w:tc>
          <w:tcPr>
            <w:tcW w:w="1216" w:type="dxa"/>
            <w:tcBorders>
              <w:top w:val="nil"/>
              <w:left w:val="nil"/>
              <w:bottom w:val="nil"/>
              <w:right w:val="nil"/>
            </w:tcBorders>
            <w:noWrap/>
            <w:vAlign w:val="bottom"/>
            <w:hideMark/>
          </w:tcPr>
          <w:p w14:paraId="566BB06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2.85±0.16b</w:t>
            </w:r>
          </w:p>
        </w:tc>
      </w:tr>
      <w:tr w:rsidR="009140D2" w:rsidRPr="00D3093B" w14:paraId="15C0E3C1" w14:textId="77777777" w:rsidTr="0003283A">
        <w:trPr>
          <w:trHeight w:val="290"/>
        </w:trPr>
        <w:tc>
          <w:tcPr>
            <w:tcW w:w="1420" w:type="dxa"/>
            <w:tcBorders>
              <w:top w:val="nil"/>
              <w:left w:val="nil"/>
              <w:bottom w:val="nil"/>
              <w:right w:val="nil"/>
            </w:tcBorders>
            <w:noWrap/>
            <w:vAlign w:val="bottom"/>
            <w:hideMark/>
          </w:tcPr>
          <w:p w14:paraId="78C6B3F9"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Ni (mg/kg)</w:t>
            </w:r>
          </w:p>
        </w:tc>
        <w:tc>
          <w:tcPr>
            <w:tcW w:w="1230" w:type="dxa"/>
            <w:tcBorders>
              <w:top w:val="nil"/>
              <w:left w:val="nil"/>
              <w:bottom w:val="nil"/>
              <w:right w:val="nil"/>
            </w:tcBorders>
            <w:noWrap/>
            <w:vAlign w:val="bottom"/>
            <w:hideMark/>
          </w:tcPr>
          <w:p w14:paraId="79F348F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0.42±0.02a</w:t>
            </w:r>
          </w:p>
        </w:tc>
        <w:tc>
          <w:tcPr>
            <w:tcW w:w="1290" w:type="dxa"/>
            <w:tcBorders>
              <w:top w:val="nil"/>
              <w:left w:val="nil"/>
              <w:bottom w:val="nil"/>
              <w:right w:val="nil"/>
            </w:tcBorders>
            <w:noWrap/>
            <w:vAlign w:val="bottom"/>
            <w:hideMark/>
          </w:tcPr>
          <w:p w14:paraId="0543597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1.64±0.03b</w:t>
            </w:r>
          </w:p>
        </w:tc>
        <w:tc>
          <w:tcPr>
            <w:tcW w:w="1216" w:type="dxa"/>
            <w:tcBorders>
              <w:top w:val="nil"/>
              <w:left w:val="nil"/>
              <w:bottom w:val="nil"/>
              <w:right w:val="nil"/>
            </w:tcBorders>
            <w:noWrap/>
            <w:vAlign w:val="bottom"/>
            <w:hideMark/>
          </w:tcPr>
          <w:p w14:paraId="03CCF2F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0.34±0.01a</w:t>
            </w:r>
          </w:p>
        </w:tc>
        <w:tc>
          <w:tcPr>
            <w:tcW w:w="1319" w:type="dxa"/>
            <w:tcBorders>
              <w:top w:val="nil"/>
              <w:left w:val="nil"/>
              <w:bottom w:val="nil"/>
              <w:right w:val="nil"/>
            </w:tcBorders>
            <w:noWrap/>
            <w:vAlign w:val="bottom"/>
            <w:hideMark/>
          </w:tcPr>
          <w:p w14:paraId="6890DBE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0.17±0.02b</w:t>
            </w:r>
          </w:p>
        </w:tc>
        <w:tc>
          <w:tcPr>
            <w:tcW w:w="1216" w:type="dxa"/>
            <w:tcBorders>
              <w:top w:val="nil"/>
              <w:left w:val="nil"/>
              <w:bottom w:val="nil"/>
              <w:right w:val="nil"/>
            </w:tcBorders>
            <w:noWrap/>
            <w:vAlign w:val="bottom"/>
            <w:hideMark/>
          </w:tcPr>
          <w:p w14:paraId="1851B472"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1.52±0.11a</w:t>
            </w:r>
          </w:p>
        </w:tc>
        <w:tc>
          <w:tcPr>
            <w:tcW w:w="1216" w:type="dxa"/>
            <w:tcBorders>
              <w:top w:val="nil"/>
              <w:left w:val="nil"/>
              <w:bottom w:val="nil"/>
              <w:right w:val="nil"/>
            </w:tcBorders>
            <w:noWrap/>
            <w:vAlign w:val="bottom"/>
            <w:hideMark/>
          </w:tcPr>
          <w:p w14:paraId="11842660"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0.62±0.21b</w:t>
            </w:r>
          </w:p>
        </w:tc>
      </w:tr>
      <w:tr w:rsidR="009140D2" w:rsidRPr="00D3093B" w14:paraId="46369AA7" w14:textId="77777777" w:rsidTr="0003283A">
        <w:trPr>
          <w:trHeight w:val="290"/>
        </w:trPr>
        <w:tc>
          <w:tcPr>
            <w:tcW w:w="1420" w:type="dxa"/>
            <w:tcBorders>
              <w:top w:val="nil"/>
              <w:left w:val="nil"/>
              <w:bottom w:val="nil"/>
              <w:right w:val="nil"/>
            </w:tcBorders>
            <w:vAlign w:val="center"/>
            <w:hideMark/>
          </w:tcPr>
          <w:p w14:paraId="23EE2367"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Pb (mg/kg)</w:t>
            </w:r>
          </w:p>
        </w:tc>
        <w:tc>
          <w:tcPr>
            <w:tcW w:w="1230" w:type="dxa"/>
            <w:tcBorders>
              <w:top w:val="nil"/>
              <w:left w:val="nil"/>
              <w:bottom w:val="nil"/>
              <w:right w:val="nil"/>
            </w:tcBorders>
            <w:noWrap/>
            <w:vAlign w:val="bottom"/>
            <w:hideMark/>
          </w:tcPr>
          <w:p w14:paraId="01D0FA6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3.46±0.08a</w:t>
            </w:r>
          </w:p>
        </w:tc>
        <w:tc>
          <w:tcPr>
            <w:tcW w:w="1290" w:type="dxa"/>
            <w:tcBorders>
              <w:top w:val="nil"/>
              <w:left w:val="nil"/>
              <w:bottom w:val="nil"/>
              <w:right w:val="nil"/>
            </w:tcBorders>
            <w:noWrap/>
            <w:vAlign w:val="bottom"/>
            <w:hideMark/>
          </w:tcPr>
          <w:p w14:paraId="49237FB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3.50±0.05b</w:t>
            </w:r>
          </w:p>
        </w:tc>
        <w:tc>
          <w:tcPr>
            <w:tcW w:w="1216" w:type="dxa"/>
            <w:tcBorders>
              <w:top w:val="nil"/>
              <w:left w:val="nil"/>
              <w:bottom w:val="nil"/>
              <w:right w:val="nil"/>
            </w:tcBorders>
            <w:noWrap/>
            <w:vAlign w:val="bottom"/>
            <w:hideMark/>
          </w:tcPr>
          <w:p w14:paraId="71E8373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1.34±0.18a</w:t>
            </w:r>
          </w:p>
        </w:tc>
        <w:tc>
          <w:tcPr>
            <w:tcW w:w="1319" w:type="dxa"/>
            <w:tcBorders>
              <w:top w:val="nil"/>
              <w:left w:val="nil"/>
              <w:bottom w:val="nil"/>
              <w:right w:val="nil"/>
            </w:tcBorders>
            <w:noWrap/>
            <w:vAlign w:val="bottom"/>
            <w:hideMark/>
          </w:tcPr>
          <w:p w14:paraId="749B7413"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0.06±0.002b</w:t>
            </w:r>
          </w:p>
        </w:tc>
        <w:tc>
          <w:tcPr>
            <w:tcW w:w="1216" w:type="dxa"/>
            <w:tcBorders>
              <w:top w:val="nil"/>
              <w:left w:val="nil"/>
              <w:bottom w:val="nil"/>
              <w:right w:val="nil"/>
            </w:tcBorders>
            <w:noWrap/>
            <w:vAlign w:val="bottom"/>
            <w:hideMark/>
          </w:tcPr>
          <w:p w14:paraId="0AC0EC2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1.88±0.22a</w:t>
            </w:r>
          </w:p>
        </w:tc>
        <w:tc>
          <w:tcPr>
            <w:tcW w:w="1216" w:type="dxa"/>
            <w:tcBorders>
              <w:top w:val="nil"/>
              <w:left w:val="nil"/>
              <w:bottom w:val="nil"/>
              <w:right w:val="nil"/>
            </w:tcBorders>
            <w:noWrap/>
            <w:vAlign w:val="bottom"/>
            <w:hideMark/>
          </w:tcPr>
          <w:p w14:paraId="263123C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1.64±0.26b</w:t>
            </w:r>
          </w:p>
        </w:tc>
      </w:tr>
      <w:tr w:rsidR="009140D2" w:rsidRPr="00D3093B" w14:paraId="1A3BCC5F" w14:textId="77777777" w:rsidTr="0003283A">
        <w:trPr>
          <w:trHeight w:val="290"/>
        </w:trPr>
        <w:tc>
          <w:tcPr>
            <w:tcW w:w="1420" w:type="dxa"/>
            <w:tcBorders>
              <w:top w:val="nil"/>
              <w:left w:val="nil"/>
              <w:right w:val="nil"/>
            </w:tcBorders>
            <w:vAlign w:val="center"/>
            <w:hideMark/>
          </w:tcPr>
          <w:p w14:paraId="37D7E132"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Cd (mg/kg)</w:t>
            </w:r>
          </w:p>
        </w:tc>
        <w:tc>
          <w:tcPr>
            <w:tcW w:w="1230" w:type="dxa"/>
            <w:tcBorders>
              <w:top w:val="nil"/>
              <w:left w:val="nil"/>
              <w:right w:val="nil"/>
            </w:tcBorders>
            <w:noWrap/>
            <w:vAlign w:val="bottom"/>
            <w:hideMark/>
          </w:tcPr>
          <w:p w14:paraId="6FE6FD8C"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0.03±0.002a</w:t>
            </w:r>
          </w:p>
        </w:tc>
        <w:tc>
          <w:tcPr>
            <w:tcW w:w="1290" w:type="dxa"/>
            <w:tcBorders>
              <w:top w:val="nil"/>
              <w:left w:val="nil"/>
              <w:right w:val="nil"/>
            </w:tcBorders>
            <w:noWrap/>
            <w:vAlign w:val="bottom"/>
            <w:hideMark/>
          </w:tcPr>
          <w:p w14:paraId="0B99E18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0.15±0.02b</w:t>
            </w:r>
          </w:p>
        </w:tc>
        <w:tc>
          <w:tcPr>
            <w:tcW w:w="1216" w:type="dxa"/>
            <w:tcBorders>
              <w:top w:val="nil"/>
              <w:left w:val="nil"/>
              <w:right w:val="nil"/>
            </w:tcBorders>
            <w:noWrap/>
            <w:vAlign w:val="bottom"/>
            <w:hideMark/>
          </w:tcPr>
          <w:p w14:paraId="296D4FF5"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0.08±0.01a</w:t>
            </w:r>
          </w:p>
        </w:tc>
        <w:tc>
          <w:tcPr>
            <w:tcW w:w="1319" w:type="dxa"/>
            <w:tcBorders>
              <w:top w:val="nil"/>
              <w:left w:val="nil"/>
              <w:right w:val="nil"/>
            </w:tcBorders>
            <w:noWrap/>
            <w:vAlign w:val="bottom"/>
            <w:hideMark/>
          </w:tcPr>
          <w:p w14:paraId="61A13D06"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0.006±0.002b</w:t>
            </w:r>
          </w:p>
        </w:tc>
        <w:tc>
          <w:tcPr>
            <w:tcW w:w="1216" w:type="dxa"/>
            <w:tcBorders>
              <w:top w:val="nil"/>
              <w:left w:val="nil"/>
              <w:right w:val="nil"/>
            </w:tcBorders>
            <w:noWrap/>
            <w:vAlign w:val="bottom"/>
            <w:hideMark/>
          </w:tcPr>
          <w:p w14:paraId="01AEF2EA"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0.33±0.12a</w:t>
            </w:r>
          </w:p>
        </w:tc>
        <w:tc>
          <w:tcPr>
            <w:tcW w:w="1216" w:type="dxa"/>
            <w:tcBorders>
              <w:top w:val="nil"/>
              <w:left w:val="nil"/>
              <w:right w:val="nil"/>
            </w:tcBorders>
            <w:noWrap/>
            <w:vAlign w:val="bottom"/>
            <w:hideMark/>
          </w:tcPr>
          <w:p w14:paraId="2FA9A56B"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0.04±0.06b</w:t>
            </w:r>
          </w:p>
        </w:tc>
      </w:tr>
      <w:tr w:rsidR="009140D2" w:rsidRPr="00D3093B" w14:paraId="2FB4073F" w14:textId="77777777" w:rsidTr="0003283A">
        <w:trPr>
          <w:trHeight w:val="290"/>
        </w:trPr>
        <w:tc>
          <w:tcPr>
            <w:tcW w:w="1420" w:type="dxa"/>
            <w:tcBorders>
              <w:top w:val="nil"/>
              <w:left w:val="nil"/>
              <w:bottom w:val="single" w:sz="4" w:space="0" w:color="auto"/>
              <w:right w:val="nil"/>
            </w:tcBorders>
            <w:vAlign w:val="center"/>
            <w:hideMark/>
          </w:tcPr>
          <w:p w14:paraId="031C2278" w14:textId="77777777" w:rsidR="009140D2" w:rsidRPr="00D3093B" w:rsidRDefault="009140D2" w:rsidP="0003283A">
            <w:pPr>
              <w:rPr>
                <w:rFonts w:ascii="Arial" w:hAnsi="Arial" w:cs="Arial"/>
                <w:color w:val="000000"/>
                <w:sz w:val="18"/>
                <w:szCs w:val="18"/>
                <w:lang w:eastAsia="en-IN"/>
              </w:rPr>
            </w:pPr>
            <w:r w:rsidRPr="00D3093B">
              <w:rPr>
                <w:rFonts w:ascii="Arial" w:hAnsi="Arial" w:cs="Arial"/>
                <w:color w:val="000000"/>
                <w:sz w:val="18"/>
                <w:szCs w:val="18"/>
                <w:lang w:eastAsia="en-IN"/>
              </w:rPr>
              <w:t>Cr (mg/kg)</w:t>
            </w:r>
          </w:p>
        </w:tc>
        <w:tc>
          <w:tcPr>
            <w:tcW w:w="1230" w:type="dxa"/>
            <w:tcBorders>
              <w:top w:val="nil"/>
              <w:left w:val="nil"/>
              <w:bottom w:val="single" w:sz="4" w:space="0" w:color="auto"/>
              <w:right w:val="nil"/>
            </w:tcBorders>
            <w:noWrap/>
            <w:vAlign w:val="bottom"/>
            <w:hideMark/>
          </w:tcPr>
          <w:p w14:paraId="696313C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0.08±0.007a</w:t>
            </w:r>
          </w:p>
        </w:tc>
        <w:tc>
          <w:tcPr>
            <w:tcW w:w="1290" w:type="dxa"/>
            <w:tcBorders>
              <w:top w:val="nil"/>
              <w:left w:val="nil"/>
              <w:bottom w:val="single" w:sz="4" w:space="0" w:color="auto"/>
              <w:right w:val="nil"/>
            </w:tcBorders>
            <w:noWrap/>
            <w:vAlign w:val="bottom"/>
            <w:hideMark/>
          </w:tcPr>
          <w:p w14:paraId="18FAD6B9"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0.13±0.03b</w:t>
            </w:r>
          </w:p>
        </w:tc>
        <w:tc>
          <w:tcPr>
            <w:tcW w:w="1216" w:type="dxa"/>
            <w:tcBorders>
              <w:top w:val="nil"/>
              <w:left w:val="nil"/>
              <w:bottom w:val="single" w:sz="4" w:space="0" w:color="auto"/>
              <w:right w:val="nil"/>
            </w:tcBorders>
            <w:noWrap/>
            <w:vAlign w:val="bottom"/>
            <w:hideMark/>
          </w:tcPr>
          <w:p w14:paraId="6A0C335F"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0.13±0.04a</w:t>
            </w:r>
          </w:p>
        </w:tc>
        <w:tc>
          <w:tcPr>
            <w:tcW w:w="1319" w:type="dxa"/>
            <w:tcBorders>
              <w:top w:val="nil"/>
              <w:left w:val="nil"/>
              <w:bottom w:val="single" w:sz="4" w:space="0" w:color="auto"/>
              <w:right w:val="nil"/>
            </w:tcBorders>
            <w:noWrap/>
            <w:vAlign w:val="bottom"/>
            <w:hideMark/>
          </w:tcPr>
          <w:p w14:paraId="711BBE3E"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6"/>
                <w:szCs w:val="16"/>
                <w:lang w:eastAsia="en-IN"/>
              </w:rPr>
              <w:t>-0.005±0.002b</w:t>
            </w:r>
          </w:p>
        </w:tc>
        <w:tc>
          <w:tcPr>
            <w:tcW w:w="1216" w:type="dxa"/>
            <w:tcBorders>
              <w:top w:val="nil"/>
              <w:left w:val="nil"/>
              <w:bottom w:val="single" w:sz="4" w:space="0" w:color="auto"/>
              <w:right w:val="nil"/>
            </w:tcBorders>
            <w:noWrap/>
            <w:vAlign w:val="bottom"/>
            <w:hideMark/>
          </w:tcPr>
          <w:p w14:paraId="505E3E98"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0.12±0.12a</w:t>
            </w:r>
          </w:p>
        </w:tc>
        <w:tc>
          <w:tcPr>
            <w:tcW w:w="1216" w:type="dxa"/>
            <w:tcBorders>
              <w:top w:val="nil"/>
              <w:left w:val="nil"/>
              <w:bottom w:val="single" w:sz="4" w:space="0" w:color="auto"/>
              <w:right w:val="nil"/>
            </w:tcBorders>
            <w:noWrap/>
            <w:vAlign w:val="bottom"/>
            <w:hideMark/>
          </w:tcPr>
          <w:p w14:paraId="4A94209D" w14:textId="77777777" w:rsidR="009140D2" w:rsidRPr="00D3093B" w:rsidRDefault="009140D2" w:rsidP="0003283A">
            <w:pPr>
              <w:jc w:val="center"/>
              <w:rPr>
                <w:rFonts w:ascii="Arial" w:hAnsi="Arial" w:cs="Arial"/>
                <w:color w:val="000000"/>
                <w:sz w:val="18"/>
                <w:szCs w:val="18"/>
                <w:lang w:eastAsia="en-IN"/>
              </w:rPr>
            </w:pPr>
            <w:r w:rsidRPr="00D3093B">
              <w:rPr>
                <w:rFonts w:ascii="Arial" w:hAnsi="Arial" w:cs="Arial"/>
                <w:color w:val="000000"/>
                <w:sz w:val="18"/>
                <w:szCs w:val="18"/>
                <w:lang w:eastAsia="en-IN"/>
              </w:rPr>
              <w:t>0.14±0.05b</w:t>
            </w:r>
          </w:p>
        </w:tc>
      </w:tr>
    </w:tbl>
    <w:p w14:paraId="2886B80E" w14:textId="77777777" w:rsidR="009140D2" w:rsidRPr="004F103E" w:rsidRDefault="009140D2" w:rsidP="009140D2">
      <w:pPr>
        <w:jc w:val="both"/>
        <w:rPr>
          <w:rFonts w:ascii="Arial" w:hAnsi="Arial" w:cs="Arial"/>
          <w:i/>
          <w:iCs/>
          <w:sz w:val="18"/>
          <w:szCs w:val="18"/>
        </w:rPr>
      </w:pPr>
      <w:r w:rsidRPr="004F103E">
        <w:rPr>
          <w:rFonts w:ascii="Arial" w:hAnsi="Arial" w:cs="Arial"/>
          <w:i/>
          <w:iCs/>
          <w:sz w:val="18"/>
          <w:szCs w:val="18"/>
        </w:rPr>
        <w:t>Letters denote significance at P &lt; .05; same letter = no difference, different letters = significant difference</w:t>
      </w:r>
    </w:p>
    <w:p w14:paraId="251FC7A6" w14:textId="77777777" w:rsidR="00790ADA" w:rsidRDefault="00790ADA" w:rsidP="00441B6F">
      <w:pPr>
        <w:pStyle w:val="Head1"/>
        <w:spacing w:after="0"/>
        <w:jc w:val="both"/>
        <w:rPr>
          <w:rFonts w:ascii="Arial" w:hAnsi="Arial" w:cs="Arial"/>
        </w:rPr>
      </w:pPr>
    </w:p>
    <w:p w14:paraId="2FEE0841" w14:textId="77777777" w:rsidR="009140D2" w:rsidRPr="004F103E" w:rsidRDefault="009140D2" w:rsidP="009140D2">
      <w:pPr>
        <w:tabs>
          <w:tab w:val="num" w:pos="720"/>
        </w:tabs>
        <w:jc w:val="both"/>
        <w:rPr>
          <w:rFonts w:ascii="Arial" w:hAnsi="Arial" w:cs="Arial"/>
          <w:u w:val="single"/>
        </w:rPr>
      </w:pPr>
      <w:r w:rsidRPr="004F103E">
        <w:rPr>
          <w:rFonts w:ascii="Arial" w:hAnsi="Arial" w:cs="Arial"/>
          <w:b/>
          <w:bCs/>
          <w:u w:val="single"/>
        </w:rPr>
        <w:t>3.2.1 Physico-chemical Properties</w:t>
      </w:r>
    </w:p>
    <w:p w14:paraId="59BF848C" w14:textId="77777777" w:rsidR="009140D2" w:rsidRPr="004F103E" w:rsidRDefault="009140D2" w:rsidP="009140D2">
      <w:pPr>
        <w:tabs>
          <w:tab w:val="num" w:pos="720"/>
        </w:tabs>
        <w:jc w:val="both"/>
        <w:rPr>
          <w:rFonts w:ascii="Arial" w:hAnsi="Arial" w:cs="Arial"/>
        </w:rPr>
      </w:pPr>
    </w:p>
    <w:p w14:paraId="234CCE05" w14:textId="77777777" w:rsidR="009140D2" w:rsidRPr="004F103E" w:rsidRDefault="009140D2" w:rsidP="009140D2">
      <w:pPr>
        <w:tabs>
          <w:tab w:val="num" w:pos="720"/>
        </w:tabs>
        <w:jc w:val="both"/>
        <w:rPr>
          <w:rFonts w:ascii="Arial" w:hAnsi="Arial" w:cs="Arial"/>
        </w:rPr>
      </w:pPr>
      <w:r w:rsidRPr="004F103E">
        <w:rPr>
          <w:rFonts w:ascii="Arial" w:hAnsi="Arial" w:cs="Arial"/>
        </w:rPr>
        <w:t xml:space="preserve">The amendment significantly increased soil pH in all crops, likely due to organic acid buffering and cation release from mineralization. Electrical conductivity (EC) rose in ragi and maize but declined in green gram, reflecting salt addition from amendments in former soils and possible leaching in the latter. Moisture content uniformly improved (all p &lt; 0.05), enhancing water-holding capacity via organic matter addition </w:t>
      </w:r>
      <w:r w:rsidRPr="004F103E">
        <w:rPr>
          <w:rFonts w:ascii="Arial" w:hAnsi="Arial" w:cs="Arial"/>
        </w:rPr>
        <w:fldChar w:fldCharType="begin" w:fldLock="1"/>
      </w:r>
      <w:r w:rsidRPr="004F103E">
        <w:rPr>
          <w:rFonts w:ascii="Arial" w:hAnsi="Arial" w:cs="Arial"/>
        </w:rPr>
        <w:instrText>ADDIN CSL_CITATION {"citationItems":[{"id":"ITEM-1","itemData":{"DOI":"10.1371/journal.pstr.0000007","ISBN":"1111111111","ISSN":"27673197","abstract":"Amongst the soil qualities that are taken into consideration while quantifying the fertility status of soil for agri-production, the properties of water holding capacity, bulk density, electrical conductivity and soil pH play crucially important roles, directly as well as indirectly. The role of organic matter content of soil in altering the aforesaid properties occurs through various complex interactions. In our study we attempted to understand the impact of amendments in traditional ecological knowledge (TEK)-based organic input agri-management systems (A1), versus conventional chemical-intensive agri-systems (A2) in altering/modifying the few important properties viz soil organic matter (SOM), pH, electrical conductivity (EC), bulk density, and water holding capacity of the soil in the three different crop phases viz. pre, mid and the post-harvest, spread over six cropping seasons in four years. The study area was a geo-ecologically unique terrain of Kachchh, Western India. Natural stressors as erratic rainfall, drought and salinity are a typical feature of this zone. Physico-chemical soil attributes have shown significant differences in the amendment systems. The application of organic manures and concoctions like Jivamrit from indigenous knowledge base of local farming community, certainly rendered better organic matter content that affect soil structure and stability, which in turn affected the maximum water holding capacity (MWHC), which was significantly higher in A1 (47.53%; (Standard Error [SE] = ±0.92%) across phases and seasons than A2 (37.99%; SE = ±0.74%). Probably, for the same reason, amendments with organic inputs had a lower bulk density (1.04 g/cm3; SE = ±0.02 g/cm3) as compared to amendments with no or very few organic inputs (1.31 g/cm3; SE = ± 0.03 g/cm3).The reduction in pH and electrical conductivity in A1 may be ascribed to increased amounts of SOM as a result of addition of green manures and organic concoctions. Even during the stressed period of drought in cropping seasons of season 2 (Kharif2012) and season 3 (Rabi 2012–2013) this trend was followed. This clearly shows that salinity endurance and drought resistance are remarkable features of organically amended soils and this resilience to drought is achieved over continual usage of organic manures. The arid and semi-arid tropics are highly prone to stressors like drought, highly erratic rainfall patterns, and salinity, and the present study advocates the supremacy of TEK-bas…","author":[{"dropping-particle":"","family":"Sharma","given":"Seema B.","non-dropping-particle":"","parse-names":false,"suffix":""}],"container-title":"PLOS Sustainability and Transformation","id":"ITEM-1","issue":"3","issued":{"date-parts":[["2022"]]},"page":"1-17","title":"Trend setting impacts of organic matter on soil physico-chemical properties in traditional vis -a- vis chemical-based amendment practices","type":"article-journal","volume":"1"},"uris":["http://www.mendeley.com/documents/?uuid=0fe6fa02-5539-4b6b-8b70-81e6504f8272"]}],"mendeley":{"formattedCitation":"(Sharma, 2022)","plainTextFormattedCitation":"(Sharma, 2022)","previouslyFormattedCitation":"(Sharma, 2022)"},"properties":{"noteIndex":0},"schema":"https://github.com/citation-style-language/schema/raw/master/csl-citation.json"}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(Sharma, 2022)</w:t>
      </w:r>
      <w:r w:rsidRPr="004F103E">
        <w:rPr>
          <w:rFonts w:ascii="Arial" w:hAnsi="Arial" w:cs="Arial"/>
        </w:rPr>
        <w:fldChar w:fldCharType="end"/>
      </w:r>
      <w:r w:rsidRPr="004F103E">
        <w:rPr>
          <w:rFonts w:ascii="Arial" w:hAnsi="Arial" w:cs="Arial"/>
        </w:rPr>
        <w:t xml:space="preserve">. Organic matter increased in maize and green gram, but decreased in ragi, an outlier possibly from rapid decomposition or sampling variability—consistent with variable organic amendment impacts in rainfed Alfisols </w:t>
      </w:r>
      <w:r w:rsidRPr="004F103E">
        <w:rPr>
          <w:rFonts w:ascii="Arial" w:hAnsi="Arial" w:cs="Arial"/>
        </w:rPr>
        <w:fldChar w:fldCharType="begin" w:fldLock="1"/>
      </w:r>
      <w:r w:rsidRPr="004F103E">
        <w:rPr>
          <w:rFonts w:ascii="Arial" w:hAnsi="Arial" w:cs="Arial"/>
        </w:rPr>
        <w:instrText>ADDIN CSL_CITATION {"citationItems":[{"id":"ITEM-1","itemData":{"DOI":"10.3389/fnut.2023.1095449","ISSN":"2296861X","abstract":"Finger millet (Eluesine coracana L.) is gaining importance as a food crop with the increasing emphasis on nutritional aspects and drought resilience. However, the average productivity of the crop has stagnated at around 2,000 kg ha−1 in India. Recently released nutrient responsive high yielding varieties are reported to respond better to application of fertilizers/manures. Further, substitution of chemical fertilizers with organic manures to maintain sustainable yields and improve soil health is gaining attention in recent years. Therefore, identifying the appropriate rate and source of nutrition is important to enhance the productivity of finger millet while improving the soil health. A field experiment was conducted during two rainy seasons (July–November, 2018 and 2019) to study the response of finger millet varieties to chemical fertilizers and farmyard manure (FYM) on growth, yields, N use efficiency, N uptake and on soil properties. Two varieties MR-1 and MR-6 were tested with four nutrient management practices viz., unamended control, 100% recommended dose of fertilizers (RDF; 40–20-20 kg NPK ha−1), 50% RDF + 50% recommended dose of nitrogen (RDN) as FYM and 100% RDN as FYM. Among the varieties, MR-6 outperformed MR-1 in terms of growth, yield, N use efficiency and N uptake. The yield enhancement was up to 22.6% in MR-6 compared to MR-1 across the nutrient management practices. Substituting FYM completely or half of the fertilizer dose increased the growth and yield of finger millet compared to application of chemical fertilizers alone. Similarly, the average biomass yield, ears m−2, grain yield, total N uptake and N use efficiency in response to nutrient management practices followed the order of 100% RDN as FYM &gt; 50% RDF + 50% RDN as FYM &gt; 100% RDF. The soil organic carbon, available N, P, K, and S improved by 25.0, 12.9, 5.7, 6.1, and 22.6%, respectively in the plots under higher rate of FYM application (8 Mg ha−1) compared to plots under chemical fertilizers alone. We conclude that substituting chemical fertilizers either completely or by up to 50% with organic manures supplies adequate amounts of nutrients, improves the yield of finger millet, economic returns, and soil properties.","author":[{"dropping-particle":"","family":"Prabhakar","given":"Mathyam","non-dropping-particle":"","parse-names":false,"suffix":""},{"dropping-particle":"","family":"Gopinath","given":"Kodigal A.","non-dropping-particle":"","parse-names":false,"suffix":""},{"dropping-particle":"","family":"Sai Sravan","given":"Uppu","non-dropping-particle":"","parse-names":false,"suffix":""},{"dropping-particle":"","family":"Srasvan Kumar","given":"Golla","non-dropping-particle":"","parse-names":false,"suffix":""},{"dropping-particle":"","family":"Thirupathi","given":"Merugu","non-dropping-particle":"","parse-names":false,"suffix":""},{"dropping-particle":"","family":"Samba Siva","given":"Gutti","non-dropping-particle":"","parse-names":false,"suffix":""},{"dropping-particle":"","family":"Meghalakshmi","given":"Guddad","non-dropping-particle":"","parse-names":false,"suffix":""},{"dropping-particle":"","family":"Ravi Kumar","given":"Nakka","non-dropping-particle":"","parse-names":false,"suffix":""},{"dropping-particle":"","family":"Singh","given":"Vinod Kumar","non-dropping-particle":"","parse-names":false,"suffix":""}],"container-title":"Frontiers in Nutrition","id":"ITEM-1","issue":"October","issued":{"date-parts":[["2023"]]},"title":"Potential for yield and soil fertility improvement with integration of organics in nutrient management for finger millet under rainfed Alfisols of Southern India","type":"article-journal","volume":"10"},"uris":["http://www.mendeley.com/documents/?uuid=a9c2d5a0-5d42-4ed8-a61f-7e5ec9515c62"]}],"mendeley":{"formattedCitation":"(Prabhakar et al., 2023)","plainTextFormattedCitation":"(Prabhakar et al., 2023)","previouslyFormattedCitation":"(Prabhakar et al., 2023)"},"properties":{"noteIndex":0},"schema":"https://github.com/citation-style-language/schema/raw/master/csl-citation.json"}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(Prabhakar et al., 2023)</w:t>
      </w:r>
      <w:r w:rsidRPr="004F103E">
        <w:rPr>
          <w:rFonts w:ascii="Arial" w:hAnsi="Arial" w:cs="Arial"/>
        </w:rPr>
        <w:fldChar w:fldCharType="end"/>
      </w:r>
      <w:r w:rsidRPr="004F103E">
        <w:rPr>
          <w:rFonts w:ascii="Arial" w:hAnsi="Arial" w:cs="Arial"/>
        </w:rPr>
        <w:t>. Carbon showed mixed responses with a surge in maize, while nitrogen remained unchanged, indicating limited N mineralization.</w:t>
      </w:r>
    </w:p>
    <w:p w14:paraId="54886384" w14:textId="77777777" w:rsidR="009140D2" w:rsidRPr="004F103E" w:rsidRDefault="009140D2" w:rsidP="009140D2">
      <w:pPr>
        <w:tabs>
          <w:tab w:val="num" w:pos="720"/>
        </w:tabs>
        <w:jc w:val="both"/>
        <w:rPr>
          <w:rFonts w:ascii="Arial" w:hAnsi="Arial" w:cs="Arial"/>
        </w:rPr>
      </w:pPr>
    </w:p>
    <w:p w14:paraId="0F5EA6A8" w14:textId="77777777" w:rsidR="009140D2" w:rsidRPr="004F103E" w:rsidRDefault="009140D2" w:rsidP="009140D2">
      <w:pPr>
        <w:tabs>
          <w:tab w:val="num" w:pos="720"/>
        </w:tabs>
        <w:jc w:val="both"/>
        <w:rPr>
          <w:rFonts w:ascii="Arial" w:hAnsi="Arial" w:cs="Arial"/>
          <w:b/>
          <w:bCs/>
          <w:u w:val="single"/>
        </w:rPr>
      </w:pPr>
      <w:r w:rsidRPr="004F103E">
        <w:rPr>
          <w:rFonts w:ascii="Arial" w:hAnsi="Arial" w:cs="Arial"/>
          <w:b/>
          <w:bCs/>
          <w:u w:val="single"/>
        </w:rPr>
        <w:t>3.2.2 Nutrient Dynamics</w:t>
      </w:r>
    </w:p>
    <w:p w14:paraId="3D2C3D7E" w14:textId="77777777" w:rsidR="009140D2" w:rsidRPr="004F103E" w:rsidRDefault="009140D2" w:rsidP="009140D2">
      <w:pPr>
        <w:tabs>
          <w:tab w:val="num" w:pos="720"/>
        </w:tabs>
        <w:jc w:val="both"/>
        <w:rPr>
          <w:rFonts w:ascii="Arial" w:hAnsi="Arial" w:cs="Arial"/>
          <w:b/>
          <w:bCs/>
        </w:rPr>
      </w:pPr>
    </w:p>
    <w:p w14:paraId="653FE908" w14:textId="77777777" w:rsidR="009140D2" w:rsidRPr="004F103E" w:rsidRDefault="009140D2" w:rsidP="009140D2">
      <w:pPr>
        <w:tabs>
          <w:tab w:val="num" w:pos="720"/>
        </w:tabs>
        <w:jc w:val="both"/>
        <w:rPr>
          <w:rFonts w:ascii="Arial" w:hAnsi="Arial" w:cs="Arial"/>
        </w:rPr>
      </w:pPr>
      <w:r w:rsidRPr="004F103E">
        <w:rPr>
          <w:rFonts w:ascii="Arial" w:hAnsi="Arial" w:cs="Arial"/>
        </w:rPr>
        <w:t xml:space="preserve">Phosphorus and K generally increased post-amendment in ragi and maize, attributed to solubilization from organic inputs, aligning with finger millet studies using farmyard manure (FYM) at 8 Mg/ha, boosting available P and K by 5.7–6.1% </w:t>
      </w:r>
      <w:r w:rsidRPr="004F103E">
        <w:rPr>
          <w:rFonts w:ascii="Arial" w:hAnsi="Arial" w:cs="Arial"/>
        </w:rPr>
        <w:fldChar w:fldCharType="begin" w:fldLock="1"/>
      </w:r>
      <w:r w:rsidRPr="004F103E">
        <w:rPr>
          <w:rFonts w:ascii="Arial" w:hAnsi="Arial" w:cs="Arial"/>
        </w:rPr>
        <w:instrText>ADDIN CSL_CITATION {"citationItems":[{"id":"ITEM-1","itemData":{"DOI":"10.3389/fnut.2023.1095449","ISSN":"2296861X","abstract":"Finger millet (Eluesine coracana L.) is gaining importance as a food crop with the increasing emphasis on nutritional aspects and drought resilience. However, the average productivity of the crop has stagnated at around 2,000 kg ha−1 in India. Recently released nutrient responsive high yielding varieties are reported to respond better to application of fertilizers/manures. Further, substitution of chemical fertilizers with organic manures to maintain sustainable yields and improve soil health is gaining attention in recent years. Therefore, identifying the appropriate rate and source of nutrition is important to enhance the productivity of finger millet while improving the soil health. A field experiment was conducted during two rainy seasons (July–November, 2018 and 2019) to study the response of finger millet varieties to chemical fertilizers and farmyard manure (FYM) on growth, yields, N use efficiency, N uptake and on soil properties. Two varieties MR-1 and MR-6 were tested with four nutrient management practices viz., unamended control, 100% recommended dose of fertilizers (RDF; 40–20-20 kg NPK ha−1), 50% RDF + 50% recommended dose of nitrogen (RDN) as FYM and 100% RDN as FYM. Among the varieties, MR-6 outperformed MR-1 in terms of growth, yield, N use efficiency and N uptake. The yield enhancement was up to 22.6% in MR-6 compared to MR-1 across the nutrient management practices. Substituting FYM completely or half of the fertilizer dose increased the growth and yield of finger millet compared to application of chemical fertilizers alone. Similarly, the average biomass yield, ears m−2, grain yield, total N uptake and N use efficiency in response to nutrient management practices followed the order of 100% RDN as FYM &gt; 50% RDF + 50% RDN as FYM &gt; 100% RDF. The soil organic carbon, available N, P, K, and S improved by 25.0, 12.9, 5.7, 6.1, and 22.6%, respectively in the plots under higher rate of FYM application (8 Mg ha−1) compared to plots under chemical fertilizers alone. We conclude that substituting chemical fertilizers either completely or by up to 50% with organic manures supplies adequate amounts of nutrients, improves the yield of finger millet, economic returns, and soil properties.","author":[{"dropping-particle":"","family":"Prabhakar","given":"Mathyam","non-dropping-particle":"","parse-names":false,"suffix":""},{"dropping-particle":"","family":"Gopinath","given":"Kodigal A.","non-dropping-particle":"","parse-names":false,"suffix":""},{"dropping-particle":"","family":"Sai Sravan","given":"Uppu","non-dropping-particle":"","parse-names":false,"suffix":""},{"dropping-particle":"","family":"Srasvan Kumar","given":"Golla","non-dropping-particle":"","parse-names":false,"suffix":""},{"dropping-particle":"","family":"Thirupathi","given":"Merugu","non-dropping-particle":"","parse-names":false,"suffix":""},{"dropping-particle":"","family":"Samba Siva","given":"Gutti","non-dropping-particle":"","parse-names":false,"suffix":""},{"dropping-particle":"","family":"Meghalakshmi","given":"Guddad","non-dropping-particle":"","parse-names":false,"suffix":""},{"dropping-particle":"","family":"Ravi Kumar","given":"Nakka","non-dropping-particle":"","parse-names":false,"suffix":""},{"dropping-particle":"","family":"Singh","given":"Vinod Kumar","non-dropping-particle":"","parse-names":false,"suffix":""}],"container-title":"Frontiers in Nutrition","id":"ITEM-1","issue":"October","issued":{"date-parts":[["2023"]]},"title":"Potential for yield and soil fertility improvement with integration of organics in nutrient management for finger millet under rainfed Alfisols of Southern India","type":"article-journal","volume":"10"},"uris":["http://www.mendeley.com/documents/?uuid=a9c2d5a0-5d42-4ed8-a61f-7e5ec9515c62"]}],"mendeley":{"formattedCitation":"(Prabhakar et al., 2023)","plainTextFormattedCitation":"(Prabhakar et al., 2023)","previouslyFormattedCitation":"(Prabhakar et al., 2023)"},"properties":{"noteIndex":0},"schema":"https://github.com/citation-style-language/schema/raw/master/csl-citation.json"}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(Prabhakar et al., 2023)</w:t>
      </w:r>
      <w:r w:rsidRPr="004F103E">
        <w:rPr>
          <w:rFonts w:ascii="Arial" w:hAnsi="Arial" w:cs="Arial"/>
        </w:rPr>
        <w:fldChar w:fldCharType="end"/>
      </w:r>
      <w:r w:rsidRPr="004F103E">
        <w:rPr>
          <w:rFonts w:ascii="Arial" w:hAnsi="Arial" w:cs="Arial"/>
        </w:rPr>
        <w:t xml:space="preserve">. However, green gram showed declines in P and K, potentially due to crop-specific fixation or legume residue effects. Ca and Mg responses varied, declining in ragi and increasing in maize, linked to amendment cation exchange capacity </w:t>
      </w:r>
      <w:r w:rsidRPr="004F103E">
        <w:rPr>
          <w:rFonts w:ascii="Arial" w:hAnsi="Arial" w:cs="Arial"/>
        </w:rPr>
        <w:fldChar w:fldCharType="begin" w:fldLock="1"/>
      </w:r>
      <w:r w:rsidRPr="004F103E">
        <w:rPr>
          <w:rFonts w:ascii="Arial" w:hAnsi="Arial" w:cs="Arial"/>
        </w:rPr>
        <w:instrText>ADDIN CSL_CITATION {"citationItems":[{"id":"ITEM-1","itemData":{"abstract":"This study investigates the impact of agricultural practices on soil properties essential for plant growth and ecosystem health in Imphal Valley. Soil samples were collected from five distinct agricultural sites (Heingang, Khonghampat, Uchiwa, Langol, and New Keithelmanbi) and analyzed for pH, cation exchange capacity (CEC), organic matter, exchangeable Ca, exchangeable Mg, free Fe2O3 and Al2O3. Soil pH ranged from 4.7 (acidic) to 6.4 (slightly acidic) across locations, indicating the need for potential amendments in some areas. Moderate variation in organic carbon matter (32.4-39.3 g/kg) was observed, highlighting the importance of organic matter management for soil health. Cation Exchange Capacity (CEC): CEC values varied notably (5.9-9.6 Cmol(P+)kg</w:instrText>
      </w:r>
      <w:r w:rsidRPr="004F103E">
        <w:rPr>
          <w:rFonts w:ascii="Cambria Math" w:hAnsi="Cambria Math" w:cs="Cambria Math"/>
        </w:rPr>
        <w:instrText>⁻</w:instrText>
      </w:r>
      <w:r w:rsidRPr="004F103E">
        <w:rPr>
          <w:rFonts w:ascii="Arial" w:hAnsi="Arial" w:cs="Arial"/>
        </w:rPr>
        <w:instrText>¹), suggesting the influence of factors beyond organic matter on nutrient retention capacity. Significant variations in exchangeable calcium and magnesium levels were observed, potentially impacting nutrient availability for plants. Higher organic matter content correlated with higher CEC, while lower pH corresponded with lower exchangeable magnesium. Heingang exhibited high organic matter and CEC despite low pH, highlighting the need for pH adjustments. Uchiwa showed soil properties with near-neutral pH and high nutrient levels. Langol exhibited low CEC despite high organic matter, suggesting the influence of other soil characteristics. The study revealed significant variations in soil pH, organic carbon, and CEC, highlighting the importance of site-specific management practices. Strategic amendments like liming for acidic soils and organic matter enhancement can optimize nutrient availability and promote sustainable agricultural productivity in Imphal Valley.","author":[{"dropping-particle":"","family":"Singh","given":"Thokchom Biren","non-dropping-particle":"","parse-names":false,"suffix":""},{"dropping-particle":"","family":"Singh","given":"Sagolsem Sumangal","non-dropping-particle":"","parse-names":false,"suffix":""}],"container-title":"International Journal of Current Research and Academic Review","id":"ITEM-1","issue":"7","issued":{"date-parts":[["2024"]]},"page":"1-7","title":"Influence of Agricultural Practices on Soil pH, EC, and Organic matter in various Agricultural Land in Imphal Valley, Manipur, India","type":"article-journal","volume":"12"},"uris":["http://www.mendeley.com/documents/?uuid=13107ab1-2eb9-491f-97b3-8011d5860e96"]}],"mendeley":{"formattedCitation":"(T. B. Singh &amp; Singh, 2024)","manualFormatting":"(Singh &amp; Singh, 2024)","plainTextFormattedCitation":"(T. B. Singh &amp; Singh, 2024)","previouslyFormattedCitation":"(T. B. Singh &amp; Singh, 2024)"},"properties":{"noteIndex":0},"schema":"https://github.com/citation-style-language/schema/raw/master/csl-citation.json"}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(Singh &amp; Singh, 2024)</w:t>
      </w:r>
      <w:r w:rsidRPr="004F103E">
        <w:rPr>
          <w:rFonts w:ascii="Arial" w:hAnsi="Arial" w:cs="Arial"/>
        </w:rPr>
        <w:fldChar w:fldCharType="end"/>
      </w:r>
      <w:r w:rsidRPr="004F103E">
        <w:rPr>
          <w:rFonts w:ascii="Arial" w:hAnsi="Arial" w:cs="Arial"/>
        </w:rPr>
        <w:t>.</w:t>
      </w:r>
    </w:p>
    <w:p w14:paraId="5FDBC513" w14:textId="77777777" w:rsidR="009140D2" w:rsidRPr="00D3093B" w:rsidRDefault="009140D2" w:rsidP="009140D2">
      <w:pPr>
        <w:tabs>
          <w:tab w:val="num" w:pos="720"/>
        </w:tabs>
        <w:jc w:val="both"/>
        <w:rPr>
          <w:rFonts w:ascii="Arial" w:hAnsi="Arial" w:cs="Arial"/>
          <w:sz w:val="24"/>
          <w:szCs w:val="24"/>
        </w:rPr>
      </w:pPr>
    </w:p>
    <w:p w14:paraId="0D245CB2" w14:textId="77777777" w:rsidR="009140D2" w:rsidRPr="004F103E" w:rsidRDefault="009140D2" w:rsidP="009140D2">
      <w:pPr>
        <w:tabs>
          <w:tab w:val="num" w:pos="720"/>
        </w:tabs>
        <w:jc w:val="both"/>
        <w:rPr>
          <w:rFonts w:ascii="Arial" w:hAnsi="Arial" w:cs="Arial"/>
          <w:b/>
          <w:bCs/>
          <w:u w:val="single"/>
        </w:rPr>
      </w:pPr>
      <w:r w:rsidRPr="004F103E">
        <w:rPr>
          <w:rFonts w:ascii="Arial" w:hAnsi="Arial" w:cs="Arial"/>
          <w:b/>
          <w:bCs/>
          <w:u w:val="single"/>
        </w:rPr>
        <w:t>3.2.3 Heavy Metal Concentrations</w:t>
      </w:r>
    </w:p>
    <w:p w14:paraId="4704D6A1" w14:textId="77777777" w:rsidR="009140D2" w:rsidRPr="004F103E" w:rsidRDefault="009140D2" w:rsidP="009140D2">
      <w:pPr>
        <w:tabs>
          <w:tab w:val="num" w:pos="720"/>
        </w:tabs>
        <w:jc w:val="both"/>
        <w:rPr>
          <w:rFonts w:ascii="Arial" w:hAnsi="Arial" w:cs="Arial"/>
        </w:rPr>
      </w:pPr>
    </w:p>
    <w:p w14:paraId="1FAAC0A6" w14:textId="77777777" w:rsidR="009140D2" w:rsidRPr="004F103E" w:rsidRDefault="009140D2" w:rsidP="009140D2">
      <w:pPr>
        <w:tabs>
          <w:tab w:val="num" w:pos="720"/>
        </w:tabs>
        <w:jc w:val="both"/>
        <w:rPr>
          <w:rFonts w:ascii="Arial" w:hAnsi="Arial" w:cs="Arial"/>
        </w:rPr>
      </w:pPr>
      <w:r w:rsidRPr="004F103E">
        <w:rPr>
          <w:rFonts w:ascii="Arial" w:hAnsi="Arial" w:cs="Arial"/>
        </w:rPr>
        <w:t xml:space="preserve">Essential metals like Fe, Mn, Zn, and Cu increased in ragi and maize, aiding micronutrient supply without toxicity. Toxic metals (Pb and Cd) showed reductions in maize and green gram, due to immobilization via pH rise and organic complexation, as seen in compost and biochar trials, lowering Cd and Pb bioavailability by 20–40% </w:t>
      </w:r>
      <w:r w:rsidRPr="004F103E">
        <w:rPr>
          <w:rFonts w:ascii="Arial" w:hAnsi="Arial" w:cs="Arial"/>
        </w:rPr>
        <w:fldChar w:fldCharType="begin" w:fldLock="1"/>
      </w:r>
      <w:r w:rsidRPr="004F103E">
        <w:rPr>
          <w:rFonts w:ascii="Arial" w:hAnsi="Arial" w:cs="Arial"/>
        </w:rPr>
        <w:instrText>ADDIN CSL_CITATION {"citationItems":[{"id":"ITEM-1","itemData":{"DOI":"10.1038/s41598-021-97525-8","ISBN":"0123456789","ISSN":"20452322","PMID":"34531439","abstract":"Soil with heavy metals contamination, mainly lead (Pb), cadmium (Cd), and chromium (Cr) is a progressively worldwide alarming environmental problem. Recently, biochar has been used as a soil amendment to remediate contaminated soils, but little work has been done to compare with other organic amendments like compost. We investigated biochar and compost's comparative effect on Pb, Cd, and Cr immobilization in soil, photosynthesis, and growth of maize plants. Ten kg soil was placed in pots and were spiked with Pb, Cd, and Cr at concentrations 20, 10, 20 mg kg−1. The biochar and compost treatments included 0, 0.5, 1, 2, and 4% were separately applied to the soil. The crop from pots was harvested after 60 days. The results show that the highest reduction of AB-DTPA extractable Pb, Cd, and Cr in soil was 79%, 61% and 78% with 4% biochar, followed by 61%, 43% and 60% with 4% compost compared to the control, respectively. Similarly, the highest reduction in shoot Pb, Cd, and Cr concentration was 71%, 63% and 78%with 4% biochar, followed by 50%, 50% and 71% with 4% compost than the control, respectively. The maximum increase in shoot and dry root weight, total chlorophyll contents, and gas exchange characteristics were recorded with 4% biochar, followed by 4% compost than the control. The maximum increase in soil organic matter and total nitrogen (N) was recorded at 4% biochar application while available phosphorus and potassium in the soil at 4% compost application. It is concluded that both biochar and compost decreased heavy metals availability in the soil, reducing toxicity in the plant. However, biochar was most effective in reducing heavy metals content in soil and plant compared to compost. In the future, more low-cost, eco-friendly soil remediation methods should be developed for better soil health and plant productivity.","author":[{"dropping-particle":"","family":"Irfan","given":"Muhammad","non-dropping-particle":"","parse-names":false,"suffix":""},{"dropping-particle":"","family":"Mudassir","given":"Muhammad","non-dropping-particle":"","parse-names":false,"suffix":""},{"dropping-particle":"","family":"Khan","given":"Muhammad Jamal","non-dropping-particle":"","parse-names":false,"suffix":""},{"dropping-particle":"","family":"Dawar","given":"Khadim Muhammad","non-dropping-particle":"","parse-names":false,"suffix":""},{"dropping-particle":"","family":"Muhammad","given":"Dost","non-dropping-particle":"","parse-names":false,"suffix":""},{"dropping-particle":"","family":"Mian","given":"Ishaq Ahmad","non-dropping-particle":"","parse-names":false,"suffix":""},{"dropping-particle":"","family":"Ali","given":"Waqas","non-dropping-particle":"","parse-names":false,"suffix":""},{"dropping-particle":"","family":"Fahad","given":"Shah","non-dropping-particle":"","parse-names":false,"suffix":""},{"dropping-particle":"","family":"Saud","given":"Shah","non-dropping-particle":"","parse-names":false,"suffix":""},{"dropping-particle":"","family":"Hayat","given":"Zafar","non-dropping-particle":"","parse-names":false,"suffix":""},{"dropping-particle":"","family":"Nawaz","given":"Taufiq","non-dropping-particle":"","parse-names":false,"suffix":""},{"dropping-particle":"","family":"Khan","given":"Shah Alam","non-dropping-particle":"","parse-names":false,"suffix":""},{"dropping-particle":"","family":"Alam","given":"Sartaj","non-dropping-particle":"","parse-names":false,"suffix":""},{"dropping-particle":"","family":"Ali","given":"Beenish","non-dropping-particle":"","parse-names":false,"suffix":""},{"dropping-particle":"","family":"Banout","given":"Jan","non-dropping-particle":"","parse-names":false,"suffix":""},{"dropping-particle":"","family":"Ahmed","given":"Sagher","non-dropping-particle":"","parse-names":false,"suffix":""},{"dropping-particle":"","family":"Mubeen","given":"Sidra","non-dropping-particle":"","parse-names":false,"suffix":""},{"dropping-particle":"","family":"Danish","given":"Subhan","non-dropping-particle":"","parse-names":false,"suffix":""},{"dropping-particle":"","family":"Datta","given":"Rahul","non-dropping-particle":"","parse-names":false,"suffix":""},{"dropping-particle":"","family":"Elgorban","given":"Abdallah M.","non-dropping-particle":"","parse-names":false,"suffix":""},{"dropping-particle":"","family":"Dewil","given":"Raf","non-dropping-particle":"","parse-names":false,"suffix":""}],"container-title":"Scientific Reports","id":"ITEM-1","issue":"1","issued":{"date-parts":[["2021"]]},"page":"1-9","publisher":"Nature Publishing Group UK","title":"Heavy metals immobilization and improvement in maize (Zea mays L.) growth amended with biochar and compost","type":"article-journal","volume":"11"},"uris":["http://www.mendeley.com/documents/?uuid=d918179c-2f32-4744-9b8f-595c76ba5f45"]}],"mendeley":{"formattedCitation":"(Irfan et al., 2021)","plainTextFormattedCitation":"(Irfan et al., 2021)","previouslyFormattedCitation":"(Irfan et al., 2021)"},"properties":{"noteIndex":0},"schema":"https://github.com/citation-style-language/schema/raw/master/csl-citation.json"}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(Irfan et al., 2021)</w:t>
      </w:r>
      <w:r w:rsidRPr="004F103E">
        <w:rPr>
          <w:rFonts w:ascii="Arial" w:hAnsi="Arial" w:cs="Arial"/>
        </w:rPr>
        <w:fldChar w:fldCharType="end"/>
      </w:r>
      <w:r w:rsidRPr="004F103E">
        <w:rPr>
          <w:rFonts w:ascii="Arial" w:hAnsi="Arial" w:cs="Arial"/>
        </w:rPr>
        <w:t>. Cadmium in ragi rose, warranting monitoring below WHO limits (0.8 mg/kg). Negative Cr in maize amended indicates below detection level (or an analytical error).</w:t>
      </w:r>
    </w:p>
    <w:p w14:paraId="74AD51D4" w14:textId="77777777" w:rsidR="009140D2" w:rsidRDefault="009140D2" w:rsidP="009140D2">
      <w:pPr>
        <w:tabs>
          <w:tab w:val="num" w:pos="720"/>
        </w:tabs>
        <w:jc w:val="both"/>
        <w:rPr>
          <w:rFonts w:ascii="Arial" w:hAnsi="Arial" w:cs="Arial"/>
        </w:rPr>
      </w:pPr>
    </w:p>
    <w:p w14:paraId="086B2486" w14:textId="77777777" w:rsidR="009140D2" w:rsidRPr="004F103E" w:rsidRDefault="009140D2" w:rsidP="009140D2">
      <w:pPr>
        <w:tabs>
          <w:tab w:val="num" w:pos="720"/>
        </w:tabs>
        <w:jc w:val="both"/>
        <w:rPr>
          <w:rFonts w:ascii="Arial" w:hAnsi="Arial" w:cs="Arial"/>
        </w:rPr>
      </w:pPr>
      <w:r w:rsidRPr="004F103E">
        <w:rPr>
          <w:rFonts w:ascii="Arial" w:hAnsi="Arial" w:cs="Arial"/>
        </w:rPr>
        <w:t xml:space="preserve">These changes suggest the MSWL amendment enhances fertility in ragi and maize systems, supporting sustainable nutrient management in soils, but requires crop-specific optimization to avoid nutrient imbalances or metal mobilization in green gram. Future work should quantify yields and long-term C sequestration </w:t>
      </w:r>
      <w:r w:rsidRPr="004F103E">
        <w:rPr>
          <w:rFonts w:ascii="Arial" w:hAnsi="Arial" w:cs="Arial"/>
        </w:rPr>
        <w:fldChar w:fldCharType="begin" w:fldLock="1"/>
      </w:r>
      <w:r w:rsidRPr="004F103E">
        <w:rPr>
          <w:rFonts w:ascii="Arial" w:hAnsi="Arial" w:cs="Arial"/>
        </w:rPr>
        <w:instrText>ADDIN CSL_CITATION {"citationItems":[{"id":"ITEM-1","itemData":{"DOI":"10.1038/s41598-025-04738-2","ISBN":"4159802504738","ISSN":"20452322","PMID":"40885750","abstract":"The effect of fertilizers application based on “fertilizing the soil versus fertilizing the crop” which ensure real balance between the applied and available soil nutrient is urgently needed. Hence, the present study was conducted during two consecutive crop seasons (Kharif 2022 and Kharif 2023) to assess the effect of imbalanced and balanced fertilization based on initial soil test values and targeted yields, and to determine the effect of different approaches of nutrient recommendation on soil quality, nutrient acquisition, and yield of green gram. The eight fertilizer treatments were laid out in a randomized block design with three replications. The results revealed that STCR integrated approach showed seed yield increases of 41.07% and 55.24% over GFRD, and 54.90% and 64.65% over SFR in 2022 and 2023, respectively. Similarly, root nodules per plant increased by 17.41% and 20.78% over GFRD in 2022 and 2023, respectively. The STCR approach for different yield targets also showed significant improvements in nutrient uptake and value cost ratio (VCR). Utilizing the principal component analysis, the soil quality index effectively reflected the impact of nutrient management on soil properties, with the STCR—integrated application showing the highest correlation with improved soil physical and chemical properties.","author":[{"dropping-particle":"","family":"Rangaiah","given":"Krishna Murthy","non-dropping-particle":"","parse-names":false,"suffix":""},{"dropping-particle":"","family":"Nagaraju","given":"Bhavya","non-dropping-particle":"","parse-names":false,"suffix":""},{"dropping-particle":"","family":"Kasturappa","given":"Govinda","non-dropping-particle":"","parse-names":false,"suffix":""},{"dropping-particle":"","family":"Maragondanadibba Nanjundappa","given":"Shivakumara","non-dropping-particle":"","parse-names":false,"suffix":""},{"dropping-particle":"","family":"Sugaturu Narayanaswamy","given":"Uday Kumar","non-dropping-particle":"","parse-names":false,"suffix":""},{"dropping-particle":"","family":"Srivastava","given":"Sanjay","non-dropping-particle":"","parse-names":false,"suffix":""},{"dropping-particle":"","family":"Dey","given":"Pradip","non-dropping-particle":"","parse-names":false,"suffix":""}],"container-title":"Scientific Reports","id":"ITEM-1","issue":"1","issued":{"date-parts":[["2025"]]},"page":"1-14","title":"Assessment of fertilizer prescription equations, crop and soil performance with different nutrient management practices for green gram (Vigna radiata) in Southern India’s Alfisols","type":"article-journal","volume":"15"},"uris":["http://www.mendeley.com/documents/?uuid=17121617-07f5-44cc-8341-e8e8f01f7542"]}],"mendeley":{"formattedCitation":"(Rangaiah et al., 2025)","plainTextFormattedCitation":"(Rangaiah et al., 2025)","previouslyFormattedCitation":"(Rangaiah et al., 2025)"},"properties":{"noteIndex":0},"schema":"https://github.com/citation-style-language/schema/raw/master/csl-citation.json"}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(Rangaiah et al., 2025)</w:t>
      </w:r>
      <w:r w:rsidRPr="004F103E">
        <w:rPr>
          <w:rFonts w:ascii="Arial" w:hAnsi="Arial" w:cs="Arial"/>
        </w:rPr>
        <w:fldChar w:fldCharType="end"/>
      </w:r>
      <w:r w:rsidRPr="004F103E">
        <w:rPr>
          <w:rFonts w:ascii="Arial" w:hAnsi="Arial" w:cs="Arial"/>
        </w:rPr>
        <w:t xml:space="preserve">. </w:t>
      </w:r>
    </w:p>
    <w:p w14:paraId="1164EF7D" w14:textId="77777777" w:rsidR="009140D2" w:rsidRPr="00D3093B" w:rsidRDefault="009140D2" w:rsidP="009140D2">
      <w:pPr>
        <w:tabs>
          <w:tab w:val="num" w:pos="720"/>
        </w:tabs>
        <w:jc w:val="both"/>
        <w:rPr>
          <w:rFonts w:ascii="Arial" w:hAnsi="Arial" w:cs="Arial"/>
          <w:b/>
          <w:bCs/>
          <w:sz w:val="24"/>
          <w:szCs w:val="24"/>
        </w:rPr>
      </w:pPr>
    </w:p>
    <w:p w14:paraId="05556368" w14:textId="77777777" w:rsidR="00B26805" w:rsidRPr="004F103E" w:rsidRDefault="00B26805" w:rsidP="00B26805">
      <w:pPr>
        <w:tabs>
          <w:tab w:val="num" w:pos="720"/>
        </w:tabs>
        <w:jc w:val="both"/>
        <w:rPr>
          <w:rFonts w:ascii="Arial" w:hAnsi="Arial" w:cs="Arial"/>
          <w:b/>
          <w:bCs/>
          <w:sz w:val="22"/>
          <w:szCs w:val="22"/>
        </w:rPr>
      </w:pPr>
      <w:r w:rsidRPr="004F103E">
        <w:rPr>
          <w:rFonts w:ascii="Arial" w:hAnsi="Arial" w:cs="Arial"/>
          <w:b/>
          <w:bCs/>
          <w:sz w:val="22"/>
          <w:szCs w:val="22"/>
        </w:rPr>
        <w:t>3.3 Metal uptake by crops</w:t>
      </w:r>
    </w:p>
    <w:p w14:paraId="37D340EF" w14:textId="77777777" w:rsidR="00B26805" w:rsidRPr="004F103E" w:rsidRDefault="00B26805" w:rsidP="00B26805">
      <w:pPr>
        <w:tabs>
          <w:tab w:val="num" w:pos="720"/>
        </w:tabs>
        <w:jc w:val="both"/>
        <w:rPr>
          <w:rFonts w:ascii="Arial" w:hAnsi="Arial" w:cs="Arial"/>
        </w:rPr>
      </w:pPr>
    </w:p>
    <w:p w14:paraId="3E6ED47C" w14:textId="77777777" w:rsidR="00B26805" w:rsidRPr="004F103E" w:rsidRDefault="00B26805" w:rsidP="00B26805">
      <w:pPr>
        <w:tabs>
          <w:tab w:val="num" w:pos="720"/>
        </w:tabs>
        <w:jc w:val="both"/>
        <w:rPr>
          <w:rFonts w:ascii="Arial" w:hAnsi="Arial" w:cs="Arial"/>
        </w:rPr>
      </w:pPr>
      <w:r w:rsidRPr="004F103E">
        <w:rPr>
          <w:rFonts w:ascii="Arial" w:hAnsi="Arial" w:cs="Arial"/>
        </w:rPr>
        <w:t>The data on concentrations of heavy metals in leaves and roots of ragi, maize, and green gram under control and MSW leachate–amended conditions revealed distinct patterns of metal accumulation and partitioning between plant parts and among crops (Table 3 and illustrated in Figs. 3 and 4).</w:t>
      </w:r>
    </w:p>
    <w:p w14:paraId="3CDA73B6" w14:textId="77777777" w:rsidR="00B26805" w:rsidRPr="004F103E" w:rsidRDefault="00B26805" w:rsidP="00B26805">
      <w:pPr>
        <w:tabs>
          <w:tab w:val="num" w:pos="720"/>
        </w:tabs>
        <w:jc w:val="both"/>
        <w:rPr>
          <w:rFonts w:ascii="Arial" w:hAnsi="Arial" w:cs="Arial"/>
        </w:rPr>
      </w:pPr>
    </w:p>
    <w:p w14:paraId="2395DEB7" w14:textId="77777777" w:rsidR="00B26805" w:rsidRPr="00D3093B" w:rsidRDefault="00B26805" w:rsidP="00B26805">
      <w:pPr>
        <w:tabs>
          <w:tab w:val="num" w:pos="720"/>
        </w:tabs>
        <w:jc w:val="center"/>
        <w:rPr>
          <w:rFonts w:ascii="Arial" w:hAnsi="Arial" w:cs="Arial"/>
          <w:b/>
          <w:bCs/>
        </w:rPr>
      </w:pPr>
      <w:r w:rsidRPr="00D3093B">
        <w:rPr>
          <w:rFonts w:ascii="Arial" w:hAnsi="Arial" w:cs="Arial"/>
          <w:b/>
          <w:bCs/>
        </w:rPr>
        <w:t>Table 3. Heavy metal concentrations (mg/kg) in leaves and roots of ragi, maize, and green gram</w:t>
      </w:r>
    </w:p>
    <w:tbl>
      <w:tblPr>
        <w:tblW w:w="7466" w:type="dxa"/>
        <w:jc w:val="center"/>
        <w:tblLook w:val="04A0" w:firstRow="1" w:lastRow="0" w:firstColumn="1" w:lastColumn="0" w:noHBand="0" w:noVBand="1"/>
      </w:tblPr>
      <w:tblGrid>
        <w:gridCol w:w="498"/>
        <w:gridCol w:w="929"/>
        <w:gridCol w:w="1073"/>
        <w:gridCol w:w="860"/>
        <w:gridCol w:w="840"/>
        <w:gridCol w:w="840"/>
        <w:gridCol w:w="840"/>
        <w:gridCol w:w="820"/>
        <w:gridCol w:w="820"/>
      </w:tblGrid>
      <w:tr w:rsidR="00B26805" w:rsidRPr="00D3093B" w14:paraId="468D200D" w14:textId="77777777" w:rsidTr="0003283A">
        <w:trPr>
          <w:trHeight w:val="290"/>
          <w:jc w:val="center"/>
        </w:trPr>
        <w:tc>
          <w:tcPr>
            <w:tcW w:w="498" w:type="dxa"/>
            <w:tcBorders>
              <w:top w:val="single" w:sz="4" w:space="0" w:color="auto"/>
              <w:left w:val="nil"/>
              <w:bottom w:val="single" w:sz="4" w:space="0" w:color="auto"/>
              <w:right w:val="nil"/>
            </w:tcBorders>
            <w:noWrap/>
            <w:vAlign w:val="bottom"/>
            <w:hideMark/>
          </w:tcPr>
          <w:p w14:paraId="478DE4E7" w14:textId="77777777" w:rsidR="00B26805" w:rsidRPr="00D3093B" w:rsidRDefault="00B26805" w:rsidP="0003283A">
            <w:pPr>
              <w:rPr>
                <w:rFonts w:ascii="Arial" w:hAnsi="Arial" w:cs="Arial"/>
                <w:sz w:val="24"/>
                <w:szCs w:val="24"/>
                <w:lang w:eastAsia="en-IN"/>
              </w:rPr>
            </w:pPr>
            <w:r w:rsidRPr="00D3093B">
              <w:rPr>
                <w:rFonts w:ascii="Arial" w:hAnsi="Arial" w:cs="Arial"/>
              </w:rPr>
              <w:t xml:space="preserve"> </w:t>
            </w:r>
          </w:p>
        </w:tc>
        <w:tc>
          <w:tcPr>
            <w:tcW w:w="1948" w:type="dxa"/>
            <w:gridSpan w:val="2"/>
            <w:tcBorders>
              <w:top w:val="single" w:sz="4" w:space="0" w:color="auto"/>
              <w:left w:val="nil"/>
              <w:bottom w:val="single" w:sz="4" w:space="0" w:color="auto"/>
              <w:right w:val="nil"/>
            </w:tcBorders>
            <w:vAlign w:val="bottom"/>
            <w:hideMark/>
          </w:tcPr>
          <w:p w14:paraId="29934444"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Heavy metals</w:t>
            </w:r>
          </w:p>
        </w:tc>
        <w:tc>
          <w:tcPr>
            <w:tcW w:w="860" w:type="dxa"/>
            <w:tcBorders>
              <w:top w:val="single" w:sz="4" w:space="0" w:color="auto"/>
              <w:left w:val="nil"/>
              <w:bottom w:val="single" w:sz="4" w:space="0" w:color="auto"/>
              <w:right w:val="nil"/>
            </w:tcBorders>
            <w:noWrap/>
            <w:vAlign w:val="bottom"/>
            <w:hideMark/>
          </w:tcPr>
          <w:p w14:paraId="11AEB016"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Zn</w:t>
            </w:r>
          </w:p>
        </w:tc>
        <w:tc>
          <w:tcPr>
            <w:tcW w:w="840" w:type="dxa"/>
            <w:tcBorders>
              <w:top w:val="single" w:sz="4" w:space="0" w:color="auto"/>
              <w:left w:val="nil"/>
              <w:bottom w:val="single" w:sz="4" w:space="0" w:color="auto"/>
              <w:right w:val="nil"/>
            </w:tcBorders>
            <w:noWrap/>
            <w:vAlign w:val="bottom"/>
            <w:hideMark/>
          </w:tcPr>
          <w:p w14:paraId="75A5E520"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Cu</w:t>
            </w:r>
          </w:p>
        </w:tc>
        <w:tc>
          <w:tcPr>
            <w:tcW w:w="840" w:type="dxa"/>
            <w:tcBorders>
              <w:top w:val="single" w:sz="4" w:space="0" w:color="auto"/>
              <w:left w:val="nil"/>
              <w:bottom w:val="single" w:sz="4" w:space="0" w:color="auto"/>
              <w:right w:val="nil"/>
            </w:tcBorders>
            <w:noWrap/>
            <w:vAlign w:val="bottom"/>
            <w:hideMark/>
          </w:tcPr>
          <w:p w14:paraId="7853F21C"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Ni</w:t>
            </w:r>
          </w:p>
        </w:tc>
        <w:tc>
          <w:tcPr>
            <w:tcW w:w="840" w:type="dxa"/>
            <w:tcBorders>
              <w:top w:val="single" w:sz="4" w:space="0" w:color="auto"/>
              <w:left w:val="nil"/>
              <w:bottom w:val="single" w:sz="4" w:space="0" w:color="auto"/>
              <w:right w:val="nil"/>
            </w:tcBorders>
            <w:vAlign w:val="center"/>
            <w:hideMark/>
          </w:tcPr>
          <w:p w14:paraId="477C152E"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Pb</w:t>
            </w:r>
          </w:p>
        </w:tc>
        <w:tc>
          <w:tcPr>
            <w:tcW w:w="820" w:type="dxa"/>
            <w:tcBorders>
              <w:top w:val="single" w:sz="4" w:space="0" w:color="auto"/>
              <w:left w:val="nil"/>
              <w:bottom w:val="single" w:sz="4" w:space="0" w:color="auto"/>
              <w:right w:val="nil"/>
            </w:tcBorders>
            <w:vAlign w:val="center"/>
            <w:hideMark/>
          </w:tcPr>
          <w:p w14:paraId="7E456D09"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 xml:space="preserve">Cd </w:t>
            </w:r>
          </w:p>
        </w:tc>
        <w:tc>
          <w:tcPr>
            <w:tcW w:w="820" w:type="dxa"/>
            <w:tcBorders>
              <w:top w:val="single" w:sz="4" w:space="0" w:color="auto"/>
              <w:left w:val="nil"/>
              <w:bottom w:val="single" w:sz="4" w:space="0" w:color="auto"/>
              <w:right w:val="nil"/>
            </w:tcBorders>
            <w:vAlign w:val="center"/>
            <w:hideMark/>
          </w:tcPr>
          <w:p w14:paraId="4874DE9E"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 xml:space="preserve">Cr </w:t>
            </w:r>
          </w:p>
        </w:tc>
      </w:tr>
      <w:tr w:rsidR="00B26805" w:rsidRPr="00D3093B" w14:paraId="5FAB1D62" w14:textId="77777777" w:rsidTr="0003283A">
        <w:trPr>
          <w:trHeight w:val="290"/>
          <w:jc w:val="center"/>
        </w:trPr>
        <w:tc>
          <w:tcPr>
            <w:tcW w:w="498" w:type="dxa"/>
            <w:vMerge w:val="restart"/>
            <w:tcBorders>
              <w:top w:val="single" w:sz="4" w:space="0" w:color="auto"/>
              <w:left w:val="nil"/>
              <w:bottom w:val="nil"/>
              <w:right w:val="nil"/>
            </w:tcBorders>
            <w:noWrap/>
            <w:textDirection w:val="btLr"/>
            <w:vAlign w:val="center"/>
            <w:hideMark/>
          </w:tcPr>
          <w:p w14:paraId="2F136598"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Ragi</w:t>
            </w:r>
          </w:p>
        </w:tc>
        <w:tc>
          <w:tcPr>
            <w:tcW w:w="929" w:type="dxa"/>
            <w:vMerge w:val="restart"/>
            <w:tcBorders>
              <w:top w:val="single" w:sz="4" w:space="0" w:color="auto"/>
              <w:left w:val="nil"/>
              <w:bottom w:val="nil"/>
              <w:right w:val="nil"/>
            </w:tcBorders>
            <w:noWrap/>
            <w:vAlign w:val="center"/>
            <w:hideMark/>
          </w:tcPr>
          <w:p w14:paraId="162D4E0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 xml:space="preserve"> Leaves</w:t>
            </w:r>
          </w:p>
        </w:tc>
        <w:tc>
          <w:tcPr>
            <w:tcW w:w="1019" w:type="dxa"/>
            <w:tcBorders>
              <w:top w:val="single" w:sz="4" w:space="0" w:color="auto"/>
              <w:left w:val="nil"/>
              <w:bottom w:val="nil"/>
              <w:right w:val="nil"/>
            </w:tcBorders>
            <w:noWrap/>
            <w:vAlign w:val="bottom"/>
            <w:hideMark/>
          </w:tcPr>
          <w:p w14:paraId="6316A21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single" w:sz="4" w:space="0" w:color="auto"/>
              <w:left w:val="nil"/>
              <w:bottom w:val="nil"/>
              <w:right w:val="nil"/>
            </w:tcBorders>
            <w:noWrap/>
            <w:vAlign w:val="bottom"/>
            <w:hideMark/>
          </w:tcPr>
          <w:p w14:paraId="7655B78D"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21.98</w:t>
            </w:r>
          </w:p>
        </w:tc>
        <w:tc>
          <w:tcPr>
            <w:tcW w:w="840" w:type="dxa"/>
            <w:tcBorders>
              <w:top w:val="single" w:sz="4" w:space="0" w:color="auto"/>
              <w:left w:val="nil"/>
              <w:bottom w:val="nil"/>
              <w:right w:val="nil"/>
            </w:tcBorders>
            <w:noWrap/>
            <w:vAlign w:val="bottom"/>
            <w:hideMark/>
          </w:tcPr>
          <w:p w14:paraId="516FA2F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4.22</w:t>
            </w:r>
          </w:p>
        </w:tc>
        <w:tc>
          <w:tcPr>
            <w:tcW w:w="840" w:type="dxa"/>
            <w:tcBorders>
              <w:top w:val="single" w:sz="4" w:space="0" w:color="auto"/>
              <w:left w:val="nil"/>
              <w:bottom w:val="nil"/>
              <w:right w:val="nil"/>
            </w:tcBorders>
            <w:noWrap/>
            <w:vAlign w:val="bottom"/>
            <w:hideMark/>
          </w:tcPr>
          <w:p w14:paraId="42CAE82B"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3.04</w:t>
            </w:r>
          </w:p>
        </w:tc>
        <w:tc>
          <w:tcPr>
            <w:tcW w:w="840" w:type="dxa"/>
            <w:tcBorders>
              <w:top w:val="single" w:sz="4" w:space="0" w:color="auto"/>
              <w:left w:val="nil"/>
              <w:bottom w:val="nil"/>
              <w:right w:val="nil"/>
            </w:tcBorders>
            <w:noWrap/>
            <w:vAlign w:val="bottom"/>
            <w:hideMark/>
          </w:tcPr>
          <w:p w14:paraId="7D3993A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1.55</w:t>
            </w:r>
          </w:p>
        </w:tc>
        <w:tc>
          <w:tcPr>
            <w:tcW w:w="820" w:type="dxa"/>
            <w:tcBorders>
              <w:top w:val="single" w:sz="4" w:space="0" w:color="auto"/>
              <w:left w:val="nil"/>
              <w:bottom w:val="nil"/>
              <w:right w:val="nil"/>
            </w:tcBorders>
            <w:noWrap/>
            <w:vAlign w:val="bottom"/>
            <w:hideMark/>
          </w:tcPr>
          <w:p w14:paraId="24E38727"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0.07</w:t>
            </w:r>
          </w:p>
        </w:tc>
        <w:tc>
          <w:tcPr>
            <w:tcW w:w="820" w:type="dxa"/>
            <w:tcBorders>
              <w:top w:val="single" w:sz="4" w:space="0" w:color="auto"/>
              <w:left w:val="nil"/>
              <w:bottom w:val="nil"/>
              <w:right w:val="nil"/>
            </w:tcBorders>
            <w:noWrap/>
            <w:vAlign w:val="bottom"/>
            <w:hideMark/>
          </w:tcPr>
          <w:p w14:paraId="47C4B045"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5.35</w:t>
            </w:r>
          </w:p>
        </w:tc>
      </w:tr>
      <w:tr w:rsidR="00B26805" w:rsidRPr="00D3093B" w14:paraId="27A91499" w14:textId="77777777" w:rsidTr="0003283A">
        <w:trPr>
          <w:trHeight w:val="290"/>
          <w:jc w:val="center"/>
        </w:trPr>
        <w:tc>
          <w:tcPr>
            <w:tcW w:w="498" w:type="dxa"/>
            <w:vMerge/>
            <w:tcBorders>
              <w:top w:val="nil"/>
              <w:left w:val="nil"/>
              <w:bottom w:val="nil"/>
              <w:right w:val="nil"/>
            </w:tcBorders>
            <w:vAlign w:val="center"/>
            <w:hideMark/>
          </w:tcPr>
          <w:p w14:paraId="42931C08" w14:textId="77777777" w:rsidR="00B26805" w:rsidRPr="00D3093B" w:rsidRDefault="00B26805" w:rsidP="0003283A">
            <w:pPr>
              <w:rPr>
                <w:rFonts w:ascii="Arial" w:hAnsi="Arial" w:cs="Arial"/>
                <w:b/>
                <w:bCs/>
                <w:color w:val="000000"/>
                <w:lang w:eastAsia="en-IN"/>
              </w:rPr>
            </w:pPr>
          </w:p>
        </w:tc>
        <w:tc>
          <w:tcPr>
            <w:tcW w:w="929" w:type="dxa"/>
            <w:vMerge/>
            <w:tcBorders>
              <w:top w:val="nil"/>
              <w:left w:val="nil"/>
              <w:bottom w:val="nil"/>
              <w:right w:val="nil"/>
            </w:tcBorders>
            <w:vAlign w:val="center"/>
            <w:hideMark/>
          </w:tcPr>
          <w:p w14:paraId="20A73A2C" w14:textId="77777777" w:rsidR="00B26805" w:rsidRPr="004F103E" w:rsidRDefault="00B26805" w:rsidP="0003283A">
            <w:pPr>
              <w:rPr>
                <w:rFonts w:ascii="Arial" w:hAnsi="Arial" w:cs="Arial"/>
                <w:color w:val="000000"/>
                <w:lang w:eastAsia="en-IN"/>
              </w:rPr>
            </w:pPr>
          </w:p>
        </w:tc>
        <w:tc>
          <w:tcPr>
            <w:tcW w:w="1019" w:type="dxa"/>
            <w:tcBorders>
              <w:top w:val="nil"/>
              <w:left w:val="nil"/>
              <w:bottom w:val="nil"/>
              <w:right w:val="nil"/>
            </w:tcBorders>
            <w:noWrap/>
            <w:vAlign w:val="bottom"/>
            <w:hideMark/>
          </w:tcPr>
          <w:p w14:paraId="4A6F669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nil"/>
              <w:right w:val="nil"/>
            </w:tcBorders>
            <w:noWrap/>
            <w:vAlign w:val="bottom"/>
            <w:hideMark/>
          </w:tcPr>
          <w:p w14:paraId="2EBFF9C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40.55</w:t>
            </w:r>
          </w:p>
        </w:tc>
        <w:tc>
          <w:tcPr>
            <w:tcW w:w="840" w:type="dxa"/>
            <w:tcBorders>
              <w:top w:val="nil"/>
              <w:left w:val="nil"/>
              <w:bottom w:val="nil"/>
              <w:right w:val="nil"/>
            </w:tcBorders>
            <w:noWrap/>
            <w:vAlign w:val="bottom"/>
            <w:hideMark/>
          </w:tcPr>
          <w:p w14:paraId="15DD833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5.80</w:t>
            </w:r>
          </w:p>
        </w:tc>
        <w:tc>
          <w:tcPr>
            <w:tcW w:w="840" w:type="dxa"/>
            <w:tcBorders>
              <w:top w:val="nil"/>
              <w:left w:val="nil"/>
              <w:bottom w:val="nil"/>
              <w:right w:val="nil"/>
            </w:tcBorders>
            <w:noWrap/>
            <w:vAlign w:val="bottom"/>
            <w:hideMark/>
          </w:tcPr>
          <w:p w14:paraId="6DFE77A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2.19</w:t>
            </w:r>
          </w:p>
        </w:tc>
        <w:tc>
          <w:tcPr>
            <w:tcW w:w="840" w:type="dxa"/>
            <w:tcBorders>
              <w:top w:val="nil"/>
              <w:left w:val="nil"/>
              <w:bottom w:val="nil"/>
              <w:right w:val="nil"/>
            </w:tcBorders>
            <w:noWrap/>
            <w:vAlign w:val="bottom"/>
            <w:hideMark/>
          </w:tcPr>
          <w:p w14:paraId="5640B90D"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1.43</w:t>
            </w:r>
          </w:p>
        </w:tc>
        <w:tc>
          <w:tcPr>
            <w:tcW w:w="820" w:type="dxa"/>
            <w:tcBorders>
              <w:top w:val="nil"/>
              <w:left w:val="nil"/>
              <w:bottom w:val="nil"/>
              <w:right w:val="nil"/>
            </w:tcBorders>
            <w:noWrap/>
            <w:vAlign w:val="bottom"/>
            <w:hideMark/>
          </w:tcPr>
          <w:p w14:paraId="0C0805E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0.07</w:t>
            </w:r>
          </w:p>
        </w:tc>
        <w:tc>
          <w:tcPr>
            <w:tcW w:w="820" w:type="dxa"/>
            <w:tcBorders>
              <w:top w:val="nil"/>
              <w:left w:val="nil"/>
              <w:bottom w:val="nil"/>
              <w:right w:val="nil"/>
            </w:tcBorders>
            <w:noWrap/>
            <w:vAlign w:val="bottom"/>
            <w:hideMark/>
          </w:tcPr>
          <w:p w14:paraId="2AD77B7C"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4.31</w:t>
            </w:r>
          </w:p>
        </w:tc>
      </w:tr>
      <w:tr w:rsidR="00B26805" w:rsidRPr="00D3093B" w14:paraId="2F47E92F" w14:textId="77777777" w:rsidTr="0003283A">
        <w:trPr>
          <w:trHeight w:val="290"/>
          <w:jc w:val="center"/>
        </w:trPr>
        <w:tc>
          <w:tcPr>
            <w:tcW w:w="498" w:type="dxa"/>
            <w:vMerge/>
            <w:tcBorders>
              <w:top w:val="nil"/>
              <w:left w:val="nil"/>
              <w:bottom w:val="nil"/>
              <w:right w:val="nil"/>
            </w:tcBorders>
            <w:vAlign w:val="center"/>
            <w:hideMark/>
          </w:tcPr>
          <w:p w14:paraId="1C87EF2D" w14:textId="77777777" w:rsidR="00B26805" w:rsidRPr="00D3093B" w:rsidRDefault="00B26805" w:rsidP="0003283A">
            <w:pPr>
              <w:rPr>
                <w:rFonts w:ascii="Arial" w:hAnsi="Arial" w:cs="Arial"/>
                <w:b/>
                <w:bCs/>
                <w:color w:val="000000"/>
                <w:lang w:eastAsia="en-IN"/>
              </w:rPr>
            </w:pPr>
          </w:p>
        </w:tc>
        <w:tc>
          <w:tcPr>
            <w:tcW w:w="929" w:type="dxa"/>
            <w:vMerge w:val="restart"/>
            <w:tcBorders>
              <w:top w:val="nil"/>
              <w:left w:val="nil"/>
              <w:bottom w:val="nil"/>
              <w:right w:val="nil"/>
            </w:tcBorders>
            <w:noWrap/>
            <w:vAlign w:val="center"/>
            <w:hideMark/>
          </w:tcPr>
          <w:p w14:paraId="25EF50A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Root</w:t>
            </w:r>
          </w:p>
        </w:tc>
        <w:tc>
          <w:tcPr>
            <w:tcW w:w="1019" w:type="dxa"/>
            <w:tcBorders>
              <w:top w:val="nil"/>
              <w:left w:val="nil"/>
              <w:bottom w:val="nil"/>
              <w:right w:val="nil"/>
            </w:tcBorders>
            <w:noWrap/>
            <w:vAlign w:val="bottom"/>
            <w:hideMark/>
          </w:tcPr>
          <w:p w14:paraId="68F64FE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nil"/>
              <w:left w:val="nil"/>
              <w:bottom w:val="nil"/>
              <w:right w:val="nil"/>
            </w:tcBorders>
            <w:noWrap/>
            <w:vAlign w:val="bottom"/>
            <w:hideMark/>
          </w:tcPr>
          <w:p w14:paraId="4C63B84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12.23</w:t>
            </w:r>
          </w:p>
        </w:tc>
        <w:tc>
          <w:tcPr>
            <w:tcW w:w="840" w:type="dxa"/>
            <w:tcBorders>
              <w:top w:val="nil"/>
              <w:left w:val="nil"/>
              <w:bottom w:val="nil"/>
              <w:right w:val="nil"/>
            </w:tcBorders>
            <w:noWrap/>
            <w:vAlign w:val="bottom"/>
            <w:hideMark/>
          </w:tcPr>
          <w:p w14:paraId="28A0EBC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3.56</w:t>
            </w:r>
          </w:p>
        </w:tc>
        <w:tc>
          <w:tcPr>
            <w:tcW w:w="840" w:type="dxa"/>
            <w:tcBorders>
              <w:top w:val="nil"/>
              <w:left w:val="nil"/>
              <w:bottom w:val="nil"/>
              <w:right w:val="nil"/>
            </w:tcBorders>
            <w:noWrap/>
            <w:vAlign w:val="bottom"/>
            <w:hideMark/>
          </w:tcPr>
          <w:p w14:paraId="4081504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0.96</w:t>
            </w:r>
          </w:p>
        </w:tc>
        <w:tc>
          <w:tcPr>
            <w:tcW w:w="840" w:type="dxa"/>
            <w:tcBorders>
              <w:top w:val="nil"/>
              <w:left w:val="nil"/>
              <w:bottom w:val="nil"/>
              <w:right w:val="nil"/>
            </w:tcBorders>
            <w:noWrap/>
            <w:vAlign w:val="bottom"/>
            <w:hideMark/>
          </w:tcPr>
          <w:p w14:paraId="3BF0EB9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0.08</w:t>
            </w:r>
          </w:p>
        </w:tc>
        <w:tc>
          <w:tcPr>
            <w:tcW w:w="820" w:type="dxa"/>
            <w:tcBorders>
              <w:top w:val="nil"/>
              <w:left w:val="nil"/>
              <w:bottom w:val="nil"/>
              <w:right w:val="nil"/>
            </w:tcBorders>
            <w:noWrap/>
            <w:vAlign w:val="bottom"/>
            <w:hideMark/>
          </w:tcPr>
          <w:p w14:paraId="2489C942"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nil"/>
              <w:left w:val="nil"/>
              <w:bottom w:val="nil"/>
              <w:right w:val="nil"/>
            </w:tcBorders>
            <w:noWrap/>
            <w:vAlign w:val="bottom"/>
            <w:hideMark/>
          </w:tcPr>
          <w:p w14:paraId="54FAA99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0.57</w:t>
            </w:r>
          </w:p>
        </w:tc>
      </w:tr>
      <w:tr w:rsidR="00B26805" w:rsidRPr="00D3093B" w14:paraId="79CE6F95" w14:textId="77777777" w:rsidTr="0003283A">
        <w:trPr>
          <w:trHeight w:val="290"/>
          <w:jc w:val="center"/>
        </w:trPr>
        <w:tc>
          <w:tcPr>
            <w:tcW w:w="498" w:type="dxa"/>
            <w:vMerge/>
            <w:tcBorders>
              <w:top w:val="nil"/>
              <w:left w:val="nil"/>
              <w:bottom w:val="nil"/>
              <w:right w:val="nil"/>
            </w:tcBorders>
            <w:vAlign w:val="center"/>
            <w:hideMark/>
          </w:tcPr>
          <w:p w14:paraId="74C96AD1" w14:textId="77777777" w:rsidR="00B26805" w:rsidRPr="00D3093B" w:rsidRDefault="00B26805" w:rsidP="0003283A">
            <w:pPr>
              <w:rPr>
                <w:rFonts w:ascii="Arial" w:hAnsi="Arial" w:cs="Arial"/>
                <w:b/>
                <w:bCs/>
                <w:color w:val="000000"/>
                <w:lang w:eastAsia="en-IN"/>
              </w:rPr>
            </w:pPr>
          </w:p>
        </w:tc>
        <w:tc>
          <w:tcPr>
            <w:tcW w:w="929" w:type="dxa"/>
            <w:vMerge/>
            <w:tcBorders>
              <w:top w:val="nil"/>
              <w:left w:val="nil"/>
              <w:bottom w:val="nil"/>
              <w:right w:val="nil"/>
            </w:tcBorders>
            <w:vAlign w:val="center"/>
            <w:hideMark/>
          </w:tcPr>
          <w:p w14:paraId="6E13BD59" w14:textId="77777777" w:rsidR="00B26805" w:rsidRPr="004F103E" w:rsidRDefault="00B26805" w:rsidP="0003283A">
            <w:pPr>
              <w:rPr>
                <w:rFonts w:ascii="Arial" w:hAnsi="Arial" w:cs="Arial"/>
                <w:color w:val="000000"/>
                <w:lang w:eastAsia="en-IN"/>
              </w:rPr>
            </w:pPr>
          </w:p>
        </w:tc>
        <w:tc>
          <w:tcPr>
            <w:tcW w:w="1019" w:type="dxa"/>
            <w:tcBorders>
              <w:top w:val="nil"/>
              <w:left w:val="nil"/>
              <w:bottom w:val="single" w:sz="4" w:space="0" w:color="auto"/>
              <w:right w:val="nil"/>
            </w:tcBorders>
            <w:noWrap/>
            <w:vAlign w:val="bottom"/>
            <w:hideMark/>
          </w:tcPr>
          <w:p w14:paraId="0653EF0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single" w:sz="4" w:space="0" w:color="auto"/>
              <w:right w:val="nil"/>
            </w:tcBorders>
            <w:noWrap/>
            <w:vAlign w:val="bottom"/>
            <w:hideMark/>
          </w:tcPr>
          <w:p w14:paraId="5D0698F7"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22.05</w:t>
            </w:r>
          </w:p>
        </w:tc>
        <w:tc>
          <w:tcPr>
            <w:tcW w:w="840" w:type="dxa"/>
            <w:tcBorders>
              <w:top w:val="nil"/>
              <w:left w:val="nil"/>
              <w:bottom w:val="single" w:sz="4" w:space="0" w:color="auto"/>
              <w:right w:val="nil"/>
            </w:tcBorders>
            <w:noWrap/>
            <w:vAlign w:val="bottom"/>
            <w:hideMark/>
          </w:tcPr>
          <w:p w14:paraId="6127345D"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3.48</w:t>
            </w:r>
          </w:p>
        </w:tc>
        <w:tc>
          <w:tcPr>
            <w:tcW w:w="840" w:type="dxa"/>
            <w:tcBorders>
              <w:top w:val="nil"/>
              <w:left w:val="nil"/>
              <w:bottom w:val="single" w:sz="4" w:space="0" w:color="auto"/>
              <w:right w:val="nil"/>
            </w:tcBorders>
            <w:noWrap/>
            <w:vAlign w:val="bottom"/>
            <w:hideMark/>
          </w:tcPr>
          <w:p w14:paraId="3810BE8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0.48</w:t>
            </w:r>
          </w:p>
        </w:tc>
        <w:tc>
          <w:tcPr>
            <w:tcW w:w="840" w:type="dxa"/>
            <w:tcBorders>
              <w:top w:val="nil"/>
              <w:left w:val="nil"/>
              <w:bottom w:val="single" w:sz="4" w:space="0" w:color="auto"/>
              <w:right w:val="nil"/>
            </w:tcBorders>
            <w:noWrap/>
            <w:vAlign w:val="bottom"/>
            <w:hideMark/>
          </w:tcPr>
          <w:p w14:paraId="756B479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0.04</w:t>
            </w:r>
          </w:p>
        </w:tc>
        <w:tc>
          <w:tcPr>
            <w:tcW w:w="820" w:type="dxa"/>
            <w:tcBorders>
              <w:top w:val="nil"/>
              <w:left w:val="nil"/>
              <w:bottom w:val="single" w:sz="4" w:space="0" w:color="auto"/>
              <w:right w:val="nil"/>
            </w:tcBorders>
            <w:noWrap/>
            <w:vAlign w:val="bottom"/>
            <w:hideMark/>
          </w:tcPr>
          <w:p w14:paraId="2FA57AC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nil"/>
              <w:left w:val="nil"/>
              <w:bottom w:val="single" w:sz="4" w:space="0" w:color="auto"/>
              <w:right w:val="nil"/>
            </w:tcBorders>
            <w:noWrap/>
            <w:vAlign w:val="bottom"/>
            <w:hideMark/>
          </w:tcPr>
          <w:p w14:paraId="7A646D9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1.07</w:t>
            </w:r>
          </w:p>
        </w:tc>
      </w:tr>
      <w:tr w:rsidR="00B26805" w:rsidRPr="00D3093B" w14:paraId="0E8DC809" w14:textId="77777777" w:rsidTr="0003283A">
        <w:trPr>
          <w:trHeight w:val="290"/>
          <w:jc w:val="center"/>
        </w:trPr>
        <w:tc>
          <w:tcPr>
            <w:tcW w:w="498" w:type="dxa"/>
            <w:vMerge w:val="restart"/>
            <w:tcBorders>
              <w:top w:val="nil"/>
              <w:left w:val="nil"/>
              <w:bottom w:val="nil"/>
              <w:right w:val="nil"/>
            </w:tcBorders>
            <w:noWrap/>
            <w:textDirection w:val="btLr"/>
            <w:vAlign w:val="center"/>
            <w:hideMark/>
          </w:tcPr>
          <w:p w14:paraId="7F9BAD06"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Maize</w:t>
            </w:r>
          </w:p>
        </w:tc>
        <w:tc>
          <w:tcPr>
            <w:tcW w:w="929" w:type="dxa"/>
            <w:vMerge w:val="restart"/>
            <w:tcBorders>
              <w:top w:val="nil"/>
              <w:left w:val="nil"/>
              <w:bottom w:val="nil"/>
              <w:right w:val="nil"/>
            </w:tcBorders>
            <w:noWrap/>
            <w:vAlign w:val="center"/>
            <w:hideMark/>
          </w:tcPr>
          <w:p w14:paraId="1249AFCD"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 xml:space="preserve"> Leaves</w:t>
            </w:r>
          </w:p>
        </w:tc>
        <w:tc>
          <w:tcPr>
            <w:tcW w:w="1019" w:type="dxa"/>
            <w:tcBorders>
              <w:top w:val="single" w:sz="4" w:space="0" w:color="auto"/>
              <w:left w:val="nil"/>
              <w:bottom w:val="nil"/>
              <w:right w:val="nil"/>
            </w:tcBorders>
            <w:noWrap/>
            <w:vAlign w:val="bottom"/>
            <w:hideMark/>
          </w:tcPr>
          <w:p w14:paraId="2FE9FF4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single" w:sz="4" w:space="0" w:color="auto"/>
              <w:left w:val="nil"/>
              <w:bottom w:val="nil"/>
              <w:right w:val="nil"/>
            </w:tcBorders>
            <w:noWrap/>
            <w:vAlign w:val="bottom"/>
            <w:hideMark/>
          </w:tcPr>
          <w:p w14:paraId="3EF2016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26.15</w:t>
            </w:r>
          </w:p>
        </w:tc>
        <w:tc>
          <w:tcPr>
            <w:tcW w:w="840" w:type="dxa"/>
            <w:tcBorders>
              <w:top w:val="single" w:sz="4" w:space="0" w:color="auto"/>
              <w:left w:val="nil"/>
              <w:bottom w:val="nil"/>
              <w:right w:val="nil"/>
            </w:tcBorders>
            <w:noWrap/>
            <w:vAlign w:val="bottom"/>
            <w:hideMark/>
          </w:tcPr>
          <w:p w14:paraId="652DC83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1.57</w:t>
            </w:r>
          </w:p>
        </w:tc>
        <w:tc>
          <w:tcPr>
            <w:tcW w:w="840" w:type="dxa"/>
            <w:tcBorders>
              <w:top w:val="single" w:sz="4" w:space="0" w:color="auto"/>
              <w:left w:val="nil"/>
              <w:bottom w:val="nil"/>
              <w:right w:val="nil"/>
            </w:tcBorders>
            <w:noWrap/>
            <w:vAlign w:val="bottom"/>
            <w:hideMark/>
          </w:tcPr>
          <w:p w14:paraId="28674F2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3.64</w:t>
            </w:r>
          </w:p>
        </w:tc>
        <w:tc>
          <w:tcPr>
            <w:tcW w:w="840" w:type="dxa"/>
            <w:tcBorders>
              <w:top w:val="single" w:sz="4" w:space="0" w:color="auto"/>
              <w:left w:val="nil"/>
              <w:bottom w:val="nil"/>
              <w:right w:val="nil"/>
            </w:tcBorders>
            <w:noWrap/>
            <w:vAlign w:val="bottom"/>
            <w:hideMark/>
          </w:tcPr>
          <w:p w14:paraId="1E54959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0.55</w:t>
            </w:r>
          </w:p>
        </w:tc>
        <w:tc>
          <w:tcPr>
            <w:tcW w:w="820" w:type="dxa"/>
            <w:tcBorders>
              <w:top w:val="single" w:sz="4" w:space="0" w:color="auto"/>
              <w:left w:val="nil"/>
              <w:bottom w:val="nil"/>
              <w:right w:val="nil"/>
            </w:tcBorders>
            <w:noWrap/>
            <w:vAlign w:val="bottom"/>
            <w:hideMark/>
          </w:tcPr>
          <w:p w14:paraId="2DFA7B9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single" w:sz="4" w:space="0" w:color="auto"/>
              <w:left w:val="nil"/>
              <w:bottom w:val="nil"/>
              <w:right w:val="nil"/>
            </w:tcBorders>
            <w:noWrap/>
            <w:vAlign w:val="bottom"/>
            <w:hideMark/>
          </w:tcPr>
          <w:p w14:paraId="7D645E97"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4.68</w:t>
            </w:r>
          </w:p>
        </w:tc>
      </w:tr>
      <w:tr w:rsidR="00B26805" w:rsidRPr="00D3093B" w14:paraId="54A675CE" w14:textId="77777777" w:rsidTr="0003283A">
        <w:trPr>
          <w:trHeight w:val="290"/>
          <w:jc w:val="center"/>
        </w:trPr>
        <w:tc>
          <w:tcPr>
            <w:tcW w:w="498" w:type="dxa"/>
            <w:vMerge/>
            <w:tcBorders>
              <w:top w:val="nil"/>
              <w:left w:val="nil"/>
              <w:bottom w:val="nil"/>
              <w:right w:val="nil"/>
            </w:tcBorders>
            <w:vAlign w:val="center"/>
            <w:hideMark/>
          </w:tcPr>
          <w:p w14:paraId="703FBA70" w14:textId="77777777" w:rsidR="00B26805" w:rsidRPr="00D3093B" w:rsidRDefault="00B26805" w:rsidP="0003283A">
            <w:pPr>
              <w:rPr>
                <w:rFonts w:ascii="Arial" w:hAnsi="Arial" w:cs="Arial"/>
                <w:b/>
                <w:bCs/>
                <w:color w:val="000000"/>
                <w:lang w:eastAsia="en-IN"/>
              </w:rPr>
            </w:pPr>
          </w:p>
        </w:tc>
        <w:tc>
          <w:tcPr>
            <w:tcW w:w="929" w:type="dxa"/>
            <w:vMerge/>
            <w:tcBorders>
              <w:top w:val="nil"/>
              <w:left w:val="nil"/>
              <w:bottom w:val="nil"/>
              <w:right w:val="nil"/>
            </w:tcBorders>
            <w:vAlign w:val="center"/>
            <w:hideMark/>
          </w:tcPr>
          <w:p w14:paraId="57E04B3B" w14:textId="77777777" w:rsidR="00B26805" w:rsidRPr="004F103E" w:rsidRDefault="00B26805" w:rsidP="0003283A">
            <w:pPr>
              <w:rPr>
                <w:rFonts w:ascii="Arial" w:hAnsi="Arial" w:cs="Arial"/>
                <w:color w:val="000000"/>
                <w:lang w:eastAsia="en-IN"/>
              </w:rPr>
            </w:pPr>
          </w:p>
        </w:tc>
        <w:tc>
          <w:tcPr>
            <w:tcW w:w="1019" w:type="dxa"/>
            <w:tcBorders>
              <w:top w:val="nil"/>
              <w:left w:val="nil"/>
              <w:bottom w:val="nil"/>
              <w:right w:val="nil"/>
            </w:tcBorders>
            <w:noWrap/>
            <w:vAlign w:val="bottom"/>
            <w:hideMark/>
          </w:tcPr>
          <w:p w14:paraId="52B2E9A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nil"/>
              <w:right w:val="nil"/>
            </w:tcBorders>
            <w:noWrap/>
            <w:vAlign w:val="bottom"/>
            <w:hideMark/>
          </w:tcPr>
          <w:p w14:paraId="34BB8A7C"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18.06</w:t>
            </w:r>
          </w:p>
        </w:tc>
        <w:tc>
          <w:tcPr>
            <w:tcW w:w="840" w:type="dxa"/>
            <w:tcBorders>
              <w:top w:val="nil"/>
              <w:left w:val="nil"/>
              <w:bottom w:val="nil"/>
              <w:right w:val="nil"/>
            </w:tcBorders>
            <w:noWrap/>
            <w:vAlign w:val="bottom"/>
            <w:hideMark/>
          </w:tcPr>
          <w:p w14:paraId="19BC7B7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1.82</w:t>
            </w:r>
          </w:p>
        </w:tc>
        <w:tc>
          <w:tcPr>
            <w:tcW w:w="840" w:type="dxa"/>
            <w:tcBorders>
              <w:top w:val="nil"/>
              <w:left w:val="nil"/>
              <w:bottom w:val="nil"/>
              <w:right w:val="nil"/>
            </w:tcBorders>
            <w:noWrap/>
            <w:vAlign w:val="bottom"/>
            <w:hideMark/>
          </w:tcPr>
          <w:p w14:paraId="6ED90B1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2.29</w:t>
            </w:r>
          </w:p>
        </w:tc>
        <w:tc>
          <w:tcPr>
            <w:tcW w:w="840" w:type="dxa"/>
            <w:tcBorders>
              <w:top w:val="nil"/>
              <w:left w:val="nil"/>
              <w:bottom w:val="nil"/>
              <w:right w:val="nil"/>
            </w:tcBorders>
            <w:noWrap/>
            <w:vAlign w:val="bottom"/>
            <w:hideMark/>
          </w:tcPr>
          <w:p w14:paraId="178C996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0.72</w:t>
            </w:r>
          </w:p>
        </w:tc>
        <w:tc>
          <w:tcPr>
            <w:tcW w:w="820" w:type="dxa"/>
            <w:tcBorders>
              <w:top w:val="nil"/>
              <w:left w:val="nil"/>
              <w:bottom w:val="nil"/>
              <w:right w:val="nil"/>
            </w:tcBorders>
            <w:noWrap/>
            <w:vAlign w:val="bottom"/>
            <w:hideMark/>
          </w:tcPr>
          <w:p w14:paraId="07E4CE1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0.02</w:t>
            </w:r>
          </w:p>
        </w:tc>
        <w:tc>
          <w:tcPr>
            <w:tcW w:w="820" w:type="dxa"/>
            <w:tcBorders>
              <w:top w:val="nil"/>
              <w:left w:val="nil"/>
              <w:bottom w:val="nil"/>
              <w:right w:val="nil"/>
            </w:tcBorders>
            <w:noWrap/>
            <w:vAlign w:val="bottom"/>
            <w:hideMark/>
          </w:tcPr>
          <w:p w14:paraId="6FC4315B"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4.41</w:t>
            </w:r>
          </w:p>
        </w:tc>
      </w:tr>
      <w:tr w:rsidR="00B26805" w:rsidRPr="00D3093B" w14:paraId="16F27640" w14:textId="77777777" w:rsidTr="0003283A">
        <w:trPr>
          <w:trHeight w:val="290"/>
          <w:jc w:val="center"/>
        </w:trPr>
        <w:tc>
          <w:tcPr>
            <w:tcW w:w="498" w:type="dxa"/>
            <w:vMerge/>
            <w:tcBorders>
              <w:top w:val="nil"/>
              <w:left w:val="nil"/>
              <w:bottom w:val="nil"/>
              <w:right w:val="nil"/>
            </w:tcBorders>
            <w:vAlign w:val="center"/>
            <w:hideMark/>
          </w:tcPr>
          <w:p w14:paraId="11024285" w14:textId="77777777" w:rsidR="00B26805" w:rsidRPr="00D3093B" w:rsidRDefault="00B26805" w:rsidP="0003283A">
            <w:pPr>
              <w:rPr>
                <w:rFonts w:ascii="Arial" w:hAnsi="Arial" w:cs="Arial"/>
                <w:b/>
                <w:bCs/>
                <w:color w:val="000000"/>
                <w:lang w:eastAsia="en-IN"/>
              </w:rPr>
            </w:pPr>
          </w:p>
        </w:tc>
        <w:tc>
          <w:tcPr>
            <w:tcW w:w="929" w:type="dxa"/>
            <w:vMerge w:val="restart"/>
            <w:tcBorders>
              <w:top w:val="nil"/>
              <w:left w:val="nil"/>
              <w:bottom w:val="nil"/>
              <w:right w:val="nil"/>
            </w:tcBorders>
            <w:noWrap/>
            <w:vAlign w:val="center"/>
            <w:hideMark/>
          </w:tcPr>
          <w:p w14:paraId="1EBEA44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Root</w:t>
            </w:r>
          </w:p>
        </w:tc>
        <w:tc>
          <w:tcPr>
            <w:tcW w:w="1019" w:type="dxa"/>
            <w:tcBorders>
              <w:top w:val="nil"/>
              <w:left w:val="nil"/>
              <w:bottom w:val="nil"/>
              <w:right w:val="nil"/>
            </w:tcBorders>
            <w:noWrap/>
            <w:vAlign w:val="bottom"/>
            <w:hideMark/>
          </w:tcPr>
          <w:p w14:paraId="12B05DC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nil"/>
              <w:left w:val="nil"/>
              <w:bottom w:val="nil"/>
              <w:right w:val="nil"/>
            </w:tcBorders>
            <w:noWrap/>
            <w:vAlign w:val="bottom"/>
            <w:hideMark/>
          </w:tcPr>
          <w:p w14:paraId="130B7BE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2.48</w:t>
            </w:r>
          </w:p>
        </w:tc>
        <w:tc>
          <w:tcPr>
            <w:tcW w:w="840" w:type="dxa"/>
            <w:tcBorders>
              <w:top w:val="nil"/>
              <w:left w:val="nil"/>
              <w:bottom w:val="nil"/>
              <w:right w:val="nil"/>
            </w:tcBorders>
            <w:noWrap/>
            <w:vAlign w:val="bottom"/>
            <w:hideMark/>
          </w:tcPr>
          <w:p w14:paraId="3A9D457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0.75</w:t>
            </w:r>
          </w:p>
        </w:tc>
        <w:tc>
          <w:tcPr>
            <w:tcW w:w="840" w:type="dxa"/>
            <w:tcBorders>
              <w:top w:val="nil"/>
              <w:left w:val="nil"/>
              <w:bottom w:val="nil"/>
              <w:right w:val="nil"/>
            </w:tcBorders>
            <w:noWrap/>
            <w:vAlign w:val="bottom"/>
            <w:hideMark/>
          </w:tcPr>
          <w:p w14:paraId="3E7F3D2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1.45</w:t>
            </w:r>
          </w:p>
        </w:tc>
        <w:tc>
          <w:tcPr>
            <w:tcW w:w="840" w:type="dxa"/>
            <w:tcBorders>
              <w:top w:val="nil"/>
              <w:left w:val="nil"/>
              <w:bottom w:val="nil"/>
              <w:right w:val="nil"/>
            </w:tcBorders>
            <w:noWrap/>
            <w:vAlign w:val="bottom"/>
            <w:hideMark/>
          </w:tcPr>
          <w:p w14:paraId="3258CC5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-0.13</w:t>
            </w:r>
          </w:p>
        </w:tc>
        <w:tc>
          <w:tcPr>
            <w:tcW w:w="820" w:type="dxa"/>
            <w:tcBorders>
              <w:top w:val="nil"/>
              <w:left w:val="nil"/>
              <w:bottom w:val="nil"/>
              <w:right w:val="nil"/>
            </w:tcBorders>
            <w:noWrap/>
            <w:vAlign w:val="bottom"/>
            <w:hideMark/>
          </w:tcPr>
          <w:p w14:paraId="13A50087"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nil"/>
              <w:left w:val="nil"/>
              <w:bottom w:val="nil"/>
              <w:right w:val="nil"/>
            </w:tcBorders>
            <w:noWrap/>
            <w:vAlign w:val="bottom"/>
            <w:hideMark/>
          </w:tcPr>
          <w:p w14:paraId="3C11EE5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0.94</w:t>
            </w:r>
          </w:p>
        </w:tc>
      </w:tr>
      <w:tr w:rsidR="00B26805" w:rsidRPr="00D3093B" w14:paraId="1D5CEA28" w14:textId="77777777" w:rsidTr="0003283A">
        <w:trPr>
          <w:trHeight w:val="290"/>
          <w:jc w:val="center"/>
        </w:trPr>
        <w:tc>
          <w:tcPr>
            <w:tcW w:w="498" w:type="dxa"/>
            <w:vMerge/>
            <w:tcBorders>
              <w:top w:val="nil"/>
              <w:left w:val="nil"/>
              <w:right w:val="nil"/>
            </w:tcBorders>
            <w:vAlign w:val="center"/>
            <w:hideMark/>
          </w:tcPr>
          <w:p w14:paraId="6EAF3084" w14:textId="77777777" w:rsidR="00B26805" w:rsidRPr="00D3093B" w:rsidRDefault="00B26805" w:rsidP="0003283A">
            <w:pPr>
              <w:rPr>
                <w:rFonts w:ascii="Arial" w:hAnsi="Arial" w:cs="Arial"/>
                <w:b/>
                <w:bCs/>
                <w:color w:val="000000"/>
                <w:lang w:eastAsia="en-IN"/>
              </w:rPr>
            </w:pPr>
          </w:p>
        </w:tc>
        <w:tc>
          <w:tcPr>
            <w:tcW w:w="929" w:type="dxa"/>
            <w:vMerge/>
            <w:tcBorders>
              <w:top w:val="nil"/>
              <w:left w:val="nil"/>
              <w:bottom w:val="nil"/>
              <w:right w:val="nil"/>
            </w:tcBorders>
            <w:vAlign w:val="center"/>
            <w:hideMark/>
          </w:tcPr>
          <w:p w14:paraId="51E52BCB" w14:textId="77777777" w:rsidR="00B26805" w:rsidRPr="004F103E" w:rsidRDefault="00B26805" w:rsidP="0003283A">
            <w:pPr>
              <w:rPr>
                <w:rFonts w:ascii="Arial" w:hAnsi="Arial" w:cs="Arial"/>
                <w:color w:val="000000"/>
                <w:lang w:eastAsia="en-IN"/>
              </w:rPr>
            </w:pPr>
          </w:p>
        </w:tc>
        <w:tc>
          <w:tcPr>
            <w:tcW w:w="1019" w:type="dxa"/>
            <w:tcBorders>
              <w:top w:val="nil"/>
              <w:left w:val="nil"/>
              <w:bottom w:val="single" w:sz="4" w:space="0" w:color="auto"/>
              <w:right w:val="nil"/>
            </w:tcBorders>
            <w:noWrap/>
            <w:vAlign w:val="bottom"/>
            <w:hideMark/>
          </w:tcPr>
          <w:p w14:paraId="5FCDDDB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single" w:sz="4" w:space="0" w:color="auto"/>
              <w:right w:val="nil"/>
            </w:tcBorders>
            <w:noWrap/>
            <w:vAlign w:val="bottom"/>
            <w:hideMark/>
          </w:tcPr>
          <w:p w14:paraId="77BEAC0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6.12</w:t>
            </w:r>
          </w:p>
        </w:tc>
        <w:tc>
          <w:tcPr>
            <w:tcW w:w="840" w:type="dxa"/>
            <w:tcBorders>
              <w:top w:val="nil"/>
              <w:left w:val="nil"/>
              <w:bottom w:val="single" w:sz="4" w:space="0" w:color="auto"/>
              <w:right w:val="nil"/>
            </w:tcBorders>
            <w:noWrap/>
            <w:vAlign w:val="bottom"/>
            <w:hideMark/>
          </w:tcPr>
          <w:p w14:paraId="68DBB6B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1.99</w:t>
            </w:r>
          </w:p>
        </w:tc>
        <w:tc>
          <w:tcPr>
            <w:tcW w:w="840" w:type="dxa"/>
            <w:tcBorders>
              <w:top w:val="nil"/>
              <w:left w:val="nil"/>
              <w:bottom w:val="single" w:sz="4" w:space="0" w:color="auto"/>
              <w:right w:val="nil"/>
            </w:tcBorders>
            <w:noWrap/>
            <w:vAlign w:val="bottom"/>
            <w:hideMark/>
          </w:tcPr>
          <w:p w14:paraId="4FFD0FF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1.56</w:t>
            </w:r>
          </w:p>
        </w:tc>
        <w:tc>
          <w:tcPr>
            <w:tcW w:w="840" w:type="dxa"/>
            <w:tcBorders>
              <w:top w:val="nil"/>
              <w:left w:val="nil"/>
              <w:bottom w:val="single" w:sz="4" w:space="0" w:color="auto"/>
              <w:right w:val="nil"/>
            </w:tcBorders>
            <w:noWrap/>
            <w:vAlign w:val="bottom"/>
            <w:hideMark/>
          </w:tcPr>
          <w:p w14:paraId="3A59C115"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-0.19</w:t>
            </w:r>
          </w:p>
        </w:tc>
        <w:tc>
          <w:tcPr>
            <w:tcW w:w="820" w:type="dxa"/>
            <w:tcBorders>
              <w:top w:val="nil"/>
              <w:left w:val="nil"/>
              <w:bottom w:val="single" w:sz="4" w:space="0" w:color="auto"/>
              <w:right w:val="nil"/>
            </w:tcBorders>
            <w:noWrap/>
            <w:vAlign w:val="bottom"/>
            <w:hideMark/>
          </w:tcPr>
          <w:p w14:paraId="20511A5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nil"/>
              <w:left w:val="nil"/>
              <w:bottom w:val="single" w:sz="4" w:space="0" w:color="auto"/>
              <w:right w:val="nil"/>
            </w:tcBorders>
            <w:noWrap/>
            <w:vAlign w:val="bottom"/>
            <w:hideMark/>
          </w:tcPr>
          <w:p w14:paraId="626D7CE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0.42</w:t>
            </w:r>
          </w:p>
        </w:tc>
      </w:tr>
      <w:tr w:rsidR="00B26805" w:rsidRPr="00D3093B" w14:paraId="223A3D21" w14:textId="77777777" w:rsidTr="0003283A">
        <w:trPr>
          <w:trHeight w:val="290"/>
          <w:jc w:val="center"/>
        </w:trPr>
        <w:tc>
          <w:tcPr>
            <w:tcW w:w="498" w:type="dxa"/>
            <w:vMerge w:val="restart"/>
            <w:tcBorders>
              <w:top w:val="nil"/>
              <w:left w:val="nil"/>
              <w:bottom w:val="single" w:sz="4" w:space="0" w:color="auto"/>
              <w:right w:val="nil"/>
            </w:tcBorders>
            <w:noWrap/>
            <w:textDirection w:val="btLr"/>
            <w:vAlign w:val="center"/>
            <w:hideMark/>
          </w:tcPr>
          <w:p w14:paraId="108FC445" w14:textId="77777777" w:rsidR="00B26805" w:rsidRPr="00D3093B" w:rsidRDefault="00B26805" w:rsidP="0003283A">
            <w:pPr>
              <w:jc w:val="center"/>
              <w:rPr>
                <w:rFonts w:ascii="Arial" w:hAnsi="Arial" w:cs="Arial"/>
                <w:b/>
                <w:bCs/>
                <w:color w:val="000000"/>
                <w:lang w:eastAsia="en-IN"/>
              </w:rPr>
            </w:pPr>
            <w:r w:rsidRPr="00D3093B">
              <w:rPr>
                <w:rFonts w:ascii="Arial" w:hAnsi="Arial" w:cs="Arial"/>
                <w:b/>
                <w:bCs/>
                <w:color w:val="000000"/>
                <w:lang w:eastAsia="en-IN"/>
              </w:rPr>
              <w:t>Green gram</w:t>
            </w:r>
          </w:p>
        </w:tc>
        <w:tc>
          <w:tcPr>
            <w:tcW w:w="929" w:type="dxa"/>
            <w:vMerge w:val="restart"/>
            <w:tcBorders>
              <w:top w:val="nil"/>
              <w:left w:val="nil"/>
              <w:bottom w:val="nil"/>
              <w:right w:val="nil"/>
            </w:tcBorders>
            <w:noWrap/>
            <w:vAlign w:val="center"/>
            <w:hideMark/>
          </w:tcPr>
          <w:p w14:paraId="76694655"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Leaves</w:t>
            </w:r>
          </w:p>
        </w:tc>
        <w:tc>
          <w:tcPr>
            <w:tcW w:w="1019" w:type="dxa"/>
            <w:tcBorders>
              <w:top w:val="single" w:sz="4" w:space="0" w:color="auto"/>
              <w:left w:val="nil"/>
              <w:bottom w:val="nil"/>
              <w:right w:val="nil"/>
            </w:tcBorders>
            <w:noWrap/>
            <w:vAlign w:val="bottom"/>
            <w:hideMark/>
          </w:tcPr>
          <w:p w14:paraId="3FBC1EB8"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single" w:sz="4" w:space="0" w:color="auto"/>
              <w:left w:val="nil"/>
              <w:bottom w:val="nil"/>
              <w:right w:val="nil"/>
            </w:tcBorders>
            <w:noWrap/>
            <w:vAlign w:val="bottom"/>
            <w:hideMark/>
          </w:tcPr>
          <w:p w14:paraId="2EF34BC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24.97</w:t>
            </w:r>
          </w:p>
        </w:tc>
        <w:tc>
          <w:tcPr>
            <w:tcW w:w="840" w:type="dxa"/>
            <w:tcBorders>
              <w:top w:val="single" w:sz="4" w:space="0" w:color="auto"/>
              <w:left w:val="nil"/>
              <w:bottom w:val="nil"/>
              <w:right w:val="nil"/>
            </w:tcBorders>
            <w:noWrap/>
            <w:vAlign w:val="bottom"/>
            <w:hideMark/>
          </w:tcPr>
          <w:p w14:paraId="46AF6125"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3.81</w:t>
            </w:r>
          </w:p>
        </w:tc>
        <w:tc>
          <w:tcPr>
            <w:tcW w:w="840" w:type="dxa"/>
            <w:tcBorders>
              <w:top w:val="single" w:sz="4" w:space="0" w:color="auto"/>
              <w:left w:val="nil"/>
              <w:bottom w:val="nil"/>
              <w:right w:val="nil"/>
            </w:tcBorders>
            <w:noWrap/>
            <w:vAlign w:val="bottom"/>
            <w:hideMark/>
          </w:tcPr>
          <w:p w14:paraId="512E9D5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3.81</w:t>
            </w:r>
          </w:p>
        </w:tc>
        <w:tc>
          <w:tcPr>
            <w:tcW w:w="840" w:type="dxa"/>
            <w:tcBorders>
              <w:top w:val="single" w:sz="4" w:space="0" w:color="auto"/>
              <w:left w:val="nil"/>
              <w:bottom w:val="nil"/>
              <w:right w:val="nil"/>
            </w:tcBorders>
            <w:noWrap/>
            <w:vAlign w:val="bottom"/>
            <w:hideMark/>
          </w:tcPr>
          <w:p w14:paraId="0456BE5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1.56</w:t>
            </w:r>
          </w:p>
        </w:tc>
        <w:tc>
          <w:tcPr>
            <w:tcW w:w="820" w:type="dxa"/>
            <w:tcBorders>
              <w:top w:val="single" w:sz="4" w:space="0" w:color="auto"/>
              <w:left w:val="nil"/>
              <w:bottom w:val="nil"/>
              <w:right w:val="nil"/>
            </w:tcBorders>
            <w:noWrap/>
            <w:vAlign w:val="bottom"/>
            <w:hideMark/>
          </w:tcPr>
          <w:p w14:paraId="0ED1D2A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0.21</w:t>
            </w:r>
          </w:p>
        </w:tc>
        <w:tc>
          <w:tcPr>
            <w:tcW w:w="820" w:type="dxa"/>
            <w:tcBorders>
              <w:top w:val="single" w:sz="4" w:space="0" w:color="auto"/>
              <w:left w:val="nil"/>
              <w:bottom w:val="nil"/>
              <w:right w:val="nil"/>
            </w:tcBorders>
            <w:noWrap/>
            <w:vAlign w:val="bottom"/>
            <w:hideMark/>
          </w:tcPr>
          <w:p w14:paraId="2289F9A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1.95</w:t>
            </w:r>
          </w:p>
        </w:tc>
      </w:tr>
      <w:tr w:rsidR="00B26805" w:rsidRPr="00D3093B" w14:paraId="66F25AE6" w14:textId="77777777" w:rsidTr="0003283A">
        <w:trPr>
          <w:trHeight w:val="290"/>
          <w:jc w:val="center"/>
        </w:trPr>
        <w:tc>
          <w:tcPr>
            <w:tcW w:w="498" w:type="dxa"/>
            <w:vMerge/>
            <w:tcBorders>
              <w:top w:val="nil"/>
              <w:left w:val="nil"/>
              <w:bottom w:val="single" w:sz="4" w:space="0" w:color="auto"/>
              <w:right w:val="nil"/>
            </w:tcBorders>
            <w:vAlign w:val="center"/>
            <w:hideMark/>
          </w:tcPr>
          <w:p w14:paraId="2F47D1D6" w14:textId="77777777" w:rsidR="00B26805" w:rsidRPr="00D3093B" w:rsidRDefault="00B26805" w:rsidP="0003283A">
            <w:pPr>
              <w:rPr>
                <w:rFonts w:ascii="Arial" w:hAnsi="Arial" w:cs="Arial"/>
                <w:color w:val="000000"/>
                <w:lang w:eastAsia="en-IN"/>
              </w:rPr>
            </w:pPr>
          </w:p>
        </w:tc>
        <w:tc>
          <w:tcPr>
            <w:tcW w:w="929" w:type="dxa"/>
            <w:vMerge/>
            <w:tcBorders>
              <w:top w:val="nil"/>
              <w:left w:val="nil"/>
              <w:right w:val="nil"/>
            </w:tcBorders>
            <w:vAlign w:val="center"/>
            <w:hideMark/>
          </w:tcPr>
          <w:p w14:paraId="7149D714" w14:textId="77777777" w:rsidR="00B26805" w:rsidRPr="004F103E" w:rsidRDefault="00B26805" w:rsidP="0003283A">
            <w:pPr>
              <w:rPr>
                <w:rFonts w:ascii="Arial" w:hAnsi="Arial" w:cs="Arial"/>
                <w:color w:val="000000"/>
                <w:lang w:eastAsia="en-IN"/>
              </w:rPr>
            </w:pPr>
          </w:p>
        </w:tc>
        <w:tc>
          <w:tcPr>
            <w:tcW w:w="1019" w:type="dxa"/>
            <w:tcBorders>
              <w:top w:val="nil"/>
              <w:left w:val="nil"/>
              <w:bottom w:val="nil"/>
              <w:right w:val="nil"/>
            </w:tcBorders>
            <w:noWrap/>
            <w:vAlign w:val="bottom"/>
            <w:hideMark/>
          </w:tcPr>
          <w:p w14:paraId="38CD206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nil"/>
              <w:right w:val="nil"/>
            </w:tcBorders>
            <w:noWrap/>
            <w:vAlign w:val="bottom"/>
            <w:hideMark/>
          </w:tcPr>
          <w:p w14:paraId="30605533"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14.51</w:t>
            </w:r>
          </w:p>
        </w:tc>
        <w:tc>
          <w:tcPr>
            <w:tcW w:w="840" w:type="dxa"/>
            <w:tcBorders>
              <w:top w:val="nil"/>
              <w:left w:val="nil"/>
              <w:bottom w:val="nil"/>
              <w:right w:val="nil"/>
            </w:tcBorders>
            <w:noWrap/>
            <w:vAlign w:val="bottom"/>
            <w:hideMark/>
          </w:tcPr>
          <w:p w14:paraId="7AB15A3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3.39</w:t>
            </w:r>
          </w:p>
        </w:tc>
        <w:tc>
          <w:tcPr>
            <w:tcW w:w="840" w:type="dxa"/>
            <w:tcBorders>
              <w:top w:val="nil"/>
              <w:left w:val="nil"/>
              <w:bottom w:val="nil"/>
              <w:right w:val="nil"/>
            </w:tcBorders>
            <w:noWrap/>
            <w:vAlign w:val="bottom"/>
            <w:hideMark/>
          </w:tcPr>
          <w:p w14:paraId="00DE13B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2.62</w:t>
            </w:r>
          </w:p>
        </w:tc>
        <w:tc>
          <w:tcPr>
            <w:tcW w:w="840" w:type="dxa"/>
            <w:tcBorders>
              <w:top w:val="nil"/>
              <w:left w:val="nil"/>
              <w:bottom w:val="nil"/>
              <w:right w:val="nil"/>
            </w:tcBorders>
            <w:noWrap/>
            <w:vAlign w:val="bottom"/>
            <w:hideMark/>
          </w:tcPr>
          <w:p w14:paraId="62A8494C"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0.49</w:t>
            </w:r>
          </w:p>
        </w:tc>
        <w:tc>
          <w:tcPr>
            <w:tcW w:w="820" w:type="dxa"/>
            <w:tcBorders>
              <w:top w:val="nil"/>
              <w:left w:val="nil"/>
              <w:bottom w:val="nil"/>
              <w:right w:val="nil"/>
            </w:tcBorders>
            <w:noWrap/>
            <w:vAlign w:val="bottom"/>
            <w:hideMark/>
          </w:tcPr>
          <w:p w14:paraId="6D10CA51"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0.12</w:t>
            </w:r>
          </w:p>
        </w:tc>
        <w:tc>
          <w:tcPr>
            <w:tcW w:w="820" w:type="dxa"/>
            <w:tcBorders>
              <w:top w:val="nil"/>
              <w:left w:val="nil"/>
              <w:bottom w:val="nil"/>
              <w:right w:val="nil"/>
            </w:tcBorders>
            <w:noWrap/>
            <w:vAlign w:val="bottom"/>
            <w:hideMark/>
          </w:tcPr>
          <w:p w14:paraId="382E655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2.12</w:t>
            </w:r>
          </w:p>
        </w:tc>
      </w:tr>
      <w:tr w:rsidR="00B26805" w:rsidRPr="00D3093B" w14:paraId="2BBF0BE1" w14:textId="77777777" w:rsidTr="0003283A">
        <w:trPr>
          <w:trHeight w:val="290"/>
          <w:jc w:val="center"/>
        </w:trPr>
        <w:tc>
          <w:tcPr>
            <w:tcW w:w="498" w:type="dxa"/>
            <w:vMerge/>
            <w:tcBorders>
              <w:top w:val="nil"/>
              <w:left w:val="nil"/>
              <w:bottom w:val="single" w:sz="4" w:space="0" w:color="auto"/>
              <w:right w:val="nil"/>
            </w:tcBorders>
            <w:vAlign w:val="center"/>
            <w:hideMark/>
          </w:tcPr>
          <w:p w14:paraId="7A960E68" w14:textId="77777777" w:rsidR="00B26805" w:rsidRPr="00D3093B" w:rsidRDefault="00B26805" w:rsidP="0003283A">
            <w:pPr>
              <w:rPr>
                <w:rFonts w:ascii="Arial" w:hAnsi="Arial" w:cs="Arial"/>
                <w:color w:val="000000"/>
                <w:lang w:eastAsia="en-IN"/>
              </w:rPr>
            </w:pPr>
          </w:p>
        </w:tc>
        <w:tc>
          <w:tcPr>
            <w:tcW w:w="929" w:type="dxa"/>
            <w:vMerge w:val="restart"/>
            <w:tcBorders>
              <w:top w:val="nil"/>
              <w:left w:val="nil"/>
              <w:bottom w:val="single" w:sz="4" w:space="0" w:color="auto"/>
              <w:right w:val="nil"/>
            </w:tcBorders>
            <w:noWrap/>
            <w:vAlign w:val="center"/>
            <w:hideMark/>
          </w:tcPr>
          <w:p w14:paraId="69B3985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Root</w:t>
            </w:r>
          </w:p>
        </w:tc>
        <w:tc>
          <w:tcPr>
            <w:tcW w:w="1019" w:type="dxa"/>
            <w:tcBorders>
              <w:top w:val="nil"/>
              <w:left w:val="nil"/>
              <w:right w:val="nil"/>
            </w:tcBorders>
            <w:noWrap/>
            <w:vAlign w:val="bottom"/>
            <w:hideMark/>
          </w:tcPr>
          <w:p w14:paraId="29E8962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Control</w:t>
            </w:r>
          </w:p>
        </w:tc>
        <w:tc>
          <w:tcPr>
            <w:tcW w:w="860" w:type="dxa"/>
            <w:tcBorders>
              <w:top w:val="nil"/>
              <w:left w:val="nil"/>
              <w:right w:val="nil"/>
            </w:tcBorders>
            <w:noWrap/>
            <w:vAlign w:val="bottom"/>
            <w:hideMark/>
          </w:tcPr>
          <w:p w14:paraId="5AD6224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16.47</w:t>
            </w:r>
          </w:p>
        </w:tc>
        <w:tc>
          <w:tcPr>
            <w:tcW w:w="840" w:type="dxa"/>
            <w:tcBorders>
              <w:top w:val="nil"/>
              <w:left w:val="nil"/>
              <w:right w:val="nil"/>
            </w:tcBorders>
            <w:noWrap/>
            <w:vAlign w:val="bottom"/>
            <w:hideMark/>
          </w:tcPr>
          <w:p w14:paraId="63ECCC49"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3.72</w:t>
            </w:r>
          </w:p>
        </w:tc>
        <w:tc>
          <w:tcPr>
            <w:tcW w:w="840" w:type="dxa"/>
            <w:tcBorders>
              <w:top w:val="nil"/>
              <w:left w:val="nil"/>
              <w:right w:val="nil"/>
            </w:tcBorders>
            <w:noWrap/>
            <w:vAlign w:val="bottom"/>
            <w:hideMark/>
          </w:tcPr>
          <w:p w14:paraId="0E6600F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1.17</w:t>
            </w:r>
          </w:p>
        </w:tc>
        <w:tc>
          <w:tcPr>
            <w:tcW w:w="840" w:type="dxa"/>
            <w:tcBorders>
              <w:top w:val="nil"/>
              <w:left w:val="nil"/>
              <w:right w:val="nil"/>
            </w:tcBorders>
            <w:noWrap/>
            <w:vAlign w:val="bottom"/>
            <w:hideMark/>
          </w:tcPr>
          <w:p w14:paraId="7A3F9B2E"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0.09</w:t>
            </w:r>
          </w:p>
        </w:tc>
        <w:tc>
          <w:tcPr>
            <w:tcW w:w="820" w:type="dxa"/>
            <w:tcBorders>
              <w:top w:val="nil"/>
              <w:left w:val="nil"/>
              <w:right w:val="nil"/>
            </w:tcBorders>
            <w:noWrap/>
            <w:vAlign w:val="bottom"/>
            <w:hideMark/>
          </w:tcPr>
          <w:p w14:paraId="75312E4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0.01</w:t>
            </w:r>
          </w:p>
        </w:tc>
        <w:tc>
          <w:tcPr>
            <w:tcW w:w="820" w:type="dxa"/>
            <w:tcBorders>
              <w:top w:val="nil"/>
              <w:left w:val="nil"/>
              <w:right w:val="nil"/>
            </w:tcBorders>
            <w:noWrap/>
            <w:vAlign w:val="bottom"/>
            <w:hideMark/>
          </w:tcPr>
          <w:p w14:paraId="7AC9D360"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1.15</w:t>
            </w:r>
          </w:p>
        </w:tc>
      </w:tr>
      <w:tr w:rsidR="00B26805" w:rsidRPr="00D3093B" w14:paraId="751ABEF8" w14:textId="77777777" w:rsidTr="0003283A">
        <w:trPr>
          <w:trHeight w:val="290"/>
          <w:jc w:val="center"/>
        </w:trPr>
        <w:tc>
          <w:tcPr>
            <w:tcW w:w="498" w:type="dxa"/>
            <w:vMerge/>
            <w:tcBorders>
              <w:top w:val="nil"/>
              <w:left w:val="nil"/>
              <w:bottom w:val="single" w:sz="4" w:space="0" w:color="auto"/>
              <w:right w:val="nil"/>
            </w:tcBorders>
            <w:vAlign w:val="center"/>
            <w:hideMark/>
          </w:tcPr>
          <w:p w14:paraId="5B376FE8" w14:textId="77777777" w:rsidR="00B26805" w:rsidRPr="00D3093B" w:rsidRDefault="00B26805" w:rsidP="0003283A">
            <w:pPr>
              <w:rPr>
                <w:rFonts w:ascii="Arial" w:hAnsi="Arial" w:cs="Arial"/>
                <w:color w:val="000000"/>
                <w:lang w:eastAsia="en-IN"/>
              </w:rPr>
            </w:pPr>
          </w:p>
        </w:tc>
        <w:tc>
          <w:tcPr>
            <w:tcW w:w="929" w:type="dxa"/>
            <w:vMerge/>
            <w:tcBorders>
              <w:top w:val="nil"/>
              <w:left w:val="nil"/>
              <w:bottom w:val="single" w:sz="4" w:space="0" w:color="auto"/>
              <w:right w:val="nil"/>
            </w:tcBorders>
            <w:vAlign w:val="center"/>
            <w:hideMark/>
          </w:tcPr>
          <w:p w14:paraId="78CD07D2" w14:textId="77777777" w:rsidR="00B26805" w:rsidRPr="004F103E" w:rsidRDefault="00B26805" w:rsidP="0003283A">
            <w:pPr>
              <w:rPr>
                <w:rFonts w:ascii="Arial" w:hAnsi="Arial" w:cs="Arial"/>
                <w:color w:val="000000"/>
                <w:lang w:eastAsia="en-IN"/>
              </w:rPr>
            </w:pPr>
          </w:p>
        </w:tc>
        <w:tc>
          <w:tcPr>
            <w:tcW w:w="1019" w:type="dxa"/>
            <w:tcBorders>
              <w:top w:val="nil"/>
              <w:left w:val="nil"/>
              <w:bottom w:val="single" w:sz="4" w:space="0" w:color="auto"/>
              <w:right w:val="nil"/>
            </w:tcBorders>
            <w:noWrap/>
            <w:vAlign w:val="bottom"/>
            <w:hideMark/>
          </w:tcPr>
          <w:p w14:paraId="6CB1FCBF"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Amended</w:t>
            </w:r>
          </w:p>
        </w:tc>
        <w:tc>
          <w:tcPr>
            <w:tcW w:w="860" w:type="dxa"/>
            <w:tcBorders>
              <w:top w:val="nil"/>
              <w:left w:val="nil"/>
              <w:bottom w:val="single" w:sz="4" w:space="0" w:color="auto"/>
              <w:right w:val="nil"/>
            </w:tcBorders>
            <w:noWrap/>
            <w:vAlign w:val="bottom"/>
            <w:hideMark/>
          </w:tcPr>
          <w:p w14:paraId="033A162A"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18.59</w:t>
            </w:r>
          </w:p>
        </w:tc>
        <w:tc>
          <w:tcPr>
            <w:tcW w:w="840" w:type="dxa"/>
            <w:tcBorders>
              <w:top w:val="nil"/>
              <w:left w:val="nil"/>
              <w:bottom w:val="single" w:sz="4" w:space="0" w:color="auto"/>
              <w:right w:val="nil"/>
            </w:tcBorders>
            <w:noWrap/>
            <w:vAlign w:val="bottom"/>
            <w:hideMark/>
          </w:tcPr>
          <w:p w14:paraId="6670F696"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5.22</w:t>
            </w:r>
          </w:p>
        </w:tc>
        <w:tc>
          <w:tcPr>
            <w:tcW w:w="840" w:type="dxa"/>
            <w:tcBorders>
              <w:top w:val="nil"/>
              <w:left w:val="nil"/>
              <w:bottom w:val="single" w:sz="4" w:space="0" w:color="auto"/>
              <w:right w:val="nil"/>
            </w:tcBorders>
            <w:noWrap/>
            <w:vAlign w:val="bottom"/>
            <w:hideMark/>
          </w:tcPr>
          <w:p w14:paraId="16B0D49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0.63</w:t>
            </w:r>
          </w:p>
        </w:tc>
        <w:tc>
          <w:tcPr>
            <w:tcW w:w="840" w:type="dxa"/>
            <w:tcBorders>
              <w:top w:val="nil"/>
              <w:left w:val="nil"/>
              <w:bottom w:val="single" w:sz="4" w:space="0" w:color="auto"/>
              <w:right w:val="nil"/>
            </w:tcBorders>
            <w:noWrap/>
            <w:vAlign w:val="bottom"/>
            <w:hideMark/>
          </w:tcPr>
          <w:p w14:paraId="18D7F474"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0.30</w:t>
            </w:r>
          </w:p>
        </w:tc>
        <w:tc>
          <w:tcPr>
            <w:tcW w:w="820" w:type="dxa"/>
            <w:tcBorders>
              <w:top w:val="nil"/>
              <w:left w:val="nil"/>
              <w:bottom w:val="single" w:sz="4" w:space="0" w:color="auto"/>
              <w:right w:val="nil"/>
            </w:tcBorders>
            <w:noWrap/>
            <w:vAlign w:val="bottom"/>
            <w:hideMark/>
          </w:tcPr>
          <w:p w14:paraId="2FC9D2F2"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0.002</w:t>
            </w:r>
          </w:p>
        </w:tc>
        <w:tc>
          <w:tcPr>
            <w:tcW w:w="820" w:type="dxa"/>
            <w:tcBorders>
              <w:top w:val="nil"/>
              <w:left w:val="nil"/>
              <w:bottom w:val="single" w:sz="4" w:space="0" w:color="auto"/>
              <w:right w:val="nil"/>
            </w:tcBorders>
            <w:noWrap/>
            <w:vAlign w:val="bottom"/>
            <w:hideMark/>
          </w:tcPr>
          <w:p w14:paraId="6CAE485B" w14:textId="77777777" w:rsidR="00B26805" w:rsidRPr="004F103E" w:rsidRDefault="00B26805" w:rsidP="0003283A">
            <w:pPr>
              <w:jc w:val="center"/>
              <w:rPr>
                <w:rFonts w:ascii="Arial" w:hAnsi="Arial" w:cs="Arial"/>
                <w:color w:val="000000"/>
                <w:lang w:eastAsia="en-IN"/>
              </w:rPr>
            </w:pPr>
            <w:r w:rsidRPr="004F103E">
              <w:rPr>
                <w:rFonts w:ascii="Arial" w:hAnsi="Arial" w:cs="Arial"/>
                <w:color w:val="000000"/>
                <w:lang w:eastAsia="en-IN"/>
              </w:rPr>
              <w:t>0.72</w:t>
            </w:r>
          </w:p>
        </w:tc>
      </w:tr>
    </w:tbl>
    <w:p w14:paraId="1E1D304C" w14:textId="77777777" w:rsidR="00B26805" w:rsidRPr="00D3093B" w:rsidRDefault="00B26805" w:rsidP="00B26805">
      <w:pPr>
        <w:tabs>
          <w:tab w:val="num" w:pos="720"/>
        </w:tabs>
        <w:jc w:val="center"/>
        <w:rPr>
          <w:rFonts w:ascii="Arial" w:hAnsi="Arial" w:cs="Arial"/>
          <w:sz w:val="24"/>
          <w:szCs w:val="24"/>
        </w:rPr>
      </w:pPr>
    </w:p>
    <w:p w14:paraId="60D2A55B" w14:textId="77777777" w:rsidR="00B26805" w:rsidRPr="00D3093B" w:rsidRDefault="00B26805" w:rsidP="00B26805">
      <w:pPr>
        <w:tabs>
          <w:tab w:val="num" w:pos="720"/>
        </w:tabs>
        <w:jc w:val="center"/>
        <w:rPr>
          <w:rFonts w:ascii="Arial" w:hAnsi="Arial" w:cs="Arial"/>
          <w:sz w:val="24"/>
          <w:szCs w:val="24"/>
        </w:rPr>
      </w:pPr>
    </w:p>
    <w:p w14:paraId="0C1E746B" w14:textId="77777777" w:rsidR="00B26805" w:rsidRPr="00D3093B" w:rsidRDefault="00B26805" w:rsidP="00B26805">
      <w:pPr>
        <w:tabs>
          <w:tab w:val="num" w:pos="720"/>
        </w:tabs>
        <w:jc w:val="center"/>
        <w:rPr>
          <w:rFonts w:ascii="Arial" w:hAnsi="Arial" w:cs="Arial"/>
          <w:sz w:val="24"/>
          <w:szCs w:val="24"/>
        </w:rPr>
      </w:pPr>
      <w:r w:rsidRPr="00D3093B">
        <w:rPr>
          <w:rFonts w:ascii="Arial" w:hAnsi="Arial" w:cs="Arial"/>
          <w:noProof/>
        </w:rPr>
        <w:drawing>
          <wp:inline distT="0" distB="0" distL="0" distR="0" wp14:anchorId="77AFF414" wp14:editId="343392FC">
            <wp:extent cx="4572000" cy="2408791"/>
            <wp:effectExtent l="0" t="0" r="0" b="10795"/>
            <wp:docPr id="608837085" name="Chart 1">
              <a:extLst xmlns:a="http://schemas.openxmlformats.org/drawingml/2006/main">
                <a:ext uri="{FF2B5EF4-FFF2-40B4-BE49-F238E27FC236}">
                  <a16:creationId xmlns:a16="http://schemas.microsoft.com/office/drawing/2014/main" id="{FB5E5A2A-041B-EC4B-4CDD-C31E72CA2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64F6FB" w14:textId="77777777" w:rsidR="00B26805" w:rsidRDefault="00B26805" w:rsidP="00B26805">
      <w:pPr>
        <w:tabs>
          <w:tab w:val="num" w:pos="720"/>
        </w:tabs>
        <w:jc w:val="center"/>
        <w:rPr>
          <w:rFonts w:ascii="Arial" w:hAnsi="Arial" w:cs="Arial"/>
          <w:sz w:val="24"/>
          <w:szCs w:val="24"/>
        </w:rPr>
      </w:pPr>
    </w:p>
    <w:p w14:paraId="4763A0F3" w14:textId="77777777" w:rsidR="00B26805" w:rsidRPr="004F103E" w:rsidRDefault="00B26805" w:rsidP="00B26805">
      <w:pPr>
        <w:tabs>
          <w:tab w:val="num" w:pos="720"/>
        </w:tabs>
        <w:jc w:val="center"/>
        <w:rPr>
          <w:rFonts w:ascii="Arial" w:hAnsi="Arial" w:cs="Arial"/>
          <w:b/>
          <w:bCs/>
        </w:rPr>
      </w:pPr>
      <w:r w:rsidRPr="004F103E">
        <w:rPr>
          <w:rFonts w:ascii="Arial" w:hAnsi="Arial" w:cs="Arial"/>
          <w:b/>
          <w:bCs/>
        </w:rPr>
        <w:t>Fig 3: Heavy metal concentrations in leaves of ragi, maize, and green gram</w:t>
      </w:r>
    </w:p>
    <w:p w14:paraId="542252BB" w14:textId="77777777" w:rsidR="00B26805" w:rsidRPr="00D3093B" w:rsidRDefault="00B26805" w:rsidP="00B26805">
      <w:pPr>
        <w:tabs>
          <w:tab w:val="num" w:pos="720"/>
        </w:tabs>
        <w:rPr>
          <w:rFonts w:ascii="Arial" w:hAnsi="Arial" w:cs="Arial"/>
          <w:i/>
          <w:iCs/>
        </w:rPr>
      </w:pPr>
      <w:r w:rsidRPr="00D3093B">
        <w:rPr>
          <w:rFonts w:ascii="Arial" w:hAnsi="Arial" w:cs="Arial"/>
          <w:sz w:val="24"/>
          <w:szCs w:val="24"/>
        </w:rPr>
        <w:lastRenderedPageBreak/>
        <w:tab/>
      </w:r>
      <w:r w:rsidRPr="00D3093B">
        <w:rPr>
          <w:rFonts w:ascii="Arial" w:hAnsi="Arial" w:cs="Arial"/>
          <w:sz w:val="24"/>
          <w:szCs w:val="24"/>
        </w:rPr>
        <w:tab/>
      </w:r>
      <w:r w:rsidRPr="004F103E">
        <w:rPr>
          <w:rFonts w:ascii="Arial" w:hAnsi="Arial" w:cs="Arial"/>
          <w:i/>
          <w:iCs/>
          <w:sz w:val="18"/>
          <w:szCs w:val="18"/>
        </w:rPr>
        <w:t>C – Control; A – Leachate-amended</w:t>
      </w:r>
    </w:p>
    <w:p w14:paraId="43CCC293" w14:textId="77777777" w:rsidR="00B26805" w:rsidRPr="00D3093B" w:rsidRDefault="00B26805" w:rsidP="00B26805">
      <w:pPr>
        <w:tabs>
          <w:tab w:val="num" w:pos="720"/>
        </w:tabs>
        <w:jc w:val="center"/>
        <w:rPr>
          <w:rFonts w:ascii="Arial" w:hAnsi="Arial" w:cs="Arial"/>
          <w:sz w:val="24"/>
          <w:szCs w:val="24"/>
        </w:rPr>
      </w:pPr>
    </w:p>
    <w:p w14:paraId="215157CC" w14:textId="77777777" w:rsidR="00B26805" w:rsidRPr="00D3093B" w:rsidRDefault="00B26805" w:rsidP="00B26805">
      <w:pPr>
        <w:tabs>
          <w:tab w:val="num" w:pos="720"/>
        </w:tabs>
        <w:jc w:val="center"/>
        <w:rPr>
          <w:rFonts w:ascii="Arial" w:hAnsi="Arial" w:cs="Arial"/>
          <w:sz w:val="24"/>
          <w:szCs w:val="24"/>
        </w:rPr>
      </w:pPr>
    </w:p>
    <w:p w14:paraId="48A1F125" w14:textId="77777777" w:rsidR="00B26805" w:rsidRPr="00D3093B" w:rsidRDefault="00B26805" w:rsidP="00B26805">
      <w:pPr>
        <w:tabs>
          <w:tab w:val="num" w:pos="720"/>
        </w:tabs>
        <w:jc w:val="center"/>
        <w:rPr>
          <w:rFonts w:ascii="Arial" w:hAnsi="Arial" w:cs="Arial"/>
          <w:sz w:val="24"/>
          <w:szCs w:val="24"/>
        </w:rPr>
      </w:pPr>
      <w:r w:rsidRPr="00D3093B">
        <w:rPr>
          <w:rFonts w:ascii="Arial" w:hAnsi="Arial" w:cs="Arial"/>
          <w:noProof/>
        </w:rPr>
        <w:drawing>
          <wp:inline distT="0" distB="0" distL="0" distR="0" wp14:anchorId="399AA0CB" wp14:editId="7C175E04">
            <wp:extent cx="4572000" cy="2332181"/>
            <wp:effectExtent l="0" t="0" r="0" b="11430"/>
            <wp:docPr id="1196533633" name="Chart 1">
              <a:extLst xmlns:a="http://schemas.openxmlformats.org/drawingml/2006/main">
                <a:ext uri="{FF2B5EF4-FFF2-40B4-BE49-F238E27FC236}">
                  <a16:creationId xmlns:a16="http://schemas.microsoft.com/office/drawing/2014/main" id="{6515630A-B704-CE5B-947D-05ADEACDC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ACEF96" w14:textId="77777777" w:rsidR="00B26805" w:rsidRDefault="00B26805" w:rsidP="00B26805">
      <w:pPr>
        <w:tabs>
          <w:tab w:val="num" w:pos="720"/>
        </w:tabs>
        <w:jc w:val="center"/>
        <w:rPr>
          <w:rFonts w:ascii="Arial" w:hAnsi="Arial" w:cs="Arial"/>
        </w:rPr>
      </w:pPr>
    </w:p>
    <w:p w14:paraId="10700A7D" w14:textId="77777777" w:rsidR="00B26805" w:rsidRPr="00D3093B" w:rsidRDefault="00B26805" w:rsidP="00B26805">
      <w:pPr>
        <w:tabs>
          <w:tab w:val="num" w:pos="720"/>
        </w:tabs>
        <w:jc w:val="center"/>
        <w:rPr>
          <w:rFonts w:ascii="Arial" w:hAnsi="Arial" w:cs="Arial"/>
          <w:sz w:val="24"/>
          <w:szCs w:val="24"/>
        </w:rPr>
      </w:pPr>
      <w:r w:rsidRPr="004F103E">
        <w:rPr>
          <w:rFonts w:ascii="Arial" w:hAnsi="Arial" w:cs="Arial"/>
        </w:rPr>
        <w:t>Fig 4: Heavy metal concentrations in roots of ragi, maize, and green gram</w:t>
      </w:r>
    </w:p>
    <w:p w14:paraId="354F0B58" w14:textId="77777777" w:rsidR="00B26805" w:rsidRPr="004F103E" w:rsidRDefault="00B26805" w:rsidP="00B26805">
      <w:pPr>
        <w:tabs>
          <w:tab w:val="num" w:pos="720"/>
        </w:tabs>
        <w:ind w:firstLine="720"/>
        <w:rPr>
          <w:rFonts w:ascii="Arial" w:hAnsi="Arial" w:cs="Arial"/>
          <w:i/>
          <w:iCs/>
          <w:sz w:val="18"/>
          <w:szCs w:val="18"/>
        </w:rPr>
      </w:pPr>
      <w:r w:rsidRPr="00D3093B">
        <w:rPr>
          <w:rFonts w:ascii="Arial" w:hAnsi="Arial" w:cs="Arial"/>
          <w:i/>
          <w:iCs/>
        </w:rPr>
        <w:tab/>
      </w:r>
      <w:r w:rsidRPr="004F103E">
        <w:rPr>
          <w:rFonts w:ascii="Arial" w:hAnsi="Arial" w:cs="Arial"/>
          <w:i/>
          <w:iCs/>
          <w:sz w:val="18"/>
          <w:szCs w:val="18"/>
        </w:rPr>
        <w:t>C – Control; A – Leachate-amended</w:t>
      </w:r>
    </w:p>
    <w:p w14:paraId="3472EFB5" w14:textId="77777777" w:rsidR="00B26805" w:rsidRPr="004F103E" w:rsidRDefault="00B26805" w:rsidP="00B26805">
      <w:pPr>
        <w:tabs>
          <w:tab w:val="num" w:pos="720"/>
        </w:tabs>
        <w:jc w:val="both"/>
        <w:rPr>
          <w:rFonts w:ascii="Arial" w:hAnsi="Arial" w:cs="Arial"/>
        </w:rPr>
      </w:pPr>
    </w:p>
    <w:p w14:paraId="3862CA32" w14:textId="77777777" w:rsidR="00B26805" w:rsidRPr="004F103E" w:rsidRDefault="00B26805" w:rsidP="00B26805">
      <w:pPr>
        <w:tabs>
          <w:tab w:val="num" w:pos="720"/>
        </w:tabs>
        <w:jc w:val="both"/>
        <w:rPr>
          <w:rFonts w:ascii="Arial" w:hAnsi="Arial" w:cs="Arial"/>
        </w:rPr>
      </w:pPr>
      <w:r w:rsidRPr="004F103E">
        <w:rPr>
          <w:rFonts w:ascii="Arial" w:hAnsi="Arial" w:cs="Arial"/>
        </w:rPr>
        <w:t xml:space="preserve">A significant increase in Zn was observed in ragi under amended conditions in both leaves and roots, indicating enhanced availability and uptake from MSW leachate. In maize and green gram, Zn accumulation was comparatively higher in roots than in leaves, suggesting partial restriction in translocation. Copper also showed slight increases in leaves and roots under amendment (Figs. 3 and 4). The accumulation of Zn and Cu in both tissues reflects their essential role in plant metabolism </w:t>
      </w:r>
      <w:r w:rsidRPr="004F103E">
        <w:rPr>
          <w:rFonts w:ascii="Arial" w:hAnsi="Arial" w:cs="Arial"/>
        </w:rPr>
        <w:fldChar w:fldCharType="begin" w:fldLock="1"/>
      </w:r>
      <w:r w:rsidRPr="004F103E">
        <w:rPr>
          <w:rFonts w:ascii="Arial" w:hAnsi="Arial" w:cs="Arial"/>
        </w:rPr>
        <w:instrText>ADDIN CSL_CITATION {"citationItems":[{"id":"ITEM-1","itemData":{"DOI":"10.1016/B978-0-12-824315-2.00658-8","ISBN":"9780128243152","author":[{"dropping-particle":"","family":"Alloway","given":"Brian J.","non-dropping-particle":"","parse-names":false,"suffix":""}],"container-title":"Encyclopedia of Toxicology, Fourth Edition: Volume 1-9","edition":"3rd","editor":[{"dropping-particle":"","family":"Alloway","given":"Brian J.","non-dropping-particle":"","parse-names":false,"suffix":""}],"id":"ITEM-1","issued":{"date-parts":[["2013"]]},"number-of-pages":"V9-681-V9-684","publisher":"Blackie Academic &amp; Professional, an imprint of Chapman &amp; Hall","title":"Heavy Metals in Soils Trace Metals and Metalloids in Soils and their Bioavailability","type":"book","volume":"9"},"uris":["http://www.mendeley.com/documents/?uuid=71d176ed-67f9-4b0b-aab8-9e838c9b387d"]}],"mendeley":{"formattedCitation":"(Alloway, 2013)","manualFormatting":"(Alloway, 2013)","plainTextFormattedCitation":"(Alloway, 2013)","previouslyFormattedCitation":"(Alloway, 2013)"},"properties":{"noteIndex":0},"schema":"https://github.com/citation-style-language/schema/raw/master/csl-citation.json"}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(Alloway, 2013)</w:t>
      </w:r>
      <w:r w:rsidRPr="004F103E">
        <w:rPr>
          <w:rFonts w:ascii="Arial" w:hAnsi="Arial" w:cs="Arial"/>
        </w:rPr>
        <w:fldChar w:fldCharType="end"/>
      </w:r>
      <w:r w:rsidRPr="004F103E">
        <w:rPr>
          <w:rFonts w:ascii="Arial" w:hAnsi="Arial" w:cs="Arial"/>
        </w:rPr>
        <w:t xml:space="preserve">, and their increased availability due to leachate application.  All Zn and Cu concentrations remained within FAO/WHO (50 -100 mg/kg) permissible limits, indicating no immediate toxicity risk </w:t>
      </w:r>
      <w:r w:rsidRPr="004F103E">
        <w:rPr>
          <w:rFonts w:ascii="Arial" w:hAnsi="Arial" w:cs="Arial"/>
        </w:rPr>
        <w:fldChar w:fldCharType="begin" w:fldLock="1"/>
      </w:r>
      <w:r w:rsidRPr="004F103E">
        <w:rPr>
          <w:rFonts w:ascii="Arial" w:hAnsi="Arial" w:cs="Arial"/>
        </w:rPr>
        <w:instrText>ADDIN CSL_CITATION {"citationItems":[{"id":"ITEM-1","itemData":{"DOI":"10.1007/s44274-025-00373-w","ISBN":"0123456789","ISSN":"27319431","abstract":"Heavy metal contamination in food systems has emerged as a critical global concern due to its persistent nature and serious implications for food safety and public health. Rapid industrialization, urban expansion, and unsustainable agricultural practices especially the use of untreated wastewater for irrigation have contributed significantly to the accumulation of toxic metals in agricultural soils and edible crops. This review synthesizes current knowledge on the mechanisms of heavy metal uptake, translocation, and accumulation in vegetable crops, with a particular focus on how these processes affect the entry of harmful metals into the human food chain. Key physiological and molecular mechanisms, including the role of metal transporters and detoxification strategies within plant tissues, are discussed with relevance to food safety and phytoremediation. The paper also critically evaluates human health risks associated with dietary exposure to heavy metals, using metrics such as chronic daily intake (CDI), hazard quotient (HQ), and total cancer risk (TCR). Importantly, the review identifies key knowledge gaps such as inconsistent data on crop-specific uptake patterns, lack of long-term human health studies, and insufficient attention to emerging contaminants and outlines directions for future research. Evidence from recent studies shows that metal concentrations in commonly consumed vegetables often exceed FAO/WHO permissible limits, especially in regions using contaminated irrigation sources. To mitigate these risks, the review underscores the urgent need for stricter wastewater regulations, improved soil management practices, and the development of low-accumulating crop varieties. This integrative perspective aims to inform both scientific inquiry and policy decisions for safer and more sustainable food production.","author":[{"dropping-particle":"","family":"Ali","given":"Saquib","non-dropping-particle":"","parse-names":false,"suffix":""},{"dropping-particle":"","family":"Ahirwar","given":"Rajesh","non-dropping-particle":"","parse-names":false,"suffix":""}],"container-title":"Discover Environment","id":"ITEM-1","issue":"1","issued":{"date-parts":[["2025"]]},"publisher":"Springer International Publishing","title":"Accumulation of toxic metals in vegetable crops and associated dietary exposure risks to human health","type":"article-journal","volume":"3"},"uris":["http://www.mendeley.com/documents/?uuid=af5bdec5-f4d8-4779-8984-1b1488907785"]}],"mendeley":{"formattedCitation":"(Ali &amp; Ahirwar, 2025)","plainTextFormattedCitation":"(Ali &amp; Ahirwar, 2025)","previouslyFormattedCitation":"(Ali &amp; Ahirwar, 2025)"},"properties":{"noteIndex":0},"schema":"https://github.com/citation-style-language/schema/raw/master/csl-citation.json"}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(Ali &amp; Ahirwar, 2025)</w:t>
      </w:r>
      <w:r w:rsidRPr="004F103E">
        <w:rPr>
          <w:rFonts w:ascii="Arial" w:hAnsi="Arial" w:cs="Arial"/>
        </w:rPr>
        <w:fldChar w:fldCharType="end"/>
      </w:r>
      <w:r w:rsidRPr="004F103E">
        <w:rPr>
          <w:rFonts w:ascii="Arial" w:hAnsi="Arial" w:cs="Arial"/>
        </w:rPr>
        <w:t xml:space="preserve">. A general decrease in Ni levels was observed under amended conditions, particularly in leaves. This suggests reduced bioavailability due to immobilization or ionic competition in the soil–leachate system </w:t>
      </w:r>
      <w:r w:rsidRPr="004F103E">
        <w:rPr>
          <w:rFonts w:ascii="Arial" w:hAnsi="Arial" w:cs="Arial"/>
        </w:rPr>
        <w:fldChar w:fldCharType="begin" w:fldLock="1"/>
      </w:r>
      <w:r w:rsidRPr="004F103E">
        <w:rPr>
          <w:rFonts w:ascii="Arial" w:hAnsi="Arial" w:cs="Arial"/>
        </w:rPr>
        <w:instrText>ADDIN CSL_CITATION {"citationItems":[{"id":"ITEM-1","itemData":{"DOI":"10.1007/s13762-014-0713-x","ISSN":"17352630","abstract":"The immobilization of toxic metals in soils using amendments is a cost-effective remediation technique for contaminated soils. Therefore, this study aimed to assess the efficiency of various amendments to immobilize nickel (Ni) and zinc (Zn) in soil and reduce their phytoavailability. A greenhouse pot experiment was established with a contaminated agricultural floodplain soil. The soil was treated with activated carbon (AC), bentonite (BE), biochar (BI), cement bypass kiln dust (CBD), chitosan (CH), coal fly ash (FA), limestone (LS), nano-hydroxyapatite (HA), organo-clay (OC), sugar beet factory lime (SBFL), and zeolite (Z) with an application rate of 1 % (0.2 % for HA) and cultivated by rapeseed (Brassica napus). After plant harvesting, the soil was analyzed for water-soluble and geochemical fractions of Ni and Zn. Additionally, both metals were analyzed in the aboveground biomass. Application of the amendments increased significantly the biomass production of rapeseed compared to the control (except for OC, HA, and FA). Water-soluble Ni and Zn decreased significantly after adding the amendments (except OC, Z, and CH). The SBFL, CBD, LS, BE, AC, and BI were most effective, resulting in a 58–99 and 56–96 % decrease in water-soluble Ni and Zn, respectively. The addition of SBFL, CBD, and LS leads to the highest decreasing rate of concentrations of Ni in plants (56–68 %) and Zn (40–49 %). The results demonstrate the high potential of CBD, SBFL, LS, BE, AC, and BI for the immobilization of Ni and Zn in contaminated floodplain soils.","author":[{"dropping-particle":"","family":"Shaheen","given":"S. M.","non-dropping-particle":"","parse-names":false,"suffix":""},{"dropping-particle":"","family":"Rinklebe","given":"J.","non-dropping-particle":"","parse-names":false,"suffix":""},{"dropping-particle":"","family":"Selim","given":"M. H.","non-dropping-particle":"","parse-names":false,"suffix":""}],"container-title":"International Journal of Environmental Science and Technology","id":"ITEM-1","issue":"9","issued":{"date-parts":[["2015"]]},"page":"2765-2776","publisher":"Springer Berlin Heidelberg","title":"Impact of various amendments on immobilization and phytoavailability of nickel and zinc in a contaminated floodplain soil","type":"article-journal","volume":"12"},"uris":["http://www.mendeley.com/documents/?uuid=72c8ddd3-a49c-48f2-885f-c377163a3100"]}],"mendeley":{"formattedCitation":"(Shaheen et al., 2015)","plainTextFormattedCitation":"(Shaheen et al., 2015)","previouslyFormattedCitation":"(Shaheen et al., 2015)"},"properties":{"noteIndex":0},"schema":"https://github.com/citation-style-language/schema/raw/master/csl-citation.json"}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(Shaheen et al., 2015)</w:t>
      </w:r>
      <w:r w:rsidRPr="004F103E">
        <w:rPr>
          <w:rFonts w:ascii="Arial" w:hAnsi="Arial" w:cs="Arial"/>
        </w:rPr>
        <w:fldChar w:fldCharType="end"/>
      </w:r>
      <w:r w:rsidRPr="004F103E">
        <w:rPr>
          <w:rFonts w:ascii="Arial" w:hAnsi="Arial" w:cs="Arial"/>
        </w:rPr>
        <w:t>.</w:t>
      </w:r>
    </w:p>
    <w:p w14:paraId="40F3B907" w14:textId="77777777" w:rsidR="00B26805" w:rsidRPr="004F103E" w:rsidRDefault="00B26805" w:rsidP="00B26805">
      <w:pPr>
        <w:tabs>
          <w:tab w:val="num" w:pos="720"/>
        </w:tabs>
        <w:jc w:val="both"/>
        <w:rPr>
          <w:rFonts w:ascii="Arial" w:hAnsi="Arial" w:cs="Arial"/>
        </w:rPr>
      </w:pPr>
      <w:r w:rsidRPr="004F103E">
        <w:rPr>
          <w:rFonts w:ascii="Arial" w:hAnsi="Arial" w:cs="Arial"/>
        </w:rPr>
        <w:t> </w:t>
      </w:r>
    </w:p>
    <w:p w14:paraId="610E2BB7" w14:textId="77777777" w:rsidR="00B26805" w:rsidRPr="004F103E" w:rsidRDefault="00B26805" w:rsidP="00B26805">
      <w:pPr>
        <w:tabs>
          <w:tab w:val="num" w:pos="720"/>
        </w:tabs>
        <w:jc w:val="both"/>
        <w:rPr>
          <w:rFonts w:ascii="Arial" w:hAnsi="Arial" w:cs="Arial"/>
        </w:rPr>
      </w:pPr>
      <w:r w:rsidRPr="004F103E">
        <w:rPr>
          <w:rFonts w:ascii="Arial" w:hAnsi="Arial" w:cs="Arial"/>
        </w:rPr>
        <w:t>Lead concentration levels in leaves exceeded the FAO/WHO permissible limit (0.3 mg kg</w:t>
      </w:r>
      <w:r w:rsidRPr="004F103E">
        <w:rPr>
          <w:rFonts w:ascii="Cambria Math" w:hAnsi="Cambria Math" w:cs="Cambria Math"/>
        </w:rPr>
        <w:t>⁻</w:t>
      </w:r>
      <w:r w:rsidRPr="004F103E">
        <w:rPr>
          <w:rFonts w:ascii="Arial" w:hAnsi="Arial" w:cs="Arial"/>
        </w:rPr>
        <w:t xml:space="preserve">¹), whereas root concentrations remained low. The higher accumulation in leaves compared to roots indicates that foliar deposition and atmospheric inputs may also significantly contribute to Pb contamination as opined by Xia et al. (2024).  Cadmium concentrations were consistently low, ranging from trace levels in leaves to negligible levels in roots. Most values were within permissible limits, indicating minimal Cd uptake and a minimal influence of MSW leachate. Chromium concentrations exceeded the threshold levels (2.3 mg/kg) in leaves of ragi and maize. The lower concentrations in roots compared to leaves suggest selective uptake and redistribution, although Cr is generally known to be less mobile in plants </w:t>
      </w:r>
      <w:r w:rsidRPr="004F103E">
        <w:rPr>
          <w:rFonts w:ascii="Arial" w:hAnsi="Arial" w:cs="Arial"/>
        </w:rPr>
        <w:fldChar w:fldCharType="begin" w:fldLock="1"/>
      </w:r>
      <w:r w:rsidRPr="004F103E">
        <w:rPr>
          <w:rFonts w:ascii="Arial" w:hAnsi="Arial" w:cs="Arial"/>
        </w:rPr>
        <w:instrText>ADDIN CSL_CITATION {"citationItems":[{"id":"ITEM-1","itemData":{"DOI":"10.1016/B978-0-12-824315-2.00658-8","ISBN":"9780128243152","author":[{"dropping-particle":"","family":"Alloway","given":"Brian J.","non-dropping-particle":"","parse-names":false,"suffix":""}],"container-title":"Encyclopedia of Toxicology, Fourth Edition: Volume 1-9","edition":"3rd","editor":[{"dropping-particle":"","family":"Alloway","given":"Brian J.","non-dropping-particle":"","parse-names":false,"suffix":""}],"id":"ITEM-1","issued":{"date-parts":[["2013"]]},"number-of-pages":"V9-681-V9-684","publisher":"Blackie Academic &amp; Professional, an imprint of Chapman &amp; Hall","title":"Heavy Metals in Soils Trace Metals and Metalloids in Soils and their Bioavailability","type":"book","volume":"9"},"uris":["http://www.mendeley.com/documents/?uuid=71d176ed-67f9-4b0b-aab8-9e838c9b387d"]}],"mendeley":{"formattedCitation":"(Alloway, 2013)","plainTextFormattedCitation":"(Alloway, 2013)","previouslyFormattedCitation":"(Alloway, 2013)"},"properties":{"noteIndex":0},"schema":"https://github.com/citation-style-language/schema/raw/master/csl-citation.json"}</w:instrText>
      </w:r>
      <w:r w:rsidRPr="004F103E">
        <w:rPr>
          <w:rFonts w:ascii="Arial" w:hAnsi="Arial" w:cs="Arial"/>
        </w:rPr>
        <w:fldChar w:fldCharType="separate"/>
      </w:r>
      <w:r w:rsidRPr="004F103E">
        <w:rPr>
          <w:rFonts w:ascii="Arial" w:hAnsi="Arial" w:cs="Arial"/>
          <w:noProof/>
        </w:rPr>
        <w:t>(Alloway, 2013)</w:t>
      </w:r>
      <w:r w:rsidRPr="004F103E">
        <w:rPr>
          <w:rFonts w:ascii="Arial" w:hAnsi="Arial" w:cs="Arial"/>
        </w:rPr>
        <w:fldChar w:fldCharType="end"/>
      </w:r>
      <w:r w:rsidRPr="004F103E">
        <w:rPr>
          <w:rFonts w:ascii="Arial" w:hAnsi="Arial" w:cs="Arial"/>
        </w:rPr>
        <w:t>.</w:t>
      </w:r>
    </w:p>
    <w:p w14:paraId="578B4B9D" w14:textId="16A3AF82" w:rsidR="00F556D8" w:rsidRPr="009140D2" w:rsidRDefault="00F556D8" w:rsidP="009140D2">
      <w:pPr>
        <w:pStyle w:val="Head1"/>
        <w:spacing w:after="0"/>
        <w:jc w:val="both"/>
        <w:rPr>
          <w:rFonts w:ascii="Arial" w:hAnsi="Arial" w:cs="Arial"/>
          <w:b w:val="0"/>
          <w:bCs/>
        </w:rPr>
      </w:pPr>
    </w:p>
    <w:p w14:paraId="73B3DE4F" w14:textId="77777777" w:rsidR="00B26805" w:rsidRPr="004F103E" w:rsidRDefault="00B26805" w:rsidP="00B26805">
      <w:pPr>
        <w:tabs>
          <w:tab w:val="num" w:pos="720"/>
        </w:tabs>
        <w:jc w:val="both"/>
        <w:rPr>
          <w:rFonts w:ascii="Arial" w:hAnsi="Arial" w:cs="Arial"/>
          <w:sz w:val="22"/>
          <w:szCs w:val="22"/>
        </w:rPr>
      </w:pPr>
      <w:r w:rsidRPr="004F103E">
        <w:rPr>
          <w:rFonts w:ascii="Arial" w:hAnsi="Arial" w:cs="Arial"/>
          <w:b/>
          <w:bCs/>
          <w:sz w:val="22"/>
          <w:szCs w:val="22"/>
        </w:rPr>
        <w:t>3.4 Soil–plant transfer dynamics</w:t>
      </w:r>
    </w:p>
    <w:p w14:paraId="56647F00" w14:textId="77777777" w:rsidR="00B26805" w:rsidRPr="004C2757" w:rsidRDefault="00B26805" w:rsidP="00B26805">
      <w:pPr>
        <w:tabs>
          <w:tab w:val="num" w:pos="720"/>
        </w:tabs>
        <w:jc w:val="both"/>
        <w:rPr>
          <w:rFonts w:ascii="Arial" w:hAnsi="Arial" w:cs="Arial"/>
        </w:rPr>
      </w:pPr>
    </w:p>
    <w:p w14:paraId="68690395" w14:textId="77777777" w:rsidR="00B26805" w:rsidRPr="004C2757" w:rsidRDefault="00B26805" w:rsidP="00B26805">
      <w:pPr>
        <w:tabs>
          <w:tab w:val="num" w:pos="720"/>
        </w:tabs>
        <w:jc w:val="both"/>
        <w:rPr>
          <w:rFonts w:ascii="Arial" w:hAnsi="Arial" w:cs="Arial"/>
        </w:rPr>
      </w:pPr>
      <w:r w:rsidRPr="004C2757">
        <w:rPr>
          <w:rFonts w:ascii="Arial" w:hAnsi="Arial" w:cs="Arial"/>
        </w:rPr>
        <w:t>The uptake, accumulation, and internal translocation of heavy metals in crops grown under control (conventional agricultural practices) and MSW compost leachate–amended conditions were evaluated using bioconcentration factor (BCF</w:t>
      </w:r>
      <w:r w:rsidRPr="004C2757">
        <w:rPr>
          <w:rFonts w:ascii="Arial" w:hAnsi="Arial" w:cs="Arial"/>
          <w:vertAlign w:val="subscript"/>
        </w:rPr>
        <w:t>root</w:t>
      </w:r>
      <w:r w:rsidRPr="004C2757">
        <w:rPr>
          <w:rFonts w:ascii="Arial" w:hAnsi="Arial" w:cs="Arial"/>
        </w:rPr>
        <w:t xml:space="preserve"> and BCF</w:t>
      </w:r>
      <w:r w:rsidRPr="004C2757">
        <w:rPr>
          <w:rFonts w:ascii="Arial" w:hAnsi="Arial" w:cs="Arial"/>
          <w:vertAlign w:val="subscript"/>
        </w:rPr>
        <w:t>leaf</w:t>
      </w:r>
      <w:r w:rsidRPr="004C2757">
        <w:rPr>
          <w:rFonts w:ascii="Arial" w:hAnsi="Arial" w:cs="Arial"/>
        </w:rPr>
        <w:t>) and translocation factor (TF</w:t>
      </w:r>
      <w:r w:rsidRPr="004C2757">
        <w:rPr>
          <w:rFonts w:ascii="Arial" w:hAnsi="Arial" w:cs="Arial"/>
          <w:vertAlign w:val="subscript"/>
        </w:rPr>
        <w:t>leaf</w:t>
      </w:r>
      <w:r w:rsidRPr="004C2757">
        <w:rPr>
          <w:rFonts w:ascii="Arial" w:hAnsi="Arial" w:cs="Arial"/>
        </w:rPr>
        <w:t xml:space="preserve">). Since the control and amended samples originate from different </w:t>
      </w:r>
      <w:r w:rsidRPr="004C2757">
        <w:rPr>
          <w:rFonts w:ascii="Arial" w:hAnsi="Arial" w:cs="Arial"/>
        </w:rPr>
        <w:lastRenderedPageBreak/>
        <w:t>field systems, the observed variations reflect contrasting soil management regimes rather than direct treatment effects (Table 4).</w:t>
      </w:r>
    </w:p>
    <w:p w14:paraId="1FBB4A24" w14:textId="77777777" w:rsidR="00B26805" w:rsidRPr="00D3093B" w:rsidRDefault="00B26805" w:rsidP="00B26805">
      <w:pPr>
        <w:tabs>
          <w:tab w:val="num" w:pos="720"/>
        </w:tabs>
        <w:jc w:val="both"/>
        <w:rPr>
          <w:rFonts w:ascii="Arial" w:hAnsi="Arial" w:cs="Arial"/>
          <w:sz w:val="24"/>
          <w:szCs w:val="24"/>
        </w:rPr>
      </w:pPr>
    </w:p>
    <w:p w14:paraId="6F1806D7" w14:textId="77777777" w:rsidR="00B26805" w:rsidRPr="004C2757" w:rsidRDefault="00B26805" w:rsidP="00B26805">
      <w:pPr>
        <w:jc w:val="center"/>
        <w:rPr>
          <w:rFonts w:ascii="Arial" w:hAnsi="Arial" w:cs="Arial"/>
          <w:b/>
          <w:bCs/>
        </w:rPr>
      </w:pPr>
      <w:r w:rsidRPr="004C2757">
        <w:rPr>
          <w:rFonts w:ascii="Arial" w:hAnsi="Arial" w:cs="Arial"/>
          <w:b/>
          <w:bCs/>
        </w:rPr>
        <w:t>Table 4:</w:t>
      </w:r>
      <w:r w:rsidRPr="004C2757">
        <w:rPr>
          <w:rFonts w:ascii="Arial" w:hAnsi="Arial" w:cs="Arial"/>
        </w:rPr>
        <w:t xml:space="preserve"> </w:t>
      </w:r>
      <w:r w:rsidRPr="004C2757">
        <w:rPr>
          <w:rFonts w:ascii="Arial" w:hAnsi="Arial" w:cs="Arial"/>
          <w:b/>
          <w:bCs/>
        </w:rPr>
        <w:t>Bio-concentration factor (BCF) and translocation factor (TF) of Ragi, Maize, and Green gram</w:t>
      </w:r>
    </w:p>
    <w:tbl>
      <w:tblPr>
        <w:tblW w:w="7513" w:type="dxa"/>
        <w:jc w:val="center"/>
        <w:tblLook w:val="04A0" w:firstRow="1" w:lastRow="0" w:firstColumn="1" w:lastColumn="0" w:noHBand="0" w:noVBand="1"/>
      </w:tblPr>
      <w:tblGrid>
        <w:gridCol w:w="683"/>
        <w:gridCol w:w="841"/>
        <w:gridCol w:w="1073"/>
        <w:gridCol w:w="840"/>
        <w:gridCol w:w="840"/>
        <w:gridCol w:w="840"/>
        <w:gridCol w:w="840"/>
        <w:gridCol w:w="840"/>
        <w:gridCol w:w="1014"/>
      </w:tblGrid>
      <w:tr w:rsidR="00B26805" w:rsidRPr="00D3093B" w14:paraId="052053D4" w14:textId="77777777" w:rsidTr="0003283A">
        <w:trPr>
          <w:trHeight w:val="290"/>
          <w:jc w:val="center"/>
        </w:trPr>
        <w:tc>
          <w:tcPr>
            <w:tcW w:w="565" w:type="dxa"/>
            <w:tcBorders>
              <w:top w:val="single" w:sz="4" w:space="0" w:color="auto"/>
              <w:left w:val="nil"/>
              <w:bottom w:val="single" w:sz="4" w:space="0" w:color="auto"/>
              <w:right w:val="nil"/>
            </w:tcBorders>
            <w:noWrap/>
            <w:vAlign w:val="center"/>
            <w:hideMark/>
          </w:tcPr>
          <w:p w14:paraId="07CB560D"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Crop</w:t>
            </w:r>
          </w:p>
        </w:tc>
        <w:tc>
          <w:tcPr>
            <w:tcW w:w="1734" w:type="dxa"/>
            <w:gridSpan w:val="2"/>
            <w:tcBorders>
              <w:top w:val="single" w:sz="4" w:space="0" w:color="auto"/>
              <w:left w:val="nil"/>
              <w:bottom w:val="single" w:sz="4" w:space="0" w:color="auto"/>
              <w:right w:val="nil"/>
            </w:tcBorders>
            <w:vAlign w:val="center"/>
            <w:hideMark/>
          </w:tcPr>
          <w:p w14:paraId="1EB0F296"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Heavy metals -&gt;</w:t>
            </w:r>
          </w:p>
        </w:tc>
        <w:tc>
          <w:tcPr>
            <w:tcW w:w="840" w:type="dxa"/>
            <w:tcBorders>
              <w:top w:val="single" w:sz="4" w:space="0" w:color="auto"/>
              <w:left w:val="nil"/>
              <w:bottom w:val="single" w:sz="4" w:space="0" w:color="auto"/>
              <w:right w:val="nil"/>
            </w:tcBorders>
            <w:shd w:val="clear" w:color="000000" w:fill="E2EFDA"/>
            <w:noWrap/>
            <w:vAlign w:val="center"/>
            <w:hideMark/>
          </w:tcPr>
          <w:p w14:paraId="0557315F"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Zn</w:t>
            </w:r>
          </w:p>
        </w:tc>
        <w:tc>
          <w:tcPr>
            <w:tcW w:w="840" w:type="dxa"/>
            <w:tcBorders>
              <w:top w:val="single" w:sz="4" w:space="0" w:color="auto"/>
              <w:left w:val="nil"/>
              <w:bottom w:val="single" w:sz="4" w:space="0" w:color="auto"/>
              <w:right w:val="nil"/>
            </w:tcBorders>
            <w:shd w:val="clear" w:color="000000" w:fill="E2EFDA"/>
            <w:noWrap/>
            <w:vAlign w:val="center"/>
            <w:hideMark/>
          </w:tcPr>
          <w:p w14:paraId="7D0DCAEC"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Cu</w:t>
            </w:r>
          </w:p>
        </w:tc>
        <w:tc>
          <w:tcPr>
            <w:tcW w:w="840" w:type="dxa"/>
            <w:tcBorders>
              <w:top w:val="single" w:sz="4" w:space="0" w:color="auto"/>
              <w:left w:val="nil"/>
              <w:bottom w:val="single" w:sz="4" w:space="0" w:color="auto"/>
              <w:right w:val="nil"/>
            </w:tcBorders>
            <w:shd w:val="clear" w:color="000000" w:fill="E2EFDA"/>
            <w:noWrap/>
            <w:vAlign w:val="center"/>
            <w:hideMark/>
          </w:tcPr>
          <w:p w14:paraId="152EAF88"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Ni</w:t>
            </w:r>
          </w:p>
        </w:tc>
        <w:tc>
          <w:tcPr>
            <w:tcW w:w="840" w:type="dxa"/>
            <w:tcBorders>
              <w:top w:val="single" w:sz="4" w:space="0" w:color="auto"/>
              <w:left w:val="nil"/>
              <w:bottom w:val="single" w:sz="4" w:space="0" w:color="auto"/>
              <w:right w:val="nil"/>
            </w:tcBorders>
            <w:shd w:val="clear" w:color="000000" w:fill="E2EFDA"/>
            <w:vAlign w:val="center"/>
            <w:hideMark/>
          </w:tcPr>
          <w:p w14:paraId="3B10A82F"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Pb</w:t>
            </w:r>
          </w:p>
        </w:tc>
        <w:tc>
          <w:tcPr>
            <w:tcW w:w="840" w:type="dxa"/>
            <w:tcBorders>
              <w:top w:val="single" w:sz="4" w:space="0" w:color="auto"/>
              <w:left w:val="nil"/>
              <w:bottom w:val="single" w:sz="4" w:space="0" w:color="auto"/>
              <w:right w:val="nil"/>
            </w:tcBorders>
            <w:shd w:val="clear" w:color="000000" w:fill="E2EFDA"/>
            <w:vAlign w:val="center"/>
            <w:hideMark/>
          </w:tcPr>
          <w:p w14:paraId="0910DA43"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Cd</w:t>
            </w:r>
          </w:p>
        </w:tc>
        <w:tc>
          <w:tcPr>
            <w:tcW w:w="1014" w:type="dxa"/>
            <w:tcBorders>
              <w:top w:val="single" w:sz="4" w:space="0" w:color="auto"/>
              <w:left w:val="nil"/>
              <w:bottom w:val="single" w:sz="4" w:space="0" w:color="auto"/>
              <w:right w:val="nil"/>
            </w:tcBorders>
            <w:shd w:val="clear" w:color="000000" w:fill="E2EFDA"/>
            <w:vAlign w:val="center"/>
            <w:hideMark/>
          </w:tcPr>
          <w:p w14:paraId="6691DEE1" w14:textId="77777777" w:rsidR="00B26805" w:rsidRPr="004C2757" w:rsidRDefault="00B26805" w:rsidP="0003283A">
            <w:pPr>
              <w:jc w:val="center"/>
              <w:rPr>
                <w:rFonts w:ascii="Arial" w:hAnsi="Arial" w:cs="Arial"/>
                <w:b/>
                <w:bCs/>
                <w:color w:val="000000"/>
                <w:lang w:eastAsia="en-IN"/>
              </w:rPr>
            </w:pPr>
            <w:r w:rsidRPr="004C2757">
              <w:rPr>
                <w:rFonts w:ascii="Arial" w:hAnsi="Arial" w:cs="Arial"/>
                <w:b/>
                <w:bCs/>
                <w:color w:val="000000"/>
                <w:lang w:eastAsia="en-IN"/>
              </w:rPr>
              <w:t>Cr</w:t>
            </w:r>
          </w:p>
        </w:tc>
      </w:tr>
      <w:tr w:rsidR="00B26805" w:rsidRPr="00D3093B" w14:paraId="1219A5EF" w14:textId="77777777" w:rsidTr="0003283A">
        <w:trPr>
          <w:trHeight w:val="290"/>
          <w:jc w:val="center"/>
        </w:trPr>
        <w:tc>
          <w:tcPr>
            <w:tcW w:w="565" w:type="dxa"/>
            <w:vMerge w:val="restart"/>
            <w:tcBorders>
              <w:top w:val="single" w:sz="4" w:space="0" w:color="auto"/>
              <w:left w:val="nil"/>
              <w:bottom w:val="single" w:sz="4" w:space="0" w:color="auto"/>
              <w:right w:val="single" w:sz="4" w:space="0" w:color="auto"/>
            </w:tcBorders>
            <w:noWrap/>
            <w:textDirection w:val="btLr"/>
            <w:vAlign w:val="center"/>
            <w:hideMark/>
          </w:tcPr>
          <w:p w14:paraId="443CA9A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 xml:space="preserve">Ragi </w:t>
            </w:r>
          </w:p>
        </w:tc>
        <w:tc>
          <w:tcPr>
            <w:tcW w:w="807" w:type="dxa"/>
            <w:vMerge w:val="restart"/>
            <w:tcBorders>
              <w:top w:val="single" w:sz="4" w:space="0" w:color="auto"/>
              <w:left w:val="single" w:sz="4" w:space="0" w:color="auto"/>
              <w:bottom w:val="nil"/>
              <w:right w:val="nil"/>
            </w:tcBorders>
            <w:vAlign w:val="center"/>
            <w:hideMark/>
          </w:tcPr>
          <w:p w14:paraId="664664D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root</w:t>
            </w:r>
          </w:p>
        </w:tc>
        <w:tc>
          <w:tcPr>
            <w:tcW w:w="927" w:type="dxa"/>
            <w:tcBorders>
              <w:top w:val="single" w:sz="4" w:space="0" w:color="auto"/>
              <w:left w:val="nil"/>
              <w:bottom w:val="nil"/>
              <w:right w:val="nil"/>
            </w:tcBorders>
            <w:noWrap/>
            <w:vAlign w:val="center"/>
            <w:hideMark/>
          </w:tcPr>
          <w:p w14:paraId="35980DE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single" w:sz="4" w:space="0" w:color="auto"/>
              <w:left w:val="nil"/>
              <w:bottom w:val="nil"/>
              <w:right w:val="nil"/>
            </w:tcBorders>
            <w:noWrap/>
            <w:vAlign w:val="center"/>
            <w:hideMark/>
          </w:tcPr>
          <w:p w14:paraId="255B64A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4.38</w:t>
            </w:r>
          </w:p>
        </w:tc>
        <w:tc>
          <w:tcPr>
            <w:tcW w:w="840" w:type="dxa"/>
            <w:tcBorders>
              <w:top w:val="single" w:sz="4" w:space="0" w:color="auto"/>
              <w:left w:val="nil"/>
              <w:bottom w:val="nil"/>
              <w:right w:val="nil"/>
            </w:tcBorders>
            <w:noWrap/>
            <w:vAlign w:val="center"/>
            <w:hideMark/>
          </w:tcPr>
          <w:p w14:paraId="3E30A0C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0.90</w:t>
            </w:r>
          </w:p>
        </w:tc>
        <w:tc>
          <w:tcPr>
            <w:tcW w:w="840" w:type="dxa"/>
            <w:tcBorders>
              <w:top w:val="single" w:sz="4" w:space="0" w:color="auto"/>
              <w:left w:val="nil"/>
              <w:bottom w:val="nil"/>
              <w:right w:val="nil"/>
            </w:tcBorders>
            <w:noWrap/>
            <w:vAlign w:val="center"/>
            <w:hideMark/>
          </w:tcPr>
          <w:p w14:paraId="6A93AFE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7.20</w:t>
            </w:r>
          </w:p>
        </w:tc>
        <w:tc>
          <w:tcPr>
            <w:tcW w:w="840" w:type="dxa"/>
            <w:tcBorders>
              <w:top w:val="single" w:sz="4" w:space="0" w:color="auto"/>
              <w:left w:val="nil"/>
              <w:bottom w:val="nil"/>
              <w:right w:val="nil"/>
            </w:tcBorders>
            <w:noWrap/>
            <w:vAlign w:val="center"/>
            <w:hideMark/>
          </w:tcPr>
          <w:p w14:paraId="3ED1108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0.45</w:t>
            </w:r>
          </w:p>
        </w:tc>
        <w:tc>
          <w:tcPr>
            <w:tcW w:w="840" w:type="dxa"/>
            <w:tcBorders>
              <w:top w:val="single" w:sz="4" w:space="0" w:color="auto"/>
              <w:left w:val="nil"/>
              <w:bottom w:val="nil"/>
              <w:right w:val="nil"/>
            </w:tcBorders>
            <w:noWrap/>
            <w:vAlign w:val="center"/>
            <w:hideMark/>
          </w:tcPr>
          <w:p w14:paraId="7575024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2.56</w:t>
            </w:r>
          </w:p>
        </w:tc>
        <w:tc>
          <w:tcPr>
            <w:tcW w:w="1014" w:type="dxa"/>
            <w:tcBorders>
              <w:top w:val="single" w:sz="4" w:space="0" w:color="auto"/>
              <w:left w:val="nil"/>
              <w:bottom w:val="nil"/>
              <w:right w:val="nil"/>
            </w:tcBorders>
            <w:noWrap/>
            <w:vAlign w:val="center"/>
            <w:hideMark/>
          </w:tcPr>
          <w:p w14:paraId="24E5772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70.56</w:t>
            </w:r>
          </w:p>
        </w:tc>
      </w:tr>
      <w:tr w:rsidR="00B26805" w:rsidRPr="00D3093B" w14:paraId="3BC2A0FC"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7CFF7838" w14:textId="77777777" w:rsidR="00B26805" w:rsidRPr="004C2757" w:rsidRDefault="00B26805" w:rsidP="0003283A">
            <w:pPr>
              <w:rPr>
                <w:rFonts w:ascii="Arial" w:hAnsi="Arial" w:cs="Arial"/>
                <w:color w:val="000000"/>
                <w:lang w:eastAsia="en-IN"/>
              </w:rPr>
            </w:pPr>
          </w:p>
        </w:tc>
        <w:tc>
          <w:tcPr>
            <w:tcW w:w="807" w:type="dxa"/>
            <w:vMerge/>
            <w:tcBorders>
              <w:top w:val="nil"/>
              <w:left w:val="single" w:sz="4" w:space="0" w:color="auto"/>
              <w:bottom w:val="nil"/>
              <w:right w:val="nil"/>
            </w:tcBorders>
            <w:vAlign w:val="center"/>
            <w:hideMark/>
          </w:tcPr>
          <w:p w14:paraId="6FB3F799" w14:textId="77777777" w:rsidR="00B26805" w:rsidRPr="004C2757" w:rsidRDefault="00B26805" w:rsidP="0003283A">
            <w:pPr>
              <w:rPr>
                <w:rFonts w:ascii="Arial" w:hAnsi="Arial" w:cs="Arial"/>
                <w:color w:val="000000"/>
                <w:lang w:eastAsia="en-IN"/>
              </w:rPr>
            </w:pPr>
          </w:p>
        </w:tc>
        <w:tc>
          <w:tcPr>
            <w:tcW w:w="927" w:type="dxa"/>
            <w:tcBorders>
              <w:top w:val="nil"/>
              <w:left w:val="nil"/>
              <w:bottom w:val="nil"/>
              <w:right w:val="nil"/>
            </w:tcBorders>
            <w:noWrap/>
            <w:vAlign w:val="center"/>
            <w:hideMark/>
          </w:tcPr>
          <w:p w14:paraId="662EA12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25E8C5F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3.44</w:t>
            </w:r>
          </w:p>
        </w:tc>
        <w:tc>
          <w:tcPr>
            <w:tcW w:w="840" w:type="dxa"/>
            <w:tcBorders>
              <w:top w:val="nil"/>
              <w:left w:val="nil"/>
              <w:bottom w:val="nil"/>
              <w:right w:val="nil"/>
            </w:tcBorders>
            <w:noWrap/>
            <w:vAlign w:val="center"/>
            <w:hideMark/>
          </w:tcPr>
          <w:p w14:paraId="6DFF26B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0.48</w:t>
            </w:r>
          </w:p>
        </w:tc>
        <w:tc>
          <w:tcPr>
            <w:tcW w:w="840" w:type="dxa"/>
            <w:tcBorders>
              <w:top w:val="nil"/>
              <w:left w:val="nil"/>
              <w:bottom w:val="nil"/>
              <w:right w:val="nil"/>
            </w:tcBorders>
            <w:noWrap/>
            <w:vAlign w:val="center"/>
            <w:hideMark/>
          </w:tcPr>
          <w:p w14:paraId="707D04B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1.33</w:t>
            </w:r>
          </w:p>
        </w:tc>
        <w:tc>
          <w:tcPr>
            <w:tcW w:w="840" w:type="dxa"/>
            <w:tcBorders>
              <w:top w:val="nil"/>
              <w:left w:val="nil"/>
              <w:bottom w:val="nil"/>
              <w:right w:val="nil"/>
            </w:tcBorders>
            <w:noWrap/>
            <w:vAlign w:val="center"/>
            <w:hideMark/>
          </w:tcPr>
          <w:p w14:paraId="072B7A7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0.41</w:t>
            </w:r>
          </w:p>
        </w:tc>
        <w:tc>
          <w:tcPr>
            <w:tcW w:w="840" w:type="dxa"/>
            <w:tcBorders>
              <w:top w:val="nil"/>
              <w:left w:val="nil"/>
              <w:bottom w:val="nil"/>
              <w:right w:val="nil"/>
            </w:tcBorders>
            <w:noWrap/>
            <w:vAlign w:val="center"/>
            <w:hideMark/>
          </w:tcPr>
          <w:p w14:paraId="2A04E1F2"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0.45</w:t>
            </w:r>
          </w:p>
        </w:tc>
        <w:tc>
          <w:tcPr>
            <w:tcW w:w="1014" w:type="dxa"/>
            <w:tcBorders>
              <w:top w:val="nil"/>
              <w:left w:val="nil"/>
              <w:bottom w:val="nil"/>
              <w:right w:val="nil"/>
            </w:tcBorders>
            <w:noWrap/>
            <w:vAlign w:val="center"/>
            <w:hideMark/>
          </w:tcPr>
          <w:p w14:paraId="185CD0C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33.44</w:t>
            </w:r>
          </w:p>
        </w:tc>
      </w:tr>
      <w:tr w:rsidR="00B26805" w:rsidRPr="00D3093B" w14:paraId="5602058F"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34A6C7F4" w14:textId="77777777" w:rsidR="00B26805" w:rsidRPr="004C2757" w:rsidRDefault="00B26805" w:rsidP="0003283A">
            <w:pPr>
              <w:rPr>
                <w:rFonts w:ascii="Arial" w:hAnsi="Arial" w:cs="Arial"/>
                <w:color w:val="000000"/>
                <w:lang w:eastAsia="en-IN"/>
              </w:rPr>
            </w:pPr>
          </w:p>
        </w:tc>
        <w:tc>
          <w:tcPr>
            <w:tcW w:w="807" w:type="dxa"/>
            <w:vMerge w:val="restart"/>
            <w:tcBorders>
              <w:top w:val="nil"/>
              <w:left w:val="single" w:sz="4" w:space="0" w:color="auto"/>
              <w:bottom w:val="nil"/>
              <w:right w:val="nil"/>
            </w:tcBorders>
            <w:vAlign w:val="center"/>
            <w:hideMark/>
          </w:tcPr>
          <w:p w14:paraId="7D519E6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leaf</w:t>
            </w:r>
          </w:p>
        </w:tc>
        <w:tc>
          <w:tcPr>
            <w:tcW w:w="927" w:type="dxa"/>
            <w:tcBorders>
              <w:top w:val="nil"/>
              <w:left w:val="nil"/>
              <w:bottom w:val="nil"/>
              <w:right w:val="nil"/>
            </w:tcBorders>
            <w:noWrap/>
            <w:vAlign w:val="center"/>
            <w:hideMark/>
          </w:tcPr>
          <w:p w14:paraId="3F36A93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2F05734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2.44</w:t>
            </w:r>
          </w:p>
        </w:tc>
        <w:tc>
          <w:tcPr>
            <w:tcW w:w="840" w:type="dxa"/>
            <w:tcBorders>
              <w:top w:val="nil"/>
              <w:left w:val="nil"/>
              <w:bottom w:val="nil"/>
              <w:right w:val="nil"/>
            </w:tcBorders>
            <w:noWrap/>
            <w:vAlign w:val="center"/>
            <w:hideMark/>
          </w:tcPr>
          <w:p w14:paraId="7F24204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0.76</w:t>
            </w:r>
          </w:p>
        </w:tc>
        <w:tc>
          <w:tcPr>
            <w:tcW w:w="840" w:type="dxa"/>
            <w:tcBorders>
              <w:top w:val="nil"/>
              <w:left w:val="nil"/>
              <w:bottom w:val="nil"/>
              <w:right w:val="nil"/>
            </w:tcBorders>
            <w:noWrap/>
            <w:vAlign w:val="center"/>
            <w:hideMark/>
          </w:tcPr>
          <w:p w14:paraId="27F7AB4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2.28</w:t>
            </w:r>
          </w:p>
        </w:tc>
        <w:tc>
          <w:tcPr>
            <w:tcW w:w="840" w:type="dxa"/>
            <w:tcBorders>
              <w:top w:val="nil"/>
              <w:left w:val="nil"/>
              <w:bottom w:val="nil"/>
              <w:right w:val="nil"/>
            </w:tcBorders>
            <w:noWrap/>
            <w:vAlign w:val="center"/>
            <w:hideMark/>
          </w:tcPr>
          <w:p w14:paraId="63716D2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0.02</w:t>
            </w:r>
          </w:p>
        </w:tc>
        <w:tc>
          <w:tcPr>
            <w:tcW w:w="840" w:type="dxa"/>
            <w:tcBorders>
              <w:top w:val="nil"/>
              <w:left w:val="nil"/>
              <w:bottom w:val="nil"/>
              <w:right w:val="nil"/>
            </w:tcBorders>
            <w:noWrap/>
            <w:vAlign w:val="center"/>
            <w:hideMark/>
          </w:tcPr>
          <w:p w14:paraId="1176104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-0.35</w:t>
            </w:r>
          </w:p>
        </w:tc>
        <w:tc>
          <w:tcPr>
            <w:tcW w:w="1014" w:type="dxa"/>
            <w:tcBorders>
              <w:top w:val="nil"/>
              <w:left w:val="nil"/>
              <w:bottom w:val="nil"/>
              <w:right w:val="nil"/>
            </w:tcBorders>
            <w:noWrap/>
            <w:vAlign w:val="center"/>
            <w:hideMark/>
          </w:tcPr>
          <w:p w14:paraId="795BE8E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7.56</w:t>
            </w:r>
          </w:p>
        </w:tc>
      </w:tr>
      <w:tr w:rsidR="00B26805" w:rsidRPr="00D3093B" w14:paraId="0B41B419"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269C28AD" w14:textId="77777777" w:rsidR="00B26805" w:rsidRPr="004C2757" w:rsidRDefault="00B26805" w:rsidP="0003283A">
            <w:pPr>
              <w:rPr>
                <w:rFonts w:ascii="Arial" w:hAnsi="Arial" w:cs="Arial"/>
                <w:color w:val="000000"/>
                <w:lang w:eastAsia="en-IN"/>
              </w:rPr>
            </w:pPr>
          </w:p>
        </w:tc>
        <w:tc>
          <w:tcPr>
            <w:tcW w:w="807" w:type="dxa"/>
            <w:vMerge/>
            <w:tcBorders>
              <w:top w:val="nil"/>
              <w:left w:val="single" w:sz="4" w:space="0" w:color="auto"/>
              <w:bottom w:val="nil"/>
              <w:right w:val="nil"/>
            </w:tcBorders>
            <w:vAlign w:val="center"/>
            <w:hideMark/>
          </w:tcPr>
          <w:p w14:paraId="4FD133A3" w14:textId="77777777" w:rsidR="00B26805" w:rsidRPr="004C2757" w:rsidRDefault="00B26805" w:rsidP="0003283A">
            <w:pPr>
              <w:rPr>
                <w:rFonts w:ascii="Arial" w:hAnsi="Arial" w:cs="Arial"/>
                <w:color w:val="000000"/>
                <w:lang w:eastAsia="en-IN"/>
              </w:rPr>
            </w:pPr>
          </w:p>
        </w:tc>
        <w:tc>
          <w:tcPr>
            <w:tcW w:w="927" w:type="dxa"/>
            <w:tcBorders>
              <w:top w:val="nil"/>
              <w:left w:val="nil"/>
              <w:bottom w:val="nil"/>
              <w:right w:val="nil"/>
            </w:tcBorders>
            <w:noWrap/>
            <w:vAlign w:val="center"/>
            <w:hideMark/>
          </w:tcPr>
          <w:p w14:paraId="27B6D64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2C47F28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1.87</w:t>
            </w:r>
          </w:p>
        </w:tc>
        <w:tc>
          <w:tcPr>
            <w:tcW w:w="840" w:type="dxa"/>
            <w:tcBorders>
              <w:top w:val="nil"/>
              <w:left w:val="nil"/>
              <w:bottom w:val="nil"/>
              <w:right w:val="nil"/>
            </w:tcBorders>
            <w:noWrap/>
            <w:vAlign w:val="center"/>
            <w:hideMark/>
          </w:tcPr>
          <w:p w14:paraId="5F302BD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0.29</w:t>
            </w:r>
          </w:p>
        </w:tc>
        <w:tc>
          <w:tcPr>
            <w:tcW w:w="840" w:type="dxa"/>
            <w:tcBorders>
              <w:top w:val="nil"/>
              <w:left w:val="nil"/>
              <w:bottom w:val="nil"/>
              <w:right w:val="nil"/>
            </w:tcBorders>
            <w:noWrap/>
            <w:vAlign w:val="center"/>
            <w:hideMark/>
          </w:tcPr>
          <w:p w14:paraId="560EA82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0.29</w:t>
            </w:r>
          </w:p>
        </w:tc>
        <w:tc>
          <w:tcPr>
            <w:tcW w:w="840" w:type="dxa"/>
            <w:tcBorders>
              <w:top w:val="nil"/>
              <w:left w:val="nil"/>
              <w:bottom w:val="nil"/>
              <w:right w:val="nil"/>
            </w:tcBorders>
            <w:noWrap/>
            <w:vAlign w:val="center"/>
            <w:hideMark/>
          </w:tcPr>
          <w:p w14:paraId="0B56B4B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0.01</w:t>
            </w:r>
          </w:p>
        </w:tc>
        <w:tc>
          <w:tcPr>
            <w:tcW w:w="840" w:type="dxa"/>
            <w:tcBorders>
              <w:top w:val="nil"/>
              <w:left w:val="nil"/>
              <w:bottom w:val="nil"/>
              <w:right w:val="nil"/>
            </w:tcBorders>
            <w:noWrap/>
            <w:vAlign w:val="center"/>
            <w:hideMark/>
          </w:tcPr>
          <w:p w14:paraId="185FBFA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0.08</w:t>
            </w:r>
          </w:p>
        </w:tc>
        <w:tc>
          <w:tcPr>
            <w:tcW w:w="1014" w:type="dxa"/>
            <w:tcBorders>
              <w:top w:val="nil"/>
              <w:left w:val="nil"/>
              <w:bottom w:val="nil"/>
              <w:right w:val="nil"/>
            </w:tcBorders>
            <w:noWrap/>
            <w:vAlign w:val="center"/>
            <w:hideMark/>
          </w:tcPr>
          <w:p w14:paraId="2C49189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8.30</w:t>
            </w:r>
          </w:p>
        </w:tc>
      </w:tr>
      <w:tr w:rsidR="00B26805" w:rsidRPr="00D3093B" w14:paraId="28957D74"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72A6E8FD" w14:textId="77777777" w:rsidR="00B26805" w:rsidRPr="004C2757" w:rsidRDefault="00B26805" w:rsidP="0003283A">
            <w:pPr>
              <w:rPr>
                <w:rFonts w:ascii="Arial" w:hAnsi="Arial" w:cs="Arial"/>
                <w:color w:val="000000"/>
                <w:lang w:eastAsia="en-IN"/>
              </w:rPr>
            </w:pPr>
          </w:p>
        </w:tc>
        <w:tc>
          <w:tcPr>
            <w:tcW w:w="807" w:type="dxa"/>
            <w:vMerge w:val="restart"/>
            <w:tcBorders>
              <w:top w:val="nil"/>
              <w:left w:val="single" w:sz="4" w:space="0" w:color="auto"/>
              <w:bottom w:val="nil"/>
              <w:right w:val="nil"/>
            </w:tcBorders>
            <w:vAlign w:val="center"/>
            <w:hideMark/>
          </w:tcPr>
          <w:p w14:paraId="08451DD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Tfl</w:t>
            </w:r>
            <w:r w:rsidRPr="004C2757">
              <w:rPr>
                <w:rFonts w:ascii="Arial" w:hAnsi="Arial" w:cs="Arial"/>
                <w:color w:val="000000"/>
                <w:vertAlign w:val="subscript"/>
                <w:lang w:eastAsia="en-IN"/>
              </w:rPr>
              <w:t>eaf</w:t>
            </w:r>
          </w:p>
        </w:tc>
        <w:tc>
          <w:tcPr>
            <w:tcW w:w="927" w:type="dxa"/>
            <w:tcBorders>
              <w:top w:val="nil"/>
              <w:left w:val="nil"/>
              <w:bottom w:val="nil"/>
              <w:right w:val="nil"/>
            </w:tcBorders>
            <w:noWrap/>
            <w:vAlign w:val="center"/>
            <w:hideMark/>
          </w:tcPr>
          <w:p w14:paraId="5E95574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2241364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0.56</w:t>
            </w:r>
          </w:p>
        </w:tc>
        <w:tc>
          <w:tcPr>
            <w:tcW w:w="840" w:type="dxa"/>
            <w:tcBorders>
              <w:top w:val="nil"/>
              <w:left w:val="nil"/>
              <w:bottom w:val="nil"/>
              <w:right w:val="nil"/>
            </w:tcBorders>
            <w:noWrap/>
            <w:vAlign w:val="center"/>
            <w:hideMark/>
          </w:tcPr>
          <w:p w14:paraId="3ACBF73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0.84</w:t>
            </w:r>
          </w:p>
        </w:tc>
        <w:tc>
          <w:tcPr>
            <w:tcW w:w="840" w:type="dxa"/>
            <w:tcBorders>
              <w:top w:val="nil"/>
              <w:left w:val="nil"/>
              <w:bottom w:val="nil"/>
              <w:right w:val="nil"/>
            </w:tcBorders>
            <w:noWrap/>
            <w:vAlign w:val="center"/>
            <w:hideMark/>
          </w:tcPr>
          <w:p w14:paraId="3DD7E66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0.32</w:t>
            </w:r>
          </w:p>
        </w:tc>
        <w:tc>
          <w:tcPr>
            <w:tcW w:w="840" w:type="dxa"/>
            <w:tcBorders>
              <w:top w:val="nil"/>
              <w:left w:val="nil"/>
              <w:bottom w:val="nil"/>
              <w:right w:val="nil"/>
            </w:tcBorders>
            <w:noWrap/>
            <w:vAlign w:val="center"/>
            <w:hideMark/>
          </w:tcPr>
          <w:p w14:paraId="1EADD23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0.05</w:t>
            </w:r>
          </w:p>
        </w:tc>
        <w:tc>
          <w:tcPr>
            <w:tcW w:w="840" w:type="dxa"/>
            <w:tcBorders>
              <w:top w:val="nil"/>
              <w:left w:val="nil"/>
              <w:bottom w:val="nil"/>
              <w:right w:val="nil"/>
            </w:tcBorders>
            <w:noWrap/>
            <w:vAlign w:val="center"/>
            <w:hideMark/>
          </w:tcPr>
          <w:p w14:paraId="0D66133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-0.14</w:t>
            </w:r>
          </w:p>
        </w:tc>
        <w:tc>
          <w:tcPr>
            <w:tcW w:w="1014" w:type="dxa"/>
            <w:tcBorders>
              <w:top w:val="nil"/>
              <w:left w:val="nil"/>
              <w:bottom w:val="nil"/>
              <w:right w:val="nil"/>
            </w:tcBorders>
            <w:noWrap/>
            <w:vAlign w:val="center"/>
            <w:hideMark/>
          </w:tcPr>
          <w:p w14:paraId="1FFC2EA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0.11</w:t>
            </w:r>
          </w:p>
        </w:tc>
      </w:tr>
      <w:tr w:rsidR="00B26805" w:rsidRPr="00D3093B" w14:paraId="169D02B6"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09FA9001" w14:textId="77777777" w:rsidR="00B26805" w:rsidRPr="004C2757" w:rsidRDefault="00B26805" w:rsidP="0003283A">
            <w:pPr>
              <w:rPr>
                <w:rFonts w:ascii="Arial" w:hAnsi="Arial" w:cs="Arial"/>
                <w:color w:val="000000"/>
                <w:lang w:eastAsia="en-IN"/>
              </w:rPr>
            </w:pPr>
          </w:p>
        </w:tc>
        <w:tc>
          <w:tcPr>
            <w:tcW w:w="807" w:type="dxa"/>
            <w:vMerge/>
            <w:tcBorders>
              <w:top w:val="nil"/>
              <w:left w:val="single" w:sz="4" w:space="0" w:color="auto"/>
              <w:bottom w:val="single" w:sz="4" w:space="0" w:color="auto"/>
              <w:right w:val="nil"/>
            </w:tcBorders>
            <w:vAlign w:val="center"/>
            <w:hideMark/>
          </w:tcPr>
          <w:p w14:paraId="6C732710" w14:textId="77777777" w:rsidR="00B26805" w:rsidRPr="004C2757" w:rsidRDefault="00B26805" w:rsidP="0003283A">
            <w:pPr>
              <w:rPr>
                <w:rFonts w:ascii="Arial" w:hAnsi="Arial" w:cs="Arial"/>
                <w:color w:val="000000"/>
                <w:lang w:eastAsia="en-IN"/>
              </w:rPr>
            </w:pPr>
          </w:p>
        </w:tc>
        <w:tc>
          <w:tcPr>
            <w:tcW w:w="927" w:type="dxa"/>
            <w:tcBorders>
              <w:top w:val="nil"/>
              <w:left w:val="nil"/>
              <w:bottom w:val="single" w:sz="4" w:space="0" w:color="auto"/>
              <w:right w:val="nil"/>
            </w:tcBorders>
            <w:noWrap/>
            <w:vAlign w:val="center"/>
            <w:hideMark/>
          </w:tcPr>
          <w:p w14:paraId="18AE939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single" w:sz="4" w:space="0" w:color="auto"/>
              <w:right w:val="nil"/>
            </w:tcBorders>
            <w:noWrap/>
            <w:vAlign w:val="center"/>
            <w:hideMark/>
          </w:tcPr>
          <w:p w14:paraId="7C5FD3C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0.54</w:t>
            </w:r>
          </w:p>
        </w:tc>
        <w:tc>
          <w:tcPr>
            <w:tcW w:w="840" w:type="dxa"/>
            <w:tcBorders>
              <w:top w:val="nil"/>
              <w:left w:val="nil"/>
              <w:bottom w:val="single" w:sz="4" w:space="0" w:color="auto"/>
              <w:right w:val="nil"/>
            </w:tcBorders>
            <w:noWrap/>
            <w:vAlign w:val="center"/>
            <w:hideMark/>
          </w:tcPr>
          <w:p w14:paraId="034D4D2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0.60</w:t>
            </w:r>
          </w:p>
        </w:tc>
        <w:tc>
          <w:tcPr>
            <w:tcW w:w="840" w:type="dxa"/>
            <w:tcBorders>
              <w:top w:val="nil"/>
              <w:left w:val="nil"/>
              <w:bottom w:val="single" w:sz="4" w:space="0" w:color="auto"/>
              <w:right w:val="nil"/>
            </w:tcBorders>
            <w:noWrap/>
            <w:vAlign w:val="center"/>
            <w:hideMark/>
          </w:tcPr>
          <w:p w14:paraId="4796417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0.22</w:t>
            </w:r>
          </w:p>
        </w:tc>
        <w:tc>
          <w:tcPr>
            <w:tcW w:w="840" w:type="dxa"/>
            <w:tcBorders>
              <w:top w:val="nil"/>
              <w:left w:val="nil"/>
              <w:bottom w:val="single" w:sz="4" w:space="0" w:color="auto"/>
              <w:right w:val="nil"/>
            </w:tcBorders>
            <w:noWrap/>
            <w:vAlign w:val="center"/>
            <w:hideMark/>
          </w:tcPr>
          <w:p w14:paraId="6A5A39B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0.03</w:t>
            </w:r>
          </w:p>
        </w:tc>
        <w:tc>
          <w:tcPr>
            <w:tcW w:w="840" w:type="dxa"/>
            <w:tcBorders>
              <w:top w:val="nil"/>
              <w:left w:val="nil"/>
              <w:bottom w:val="single" w:sz="4" w:space="0" w:color="auto"/>
              <w:right w:val="nil"/>
            </w:tcBorders>
            <w:noWrap/>
            <w:vAlign w:val="center"/>
            <w:hideMark/>
          </w:tcPr>
          <w:p w14:paraId="2264F6E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0.17</w:t>
            </w:r>
          </w:p>
        </w:tc>
        <w:tc>
          <w:tcPr>
            <w:tcW w:w="1014" w:type="dxa"/>
            <w:tcBorders>
              <w:top w:val="nil"/>
              <w:left w:val="nil"/>
              <w:bottom w:val="single" w:sz="4" w:space="0" w:color="auto"/>
              <w:right w:val="nil"/>
            </w:tcBorders>
            <w:noWrap/>
            <w:vAlign w:val="center"/>
            <w:hideMark/>
          </w:tcPr>
          <w:p w14:paraId="1660B21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0.25</w:t>
            </w:r>
          </w:p>
        </w:tc>
      </w:tr>
      <w:tr w:rsidR="00B26805" w:rsidRPr="00D3093B" w14:paraId="0D2B3544" w14:textId="77777777" w:rsidTr="0003283A">
        <w:trPr>
          <w:trHeight w:val="290"/>
          <w:jc w:val="center"/>
        </w:trPr>
        <w:tc>
          <w:tcPr>
            <w:tcW w:w="565" w:type="dxa"/>
            <w:vMerge w:val="restart"/>
            <w:tcBorders>
              <w:top w:val="nil"/>
              <w:left w:val="nil"/>
              <w:bottom w:val="single" w:sz="4" w:space="0" w:color="auto"/>
              <w:right w:val="single" w:sz="4" w:space="0" w:color="auto"/>
            </w:tcBorders>
            <w:noWrap/>
            <w:textDirection w:val="btLr"/>
            <w:vAlign w:val="center"/>
            <w:hideMark/>
          </w:tcPr>
          <w:p w14:paraId="207DB83E"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Maize</w:t>
            </w:r>
          </w:p>
        </w:tc>
        <w:tc>
          <w:tcPr>
            <w:tcW w:w="807" w:type="dxa"/>
            <w:vMerge w:val="restart"/>
            <w:tcBorders>
              <w:top w:val="single" w:sz="4" w:space="0" w:color="auto"/>
              <w:left w:val="single" w:sz="4" w:space="0" w:color="auto"/>
              <w:bottom w:val="nil"/>
              <w:right w:val="nil"/>
            </w:tcBorders>
            <w:vAlign w:val="center"/>
            <w:hideMark/>
          </w:tcPr>
          <w:p w14:paraId="1211D7E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root</w:t>
            </w:r>
          </w:p>
        </w:tc>
        <w:tc>
          <w:tcPr>
            <w:tcW w:w="927" w:type="dxa"/>
            <w:tcBorders>
              <w:top w:val="single" w:sz="4" w:space="0" w:color="auto"/>
              <w:left w:val="nil"/>
              <w:bottom w:val="nil"/>
              <w:right w:val="nil"/>
            </w:tcBorders>
            <w:noWrap/>
            <w:vAlign w:val="center"/>
            <w:hideMark/>
          </w:tcPr>
          <w:p w14:paraId="51936C7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single" w:sz="4" w:space="0" w:color="auto"/>
              <w:left w:val="nil"/>
              <w:bottom w:val="nil"/>
              <w:right w:val="nil"/>
            </w:tcBorders>
            <w:noWrap/>
            <w:vAlign w:val="center"/>
            <w:hideMark/>
          </w:tcPr>
          <w:p w14:paraId="1FB3EA2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3.37</w:t>
            </w:r>
          </w:p>
        </w:tc>
        <w:tc>
          <w:tcPr>
            <w:tcW w:w="840" w:type="dxa"/>
            <w:tcBorders>
              <w:top w:val="single" w:sz="4" w:space="0" w:color="auto"/>
              <w:left w:val="nil"/>
              <w:bottom w:val="nil"/>
              <w:right w:val="nil"/>
            </w:tcBorders>
            <w:noWrap/>
            <w:vAlign w:val="center"/>
            <w:hideMark/>
          </w:tcPr>
          <w:p w14:paraId="542A3EA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0.88</w:t>
            </w:r>
          </w:p>
        </w:tc>
        <w:tc>
          <w:tcPr>
            <w:tcW w:w="840" w:type="dxa"/>
            <w:tcBorders>
              <w:top w:val="single" w:sz="4" w:space="0" w:color="auto"/>
              <w:left w:val="nil"/>
              <w:bottom w:val="nil"/>
              <w:right w:val="nil"/>
            </w:tcBorders>
            <w:noWrap/>
            <w:vAlign w:val="center"/>
            <w:hideMark/>
          </w:tcPr>
          <w:p w14:paraId="73B30CE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10.78</w:t>
            </w:r>
          </w:p>
        </w:tc>
        <w:tc>
          <w:tcPr>
            <w:tcW w:w="840" w:type="dxa"/>
            <w:tcBorders>
              <w:top w:val="single" w:sz="4" w:space="0" w:color="auto"/>
              <w:left w:val="nil"/>
              <w:bottom w:val="nil"/>
              <w:right w:val="nil"/>
            </w:tcBorders>
            <w:noWrap/>
            <w:vAlign w:val="center"/>
            <w:hideMark/>
          </w:tcPr>
          <w:p w14:paraId="37039BA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0.41</w:t>
            </w:r>
          </w:p>
        </w:tc>
        <w:tc>
          <w:tcPr>
            <w:tcW w:w="840" w:type="dxa"/>
            <w:tcBorders>
              <w:top w:val="single" w:sz="4" w:space="0" w:color="auto"/>
              <w:left w:val="nil"/>
              <w:bottom w:val="nil"/>
              <w:right w:val="nil"/>
            </w:tcBorders>
            <w:noWrap/>
            <w:vAlign w:val="center"/>
            <w:hideMark/>
          </w:tcPr>
          <w:p w14:paraId="2077B22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0.17</w:t>
            </w:r>
          </w:p>
        </w:tc>
        <w:tc>
          <w:tcPr>
            <w:tcW w:w="1014" w:type="dxa"/>
            <w:tcBorders>
              <w:top w:val="single" w:sz="4" w:space="0" w:color="auto"/>
              <w:left w:val="nil"/>
              <w:bottom w:val="nil"/>
              <w:right w:val="nil"/>
            </w:tcBorders>
            <w:noWrap/>
            <w:vAlign w:val="center"/>
            <w:hideMark/>
          </w:tcPr>
          <w:p w14:paraId="2AFB7E5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37.13</w:t>
            </w:r>
          </w:p>
        </w:tc>
      </w:tr>
      <w:tr w:rsidR="00B26805" w:rsidRPr="00D3093B" w14:paraId="66F7E07A"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4DA71AC3" w14:textId="77777777" w:rsidR="00B26805" w:rsidRPr="004C2757" w:rsidRDefault="00B26805" w:rsidP="0003283A">
            <w:pPr>
              <w:rPr>
                <w:rFonts w:ascii="Arial" w:hAnsi="Arial" w:cs="Arial"/>
                <w:color w:val="000000"/>
                <w:lang w:eastAsia="en-IN"/>
              </w:rPr>
            </w:pPr>
          </w:p>
        </w:tc>
        <w:tc>
          <w:tcPr>
            <w:tcW w:w="807" w:type="dxa"/>
            <w:vMerge/>
            <w:tcBorders>
              <w:top w:val="nil"/>
              <w:left w:val="single" w:sz="4" w:space="0" w:color="auto"/>
              <w:bottom w:val="nil"/>
              <w:right w:val="nil"/>
            </w:tcBorders>
            <w:vAlign w:val="center"/>
            <w:hideMark/>
          </w:tcPr>
          <w:p w14:paraId="1EBA995D" w14:textId="77777777" w:rsidR="00B26805" w:rsidRPr="004C2757" w:rsidRDefault="00B26805" w:rsidP="0003283A">
            <w:pPr>
              <w:rPr>
                <w:rFonts w:ascii="Arial" w:hAnsi="Arial" w:cs="Arial"/>
                <w:color w:val="000000"/>
                <w:lang w:eastAsia="en-IN"/>
              </w:rPr>
            </w:pPr>
          </w:p>
        </w:tc>
        <w:tc>
          <w:tcPr>
            <w:tcW w:w="927" w:type="dxa"/>
            <w:tcBorders>
              <w:top w:val="nil"/>
              <w:left w:val="nil"/>
              <w:bottom w:val="nil"/>
              <w:right w:val="nil"/>
            </w:tcBorders>
            <w:noWrap/>
            <w:vAlign w:val="center"/>
            <w:hideMark/>
          </w:tcPr>
          <w:p w14:paraId="779A353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71F7595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1.80</w:t>
            </w:r>
          </w:p>
        </w:tc>
        <w:tc>
          <w:tcPr>
            <w:tcW w:w="840" w:type="dxa"/>
            <w:tcBorders>
              <w:top w:val="nil"/>
              <w:left w:val="nil"/>
              <w:bottom w:val="nil"/>
              <w:right w:val="nil"/>
            </w:tcBorders>
            <w:noWrap/>
            <w:vAlign w:val="center"/>
            <w:hideMark/>
          </w:tcPr>
          <w:p w14:paraId="392A3B0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0.20</w:t>
            </w:r>
          </w:p>
        </w:tc>
        <w:tc>
          <w:tcPr>
            <w:tcW w:w="840" w:type="dxa"/>
            <w:tcBorders>
              <w:top w:val="nil"/>
              <w:left w:val="nil"/>
              <w:bottom w:val="nil"/>
              <w:right w:val="nil"/>
            </w:tcBorders>
            <w:noWrap/>
            <w:vAlign w:val="center"/>
            <w:hideMark/>
          </w:tcPr>
          <w:p w14:paraId="2427B48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13.07</w:t>
            </w:r>
          </w:p>
        </w:tc>
        <w:tc>
          <w:tcPr>
            <w:tcW w:w="840" w:type="dxa"/>
            <w:tcBorders>
              <w:top w:val="nil"/>
              <w:left w:val="nil"/>
              <w:bottom w:val="nil"/>
              <w:right w:val="nil"/>
            </w:tcBorders>
            <w:noWrap/>
            <w:vAlign w:val="center"/>
            <w:hideMark/>
          </w:tcPr>
          <w:p w14:paraId="2245FE0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11.48</w:t>
            </w:r>
          </w:p>
        </w:tc>
        <w:tc>
          <w:tcPr>
            <w:tcW w:w="840" w:type="dxa"/>
            <w:tcBorders>
              <w:top w:val="nil"/>
              <w:left w:val="nil"/>
              <w:bottom w:val="nil"/>
              <w:right w:val="nil"/>
            </w:tcBorders>
            <w:noWrap/>
            <w:vAlign w:val="center"/>
            <w:hideMark/>
          </w:tcPr>
          <w:p w14:paraId="722F41F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3.03</w:t>
            </w:r>
          </w:p>
        </w:tc>
        <w:tc>
          <w:tcPr>
            <w:tcW w:w="1014" w:type="dxa"/>
            <w:tcBorders>
              <w:top w:val="nil"/>
              <w:left w:val="nil"/>
              <w:bottom w:val="nil"/>
              <w:right w:val="nil"/>
            </w:tcBorders>
            <w:noWrap/>
            <w:vAlign w:val="center"/>
            <w:hideMark/>
          </w:tcPr>
          <w:p w14:paraId="1A02580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-881.2</w:t>
            </w:r>
          </w:p>
        </w:tc>
      </w:tr>
      <w:tr w:rsidR="00B26805" w:rsidRPr="00D3093B" w14:paraId="42324334"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4E6BA3A7" w14:textId="77777777" w:rsidR="00B26805" w:rsidRPr="004C2757" w:rsidRDefault="00B26805" w:rsidP="0003283A">
            <w:pPr>
              <w:rPr>
                <w:rFonts w:ascii="Arial" w:hAnsi="Arial" w:cs="Arial"/>
                <w:color w:val="000000"/>
                <w:lang w:eastAsia="en-IN"/>
              </w:rPr>
            </w:pPr>
          </w:p>
        </w:tc>
        <w:tc>
          <w:tcPr>
            <w:tcW w:w="807" w:type="dxa"/>
            <w:vMerge w:val="restart"/>
            <w:tcBorders>
              <w:top w:val="nil"/>
              <w:left w:val="single" w:sz="4" w:space="0" w:color="auto"/>
              <w:bottom w:val="nil"/>
              <w:right w:val="nil"/>
            </w:tcBorders>
            <w:vAlign w:val="center"/>
            <w:hideMark/>
          </w:tcPr>
          <w:p w14:paraId="127216C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leaf</w:t>
            </w:r>
          </w:p>
        </w:tc>
        <w:tc>
          <w:tcPr>
            <w:tcW w:w="927" w:type="dxa"/>
            <w:tcBorders>
              <w:top w:val="nil"/>
              <w:left w:val="nil"/>
              <w:bottom w:val="nil"/>
              <w:right w:val="nil"/>
            </w:tcBorders>
            <w:noWrap/>
            <w:vAlign w:val="center"/>
            <w:hideMark/>
          </w:tcPr>
          <w:p w14:paraId="3DDFE93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5201D90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0.32</w:t>
            </w:r>
          </w:p>
        </w:tc>
        <w:tc>
          <w:tcPr>
            <w:tcW w:w="840" w:type="dxa"/>
            <w:tcBorders>
              <w:top w:val="nil"/>
              <w:left w:val="nil"/>
              <w:bottom w:val="nil"/>
              <w:right w:val="nil"/>
            </w:tcBorders>
            <w:noWrap/>
            <w:vAlign w:val="center"/>
            <w:hideMark/>
          </w:tcPr>
          <w:p w14:paraId="2BF01F1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0.42</w:t>
            </w:r>
          </w:p>
        </w:tc>
        <w:tc>
          <w:tcPr>
            <w:tcW w:w="840" w:type="dxa"/>
            <w:tcBorders>
              <w:top w:val="nil"/>
              <w:left w:val="nil"/>
              <w:bottom w:val="nil"/>
              <w:right w:val="nil"/>
            </w:tcBorders>
            <w:noWrap/>
            <w:vAlign w:val="center"/>
            <w:hideMark/>
          </w:tcPr>
          <w:p w14:paraId="35E6642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4.29</w:t>
            </w:r>
          </w:p>
        </w:tc>
        <w:tc>
          <w:tcPr>
            <w:tcW w:w="840" w:type="dxa"/>
            <w:tcBorders>
              <w:top w:val="nil"/>
              <w:left w:val="nil"/>
              <w:bottom w:val="nil"/>
              <w:right w:val="nil"/>
            </w:tcBorders>
            <w:noWrap/>
            <w:vAlign w:val="center"/>
            <w:hideMark/>
          </w:tcPr>
          <w:p w14:paraId="629C934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-0.09</w:t>
            </w:r>
          </w:p>
        </w:tc>
        <w:tc>
          <w:tcPr>
            <w:tcW w:w="840" w:type="dxa"/>
            <w:tcBorders>
              <w:top w:val="nil"/>
              <w:left w:val="nil"/>
              <w:bottom w:val="nil"/>
              <w:right w:val="nil"/>
            </w:tcBorders>
            <w:noWrap/>
            <w:vAlign w:val="center"/>
            <w:hideMark/>
          </w:tcPr>
          <w:p w14:paraId="2BCB726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0.14</w:t>
            </w:r>
          </w:p>
        </w:tc>
        <w:tc>
          <w:tcPr>
            <w:tcW w:w="1014" w:type="dxa"/>
            <w:tcBorders>
              <w:top w:val="nil"/>
              <w:left w:val="nil"/>
              <w:bottom w:val="nil"/>
              <w:right w:val="nil"/>
            </w:tcBorders>
            <w:noWrap/>
            <w:vAlign w:val="center"/>
            <w:hideMark/>
          </w:tcPr>
          <w:p w14:paraId="36F077D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7.48</w:t>
            </w:r>
          </w:p>
        </w:tc>
      </w:tr>
      <w:tr w:rsidR="00B26805" w:rsidRPr="00D3093B" w14:paraId="07EE3D2C"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1D490267" w14:textId="77777777" w:rsidR="00B26805" w:rsidRPr="004C2757" w:rsidRDefault="00B26805" w:rsidP="0003283A">
            <w:pPr>
              <w:rPr>
                <w:rFonts w:ascii="Arial" w:hAnsi="Arial" w:cs="Arial"/>
                <w:color w:val="000000"/>
                <w:lang w:eastAsia="en-IN"/>
              </w:rPr>
            </w:pPr>
          </w:p>
        </w:tc>
        <w:tc>
          <w:tcPr>
            <w:tcW w:w="807" w:type="dxa"/>
            <w:vMerge/>
            <w:tcBorders>
              <w:top w:val="nil"/>
              <w:left w:val="single" w:sz="4" w:space="0" w:color="auto"/>
              <w:bottom w:val="nil"/>
              <w:right w:val="nil"/>
            </w:tcBorders>
            <w:vAlign w:val="center"/>
            <w:hideMark/>
          </w:tcPr>
          <w:p w14:paraId="14EDDB19" w14:textId="77777777" w:rsidR="00B26805" w:rsidRPr="004C2757" w:rsidRDefault="00B26805" w:rsidP="0003283A">
            <w:pPr>
              <w:rPr>
                <w:rFonts w:ascii="Arial" w:hAnsi="Arial" w:cs="Arial"/>
                <w:color w:val="000000"/>
                <w:lang w:eastAsia="en-IN"/>
              </w:rPr>
            </w:pPr>
          </w:p>
        </w:tc>
        <w:tc>
          <w:tcPr>
            <w:tcW w:w="927" w:type="dxa"/>
            <w:tcBorders>
              <w:top w:val="nil"/>
              <w:left w:val="nil"/>
              <w:bottom w:val="nil"/>
              <w:right w:val="nil"/>
            </w:tcBorders>
            <w:noWrap/>
            <w:vAlign w:val="center"/>
            <w:hideMark/>
          </w:tcPr>
          <w:p w14:paraId="03FB11F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51ED204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0.61</w:t>
            </w:r>
          </w:p>
        </w:tc>
        <w:tc>
          <w:tcPr>
            <w:tcW w:w="840" w:type="dxa"/>
            <w:tcBorders>
              <w:top w:val="nil"/>
              <w:left w:val="nil"/>
              <w:bottom w:val="nil"/>
              <w:right w:val="nil"/>
            </w:tcBorders>
            <w:noWrap/>
            <w:vAlign w:val="center"/>
            <w:hideMark/>
          </w:tcPr>
          <w:p w14:paraId="10FCEF3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0.21</w:t>
            </w:r>
          </w:p>
        </w:tc>
        <w:tc>
          <w:tcPr>
            <w:tcW w:w="840" w:type="dxa"/>
            <w:tcBorders>
              <w:top w:val="nil"/>
              <w:left w:val="nil"/>
              <w:bottom w:val="nil"/>
              <w:right w:val="nil"/>
            </w:tcBorders>
            <w:noWrap/>
            <w:vAlign w:val="center"/>
            <w:hideMark/>
          </w:tcPr>
          <w:p w14:paraId="527197C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8.92</w:t>
            </w:r>
          </w:p>
        </w:tc>
        <w:tc>
          <w:tcPr>
            <w:tcW w:w="840" w:type="dxa"/>
            <w:tcBorders>
              <w:top w:val="nil"/>
              <w:left w:val="nil"/>
              <w:bottom w:val="nil"/>
              <w:right w:val="nil"/>
            </w:tcBorders>
            <w:noWrap/>
            <w:vAlign w:val="center"/>
            <w:hideMark/>
          </w:tcPr>
          <w:p w14:paraId="6AD95B4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-3.06</w:t>
            </w:r>
          </w:p>
        </w:tc>
        <w:tc>
          <w:tcPr>
            <w:tcW w:w="840" w:type="dxa"/>
            <w:tcBorders>
              <w:top w:val="nil"/>
              <w:left w:val="nil"/>
              <w:bottom w:val="nil"/>
              <w:right w:val="nil"/>
            </w:tcBorders>
            <w:noWrap/>
            <w:vAlign w:val="center"/>
            <w:hideMark/>
          </w:tcPr>
          <w:p w14:paraId="2F8EA6E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-1.97</w:t>
            </w:r>
          </w:p>
        </w:tc>
        <w:tc>
          <w:tcPr>
            <w:tcW w:w="1014" w:type="dxa"/>
            <w:tcBorders>
              <w:top w:val="nil"/>
              <w:left w:val="nil"/>
              <w:bottom w:val="nil"/>
              <w:right w:val="nil"/>
            </w:tcBorders>
            <w:noWrap/>
            <w:vAlign w:val="center"/>
            <w:hideMark/>
          </w:tcPr>
          <w:p w14:paraId="0EA5C11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-84.12</w:t>
            </w:r>
          </w:p>
        </w:tc>
      </w:tr>
      <w:tr w:rsidR="00B26805" w:rsidRPr="00D3093B" w14:paraId="21777FC8"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59AD66F9" w14:textId="77777777" w:rsidR="00B26805" w:rsidRPr="004C2757" w:rsidRDefault="00B26805" w:rsidP="0003283A">
            <w:pPr>
              <w:rPr>
                <w:rFonts w:ascii="Arial" w:hAnsi="Arial" w:cs="Arial"/>
                <w:color w:val="000000"/>
                <w:lang w:eastAsia="en-IN"/>
              </w:rPr>
            </w:pPr>
          </w:p>
        </w:tc>
        <w:tc>
          <w:tcPr>
            <w:tcW w:w="807" w:type="dxa"/>
            <w:vMerge w:val="restart"/>
            <w:tcBorders>
              <w:top w:val="nil"/>
              <w:left w:val="single" w:sz="4" w:space="0" w:color="auto"/>
              <w:bottom w:val="nil"/>
              <w:right w:val="nil"/>
            </w:tcBorders>
            <w:vAlign w:val="center"/>
            <w:hideMark/>
          </w:tcPr>
          <w:p w14:paraId="6C543BD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Tf</w:t>
            </w:r>
            <w:r w:rsidRPr="004C2757">
              <w:rPr>
                <w:rFonts w:ascii="Arial" w:hAnsi="Arial" w:cs="Arial"/>
                <w:color w:val="000000"/>
                <w:vertAlign w:val="subscript"/>
                <w:lang w:eastAsia="en-IN"/>
              </w:rPr>
              <w:t>leaf</w:t>
            </w:r>
          </w:p>
        </w:tc>
        <w:tc>
          <w:tcPr>
            <w:tcW w:w="927" w:type="dxa"/>
            <w:tcBorders>
              <w:top w:val="nil"/>
              <w:left w:val="nil"/>
              <w:bottom w:val="nil"/>
              <w:right w:val="nil"/>
            </w:tcBorders>
            <w:noWrap/>
            <w:vAlign w:val="center"/>
            <w:hideMark/>
          </w:tcPr>
          <w:p w14:paraId="7687A73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4D264D7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0.09</w:t>
            </w:r>
          </w:p>
        </w:tc>
        <w:tc>
          <w:tcPr>
            <w:tcW w:w="840" w:type="dxa"/>
            <w:tcBorders>
              <w:top w:val="nil"/>
              <w:left w:val="nil"/>
              <w:bottom w:val="nil"/>
              <w:right w:val="nil"/>
            </w:tcBorders>
            <w:noWrap/>
            <w:vAlign w:val="center"/>
            <w:hideMark/>
          </w:tcPr>
          <w:p w14:paraId="51774E8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0.47</w:t>
            </w:r>
          </w:p>
        </w:tc>
        <w:tc>
          <w:tcPr>
            <w:tcW w:w="840" w:type="dxa"/>
            <w:tcBorders>
              <w:top w:val="nil"/>
              <w:left w:val="nil"/>
              <w:bottom w:val="nil"/>
              <w:right w:val="nil"/>
            </w:tcBorders>
            <w:noWrap/>
            <w:vAlign w:val="center"/>
            <w:hideMark/>
          </w:tcPr>
          <w:p w14:paraId="690DACD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0.40</w:t>
            </w:r>
          </w:p>
        </w:tc>
        <w:tc>
          <w:tcPr>
            <w:tcW w:w="840" w:type="dxa"/>
            <w:tcBorders>
              <w:top w:val="nil"/>
              <w:left w:val="nil"/>
              <w:bottom w:val="nil"/>
              <w:right w:val="nil"/>
            </w:tcBorders>
            <w:noWrap/>
            <w:vAlign w:val="center"/>
            <w:hideMark/>
          </w:tcPr>
          <w:p w14:paraId="4CACE60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-0.23</w:t>
            </w:r>
          </w:p>
        </w:tc>
        <w:tc>
          <w:tcPr>
            <w:tcW w:w="840" w:type="dxa"/>
            <w:tcBorders>
              <w:top w:val="nil"/>
              <w:left w:val="nil"/>
              <w:bottom w:val="nil"/>
              <w:right w:val="nil"/>
            </w:tcBorders>
            <w:noWrap/>
            <w:vAlign w:val="center"/>
            <w:hideMark/>
          </w:tcPr>
          <w:p w14:paraId="2002B68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0.87</w:t>
            </w:r>
          </w:p>
        </w:tc>
        <w:tc>
          <w:tcPr>
            <w:tcW w:w="1014" w:type="dxa"/>
            <w:tcBorders>
              <w:top w:val="nil"/>
              <w:left w:val="nil"/>
              <w:bottom w:val="nil"/>
              <w:right w:val="nil"/>
            </w:tcBorders>
            <w:noWrap/>
            <w:vAlign w:val="center"/>
            <w:hideMark/>
          </w:tcPr>
          <w:p w14:paraId="2320194E"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0.20</w:t>
            </w:r>
          </w:p>
        </w:tc>
      </w:tr>
      <w:tr w:rsidR="00B26805" w:rsidRPr="00D3093B" w14:paraId="5D7B4295"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006DE936" w14:textId="77777777" w:rsidR="00B26805" w:rsidRPr="004C2757" w:rsidRDefault="00B26805" w:rsidP="0003283A">
            <w:pPr>
              <w:rPr>
                <w:rFonts w:ascii="Arial" w:hAnsi="Arial" w:cs="Arial"/>
                <w:color w:val="000000"/>
                <w:lang w:eastAsia="en-IN"/>
              </w:rPr>
            </w:pPr>
          </w:p>
        </w:tc>
        <w:tc>
          <w:tcPr>
            <w:tcW w:w="807" w:type="dxa"/>
            <w:vMerge/>
            <w:tcBorders>
              <w:top w:val="nil"/>
              <w:left w:val="single" w:sz="4" w:space="0" w:color="auto"/>
              <w:bottom w:val="single" w:sz="4" w:space="0" w:color="auto"/>
              <w:right w:val="nil"/>
            </w:tcBorders>
            <w:vAlign w:val="center"/>
            <w:hideMark/>
          </w:tcPr>
          <w:p w14:paraId="13987005" w14:textId="77777777" w:rsidR="00B26805" w:rsidRPr="004C2757" w:rsidRDefault="00B26805" w:rsidP="0003283A">
            <w:pPr>
              <w:rPr>
                <w:rFonts w:ascii="Arial" w:hAnsi="Arial" w:cs="Arial"/>
                <w:color w:val="000000"/>
                <w:lang w:eastAsia="en-IN"/>
              </w:rPr>
            </w:pPr>
          </w:p>
        </w:tc>
        <w:tc>
          <w:tcPr>
            <w:tcW w:w="927" w:type="dxa"/>
            <w:tcBorders>
              <w:top w:val="nil"/>
              <w:left w:val="nil"/>
              <w:bottom w:val="single" w:sz="4" w:space="0" w:color="auto"/>
              <w:right w:val="nil"/>
            </w:tcBorders>
            <w:noWrap/>
            <w:vAlign w:val="center"/>
            <w:hideMark/>
          </w:tcPr>
          <w:p w14:paraId="5A0E3A8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single" w:sz="4" w:space="0" w:color="auto"/>
              <w:right w:val="nil"/>
            </w:tcBorders>
            <w:noWrap/>
            <w:vAlign w:val="center"/>
            <w:hideMark/>
          </w:tcPr>
          <w:p w14:paraId="6EE7E95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0.34</w:t>
            </w:r>
          </w:p>
        </w:tc>
        <w:tc>
          <w:tcPr>
            <w:tcW w:w="840" w:type="dxa"/>
            <w:tcBorders>
              <w:top w:val="nil"/>
              <w:left w:val="nil"/>
              <w:bottom w:val="single" w:sz="4" w:space="0" w:color="auto"/>
              <w:right w:val="nil"/>
            </w:tcBorders>
            <w:noWrap/>
            <w:vAlign w:val="center"/>
            <w:hideMark/>
          </w:tcPr>
          <w:p w14:paraId="51EF17F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1.09</w:t>
            </w:r>
          </w:p>
        </w:tc>
        <w:tc>
          <w:tcPr>
            <w:tcW w:w="840" w:type="dxa"/>
            <w:tcBorders>
              <w:top w:val="nil"/>
              <w:left w:val="nil"/>
              <w:bottom w:val="single" w:sz="4" w:space="0" w:color="auto"/>
              <w:right w:val="nil"/>
            </w:tcBorders>
            <w:noWrap/>
            <w:vAlign w:val="center"/>
            <w:hideMark/>
          </w:tcPr>
          <w:p w14:paraId="5C77B15A"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0.68</w:t>
            </w:r>
          </w:p>
        </w:tc>
        <w:tc>
          <w:tcPr>
            <w:tcW w:w="840" w:type="dxa"/>
            <w:tcBorders>
              <w:top w:val="nil"/>
              <w:left w:val="nil"/>
              <w:bottom w:val="single" w:sz="4" w:space="0" w:color="auto"/>
              <w:right w:val="nil"/>
            </w:tcBorders>
            <w:noWrap/>
            <w:vAlign w:val="center"/>
            <w:hideMark/>
          </w:tcPr>
          <w:p w14:paraId="76DBBA3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-0.27</w:t>
            </w:r>
          </w:p>
        </w:tc>
        <w:tc>
          <w:tcPr>
            <w:tcW w:w="840" w:type="dxa"/>
            <w:tcBorders>
              <w:top w:val="nil"/>
              <w:left w:val="nil"/>
              <w:bottom w:val="single" w:sz="4" w:space="0" w:color="auto"/>
              <w:right w:val="nil"/>
            </w:tcBorders>
            <w:noWrap/>
            <w:vAlign w:val="center"/>
            <w:hideMark/>
          </w:tcPr>
          <w:p w14:paraId="6684894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-0.65</w:t>
            </w:r>
          </w:p>
        </w:tc>
        <w:tc>
          <w:tcPr>
            <w:tcW w:w="1014" w:type="dxa"/>
            <w:tcBorders>
              <w:top w:val="nil"/>
              <w:left w:val="nil"/>
              <w:bottom w:val="single" w:sz="4" w:space="0" w:color="auto"/>
              <w:right w:val="nil"/>
            </w:tcBorders>
            <w:noWrap/>
            <w:vAlign w:val="center"/>
            <w:hideMark/>
          </w:tcPr>
          <w:p w14:paraId="05926D6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0.10</w:t>
            </w:r>
          </w:p>
        </w:tc>
      </w:tr>
      <w:tr w:rsidR="00B26805" w:rsidRPr="00D3093B" w14:paraId="00F9D5D3" w14:textId="77777777" w:rsidTr="0003283A">
        <w:trPr>
          <w:trHeight w:val="290"/>
          <w:jc w:val="center"/>
        </w:trPr>
        <w:tc>
          <w:tcPr>
            <w:tcW w:w="565" w:type="dxa"/>
            <w:vMerge w:val="restart"/>
            <w:tcBorders>
              <w:top w:val="nil"/>
              <w:left w:val="nil"/>
              <w:bottom w:val="single" w:sz="4" w:space="0" w:color="auto"/>
              <w:right w:val="single" w:sz="4" w:space="0" w:color="auto"/>
            </w:tcBorders>
            <w:noWrap/>
            <w:textDirection w:val="btLr"/>
            <w:vAlign w:val="center"/>
            <w:hideMark/>
          </w:tcPr>
          <w:p w14:paraId="5CB6433E"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Green gram</w:t>
            </w:r>
          </w:p>
        </w:tc>
        <w:tc>
          <w:tcPr>
            <w:tcW w:w="807" w:type="dxa"/>
            <w:vMerge w:val="restart"/>
            <w:tcBorders>
              <w:top w:val="single" w:sz="4" w:space="0" w:color="auto"/>
              <w:left w:val="single" w:sz="4" w:space="0" w:color="auto"/>
              <w:bottom w:val="nil"/>
              <w:right w:val="nil"/>
            </w:tcBorders>
            <w:vAlign w:val="center"/>
            <w:hideMark/>
          </w:tcPr>
          <w:p w14:paraId="573E77B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root</w:t>
            </w:r>
          </w:p>
        </w:tc>
        <w:tc>
          <w:tcPr>
            <w:tcW w:w="927" w:type="dxa"/>
            <w:tcBorders>
              <w:top w:val="single" w:sz="4" w:space="0" w:color="auto"/>
              <w:left w:val="nil"/>
              <w:bottom w:val="nil"/>
              <w:right w:val="nil"/>
            </w:tcBorders>
            <w:noWrap/>
            <w:vAlign w:val="center"/>
            <w:hideMark/>
          </w:tcPr>
          <w:p w14:paraId="128296C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single" w:sz="4" w:space="0" w:color="auto"/>
              <w:left w:val="nil"/>
              <w:bottom w:val="nil"/>
              <w:right w:val="nil"/>
            </w:tcBorders>
            <w:noWrap/>
            <w:vAlign w:val="center"/>
            <w:hideMark/>
          </w:tcPr>
          <w:p w14:paraId="36DFCD4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2.10</w:t>
            </w:r>
          </w:p>
        </w:tc>
        <w:tc>
          <w:tcPr>
            <w:tcW w:w="840" w:type="dxa"/>
            <w:tcBorders>
              <w:top w:val="single" w:sz="4" w:space="0" w:color="auto"/>
              <w:left w:val="nil"/>
              <w:bottom w:val="nil"/>
              <w:right w:val="nil"/>
            </w:tcBorders>
            <w:noWrap/>
            <w:vAlign w:val="center"/>
            <w:hideMark/>
          </w:tcPr>
          <w:p w14:paraId="42D1F27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0.57</w:t>
            </w:r>
          </w:p>
        </w:tc>
        <w:tc>
          <w:tcPr>
            <w:tcW w:w="840" w:type="dxa"/>
            <w:tcBorders>
              <w:top w:val="single" w:sz="4" w:space="0" w:color="auto"/>
              <w:left w:val="nil"/>
              <w:bottom w:val="nil"/>
              <w:right w:val="nil"/>
            </w:tcBorders>
            <w:noWrap/>
            <w:vAlign w:val="center"/>
            <w:hideMark/>
          </w:tcPr>
          <w:p w14:paraId="0B50378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2.51</w:t>
            </w:r>
          </w:p>
        </w:tc>
        <w:tc>
          <w:tcPr>
            <w:tcW w:w="840" w:type="dxa"/>
            <w:tcBorders>
              <w:top w:val="single" w:sz="4" w:space="0" w:color="auto"/>
              <w:left w:val="nil"/>
              <w:bottom w:val="nil"/>
              <w:right w:val="nil"/>
            </w:tcBorders>
            <w:noWrap/>
            <w:vAlign w:val="center"/>
            <w:hideMark/>
          </w:tcPr>
          <w:p w14:paraId="1F6FA7B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0.83</w:t>
            </w:r>
          </w:p>
        </w:tc>
        <w:tc>
          <w:tcPr>
            <w:tcW w:w="840" w:type="dxa"/>
            <w:tcBorders>
              <w:top w:val="single" w:sz="4" w:space="0" w:color="auto"/>
              <w:left w:val="nil"/>
              <w:bottom w:val="nil"/>
              <w:right w:val="nil"/>
            </w:tcBorders>
            <w:noWrap/>
            <w:vAlign w:val="center"/>
            <w:hideMark/>
          </w:tcPr>
          <w:p w14:paraId="1980DCC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0.63</w:t>
            </w:r>
          </w:p>
        </w:tc>
        <w:tc>
          <w:tcPr>
            <w:tcW w:w="1014" w:type="dxa"/>
            <w:tcBorders>
              <w:top w:val="single" w:sz="4" w:space="0" w:color="auto"/>
              <w:left w:val="nil"/>
              <w:bottom w:val="nil"/>
              <w:right w:val="nil"/>
            </w:tcBorders>
            <w:noWrap/>
            <w:vAlign w:val="center"/>
            <w:hideMark/>
          </w:tcPr>
          <w:p w14:paraId="7FA1E5C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16.84</w:t>
            </w:r>
          </w:p>
        </w:tc>
      </w:tr>
      <w:tr w:rsidR="00B26805" w:rsidRPr="00D3093B" w14:paraId="137BB225"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0B8CA5F2" w14:textId="77777777" w:rsidR="00B26805" w:rsidRPr="00D3093B" w:rsidRDefault="00B26805" w:rsidP="0003283A">
            <w:pPr>
              <w:rPr>
                <w:rFonts w:ascii="Arial" w:hAnsi="Arial" w:cs="Arial"/>
                <w:color w:val="000000"/>
                <w:sz w:val="18"/>
                <w:szCs w:val="18"/>
                <w:lang w:eastAsia="en-IN"/>
              </w:rPr>
            </w:pPr>
          </w:p>
        </w:tc>
        <w:tc>
          <w:tcPr>
            <w:tcW w:w="807" w:type="dxa"/>
            <w:vMerge/>
            <w:tcBorders>
              <w:top w:val="nil"/>
              <w:left w:val="single" w:sz="4" w:space="0" w:color="auto"/>
              <w:bottom w:val="nil"/>
              <w:right w:val="nil"/>
            </w:tcBorders>
            <w:vAlign w:val="center"/>
            <w:hideMark/>
          </w:tcPr>
          <w:p w14:paraId="2DC6E16D" w14:textId="77777777" w:rsidR="00B26805" w:rsidRPr="004C2757" w:rsidRDefault="00B26805" w:rsidP="0003283A">
            <w:pPr>
              <w:rPr>
                <w:rFonts w:ascii="Arial" w:hAnsi="Arial" w:cs="Arial"/>
                <w:color w:val="000000"/>
                <w:lang w:eastAsia="en-IN"/>
              </w:rPr>
            </w:pPr>
          </w:p>
        </w:tc>
        <w:tc>
          <w:tcPr>
            <w:tcW w:w="927" w:type="dxa"/>
            <w:tcBorders>
              <w:top w:val="nil"/>
              <w:left w:val="nil"/>
              <w:bottom w:val="nil"/>
              <w:right w:val="nil"/>
            </w:tcBorders>
            <w:noWrap/>
            <w:vAlign w:val="center"/>
            <w:hideMark/>
          </w:tcPr>
          <w:p w14:paraId="41C2CD8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69539BB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2.08</w:t>
            </w:r>
          </w:p>
        </w:tc>
        <w:tc>
          <w:tcPr>
            <w:tcW w:w="840" w:type="dxa"/>
            <w:tcBorders>
              <w:top w:val="nil"/>
              <w:left w:val="nil"/>
              <w:bottom w:val="nil"/>
              <w:right w:val="nil"/>
            </w:tcBorders>
            <w:noWrap/>
            <w:vAlign w:val="center"/>
            <w:hideMark/>
          </w:tcPr>
          <w:p w14:paraId="478940E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1.19</w:t>
            </w:r>
          </w:p>
        </w:tc>
        <w:tc>
          <w:tcPr>
            <w:tcW w:w="840" w:type="dxa"/>
            <w:tcBorders>
              <w:top w:val="nil"/>
              <w:left w:val="nil"/>
              <w:bottom w:val="nil"/>
              <w:right w:val="nil"/>
            </w:tcBorders>
            <w:noWrap/>
            <w:vAlign w:val="center"/>
            <w:hideMark/>
          </w:tcPr>
          <w:p w14:paraId="778AAE3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4.26</w:t>
            </w:r>
          </w:p>
        </w:tc>
        <w:tc>
          <w:tcPr>
            <w:tcW w:w="840" w:type="dxa"/>
            <w:tcBorders>
              <w:top w:val="nil"/>
              <w:left w:val="nil"/>
              <w:bottom w:val="nil"/>
              <w:right w:val="nil"/>
            </w:tcBorders>
            <w:noWrap/>
            <w:vAlign w:val="center"/>
            <w:hideMark/>
          </w:tcPr>
          <w:p w14:paraId="1E4A297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0.30</w:t>
            </w:r>
          </w:p>
        </w:tc>
        <w:tc>
          <w:tcPr>
            <w:tcW w:w="840" w:type="dxa"/>
            <w:tcBorders>
              <w:top w:val="nil"/>
              <w:left w:val="nil"/>
              <w:bottom w:val="nil"/>
              <w:right w:val="nil"/>
            </w:tcBorders>
            <w:noWrap/>
            <w:vAlign w:val="center"/>
            <w:hideMark/>
          </w:tcPr>
          <w:p w14:paraId="1E2621D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3.01</w:t>
            </w:r>
          </w:p>
        </w:tc>
        <w:tc>
          <w:tcPr>
            <w:tcW w:w="1014" w:type="dxa"/>
            <w:tcBorders>
              <w:top w:val="nil"/>
              <w:left w:val="nil"/>
              <w:bottom w:val="nil"/>
              <w:right w:val="nil"/>
            </w:tcBorders>
            <w:noWrap/>
            <w:vAlign w:val="center"/>
            <w:hideMark/>
          </w:tcPr>
          <w:p w14:paraId="37ECD387"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15.55</w:t>
            </w:r>
          </w:p>
        </w:tc>
      </w:tr>
      <w:tr w:rsidR="00B26805" w:rsidRPr="00D3093B" w14:paraId="01D7ADBD"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0B6DEF97" w14:textId="77777777" w:rsidR="00B26805" w:rsidRPr="00D3093B" w:rsidRDefault="00B26805" w:rsidP="0003283A">
            <w:pPr>
              <w:rPr>
                <w:rFonts w:ascii="Arial" w:hAnsi="Arial" w:cs="Arial"/>
                <w:color w:val="000000"/>
                <w:sz w:val="18"/>
                <w:szCs w:val="18"/>
                <w:lang w:eastAsia="en-IN"/>
              </w:rPr>
            </w:pPr>
          </w:p>
        </w:tc>
        <w:tc>
          <w:tcPr>
            <w:tcW w:w="807" w:type="dxa"/>
            <w:vMerge w:val="restart"/>
            <w:tcBorders>
              <w:top w:val="nil"/>
              <w:left w:val="single" w:sz="4" w:space="0" w:color="auto"/>
              <w:bottom w:val="nil"/>
              <w:right w:val="nil"/>
            </w:tcBorders>
            <w:vAlign w:val="center"/>
            <w:hideMark/>
          </w:tcPr>
          <w:p w14:paraId="138D258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BCF</w:t>
            </w:r>
            <w:r w:rsidRPr="004C2757">
              <w:rPr>
                <w:rFonts w:ascii="Arial" w:hAnsi="Arial" w:cs="Arial"/>
                <w:color w:val="000000"/>
                <w:vertAlign w:val="subscript"/>
                <w:lang w:eastAsia="en-IN"/>
              </w:rPr>
              <w:t>leaf</w:t>
            </w:r>
          </w:p>
        </w:tc>
        <w:tc>
          <w:tcPr>
            <w:tcW w:w="927" w:type="dxa"/>
            <w:tcBorders>
              <w:top w:val="nil"/>
              <w:left w:val="nil"/>
              <w:bottom w:val="nil"/>
              <w:right w:val="nil"/>
            </w:tcBorders>
            <w:noWrap/>
            <w:vAlign w:val="center"/>
            <w:hideMark/>
          </w:tcPr>
          <w:p w14:paraId="28E5BCA8"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1083423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1.39</w:t>
            </w:r>
          </w:p>
        </w:tc>
        <w:tc>
          <w:tcPr>
            <w:tcW w:w="840" w:type="dxa"/>
            <w:tcBorders>
              <w:top w:val="nil"/>
              <w:left w:val="nil"/>
              <w:bottom w:val="nil"/>
              <w:right w:val="nil"/>
            </w:tcBorders>
            <w:noWrap/>
            <w:vAlign w:val="center"/>
            <w:hideMark/>
          </w:tcPr>
          <w:p w14:paraId="1690E36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0.56</w:t>
            </w:r>
          </w:p>
        </w:tc>
        <w:tc>
          <w:tcPr>
            <w:tcW w:w="840" w:type="dxa"/>
            <w:tcBorders>
              <w:top w:val="nil"/>
              <w:left w:val="nil"/>
              <w:bottom w:val="nil"/>
              <w:right w:val="nil"/>
            </w:tcBorders>
            <w:noWrap/>
            <w:vAlign w:val="center"/>
            <w:hideMark/>
          </w:tcPr>
          <w:p w14:paraId="4F706D3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0.77</w:t>
            </w:r>
          </w:p>
        </w:tc>
        <w:tc>
          <w:tcPr>
            <w:tcW w:w="840" w:type="dxa"/>
            <w:tcBorders>
              <w:top w:val="nil"/>
              <w:left w:val="nil"/>
              <w:bottom w:val="nil"/>
              <w:right w:val="nil"/>
            </w:tcBorders>
            <w:noWrap/>
            <w:vAlign w:val="center"/>
            <w:hideMark/>
          </w:tcPr>
          <w:p w14:paraId="271B84F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0.05</w:t>
            </w:r>
          </w:p>
        </w:tc>
        <w:tc>
          <w:tcPr>
            <w:tcW w:w="840" w:type="dxa"/>
            <w:tcBorders>
              <w:top w:val="nil"/>
              <w:left w:val="nil"/>
              <w:bottom w:val="nil"/>
              <w:right w:val="nil"/>
            </w:tcBorders>
            <w:noWrap/>
            <w:vAlign w:val="center"/>
            <w:hideMark/>
          </w:tcPr>
          <w:p w14:paraId="65C7EBD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0.02</w:t>
            </w:r>
          </w:p>
        </w:tc>
        <w:tc>
          <w:tcPr>
            <w:tcW w:w="1014" w:type="dxa"/>
            <w:tcBorders>
              <w:top w:val="nil"/>
              <w:left w:val="nil"/>
              <w:bottom w:val="nil"/>
              <w:right w:val="nil"/>
            </w:tcBorders>
            <w:noWrap/>
            <w:vAlign w:val="center"/>
            <w:hideMark/>
          </w:tcPr>
          <w:p w14:paraId="41AF6C3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9.92</w:t>
            </w:r>
          </w:p>
        </w:tc>
      </w:tr>
      <w:tr w:rsidR="00B26805" w:rsidRPr="00D3093B" w14:paraId="411FF5EA"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4A30D5C5" w14:textId="77777777" w:rsidR="00B26805" w:rsidRPr="00D3093B" w:rsidRDefault="00B26805" w:rsidP="0003283A">
            <w:pPr>
              <w:rPr>
                <w:rFonts w:ascii="Arial" w:hAnsi="Arial" w:cs="Arial"/>
                <w:color w:val="000000"/>
                <w:sz w:val="18"/>
                <w:szCs w:val="18"/>
                <w:lang w:eastAsia="en-IN"/>
              </w:rPr>
            </w:pPr>
          </w:p>
        </w:tc>
        <w:tc>
          <w:tcPr>
            <w:tcW w:w="807" w:type="dxa"/>
            <w:vMerge/>
            <w:tcBorders>
              <w:top w:val="nil"/>
              <w:left w:val="single" w:sz="4" w:space="0" w:color="auto"/>
              <w:bottom w:val="nil"/>
              <w:right w:val="nil"/>
            </w:tcBorders>
            <w:vAlign w:val="center"/>
            <w:hideMark/>
          </w:tcPr>
          <w:p w14:paraId="4E85C38E" w14:textId="77777777" w:rsidR="00B26805" w:rsidRPr="004C2757" w:rsidRDefault="00B26805" w:rsidP="0003283A">
            <w:pPr>
              <w:rPr>
                <w:rFonts w:ascii="Arial" w:hAnsi="Arial" w:cs="Arial"/>
                <w:color w:val="000000"/>
                <w:lang w:eastAsia="en-IN"/>
              </w:rPr>
            </w:pPr>
          </w:p>
        </w:tc>
        <w:tc>
          <w:tcPr>
            <w:tcW w:w="927" w:type="dxa"/>
            <w:tcBorders>
              <w:top w:val="nil"/>
              <w:left w:val="nil"/>
              <w:bottom w:val="nil"/>
              <w:right w:val="nil"/>
            </w:tcBorders>
            <w:noWrap/>
            <w:vAlign w:val="center"/>
            <w:hideMark/>
          </w:tcPr>
          <w:p w14:paraId="7CABF90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nil"/>
              <w:right w:val="nil"/>
            </w:tcBorders>
            <w:noWrap/>
            <w:vAlign w:val="center"/>
            <w:hideMark/>
          </w:tcPr>
          <w:p w14:paraId="6C7D3E3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2.66</w:t>
            </w:r>
          </w:p>
        </w:tc>
        <w:tc>
          <w:tcPr>
            <w:tcW w:w="840" w:type="dxa"/>
            <w:tcBorders>
              <w:top w:val="nil"/>
              <w:left w:val="nil"/>
              <w:bottom w:val="nil"/>
              <w:right w:val="nil"/>
            </w:tcBorders>
            <w:noWrap/>
            <w:vAlign w:val="center"/>
            <w:hideMark/>
          </w:tcPr>
          <w:p w14:paraId="1BC962B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1.83</w:t>
            </w:r>
          </w:p>
        </w:tc>
        <w:tc>
          <w:tcPr>
            <w:tcW w:w="840" w:type="dxa"/>
            <w:tcBorders>
              <w:top w:val="nil"/>
              <w:left w:val="nil"/>
              <w:bottom w:val="nil"/>
              <w:right w:val="nil"/>
            </w:tcBorders>
            <w:noWrap/>
            <w:vAlign w:val="center"/>
            <w:hideMark/>
          </w:tcPr>
          <w:p w14:paraId="17DD7F2C"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1.02</w:t>
            </w:r>
          </w:p>
        </w:tc>
        <w:tc>
          <w:tcPr>
            <w:tcW w:w="840" w:type="dxa"/>
            <w:tcBorders>
              <w:top w:val="nil"/>
              <w:left w:val="nil"/>
              <w:bottom w:val="nil"/>
              <w:right w:val="nil"/>
            </w:tcBorders>
            <w:noWrap/>
            <w:vAlign w:val="center"/>
            <w:hideMark/>
          </w:tcPr>
          <w:p w14:paraId="2764694B"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0.18</w:t>
            </w:r>
          </w:p>
        </w:tc>
        <w:tc>
          <w:tcPr>
            <w:tcW w:w="840" w:type="dxa"/>
            <w:tcBorders>
              <w:top w:val="nil"/>
              <w:left w:val="nil"/>
              <w:bottom w:val="nil"/>
              <w:right w:val="nil"/>
            </w:tcBorders>
            <w:noWrap/>
            <w:vAlign w:val="center"/>
            <w:hideMark/>
          </w:tcPr>
          <w:p w14:paraId="52281F76"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0.06</w:t>
            </w:r>
          </w:p>
        </w:tc>
        <w:tc>
          <w:tcPr>
            <w:tcW w:w="1014" w:type="dxa"/>
            <w:tcBorders>
              <w:top w:val="nil"/>
              <w:left w:val="nil"/>
              <w:bottom w:val="nil"/>
              <w:right w:val="nil"/>
            </w:tcBorders>
            <w:noWrap/>
            <w:vAlign w:val="center"/>
            <w:hideMark/>
          </w:tcPr>
          <w:p w14:paraId="684BDB10"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5.27</w:t>
            </w:r>
          </w:p>
        </w:tc>
      </w:tr>
      <w:tr w:rsidR="00B26805" w:rsidRPr="00D3093B" w14:paraId="359D0857"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0229EA94" w14:textId="77777777" w:rsidR="00B26805" w:rsidRPr="00D3093B" w:rsidRDefault="00B26805" w:rsidP="0003283A">
            <w:pPr>
              <w:rPr>
                <w:rFonts w:ascii="Arial" w:hAnsi="Arial" w:cs="Arial"/>
                <w:color w:val="000000"/>
                <w:sz w:val="18"/>
                <w:szCs w:val="18"/>
                <w:lang w:eastAsia="en-IN"/>
              </w:rPr>
            </w:pPr>
          </w:p>
        </w:tc>
        <w:tc>
          <w:tcPr>
            <w:tcW w:w="807" w:type="dxa"/>
            <w:vMerge w:val="restart"/>
            <w:tcBorders>
              <w:top w:val="nil"/>
              <w:left w:val="single" w:sz="4" w:space="0" w:color="auto"/>
              <w:bottom w:val="nil"/>
              <w:right w:val="nil"/>
            </w:tcBorders>
            <w:vAlign w:val="center"/>
            <w:hideMark/>
          </w:tcPr>
          <w:p w14:paraId="1D18D7B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Tfl</w:t>
            </w:r>
            <w:r w:rsidRPr="004C2757">
              <w:rPr>
                <w:rFonts w:ascii="Arial" w:hAnsi="Arial" w:cs="Arial"/>
                <w:color w:val="000000"/>
                <w:vertAlign w:val="subscript"/>
                <w:lang w:eastAsia="en-IN"/>
              </w:rPr>
              <w:t>eaf</w:t>
            </w:r>
          </w:p>
        </w:tc>
        <w:tc>
          <w:tcPr>
            <w:tcW w:w="927" w:type="dxa"/>
            <w:tcBorders>
              <w:top w:val="nil"/>
              <w:left w:val="nil"/>
              <w:bottom w:val="nil"/>
              <w:right w:val="nil"/>
            </w:tcBorders>
            <w:noWrap/>
            <w:vAlign w:val="center"/>
            <w:hideMark/>
          </w:tcPr>
          <w:p w14:paraId="5D17E71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Control</w:t>
            </w:r>
          </w:p>
        </w:tc>
        <w:tc>
          <w:tcPr>
            <w:tcW w:w="840" w:type="dxa"/>
            <w:tcBorders>
              <w:top w:val="nil"/>
              <w:left w:val="nil"/>
              <w:bottom w:val="nil"/>
              <w:right w:val="nil"/>
            </w:tcBorders>
            <w:noWrap/>
            <w:vAlign w:val="center"/>
            <w:hideMark/>
          </w:tcPr>
          <w:p w14:paraId="790A226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0.66</w:t>
            </w:r>
          </w:p>
        </w:tc>
        <w:tc>
          <w:tcPr>
            <w:tcW w:w="840" w:type="dxa"/>
            <w:tcBorders>
              <w:top w:val="nil"/>
              <w:left w:val="nil"/>
              <w:bottom w:val="nil"/>
              <w:right w:val="nil"/>
            </w:tcBorders>
            <w:noWrap/>
            <w:vAlign w:val="center"/>
            <w:hideMark/>
          </w:tcPr>
          <w:p w14:paraId="14D654E3"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0.98</w:t>
            </w:r>
          </w:p>
        </w:tc>
        <w:tc>
          <w:tcPr>
            <w:tcW w:w="840" w:type="dxa"/>
            <w:tcBorders>
              <w:top w:val="nil"/>
              <w:left w:val="nil"/>
              <w:bottom w:val="nil"/>
              <w:right w:val="nil"/>
            </w:tcBorders>
            <w:noWrap/>
            <w:vAlign w:val="center"/>
            <w:hideMark/>
          </w:tcPr>
          <w:p w14:paraId="7D8333F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0.31</w:t>
            </w:r>
          </w:p>
        </w:tc>
        <w:tc>
          <w:tcPr>
            <w:tcW w:w="840" w:type="dxa"/>
            <w:tcBorders>
              <w:top w:val="nil"/>
              <w:left w:val="nil"/>
              <w:bottom w:val="nil"/>
              <w:right w:val="nil"/>
            </w:tcBorders>
            <w:noWrap/>
            <w:vAlign w:val="center"/>
            <w:hideMark/>
          </w:tcPr>
          <w:p w14:paraId="2D6EABEF"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0.06</w:t>
            </w:r>
          </w:p>
        </w:tc>
        <w:tc>
          <w:tcPr>
            <w:tcW w:w="840" w:type="dxa"/>
            <w:tcBorders>
              <w:top w:val="nil"/>
              <w:left w:val="nil"/>
              <w:bottom w:val="nil"/>
              <w:right w:val="nil"/>
            </w:tcBorders>
            <w:noWrap/>
            <w:vAlign w:val="center"/>
            <w:hideMark/>
          </w:tcPr>
          <w:p w14:paraId="09C6B1B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0.04</w:t>
            </w:r>
          </w:p>
        </w:tc>
        <w:tc>
          <w:tcPr>
            <w:tcW w:w="1014" w:type="dxa"/>
            <w:tcBorders>
              <w:top w:val="nil"/>
              <w:left w:val="nil"/>
              <w:bottom w:val="nil"/>
              <w:right w:val="nil"/>
            </w:tcBorders>
            <w:noWrap/>
            <w:vAlign w:val="center"/>
            <w:hideMark/>
          </w:tcPr>
          <w:p w14:paraId="269B79D1"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0.59</w:t>
            </w:r>
          </w:p>
        </w:tc>
      </w:tr>
      <w:tr w:rsidR="00B26805" w:rsidRPr="00D3093B" w14:paraId="252F4F19" w14:textId="77777777" w:rsidTr="0003283A">
        <w:trPr>
          <w:trHeight w:val="290"/>
          <w:jc w:val="center"/>
        </w:trPr>
        <w:tc>
          <w:tcPr>
            <w:tcW w:w="565" w:type="dxa"/>
            <w:vMerge/>
            <w:tcBorders>
              <w:top w:val="nil"/>
              <w:left w:val="nil"/>
              <w:bottom w:val="single" w:sz="4" w:space="0" w:color="auto"/>
              <w:right w:val="single" w:sz="4" w:space="0" w:color="auto"/>
            </w:tcBorders>
            <w:vAlign w:val="center"/>
            <w:hideMark/>
          </w:tcPr>
          <w:p w14:paraId="6455BB09" w14:textId="77777777" w:rsidR="00B26805" w:rsidRPr="00D3093B" w:rsidRDefault="00B26805" w:rsidP="0003283A">
            <w:pPr>
              <w:rPr>
                <w:rFonts w:ascii="Arial" w:hAnsi="Arial" w:cs="Arial"/>
                <w:color w:val="000000"/>
                <w:sz w:val="18"/>
                <w:szCs w:val="18"/>
                <w:lang w:eastAsia="en-IN"/>
              </w:rPr>
            </w:pPr>
          </w:p>
        </w:tc>
        <w:tc>
          <w:tcPr>
            <w:tcW w:w="807" w:type="dxa"/>
            <w:vMerge/>
            <w:tcBorders>
              <w:top w:val="nil"/>
              <w:left w:val="single" w:sz="4" w:space="0" w:color="auto"/>
              <w:bottom w:val="single" w:sz="4" w:space="0" w:color="auto"/>
              <w:right w:val="nil"/>
            </w:tcBorders>
            <w:vAlign w:val="center"/>
            <w:hideMark/>
          </w:tcPr>
          <w:p w14:paraId="47F52268" w14:textId="77777777" w:rsidR="00B26805" w:rsidRPr="004C2757" w:rsidRDefault="00B26805" w:rsidP="0003283A">
            <w:pPr>
              <w:rPr>
                <w:rFonts w:ascii="Arial" w:hAnsi="Arial" w:cs="Arial"/>
                <w:color w:val="000000"/>
                <w:lang w:eastAsia="en-IN"/>
              </w:rPr>
            </w:pPr>
          </w:p>
        </w:tc>
        <w:tc>
          <w:tcPr>
            <w:tcW w:w="927" w:type="dxa"/>
            <w:tcBorders>
              <w:top w:val="nil"/>
              <w:left w:val="nil"/>
              <w:bottom w:val="single" w:sz="4" w:space="0" w:color="auto"/>
              <w:right w:val="nil"/>
            </w:tcBorders>
            <w:noWrap/>
            <w:vAlign w:val="center"/>
            <w:hideMark/>
          </w:tcPr>
          <w:p w14:paraId="2235DD54"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Amended</w:t>
            </w:r>
          </w:p>
        </w:tc>
        <w:tc>
          <w:tcPr>
            <w:tcW w:w="840" w:type="dxa"/>
            <w:tcBorders>
              <w:top w:val="nil"/>
              <w:left w:val="nil"/>
              <w:bottom w:val="single" w:sz="4" w:space="0" w:color="auto"/>
              <w:right w:val="nil"/>
            </w:tcBorders>
            <w:noWrap/>
            <w:vAlign w:val="center"/>
            <w:hideMark/>
          </w:tcPr>
          <w:p w14:paraId="0778A86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0.18</w:t>
            </w:r>
          </w:p>
        </w:tc>
        <w:tc>
          <w:tcPr>
            <w:tcW w:w="840" w:type="dxa"/>
            <w:tcBorders>
              <w:top w:val="nil"/>
              <w:left w:val="nil"/>
              <w:bottom w:val="single" w:sz="4" w:space="0" w:color="auto"/>
              <w:right w:val="nil"/>
            </w:tcBorders>
            <w:noWrap/>
            <w:vAlign w:val="center"/>
            <w:hideMark/>
          </w:tcPr>
          <w:p w14:paraId="3AE206F5"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0.54</w:t>
            </w:r>
          </w:p>
        </w:tc>
        <w:tc>
          <w:tcPr>
            <w:tcW w:w="840" w:type="dxa"/>
            <w:tcBorders>
              <w:top w:val="nil"/>
              <w:left w:val="nil"/>
              <w:bottom w:val="single" w:sz="4" w:space="0" w:color="auto"/>
              <w:right w:val="nil"/>
            </w:tcBorders>
            <w:noWrap/>
            <w:vAlign w:val="center"/>
            <w:hideMark/>
          </w:tcPr>
          <w:p w14:paraId="0C31C90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0.39</w:t>
            </w:r>
          </w:p>
        </w:tc>
        <w:tc>
          <w:tcPr>
            <w:tcW w:w="840" w:type="dxa"/>
            <w:tcBorders>
              <w:top w:val="nil"/>
              <w:left w:val="nil"/>
              <w:bottom w:val="single" w:sz="4" w:space="0" w:color="auto"/>
              <w:right w:val="nil"/>
            </w:tcBorders>
            <w:noWrap/>
            <w:vAlign w:val="center"/>
            <w:hideMark/>
          </w:tcPr>
          <w:p w14:paraId="6CFA248D"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0.38</w:t>
            </w:r>
          </w:p>
        </w:tc>
        <w:tc>
          <w:tcPr>
            <w:tcW w:w="840" w:type="dxa"/>
            <w:tcBorders>
              <w:top w:val="nil"/>
              <w:left w:val="nil"/>
              <w:bottom w:val="single" w:sz="4" w:space="0" w:color="auto"/>
              <w:right w:val="nil"/>
            </w:tcBorders>
            <w:noWrap/>
            <w:vAlign w:val="center"/>
            <w:hideMark/>
          </w:tcPr>
          <w:p w14:paraId="53591D9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0.55</w:t>
            </w:r>
          </w:p>
        </w:tc>
        <w:tc>
          <w:tcPr>
            <w:tcW w:w="1014" w:type="dxa"/>
            <w:tcBorders>
              <w:top w:val="nil"/>
              <w:left w:val="nil"/>
              <w:bottom w:val="single" w:sz="4" w:space="0" w:color="auto"/>
              <w:right w:val="nil"/>
            </w:tcBorders>
            <w:noWrap/>
            <w:vAlign w:val="center"/>
            <w:hideMark/>
          </w:tcPr>
          <w:p w14:paraId="1CD15179" w14:textId="77777777" w:rsidR="00B26805" w:rsidRPr="004C2757" w:rsidRDefault="00B26805" w:rsidP="0003283A">
            <w:pPr>
              <w:jc w:val="center"/>
              <w:rPr>
                <w:rFonts w:ascii="Arial" w:hAnsi="Arial" w:cs="Arial"/>
                <w:color w:val="000000"/>
                <w:lang w:eastAsia="en-IN"/>
              </w:rPr>
            </w:pPr>
            <w:r w:rsidRPr="004C2757">
              <w:rPr>
                <w:rFonts w:ascii="Arial" w:hAnsi="Arial" w:cs="Arial"/>
                <w:color w:val="000000"/>
                <w:lang w:eastAsia="en-IN"/>
              </w:rPr>
              <w:t>2.49</w:t>
            </w:r>
          </w:p>
        </w:tc>
      </w:tr>
    </w:tbl>
    <w:p w14:paraId="22FA3824" w14:textId="77777777" w:rsidR="00B26805" w:rsidRPr="00D3093B" w:rsidRDefault="00B26805" w:rsidP="00B26805">
      <w:pPr>
        <w:tabs>
          <w:tab w:val="num" w:pos="720"/>
        </w:tabs>
        <w:jc w:val="both"/>
        <w:rPr>
          <w:rFonts w:ascii="Arial" w:hAnsi="Arial" w:cs="Arial"/>
          <w:sz w:val="24"/>
          <w:szCs w:val="24"/>
        </w:rPr>
      </w:pPr>
    </w:p>
    <w:p w14:paraId="7448908C" w14:textId="77777777" w:rsidR="00B26805" w:rsidRPr="004C2757" w:rsidRDefault="00B26805" w:rsidP="00B26805">
      <w:pPr>
        <w:tabs>
          <w:tab w:val="num" w:pos="720"/>
        </w:tabs>
        <w:jc w:val="both"/>
        <w:rPr>
          <w:rFonts w:ascii="Arial" w:hAnsi="Arial" w:cs="Arial"/>
        </w:rPr>
      </w:pPr>
      <w:r w:rsidRPr="004C2757">
        <w:rPr>
          <w:rFonts w:ascii="Arial" w:hAnsi="Arial" w:cs="Arial"/>
        </w:rPr>
        <w:t>In ragi, the BCF</w:t>
      </w:r>
      <w:r w:rsidRPr="004C2757">
        <w:rPr>
          <w:rFonts w:ascii="Arial" w:hAnsi="Arial" w:cs="Arial"/>
          <w:vertAlign w:val="subscript"/>
        </w:rPr>
        <w:t>root</w:t>
      </w:r>
      <w:r w:rsidRPr="004C2757">
        <w:rPr>
          <w:rFonts w:ascii="Arial" w:hAnsi="Arial" w:cs="Arial"/>
        </w:rPr>
        <w:t xml:space="preserve"> values were markedly higher in control fields for most metals, particularly Cr, Ni, and Zn, compared to leachate-amended fields. This suggests that conventional soils may have higher bioavailable fractions of certain metals, potentially due to long-term fertilizer or manure inputs contributing to metal accumulation and mobility </w:t>
      </w:r>
      <w:r w:rsidRPr="004C2757">
        <w:rPr>
          <w:rFonts w:ascii="Arial" w:hAnsi="Arial" w:cs="Arial"/>
        </w:rPr>
        <w:fldChar w:fldCharType="begin" w:fldLock="1"/>
      </w:r>
      <w:r w:rsidRPr="004C2757">
        <w:rPr>
          <w:rFonts w:ascii="Arial" w:hAnsi="Arial" w:cs="Arial"/>
        </w:rPr>
        <w:instrText>ADDIN CSL_CITATION {"citationItems":[{"id":"ITEM-1","itemData":{"DOI":"10.1016/B978-0-12-824315-2.00658-8","ISBN":"9780128243152","author":[{"dropping-particle":"","family":"Alloway","given":"Brian J.","non-dropping-particle":"","parse-names":false,"suffix":""}],"container-title":"Encyclopedia of Toxicology, Fourth Edition: Volume 1-9","edition":"3rd","editor":[{"dropping-particle":"","family":"Alloway","given":"Brian J.","non-dropping-particle":"","parse-names":false,"suffix":""}],"id":"ITEM-1","issued":{"date-parts":[["2013"]]},"number-of-pages":"V9-681-V9-684","publisher":"Blackie Academic &amp; Professional, an imprint of Chapman &amp; Hall","title":"Heavy Metals in Soils Trace Metals and Metalloids in Soils and their Bioavailability","type":"book","volume":"9"},"uris":["http://www.mendeley.com/documents/?uuid=71d176ed-67f9-4b0b-aab8-9e838c9b387d"]}],"mendeley":{"formattedCitation":"(Alloway, 2013)","plainTextFormattedCitation":"(Alloway, 2013)","previouslyFormattedCitation":"(Alloway, 2013)"},"properties":{"noteIndex":0},"schema":"https://github.com/citation-style-language/schema/raw/master/csl-citation.json"}</w:instrText>
      </w:r>
      <w:r w:rsidRPr="004C2757">
        <w:rPr>
          <w:rFonts w:ascii="Arial" w:hAnsi="Arial" w:cs="Arial"/>
        </w:rPr>
        <w:fldChar w:fldCharType="separate"/>
      </w:r>
      <w:r w:rsidRPr="004C2757">
        <w:rPr>
          <w:rFonts w:ascii="Arial" w:hAnsi="Arial" w:cs="Arial"/>
          <w:noProof/>
        </w:rPr>
        <w:t>(Alloway, 2013)</w:t>
      </w:r>
      <w:r w:rsidRPr="004C2757">
        <w:rPr>
          <w:rFonts w:ascii="Arial" w:hAnsi="Arial" w:cs="Arial"/>
        </w:rPr>
        <w:fldChar w:fldCharType="end"/>
      </w:r>
      <w:r w:rsidRPr="004C2757">
        <w:rPr>
          <w:rFonts w:ascii="Arial" w:hAnsi="Arial" w:cs="Arial"/>
        </w:rPr>
        <w:t>. In contrast, the lower BCF</w:t>
      </w:r>
      <w:r w:rsidRPr="004C2757">
        <w:rPr>
          <w:rFonts w:ascii="Arial" w:hAnsi="Arial" w:cs="Arial"/>
          <w:vertAlign w:val="subscript"/>
        </w:rPr>
        <w:t>root</w:t>
      </w:r>
      <w:r w:rsidRPr="004C2757">
        <w:rPr>
          <w:rFonts w:ascii="Arial" w:hAnsi="Arial" w:cs="Arial"/>
        </w:rPr>
        <w:t xml:space="preserve"> values in leachate-irrigated fields indicate that metal availability may be partially reduced, possibly due to complexation with dissolved organic matter or sorption onto organic constituents present in the leachate </w:t>
      </w:r>
      <w:r w:rsidRPr="004C2757">
        <w:rPr>
          <w:rFonts w:ascii="Arial" w:hAnsi="Arial" w:cs="Arial"/>
        </w:rPr>
        <w:fldChar w:fldCharType="begin" w:fldLock="1"/>
      </w:r>
      <w:r w:rsidRPr="004C2757">
        <w:rPr>
          <w:rFonts w:ascii="Arial" w:hAnsi="Arial" w:cs="Arial"/>
        </w:rPr>
        <w:instrText>ADDIN CSL_CITATION {"citationItems":[{"id":"ITEM-1","itemData":{"DOI":"10.1016/j.jhazmat.2013.12.018","ISSN":"18733336","PMID":"24394669","abstract":"Unlike organic contaminants, metal(loid)s do not undergo microbial or chemical degradation and persist for a long time after their introduction. Bioavailability of metal(loid)s plays a vital role in the remediation of contaminated soils. In this review, the remediation of heavy metal(loid) contaminated soils through manipulating their bioavailability using a range of soil amendments will be presented. Mobilizing amendments such as chelating and desorbing agents increase the bioavailability and mobility of metal(loid)s. Immobilizing amendments such of precipitating agents and sorbent materials decrease the bioavailabilty and mobility of metal(loid)s. Mobilizing agents can be used to enhance the removal of heavy metal(loid)s though plant uptake and soil washing. Immobilizing agents can be used to reduce the transfer to metal(loid)s to food chain via plant uptake and leaching to groundwater. One of the major limitations of mobilizing technique is susceptibility to leaching of the mobilized heavy metal(loid)s in the absence of active plant uptake. Similarly, in the case of the immobilization technique the long-term stability of the immobilized heavy metal(loid)s needs to be monitored. © 2013 Elsevier B.V.","author":[{"dropping-particle":"","family":"Bolan","given":"Nanthi","non-dropping-particle":"","parse-names":false,"suffix":""},{"dropping-particle":"","family":"Kunhikrishnan","given":"Anitha","non-dropping-particle":"","parse-names":false,"suffix":""},{"dropping-particle":"","family":"Thangarajan","given":"Ramya","non-dropping-particle":"","parse-names":false,"suffix":""},{"dropping-particle":"","family":"Kumpiene","given":"Jurate","non-dropping-particle":"","parse-names":false,"suffix":""},{"dropping-particle":"","family":"Park","given":"Jinhee","non-dropping-particle":"","parse-names":false,"suffix":""},{"dropping-particle":"","family":"Makino","given":"Tomoyuki","non-dropping-particle":"","parse-names":false,"suffix":""},{"dropping-particle":"","family":"Kirkham","given":"Mary Beth","non-dropping-particle":"","parse-names":false,"suffix":""},{"dropping-particle":"","family":"Scheckel","given":"Kirk","non-dropping-particle":"","parse-names":false,"suffix":""}],"container-title":"Journal of Hazardous Materials","id":"ITEM-1","issued":{"date-parts":[["2014","2","15"]]},"page":"141-166","publisher":"Elsevier","title":"Remediation of heavy metal(loid)s contaminated soils - To mobilize or to immobilize?","type":"article","volume":"266"},"uris":["http://www.mendeley.com/documents/?uuid=5207c4e9-cca9-31be-8c2c-0cd1911942cb"]}],"mendeley":{"formattedCitation":"(Bolan et al., 2014)","plainTextFormattedCitation":"(Bolan et al., 2014)","previouslyFormattedCitation":"(Bolan et al., 2014)"},"properties":{"noteIndex":0},"schema":"https://github.com/citation-style-language/schema/raw/master/csl-citation.json"}</w:instrText>
      </w:r>
      <w:r w:rsidRPr="004C2757">
        <w:rPr>
          <w:rFonts w:ascii="Arial" w:hAnsi="Arial" w:cs="Arial"/>
        </w:rPr>
        <w:fldChar w:fldCharType="separate"/>
      </w:r>
      <w:r w:rsidRPr="004C2757">
        <w:rPr>
          <w:rFonts w:ascii="Arial" w:hAnsi="Arial" w:cs="Arial"/>
          <w:noProof/>
        </w:rPr>
        <w:t>(Bolan et al., 2014)</w:t>
      </w:r>
      <w:r w:rsidRPr="004C2757">
        <w:rPr>
          <w:rFonts w:ascii="Arial" w:hAnsi="Arial" w:cs="Arial"/>
        </w:rPr>
        <w:fldChar w:fldCharType="end"/>
      </w:r>
      <w:r w:rsidRPr="004C2757">
        <w:rPr>
          <w:rFonts w:ascii="Arial" w:hAnsi="Arial" w:cs="Arial"/>
        </w:rPr>
        <w:t>. The BCF</w:t>
      </w:r>
      <w:r w:rsidRPr="004C2757">
        <w:rPr>
          <w:rFonts w:ascii="Arial" w:hAnsi="Arial" w:cs="Arial"/>
          <w:vertAlign w:val="subscript"/>
        </w:rPr>
        <w:t>leaf</w:t>
      </w:r>
      <w:r w:rsidRPr="004C2757">
        <w:rPr>
          <w:rFonts w:ascii="Arial" w:hAnsi="Arial" w:cs="Arial"/>
        </w:rPr>
        <w:t xml:space="preserve"> values followed a similar trend, with reduced accumulation in amended fields for Zn, Cu, and Ni, indicating restricted transfer to aerial parts. The consistently lower BCF</w:t>
      </w:r>
      <w:r w:rsidRPr="004C2757">
        <w:rPr>
          <w:rFonts w:ascii="Arial" w:hAnsi="Arial" w:cs="Arial"/>
          <w:vertAlign w:val="subscript"/>
        </w:rPr>
        <w:t xml:space="preserve">leaf </w:t>
      </w:r>
      <w:r w:rsidRPr="004C2757">
        <w:rPr>
          <w:rFonts w:ascii="Arial" w:hAnsi="Arial" w:cs="Arial"/>
        </w:rPr>
        <w:t>relative to BCF</w:t>
      </w:r>
      <w:r w:rsidRPr="004C2757">
        <w:rPr>
          <w:rFonts w:ascii="Arial" w:hAnsi="Arial" w:cs="Arial"/>
          <w:vertAlign w:val="subscript"/>
        </w:rPr>
        <w:t xml:space="preserve">root </w:t>
      </w:r>
      <w:r w:rsidRPr="004C2757">
        <w:rPr>
          <w:rFonts w:ascii="Arial" w:hAnsi="Arial" w:cs="Arial"/>
        </w:rPr>
        <w:t>confirms that roots serve as the primary accumulation sites, limiting metal movement to shoots. The TFleaf values in ragi were consistently &lt;1 under both field conditions, indicating limited translocation. Moreover, slightly lower TF values in leachate-irrigated fields suggest that metal mobility within the plant is further restricted under leachate irrigation. Overall, ragi exhibits a metal exclusion behavior, with reduced uptake and translocation in leachate-irrigated systems, indicating a relatively safer profile for cultivation under such conditions.</w:t>
      </w:r>
    </w:p>
    <w:p w14:paraId="1EDE320A" w14:textId="77777777" w:rsidR="00B26805" w:rsidRPr="004C2757" w:rsidRDefault="00B26805" w:rsidP="00B26805">
      <w:pPr>
        <w:tabs>
          <w:tab w:val="num" w:pos="720"/>
        </w:tabs>
        <w:jc w:val="both"/>
        <w:rPr>
          <w:rFonts w:ascii="Arial" w:hAnsi="Arial" w:cs="Arial"/>
        </w:rPr>
      </w:pPr>
      <w:r w:rsidRPr="004C2757">
        <w:rPr>
          <w:rFonts w:ascii="Arial" w:hAnsi="Arial" w:cs="Arial"/>
        </w:rPr>
        <w:t> </w:t>
      </w:r>
    </w:p>
    <w:p w14:paraId="4D3261C1" w14:textId="77777777" w:rsidR="00B26805" w:rsidRPr="004C2757" w:rsidRDefault="00B26805" w:rsidP="00B26805">
      <w:pPr>
        <w:tabs>
          <w:tab w:val="num" w:pos="720"/>
        </w:tabs>
        <w:jc w:val="both"/>
        <w:rPr>
          <w:rFonts w:ascii="Arial" w:hAnsi="Arial" w:cs="Arial"/>
        </w:rPr>
      </w:pPr>
      <w:r w:rsidRPr="004C2757">
        <w:rPr>
          <w:rFonts w:ascii="Arial" w:hAnsi="Arial" w:cs="Arial"/>
        </w:rPr>
        <w:t>In maize, contrasting patterns were observed between conventional and leachate-irrigated fields. The BCF</w:t>
      </w:r>
      <w:r w:rsidRPr="004C2757">
        <w:rPr>
          <w:rFonts w:ascii="Arial" w:hAnsi="Arial" w:cs="Arial"/>
          <w:vertAlign w:val="subscript"/>
        </w:rPr>
        <w:t>root</w:t>
      </w:r>
      <w:r w:rsidRPr="004C2757">
        <w:rPr>
          <w:rFonts w:ascii="Arial" w:hAnsi="Arial" w:cs="Arial"/>
        </w:rPr>
        <w:t xml:space="preserve"> values decreased for Zn and Cu in amended fields, but increased sharply for Ni, Pb, and Cd. This suggests that leachate irrigation may enhance the mobility and availability of specific metals, likely through soluble organic complexes that facilitate metal transport in soil </w:t>
      </w:r>
      <w:r w:rsidRPr="004C2757">
        <w:rPr>
          <w:rFonts w:ascii="Arial" w:hAnsi="Arial" w:cs="Arial"/>
        </w:rPr>
        <w:fldChar w:fldCharType="begin" w:fldLock="1"/>
      </w:r>
      <w:r w:rsidRPr="004C2757">
        <w:rPr>
          <w:rFonts w:ascii="Arial" w:hAnsi="Arial" w:cs="Arial"/>
        </w:rPr>
        <w:instrText>ADDIN CSL_CITATION {"citationItems":[{"id":"ITEM-1","itemData":{"DOI":"10.1007/s11368-020-02744-7","ISBN":"1136802002","ISSN":"16147480","abstract":"Purpose: Heavy metal/metalloid pollution in sewage-irrigated soils (SIS) is one of the major environmental issues in China. Mobility of heavy metals/metalloids in the contaminated soils and their potential threats to groundwater are needed to be understood. This study investigated impacts of organic matter, solution pH, and water level on forms and migration of heavy metals/metalloids (As, Cr, Cu, Pb, and Cd) in the contaminated soils from a typical sewage-irrigated area in the North China Plain (NCP). Materials and methods: Based on extensive field measurements, two sewage-irrigated sites and a non-sewage-irrigated site were selected in the study area. Soil samples were collected every 10 cm in a profile (no more than 1 m) from each site. The release and mobility of heavy metals/metalloids in the SIS were investigated using column experiments with two leaching stages (stage I: low water level; stage II: high water level). Deionized water, synthesized acid rain, and poultry manure extractant were used as influents for different columns to stimulate leaching of rainfall, acid rain, and compost leachate, respectively. Soil samples before and after leaching were subjected to sequential extraction for 7 target phases, evaluating the impacts of three leaching conditions on forms of heavy metals/metalloids in soils at different depths. Results and discussion: Results revealed that more As and Cu were mobilized in the column with a compost leachate as the influent than the columns with organic matter-free influents, resulting from reductive dissolution, complexation, and desorption. Cr and Pb concentrations were higher in effluents from the column with low pH influent (acid rain) than those from near-neutral pH influents (rainfall and compost leachate). Proton-promoted desorption and dissolution of very amorphous Fe oxides was the major cause for mobilized Cr and Pb in porewater. Moreover, decrease in dissolved oxygen (DO) was observed with the increase in water level in the column, triggering microbial respiration of Fe/Mn oxide reductions in the presence of bioactive dissolved organic matter, which elevated concentrations of porewater heavy metals/metalloids. Conclusions: This study suggested that sewage irrigation significantly increased heavy metal/metalloid contents associated with labile and bioavailable fractions in the SIS, and both the compost leachate and low pH solution should enhance the mobility of heavy metals/metalloids in the SIS and potentiall…","author":[{"dropping-particle":"","family":"Wei","given":"Liang","non-dropping-particle":"","parse-names":false,"suffix":""},{"dropping-particle":"","family":"Ding","given":"Qian","non-dropping-particle":"","parse-names":false,"suffix":""},{"dropping-particle":"","family":"Guo","given":"Huaming","non-dropping-particle":"","parse-names":false,"suffix":""},{"dropping-particle":"","family":"Xiu","given":"Wei","non-dropping-particle":"","parse-names":false,"suffix":""},{"dropping-particle":"","family":"Guo","given":"Zhengcai","non-dropping-particle":"","parse-names":false,"suffix":""}],"container-title":"Journal of Soils and Sediments","id":"ITEM-1","issue":"1","issued":{"date-parts":[["2021"]]},"page":"215-234","publisher":"Journal of Soils and Sediments","title":"Forms and mobility of heavy metals/metalloids in sewage-irrigated soils in the North China Plain","type":"article-journal","volume":"21"},"uris":["http://www.mendeley.com/documents/?uuid=92b746d3-8e47-486c-ba24-e854600c1ddd"]}],"mendeley":{"formattedCitation":"(Wei et al., 2021)","plainTextFormattedCitation":"(Wei et al., 2021)","previouslyFormattedCitation":"(Wei et al., 2021)"},"properties":{"noteIndex":0},"schema":"https://github.com/citation-style-language/schema/raw/master/csl-citation.json"}</w:instrText>
      </w:r>
      <w:r w:rsidRPr="004C2757">
        <w:rPr>
          <w:rFonts w:ascii="Arial" w:hAnsi="Arial" w:cs="Arial"/>
        </w:rPr>
        <w:fldChar w:fldCharType="separate"/>
      </w:r>
      <w:r w:rsidRPr="004C2757">
        <w:rPr>
          <w:rFonts w:ascii="Arial" w:hAnsi="Arial" w:cs="Arial"/>
          <w:noProof/>
        </w:rPr>
        <w:t>(Wei et al., 2021)</w:t>
      </w:r>
      <w:r w:rsidRPr="004C2757">
        <w:rPr>
          <w:rFonts w:ascii="Arial" w:hAnsi="Arial" w:cs="Arial"/>
        </w:rPr>
        <w:fldChar w:fldCharType="end"/>
      </w:r>
      <w:r w:rsidRPr="004C2757">
        <w:rPr>
          <w:rFonts w:ascii="Arial" w:hAnsi="Arial" w:cs="Arial"/>
        </w:rPr>
        <w:t xml:space="preserve">. The extremely high negative Cr value (-881.2) likely </w:t>
      </w:r>
      <w:r w:rsidRPr="004C2757">
        <w:rPr>
          <w:rFonts w:ascii="Arial" w:hAnsi="Arial" w:cs="Arial"/>
        </w:rPr>
        <w:lastRenderedPageBreak/>
        <w:t>reflects analytical or normalization limitations and should be interpreted cautiously rather than as a true biological response. The BCF</w:t>
      </w:r>
      <w:r w:rsidRPr="004C2757">
        <w:rPr>
          <w:rFonts w:ascii="Arial" w:hAnsi="Arial" w:cs="Arial"/>
          <w:vertAlign w:val="subscript"/>
        </w:rPr>
        <w:t>leaf</w:t>
      </w:r>
      <w:r w:rsidRPr="004C2757">
        <w:rPr>
          <w:rFonts w:ascii="Arial" w:hAnsi="Arial" w:cs="Arial"/>
        </w:rPr>
        <w:t xml:space="preserve"> values showed selective accumulation, with Ni increasing significantly in leachate-irrigated fields, while Pb and Cd remained negligible or negative, indicating restricted accumulation in leaves. This highlights metal-specific uptake and internal regulation mechanisms in maize. The TF</w:t>
      </w:r>
      <w:r w:rsidRPr="004C2757">
        <w:rPr>
          <w:rFonts w:ascii="Arial" w:hAnsi="Arial" w:cs="Arial"/>
          <w:vertAlign w:val="subscript"/>
        </w:rPr>
        <w:t>leaf</w:t>
      </w:r>
      <w:r w:rsidRPr="004C2757">
        <w:rPr>
          <w:rFonts w:ascii="Arial" w:hAnsi="Arial" w:cs="Arial"/>
        </w:rPr>
        <w:t xml:space="preserve"> values increased in leachate-irrigated fields, particularly for Cu and Zn.  A TF value greater than 1 for Cu indicates efficient translocation to aerial parts, which may increase the likelihood of metal entry into the food chain </w:t>
      </w:r>
      <w:r w:rsidRPr="004C2757">
        <w:rPr>
          <w:rFonts w:ascii="Arial" w:hAnsi="Arial" w:cs="Arial"/>
        </w:rPr>
        <w:fldChar w:fldCharType="begin" w:fldLock="1"/>
      </w:r>
      <w:r w:rsidRPr="004C2757">
        <w:rPr>
          <w:rFonts w:ascii="Arial" w:hAnsi="Arial" w:cs="Arial"/>
        </w:rPr>
        <w:instrText>ADDIN CSL_CITATION {"citationItems":[{"id":"ITEM-1","itemData":{"DOI":"10.1016/j.chemosphere.2023.138215","ISSN":"0045-6535","author":[{"dropping-particle":"","family":"Liu","given":"Yang","non-dropping-particle":"","parse-names":false,"suffix":""},{"dropping-particle":"","family":"Zhang","given":"Ruicai","non-dropping-particle":"","parse-names":false,"suffix":""},{"dropping-particle":"","family":"Pan","given":"Bo","non-dropping-particle":"","parse-names":false,"suffix":""},{"dropping-particle":"","family":"Qiu","given":"Hao","non-dropping-particle":"","parse-names":false,"suffix":""},{"dropping-particle":"","family":"Wang","given":"Jing","non-dropping-particle":"","parse-names":false,"suffix":""},{"dropping-particle":"","family":"Zhang","given":"Junyuan","non-dropping-particle":"","parse-names":false,"suffix":""},{"dropping-particle":"","family":"Niu","given":"Xuekui","non-dropping-particle":"","parse-names":false,"suffix":""},{"dropping-particle":"","family":"He","given":"Liping","non-dropping-particle":"","parse-names":false,"suffix":""},{"dropping-particle":"","family":"Qian","given":"Wenmin","non-dropping-particle":"","parse-names":false,"suffix":""},{"dropping-particle":"","family":"Peijnenburg","given":"Willie J G M","non-dropping-particle":"","parse-names":false,"suffix":""}],"container-title":"Chemosphere","id":"ITEM-1","issued":{"date-parts":[["2023"]]},"page":"138215","publisher":"Elsevier Ltd","title":"Uptake of heavy metals by crops near a mining field : pathways from roots and leaves Version : License : Downloaded from : Publisher ' s Version Licensed under Article 25fa Copyright Act / Law ( Amendment Taverne ) Chemosphere Uptake of heavy metals by cr","type":"article-journal","volume":"322"},"uris":["http://www.mendeley.com/documents/?uuid=42f6b401-85fc-4cae-8433-9a76da59c917"]}],"mendeley":{"formattedCitation":"(Liu et al., 2023)","plainTextFormattedCitation":"(Liu et al., 2023)","previouslyFormattedCitation":"(Liu et al., 2023)"},"properties":{"noteIndex":0},"schema":"https://github.com/citation-style-language/schema/raw/master/csl-citation.json"}</w:instrText>
      </w:r>
      <w:r w:rsidRPr="004C2757">
        <w:rPr>
          <w:rFonts w:ascii="Arial" w:hAnsi="Arial" w:cs="Arial"/>
        </w:rPr>
        <w:fldChar w:fldCharType="separate"/>
      </w:r>
      <w:r w:rsidRPr="004C2757">
        <w:rPr>
          <w:rFonts w:ascii="Arial" w:hAnsi="Arial" w:cs="Arial"/>
          <w:noProof/>
        </w:rPr>
        <w:t>(Liu et al., 2023)</w:t>
      </w:r>
      <w:r w:rsidRPr="004C2757">
        <w:rPr>
          <w:rFonts w:ascii="Arial" w:hAnsi="Arial" w:cs="Arial"/>
        </w:rPr>
        <w:fldChar w:fldCharType="end"/>
      </w:r>
      <w:r w:rsidRPr="004C2757">
        <w:rPr>
          <w:rFonts w:ascii="Arial" w:hAnsi="Arial" w:cs="Arial"/>
        </w:rPr>
        <w:t>. Thus, maize exhibited a differential response to field conditions, where leachate irrigation enhances the uptake and mobility of certain metals while suppressing others.</w:t>
      </w:r>
    </w:p>
    <w:p w14:paraId="20DD04D4" w14:textId="77777777" w:rsidR="00B26805" w:rsidRPr="004C2757" w:rsidRDefault="00B26805" w:rsidP="00B26805">
      <w:pPr>
        <w:tabs>
          <w:tab w:val="num" w:pos="720"/>
        </w:tabs>
        <w:jc w:val="both"/>
        <w:rPr>
          <w:rFonts w:ascii="Arial" w:hAnsi="Arial" w:cs="Arial"/>
        </w:rPr>
      </w:pPr>
      <w:r w:rsidRPr="004C2757">
        <w:rPr>
          <w:rFonts w:ascii="Arial" w:hAnsi="Arial" w:cs="Arial"/>
        </w:rPr>
        <w:t> </w:t>
      </w:r>
    </w:p>
    <w:p w14:paraId="5A0EF914" w14:textId="77777777" w:rsidR="00B26805" w:rsidRPr="004C2757" w:rsidRDefault="00B26805" w:rsidP="00B26805">
      <w:pPr>
        <w:tabs>
          <w:tab w:val="num" w:pos="720"/>
        </w:tabs>
        <w:jc w:val="both"/>
        <w:rPr>
          <w:rFonts w:ascii="Arial" w:hAnsi="Arial" w:cs="Arial"/>
        </w:rPr>
      </w:pPr>
      <w:r w:rsidRPr="004C2757">
        <w:rPr>
          <w:rFonts w:ascii="Arial" w:hAnsi="Arial" w:cs="Arial"/>
        </w:rPr>
        <w:t>Green gram exhibited moderate to increased metal uptake under leachate irrigation. The BCF</w:t>
      </w:r>
      <w:r w:rsidRPr="004C2757">
        <w:rPr>
          <w:rFonts w:ascii="Arial" w:hAnsi="Arial" w:cs="Arial"/>
          <w:vertAlign w:val="subscript"/>
        </w:rPr>
        <w:t>root</w:t>
      </w:r>
      <w:r w:rsidRPr="004C2757">
        <w:rPr>
          <w:rFonts w:ascii="Arial" w:hAnsi="Arial" w:cs="Arial"/>
        </w:rPr>
        <w:t xml:space="preserve"> values increased or stayed similar for Cu, Ni, and Cd, indicating that organic components in the leachate may boost metal solubility in the rhizosphere. The BCF</w:t>
      </w:r>
      <w:r w:rsidRPr="004C2757">
        <w:rPr>
          <w:rFonts w:ascii="Arial" w:hAnsi="Arial" w:cs="Arial"/>
          <w:vertAlign w:val="subscript"/>
        </w:rPr>
        <w:t xml:space="preserve">leaf </w:t>
      </w:r>
      <w:r w:rsidRPr="004C2757">
        <w:rPr>
          <w:rFonts w:ascii="Arial" w:hAnsi="Arial" w:cs="Arial"/>
        </w:rPr>
        <w:t>values increased markedly, particularly for Zn and Cu, reflecting enhanced translocation to aerial tissues. This pattern aligns with legumes and other species, which often display enhanced metal uptake due to active rhizosphere processes and symbiotic relationships. The TF</w:t>
      </w:r>
      <w:r w:rsidRPr="004C2757">
        <w:rPr>
          <w:rFonts w:ascii="Arial" w:hAnsi="Arial" w:cs="Arial"/>
          <w:vertAlign w:val="subscript"/>
        </w:rPr>
        <w:t>leaf</w:t>
      </w:r>
      <w:r w:rsidRPr="004C2757">
        <w:rPr>
          <w:rFonts w:ascii="Arial" w:hAnsi="Arial" w:cs="Arial"/>
        </w:rPr>
        <w:t xml:space="preserve"> values also rose significantly, particularly for Cr, Cd, and Pb. A TF value over 1 for Cr indicates strong internal mobility, raising concerns about accumulation in edible plant parts. Overall, green gram exhibits a greater tendency for both metal accumulation and translocation under leachate irrigation compared to conventional field conditions.</w:t>
      </w:r>
    </w:p>
    <w:p w14:paraId="0DE9175B" w14:textId="2E8E14B9" w:rsidR="00790ADA" w:rsidRPr="00FB3A86" w:rsidRDefault="00B26805" w:rsidP="00B26805">
      <w:pPr>
        <w:tabs>
          <w:tab w:val="num" w:pos="720"/>
        </w:tabs>
        <w:jc w:val="both"/>
        <w:rPr>
          <w:rFonts w:ascii="Arial" w:hAnsi="Arial" w:cs="Arial"/>
        </w:rPr>
      </w:pPr>
      <w:r w:rsidRPr="004C2757">
        <w:rPr>
          <w:rFonts w:ascii="Arial" w:hAnsi="Arial" w:cs="Arial"/>
        </w:rPr>
        <w:t> </w:t>
      </w:r>
    </w:p>
    <w:p w14:paraId="4231AE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FBEBE0" w14:textId="77777777" w:rsidR="00790ADA" w:rsidRPr="00FB3A86" w:rsidRDefault="00790ADA" w:rsidP="00441B6F">
      <w:pPr>
        <w:pStyle w:val="ConcHead"/>
        <w:spacing w:after="0"/>
        <w:jc w:val="both"/>
        <w:rPr>
          <w:rFonts w:ascii="Arial" w:hAnsi="Arial" w:cs="Arial"/>
        </w:rPr>
      </w:pPr>
    </w:p>
    <w:p w14:paraId="1A2088EE" w14:textId="369694A0" w:rsidR="00B26805" w:rsidRDefault="00B26805" w:rsidP="00B26805">
      <w:pPr>
        <w:pStyle w:val="Body"/>
        <w:spacing w:after="0"/>
        <w:rPr>
          <w:rFonts w:ascii="Arial" w:hAnsi="Arial" w:cs="Arial"/>
        </w:rPr>
      </w:pPr>
      <w:r w:rsidRPr="004C2757">
        <w:rPr>
          <w:rFonts w:ascii="Arial" w:hAnsi="Arial" w:cs="Arial"/>
        </w:rPr>
        <w:t>The study provides field-based evidence on the implications of using MSW compost leachate as a liquid amendment in agricultural systems. The results demonstrate that compost leachate can contribute to soil nutrient enrichment and potentially enhance soil fertility. However, the presence of trace metals in the leachate may lead to gradual accumulation in soils and detectable transfer to crops. Although the observed metal concentrations in crops were largely within permissible limits, the variability among sites and crops highlights the need for cautious and regulated application of MSW-derived leachates. Regular monitoring of soil and crop quality is recommended to ensure environmental sustainability and food safety. Future studies involving long-term experimental trials would help further clarify the agronomic benefits and environmental risks associated with the agricultural use of MSW compost leachate</w:t>
      </w:r>
    </w:p>
    <w:p w14:paraId="37655A30" w14:textId="77777777" w:rsidR="00B26805" w:rsidRDefault="00B26805" w:rsidP="00441B6F">
      <w:pPr>
        <w:pStyle w:val="Body"/>
        <w:spacing w:after="0"/>
        <w:rPr>
          <w:rFonts w:ascii="Arial" w:hAnsi="Arial" w:cs="Arial"/>
        </w:rPr>
      </w:pPr>
    </w:p>
    <w:p w14:paraId="5ADE8B01" w14:textId="77777777" w:rsidR="00B26805" w:rsidRDefault="00B26805" w:rsidP="00441B6F">
      <w:pPr>
        <w:pStyle w:val="Body"/>
        <w:spacing w:after="0"/>
        <w:rPr>
          <w:rFonts w:ascii="Arial" w:hAnsi="Arial" w:cs="Arial"/>
        </w:rPr>
      </w:pPr>
      <w:bookmarkStart w:id="1" w:name="_GoBack"/>
      <w:bookmarkEnd w:id="1"/>
    </w:p>
    <w:p w14:paraId="7418B81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735C6B41" w14:textId="77777777" w:rsidR="00860000" w:rsidRPr="00786D36" w:rsidRDefault="00860000" w:rsidP="00441B6F">
      <w:pPr>
        <w:pStyle w:val="ReferHead"/>
        <w:spacing w:after="0"/>
        <w:jc w:val="both"/>
        <w:rPr>
          <w:rFonts w:ascii="Arial" w:hAnsi="Arial" w:cs="Arial"/>
        </w:rPr>
      </w:pPr>
    </w:p>
    <w:p w14:paraId="3B8B8F54" w14:textId="4C88F913" w:rsidR="00860000" w:rsidRDefault="00E66E10" w:rsidP="00441B6F">
      <w:pPr>
        <w:pStyle w:val="ReferHead"/>
        <w:spacing w:after="0"/>
        <w:jc w:val="both"/>
        <w:rPr>
          <w:rFonts w:ascii="Arial" w:hAnsi="Arial" w:cs="Arial"/>
          <w:b w:val="0"/>
          <w:caps w:val="0"/>
          <w:sz w:val="20"/>
        </w:rPr>
      </w:pPr>
      <w:r w:rsidRPr="00BE4153">
        <w:rPr>
          <w:rFonts w:ascii="Arial" w:hAnsi="Arial" w:cs="Arial"/>
          <w:b w:val="0"/>
          <w:caps w:val="0"/>
          <w:sz w:val="20"/>
        </w:rPr>
        <w:t>Authors have declared that no competing interests exist.</w:t>
      </w:r>
    </w:p>
    <w:p w14:paraId="2925FF97" w14:textId="77777777" w:rsidR="00FA26C3" w:rsidRDefault="00FA26C3" w:rsidP="00441B6F">
      <w:pPr>
        <w:pStyle w:val="ReferHead"/>
        <w:spacing w:after="0"/>
        <w:jc w:val="both"/>
        <w:rPr>
          <w:rFonts w:ascii="Arial" w:hAnsi="Arial" w:cs="Arial"/>
          <w:b w:val="0"/>
          <w:caps w:val="0"/>
          <w:sz w:val="20"/>
        </w:rPr>
      </w:pPr>
    </w:p>
    <w:p w14:paraId="425468E4" w14:textId="10F5BDCC" w:rsidR="00FA26C3" w:rsidRDefault="00FA26C3" w:rsidP="00441B6F">
      <w:pPr>
        <w:pStyle w:val="ReferHead"/>
        <w:spacing w:after="0"/>
        <w:jc w:val="both"/>
        <w:rPr>
          <w:rFonts w:ascii="Arial" w:hAnsi="Arial" w:cs="Arial"/>
          <w:caps w:val="0"/>
          <w:szCs w:val="22"/>
          <w:lang w:val="en-IN"/>
        </w:rPr>
      </w:pPr>
      <w:r w:rsidRPr="00FA26C3">
        <w:rPr>
          <w:rFonts w:ascii="Arial" w:hAnsi="Arial" w:cs="Arial"/>
          <w:caps w:val="0"/>
          <w:szCs w:val="22"/>
          <w:lang w:val="en-IN"/>
        </w:rPr>
        <w:t>Disclaimer (Artificial Intelligence)</w:t>
      </w:r>
    </w:p>
    <w:p w14:paraId="4EA90904" w14:textId="77777777" w:rsidR="00FA26C3" w:rsidRDefault="00FA26C3" w:rsidP="00441B6F">
      <w:pPr>
        <w:pStyle w:val="ReferHead"/>
        <w:spacing w:after="0"/>
        <w:jc w:val="both"/>
        <w:rPr>
          <w:rFonts w:ascii="Arial" w:hAnsi="Arial" w:cs="Arial"/>
          <w:caps w:val="0"/>
          <w:szCs w:val="22"/>
          <w:lang w:val="en-IN"/>
        </w:rPr>
      </w:pPr>
    </w:p>
    <w:p w14:paraId="3E5A8A79" w14:textId="73B8D12C" w:rsidR="00FA26C3" w:rsidRPr="00FA26C3" w:rsidRDefault="00FA26C3" w:rsidP="00441B6F">
      <w:pPr>
        <w:pStyle w:val="ReferHead"/>
        <w:spacing w:after="0"/>
        <w:jc w:val="both"/>
        <w:rPr>
          <w:rFonts w:ascii="Arial" w:hAnsi="Arial" w:cs="Arial"/>
          <w:b w:val="0"/>
          <w:bCs/>
          <w:caps w:val="0"/>
          <w:sz w:val="20"/>
        </w:rPr>
      </w:pPr>
      <w:r w:rsidRPr="00FA26C3">
        <w:rPr>
          <w:rFonts w:ascii="Arial" w:hAnsi="Arial" w:cs="Arial"/>
          <w:b w:val="0"/>
          <w:bCs/>
          <w:caps w:val="0"/>
          <w:sz w:val="20"/>
        </w:rPr>
        <w:t>The authors acknowledge the use of generative artificial intelligence (AI) tools (e.g., ChatGPT) for assistance in language editing, organization, and improving the clarity of the manuscript. The AI tool was not used for data generation, analysis, or interpretation. All scientific content, results, and conclusions presented in this manuscript are solely the responsibility of the authors and have been critically reviewed and validated.</w:t>
      </w:r>
    </w:p>
    <w:p w14:paraId="740666F3" w14:textId="77777777" w:rsidR="00371FB6" w:rsidRPr="00FA26C3" w:rsidRDefault="00371FB6" w:rsidP="00441B6F">
      <w:pPr>
        <w:pStyle w:val="ReferHead"/>
        <w:spacing w:after="0"/>
        <w:jc w:val="both"/>
        <w:rPr>
          <w:rFonts w:ascii="Arial" w:hAnsi="Arial" w:cs="Arial"/>
          <w:b w:val="0"/>
          <w:bCs/>
          <w:caps w:val="0"/>
          <w:sz w:val="18"/>
          <w:szCs w:val="18"/>
        </w:rPr>
      </w:pPr>
    </w:p>
    <w:p w14:paraId="58607FA8" w14:textId="77777777" w:rsidR="00695D5C" w:rsidRDefault="00695D5C" w:rsidP="00441B6F">
      <w:pPr>
        <w:pStyle w:val="ReferHead"/>
        <w:spacing w:after="0"/>
        <w:jc w:val="both"/>
        <w:rPr>
          <w:rFonts w:ascii="Arial" w:hAnsi="Arial" w:cs="Arial"/>
          <w:b w:val="0"/>
          <w:caps w:val="0"/>
          <w:sz w:val="20"/>
        </w:rPr>
      </w:pPr>
    </w:p>
    <w:p w14:paraId="436B92D9" w14:textId="77777777" w:rsidR="00695D5C" w:rsidRDefault="00695D5C" w:rsidP="00441B6F">
      <w:pPr>
        <w:pStyle w:val="ReferHead"/>
        <w:spacing w:after="0"/>
        <w:jc w:val="both"/>
        <w:rPr>
          <w:rFonts w:ascii="Arial" w:hAnsi="Arial" w:cs="Arial"/>
          <w:b w:val="0"/>
          <w:caps w:val="0"/>
          <w:sz w:val="20"/>
        </w:rPr>
      </w:pPr>
    </w:p>
    <w:p w14:paraId="2E3B4DF6" w14:textId="77777777" w:rsidR="00695D5C" w:rsidRPr="00695D5C" w:rsidRDefault="00695D5C" w:rsidP="00695D5C">
      <w:pPr>
        <w:pStyle w:val="ReferHead"/>
        <w:jc w:val="both"/>
        <w:rPr>
          <w:rFonts w:ascii="Arial" w:hAnsi="Arial" w:cs="Arial"/>
          <w:b w:val="0"/>
          <w:caps w:val="0"/>
          <w:sz w:val="20"/>
        </w:rPr>
      </w:pPr>
      <w:r w:rsidRPr="00695D5C">
        <w:rPr>
          <w:rFonts w:ascii="Arial" w:hAnsi="Arial" w:cs="Arial"/>
          <w:b w:val="0"/>
          <w:caps w:val="0"/>
          <w:sz w:val="20"/>
        </w:rPr>
        <w:t>COMPETING INTERESTS DISCLAIMER:</w:t>
      </w:r>
    </w:p>
    <w:p w14:paraId="7D43A1F4" w14:textId="342A9156" w:rsidR="00695D5C" w:rsidRPr="00FA26C3" w:rsidRDefault="00695D5C" w:rsidP="00695D5C">
      <w:pPr>
        <w:pStyle w:val="ReferHead"/>
        <w:spacing w:after="0"/>
        <w:jc w:val="both"/>
        <w:rPr>
          <w:rFonts w:ascii="Arial" w:hAnsi="Arial" w:cs="Arial"/>
          <w:b w:val="0"/>
          <w:caps w:val="0"/>
          <w:sz w:val="20"/>
        </w:rPr>
      </w:pPr>
      <w:r w:rsidRPr="00695D5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6FACC34" w14:textId="77777777" w:rsidR="00BE4153" w:rsidRPr="00FA26C3" w:rsidRDefault="00BE4153" w:rsidP="00441B6F">
      <w:pPr>
        <w:pStyle w:val="ReferHead"/>
        <w:spacing w:after="0"/>
        <w:jc w:val="both"/>
        <w:rPr>
          <w:rFonts w:ascii="Arial" w:hAnsi="Arial" w:cs="Arial"/>
          <w:b w:val="0"/>
          <w:caps w:val="0"/>
          <w:sz w:val="20"/>
        </w:rPr>
      </w:pPr>
    </w:p>
    <w:p w14:paraId="36DB5A4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23CC89" w14:textId="77777777" w:rsidR="00790ADA" w:rsidRPr="00FB3A86" w:rsidRDefault="00790ADA" w:rsidP="00441B6F">
      <w:pPr>
        <w:pStyle w:val="ReferHead"/>
        <w:spacing w:after="0"/>
        <w:jc w:val="both"/>
        <w:rPr>
          <w:rFonts w:ascii="Arial" w:hAnsi="Arial" w:cs="Arial"/>
        </w:rPr>
      </w:pPr>
    </w:p>
    <w:p w14:paraId="204458A3" w14:textId="77777777" w:rsidR="00FA26C3" w:rsidRPr="00FA26C3" w:rsidRDefault="00FA26C3" w:rsidP="00FA26C3">
      <w:pPr>
        <w:pStyle w:val="Body"/>
        <w:rPr>
          <w:rFonts w:ascii="Arial" w:hAnsi="Arial" w:cs="Arial"/>
        </w:rPr>
      </w:pPr>
      <w:r w:rsidRPr="00FA26C3">
        <w:rPr>
          <w:rFonts w:ascii="Arial" w:hAnsi="Arial" w:cs="Arial"/>
        </w:rPr>
        <w:t xml:space="preserve">Ali, S., &amp; </w:t>
      </w:r>
      <w:proofErr w:type="spellStart"/>
      <w:r w:rsidRPr="00FA26C3">
        <w:rPr>
          <w:rFonts w:ascii="Arial" w:hAnsi="Arial" w:cs="Arial"/>
        </w:rPr>
        <w:t>Ahirwar</w:t>
      </w:r>
      <w:proofErr w:type="spellEnd"/>
      <w:r w:rsidRPr="00FA26C3">
        <w:rPr>
          <w:rFonts w:ascii="Arial" w:hAnsi="Arial" w:cs="Arial"/>
        </w:rPr>
        <w:t>, R. (2025). Accumulation of toxic metals in vegetable crops and associated dietary exposure risks to human health. Discover Environment, 3(1). https://doi.org/10.1007/s44274-025-00373-w</w:t>
      </w:r>
    </w:p>
    <w:p w14:paraId="790939CE" w14:textId="77777777" w:rsidR="00FA26C3" w:rsidRPr="00FA26C3" w:rsidRDefault="00FA26C3" w:rsidP="00FA26C3">
      <w:pPr>
        <w:pStyle w:val="Body"/>
        <w:rPr>
          <w:rFonts w:ascii="Arial" w:hAnsi="Arial" w:cs="Arial"/>
        </w:rPr>
      </w:pPr>
      <w:r w:rsidRPr="00FA26C3">
        <w:rPr>
          <w:rFonts w:ascii="Arial" w:hAnsi="Arial" w:cs="Arial"/>
        </w:rPr>
        <w:t>Alloway, B. J. (2013). Heavy Metals in Soils Trace Metals and Metalloids in Soils and their Bioavailability. In B. J. Alloway (Ed.), Encyclopedia of Toxicology, Fourth Edition: Volume 1-9 (3rd ed., Vol. 9). Blackie Academic &amp; Professional, an imprint of Chapman &amp; Hall. https://doi.org/10.1016/B978-0-12-824315-2.00658-8</w:t>
      </w:r>
    </w:p>
    <w:p w14:paraId="71FB96CF" w14:textId="77777777" w:rsidR="00FA26C3" w:rsidRPr="00FA26C3" w:rsidRDefault="00FA26C3" w:rsidP="00FA26C3">
      <w:pPr>
        <w:pStyle w:val="Body"/>
        <w:rPr>
          <w:rFonts w:ascii="Arial" w:hAnsi="Arial" w:cs="Arial"/>
        </w:rPr>
      </w:pPr>
      <w:r w:rsidRPr="00FA26C3">
        <w:rPr>
          <w:rFonts w:ascii="Arial" w:hAnsi="Arial" w:cs="Arial"/>
        </w:rPr>
        <w:t>APHA, A. and W. (2017). Standard Methods for the Examination of Water and Wastewater (E. W. R. RODGER B. BAIRD, ANDREW D. EATON (ed.); 23rd ed.). APHA Press.</w:t>
      </w:r>
    </w:p>
    <w:p w14:paraId="5BD57085" w14:textId="77777777" w:rsidR="00FA26C3" w:rsidRPr="00FA26C3" w:rsidRDefault="00FA26C3" w:rsidP="00FA26C3">
      <w:pPr>
        <w:pStyle w:val="Body"/>
        <w:rPr>
          <w:rFonts w:ascii="Arial" w:hAnsi="Arial" w:cs="Arial"/>
        </w:rPr>
      </w:pPr>
      <w:r w:rsidRPr="00FA26C3">
        <w:rPr>
          <w:rFonts w:ascii="Arial" w:hAnsi="Arial" w:cs="Arial"/>
        </w:rPr>
        <w:t xml:space="preserve">Ayers, R. S., Westcot, D. W. (1985). Water for </w:t>
      </w:r>
      <w:proofErr w:type="spellStart"/>
      <w:r w:rsidRPr="00FA26C3">
        <w:rPr>
          <w:rFonts w:ascii="Arial" w:hAnsi="Arial" w:cs="Arial"/>
        </w:rPr>
        <w:t>agr</w:t>
      </w:r>
      <w:proofErr w:type="spellEnd"/>
      <w:r w:rsidRPr="00FA26C3">
        <w:rPr>
          <w:rFonts w:ascii="Arial" w:hAnsi="Arial" w:cs="Arial"/>
        </w:rPr>
        <w:t xml:space="preserve"> Water quality for agriculture (F. and A. O. of the U. Nations (ed.); Food and A). Food and Agriculture Organization of the United Nations.</w:t>
      </w:r>
    </w:p>
    <w:p w14:paraId="264A78C2" w14:textId="77777777" w:rsidR="00FA26C3" w:rsidRPr="00FA26C3" w:rsidRDefault="00FA26C3" w:rsidP="00FA26C3">
      <w:pPr>
        <w:pStyle w:val="Body"/>
        <w:rPr>
          <w:rFonts w:ascii="Arial" w:hAnsi="Arial" w:cs="Arial"/>
        </w:rPr>
      </w:pPr>
      <w:r w:rsidRPr="00FA26C3">
        <w:rPr>
          <w:rFonts w:ascii="Arial" w:hAnsi="Arial" w:cs="Arial"/>
        </w:rPr>
        <w:t xml:space="preserve">Bolan, N., </w:t>
      </w:r>
      <w:proofErr w:type="spellStart"/>
      <w:r w:rsidRPr="00FA26C3">
        <w:rPr>
          <w:rFonts w:ascii="Arial" w:hAnsi="Arial" w:cs="Arial"/>
        </w:rPr>
        <w:t>Kunhikrishnan</w:t>
      </w:r>
      <w:proofErr w:type="spellEnd"/>
      <w:r w:rsidRPr="00FA26C3">
        <w:rPr>
          <w:rFonts w:ascii="Arial" w:hAnsi="Arial" w:cs="Arial"/>
        </w:rPr>
        <w:t xml:space="preserve">, A., Thangarajan, R., </w:t>
      </w:r>
      <w:proofErr w:type="spellStart"/>
      <w:r w:rsidRPr="00FA26C3">
        <w:rPr>
          <w:rFonts w:ascii="Arial" w:hAnsi="Arial" w:cs="Arial"/>
        </w:rPr>
        <w:t>Kumpiene</w:t>
      </w:r>
      <w:proofErr w:type="spellEnd"/>
      <w:r w:rsidRPr="00FA26C3">
        <w:rPr>
          <w:rFonts w:ascii="Arial" w:hAnsi="Arial" w:cs="Arial"/>
        </w:rPr>
        <w:t>, J., Park, J., Makino, T., Kirkham, M. B., &amp; Scheckel, K. (2014). Remediation of heavy metal(loid)s contaminated soils - To mobilize or to immobilize? In Journal of Hazardous Materials (Vol. 266, pp. 141–166). Elsevier. https://doi.org/10.1016/j.jhazmat.2013.12.018</w:t>
      </w:r>
    </w:p>
    <w:p w14:paraId="1207672C" w14:textId="77777777" w:rsidR="00FA26C3" w:rsidRPr="00FA26C3" w:rsidRDefault="00FA26C3" w:rsidP="00FA26C3">
      <w:pPr>
        <w:pStyle w:val="Body"/>
        <w:rPr>
          <w:rFonts w:ascii="Arial" w:hAnsi="Arial" w:cs="Arial"/>
        </w:rPr>
      </w:pPr>
      <w:r w:rsidRPr="00FA26C3">
        <w:rPr>
          <w:rFonts w:ascii="Arial" w:hAnsi="Arial" w:cs="Arial"/>
        </w:rPr>
        <w:t>Bose, S., &amp; Bhattacharyya, A. K. (2008). Heavy metal accumulation in wheat plant grown in soil amended with industrial sludge. 70, 1264–1272. https://doi.org/10.1016/j.chemosphere.2007.07.062</w:t>
      </w:r>
    </w:p>
    <w:p w14:paraId="410DBB68" w14:textId="77777777" w:rsidR="00FA26C3" w:rsidRPr="00FA26C3" w:rsidRDefault="00FA26C3" w:rsidP="00FA26C3">
      <w:pPr>
        <w:pStyle w:val="Body"/>
        <w:rPr>
          <w:rFonts w:ascii="Arial" w:hAnsi="Arial" w:cs="Arial"/>
        </w:rPr>
      </w:pPr>
      <w:r w:rsidRPr="00FA26C3">
        <w:rPr>
          <w:rFonts w:ascii="Arial" w:hAnsi="Arial" w:cs="Arial"/>
        </w:rPr>
        <w:t>Buscaroli, A. (2017). An overview of indexes to evaluate terrestrial plants for phytoremediation purposes (Review). In Ecological Indicators (Vol. 82, pp. 367–380). Elsevier B.V. https://doi.org/10.1016/j.ecolind.2017.07.003</w:t>
      </w:r>
    </w:p>
    <w:p w14:paraId="46DB5601" w14:textId="77777777" w:rsidR="00FA26C3" w:rsidRPr="00FA26C3" w:rsidRDefault="00FA26C3" w:rsidP="00FA26C3">
      <w:pPr>
        <w:pStyle w:val="Body"/>
        <w:rPr>
          <w:rFonts w:ascii="Arial" w:hAnsi="Arial" w:cs="Arial"/>
        </w:rPr>
      </w:pPr>
      <w:r w:rsidRPr="00FA26C3">
        <w:rPr>
          <w:rFonts w:ascii="Arial" w:hAnsi="Arial" w:cs="Arial"/>
        </w:rPr>
        <w:lastRenderedPageBreak/>
        <w:t xml:space="preserve">Dutta, A., &amp; </w:t>
      </w:r>
      <w:proofErr w:type="spellStart"/>
      <w:r w:rsidRPr="00FA26C3">
        <w:rPr>
          <w:rFonts w:ascii="Arial" w:hAnsi="Arial" w:cs="Arial"/>
        </w:rPr>
        <w:t>Jinsart</w:t>
      </w:r>
      <w:proofErr w:type="spellEnd"/>
      <w:r w:rsidRPr="00FA26C3">
        <w:rPr>
          <w:rFonts w:ascii="Arial" w:hAnsi="Arial" w:cs="Arial"/>
        </w:rPr>
        <w:t>, W. (2020). Waste generation and management status in the fast-expanding Indian cities: A review. Journal of the Air and Waste Management Association, 70(5), 491–503. https://doi.org/10.1080/10962247.2020.1738285</w:t>
      </w:r>
    </w:p>
    <w:p w14:paraId="677F3A4E" w14:textId="77777777" w:rsidR="00FA26C3" w:rsidRPr="00FA26C3" w:rsidRDefault="00FA26C3" w:rsidP="00FA26C3">
      <w:pPr>
        <w:pStyle w:val="Body"/>
        <w:rPr>
          <w:rFonts w:ascii="Arial" w:hAnsi="Arial" w:cs="Arial"/>
        </w:rPr>
      </w:pPr>
      <w:r w:rsidRPr="00FA26C3">
        <w:rPr>
          <w:rFonts w:ascii="Arial" w:hAnsi="Arial" w:cs="Arial"/>
        </w:rPr>
        <w:t xml:space="preserve">EPA, E. protection A. (2012). EPA </w:t>
      </w:r>
      <w:proofErr w:type="spellStart"/>
      <w:r w:rsidRPr="00FA26C3">
        <w:rPr>
          <w:rFonts w:ascii="Arial" w:hAnsi="Arial" w:cs="Arial"/>
        </w:rPr>
        <w:t>Guidlines</w:t>
      </w:r>
      <w:proofErr w:type="spellEnd"/>
      <w:r w:rsidRPr="00FA26C3">
        <w:rPr>
          <w:rFonts w:ascii="Arial" w:hAnsi="Arial" w:cs="Arial"/>
        </w:rPr>
        <w:t xml:space="preserve"> for Water Reuse U.S. Environmental Protection Agency. Guidelines for Water Reuse, September, 643.</w:t>
      </w:r>
    </w:p>
    <w:p w14:paraId="16ECA94A" w14:textId="77777777" w:rsidR="00FA26C3" w:rsidRPr="00FA26C3" w:rsidRDefault="00FA26C3" w:rsidP="00FA26C3">
      <w:pPr>
        <w:pStyle w:val="Body"/>
        <w:rPr>
          <w:rFonts w:ascii="Arial" w:hAnsi="Arial" w:cs="Arial"/>
        </w:rPr>
      </w:pPr>
      <w:r w:rsidRPr="00FA26C3">
        <w:rPr>
          <w:rFonts w:ascii="Arial" w:hAnsi="Arial" w:cs="Arial"/>
        </w:rPr>
        <w:t xml:space="preserve">Irfan, M., Mudassir, M., Khan, M. J., Dawar, K. M., Muhammad, D., Mian, I. A., Ali, W., Fahad, S., Saud, S., Hayat, Z., Nawaz, T., Khan, S. A., Alam, S., Ali, B., </w:t>
      </w:r>
      <w:proofErr w:type="spellStart"/>
      <w:r w:rsidRPr="00FA26C3">
        <w:rPr>
          <w:rFonts w:ascii="Arial" w:hAnsi="Arial" w:cs="Arial"/>
        </w:rPr>
        <w:t>Banout</w:t>
      </w:r>
      <w:proofErr w:type="spellEnd"/>
      <w:r w:rsidRPr="00FA26C3">
        <w:rPr>
          <w:rFonts w:ascii="Arial" w:hAnsi="Arial" w:cs="Arial"/>
        </w:rPr>
        <w:t>, J., Ahmed, S., Mubeen, S., Danish, S., Datta, R., … Dewil, R. (2021). Heavy metals immobilization and improvement in maize (Zea mays L.) growth amended with biochar and compost. Scientific Reports, 11(1), 1–9. https://doi.org/10.1038/s41598-021-97525-8</w:t>
      </w:r>
    </w:p>
    <w:p w14:paraId="10274564" w14:textId="77777777" w:rsidR="00FA26C3" w:rsidRPr="00FA26C3" w:rsidRDefault="00FA26C3" w:rsidP="00FA26C3">
      <w:pPr>
        <w:pStyle w:val="Body"/>
        <w:rPr>
          <w:rFonts w:ascii="Arial" w:hAnsi="Arial" w:cs="Arial"/>
        </w:rPr>
      </w:pPr>
      <w:r w:rsidRPr="00FA26C3">
        <w:rPr>
          <w:rFonts w:ascii="Arial" w:hAnsi="Arial" w:cs="Arial"/>
        </w:rPr>
        <w:t>Jackson, M. L. (1962). Soil Chemical Analysis. Prentice Hall Inc., Englewood Cliffs, New Jersey, USA.</w:t>
      </w:r>
    </w:p>
    <w:p w14:paraId="4D9DC812" w14:textId="77777777" w:rsidR="00FA26C3" w:rsidRPr="00FA26C3" w:rsidRDefault="00FA26C3" w:rsidP="00FA26C3">
      <w:pPr>
        <w:pStyle w:val="Body"/>
        <w:rPr>
          <w:rFonts w:ascii="Arial" w:hAnsi="Arial" w:cs="Arial"/>
        </w:rPr>
      </w:pPr>
      <w:r w:rsidRPr="00FA26C3">
        <w:rPr>
          <w:rFonts w:ascii="Arial" w:hAnsi="Arial" w:cs="Arial"/>
        </w:rPr>
        <w:t>Kanmani, S., &amp; Gandhimathi, R. (2013). Assessment of heavy metal contamination in soil due to leachate migration from an open dumping site. Applied Water Science, 3(1), 193–205. https://doi.org/10.1007/s13201-012-0072-z</w:t>
      </w:r>
    </w:p>
    <w:p w14:paraId="391143F7" w14:textId="77777777" w:rsidR="00FA26C3" w:rsidRPr="00FA26C3" w:rsidRDefault="00FA26C3" w:rsidP="00FA26C3">
      <w:pPr>
        <w:pStyle w:val="Body"/>
        <w:rPr>
          <w:rFonts w:ascii="Arial" w:hAnsi="Arial" w:cs="Arial"/>
        </w:rPr>
      </w:pPr>
      <w:r w:rsidRPr="00FA26C3">
        <w:rPr>
          <w:rFonts w:ascii="Arial" w:hAnsi="Arial" w:cs="Arial"/>
        </w:rPr>
        <w:t xml:space="preserve">Liu, Y., Zhang, R., Pan, B., Qiu, H., Wang, J., Zhang, J., Niu, X., He, L., Qian, W., &amp; </w:t>
      </w:r>
      <w:proofErr w:type="spellStart"/>
      <w:r w:rsidRPr="00FA26C3">
        <w:rPr>
          <w:rFonts w:ascii="Arial" w:hAnsi="Arial" w:cs="Arial"/>
        </w:rPr>
        <w:t>Peijnenburg</w:t>
      </w:r>
      <w:proofErr w:type="spellEnd"/>
      <w:r w:rsidRPr="00FA26C3">
        <w:rPr>
          <w:rFonts w:ascii="Arial" w:hAnsi="Arial" w:cs="Arial"/>
        </w:rPr>
        <w:t xml:space="preserve">, W. J. G. M. (2023). Uptake of heavy metals by crops near a mining </w:t>
      </w:r>
      <w:proofErr w:type="gramStart"/>
      <w:r w:rsidRPr="00FA26C3">
        <w:rPr>
          <w:rFonts w:ascii="Arial" w:hAnsi="Arial" w:cs="Arial"/>
        </w:rPr>
        <w:t>field :</w:t>
      </w:r>
      <w:proofErr w:type="gramEnd"/>
      <w:r w:rsidRPr="00FA26C3">
        <w:rPr>
          <w:rFonts w:ascii="Arial" w:hAnsi="Arial" w:cs="Arial"/>
        </w:rPr>
        <w:t xml:space="preserve"> pathways from roots and leaves Version : License : Downloaded from : Publisher ’ s Version Licensed under Article 25fa Copyright Act / Law ( Amendment Taverne ) Chemosphere Uptake of heavy metals by cr. Chemosphere, 322, 138215. https://doi.org/10.1016/j.chemosphere.2023.138215</w:t>
      </w:r>
    </w:p>
    <w:p w14:paraId="66692402" w14:textId="77777777" w:rsidR="00FA26C3" w:rsidRPr="00FA26C3" w:rsidRDefault="00FA26C3" w:rsidP="00FA26C3">
      <w:pPr>
        <w:pStyle w:val="Body"/>
        <w:rPr>
          <w:rFonts w:ascii="Arial" w:hAnsi="Arial" w:cs="Arial"/>
        </w:rPr>
      </w:pPr>
      <w:r w:rsidRPr="00FA26C3">
        <w:rPr>
          <w:rFonts w:ascii="Arial" w:hAnsi="Arial" w:cs="Arial"/>
        </w:rPr>
        <w:t xml:space="preserve">Manea, E. E., </w:t>
      </w:r>
      <w:proofErr w:type="spellStart"/>
      <w:r w:rsidRPr="00FA26C3">
        <w:rPr>
          <w:rFonts w:ascii="Arial" w:hAnsi="Arial" w:cs="Arial"/>
        </w:rPr>
        <w:t>Bumbac</w:t>
      </w:r>
      <w:proofErr w:type="spellEnd"/>
      <w:r w:rsidRPr="00FA26C3">
        <w:rPr>
          <w:rFonts w:ascii="Arial" w:hAnsi="Arial" w:cs="Arial"/>
        </w:rPr>
        <w:t xml:space="preserve">, C., Dinu, L. R., </w:t>
      </w:r>
      <w:proofErr w:type="spellStart"/>
      <w:r w:rsidRPr="00FA26C3">
        <w:rPr>
          <w:rFonts w:ascii="Arial" w:hAnsi="Arial" w:cs="Arial"/>
        </w:rPr>
        <w:t>Bumbac</w:t>
      </w:r>
      <w:proofErr w:type="spellEnd"/>
      <w:r w:rsidRPr="00FA26C3">
        <w:rPr>
          <w:rFonts w:ascii="Arial" w:hAnsi="Arial" w:cs="Arial"/>
        </w:rPr>
        <w:t>, M., &amp; Nicolescu, C. M. (2024). Composting as a Sustainable Solution for Organic Solid Waste Management: Current Practices and Potential Improvements. Sustainability (Switzerland), 16(15), 1–25. https://doi.org/10.3390/su16156329</w:t>
      </w:r>
    </w:p>
    <w:p w14:paraId="6A97534A" w14:textId="77777777" w:rsidR="00FA26C3" w:rsidRPr="00FA26C3" w:rsidRDefault="00FA26C3" w:rsidP="00FA26C3">
      <w:pPr>
        <w:pStyle w:val="Body"/>
        <w:rPr>
          <w:rFonts w:ascii="Arial" w:hAnsi="Arial" w:cs="Arial"/>
        </w:rPr>
      </w:pPr>
      <w:r w:rsidRPr="00FA26C3">
        <w:rPr>
          <w:rFonts w:ascii="Arial" w:hAnsi="Arial" w:cs="Arial"/>
        </w:rPr>
        <w:t xml:space="preserve">Marathe, N., &amp; Chavan, B. P. (2022). CHNS Analysis of Soil Samples from </w:t>
      </w:r>
      <w:proofErr w:type="spellStart"/>
      <w:proofErr w:type="gramStart"/>
      <w:r w:rsidRPr="00FA26C3">
        <w:rPr>
          <w:rFonts w:ascii="Arial" w:hAnsi="Arial" w:cs="Arial"/>
        </w:rPr>
        <w:t>PatalgangaRiver</w:t>
      </w:r>
      <w:proofErr w:type="spellEnd"/>
      <w:r w:rsidRPr="00FA26C3">
        <w:rPr>
          <w:rFonts w:ascii="Arial" w:hAnsi="Arial" w:cs="Arial"/>
        </w:rPr>
        <w:t>(</w:t>
      </w:r>
      <w:proofErr w:type="gramEnd"/>
      <w:r w:rsidRPr="00FA26C3">
        <w:rPr>
          <w:rFonts w:ascii="Arial" w:hAnsi="Arial" w:cs="Arial"/>
        </w:rPr>
        <w:t>Maharashtra, India). JETIR2203221 Journal of Emerging Technologies and Innovative Research, 9(3), 134–141. www.jetir.orgc134</w:t>
      </w:r>
    </w:p>
    <w:p w14:paraId="4A6333AB" w14:textId="77777777" w:rsidR="00FA26C3" w:rsidRPr="00FA26C3" w:rsidRDefault="00FA26C3" w:rsidP="00FA26C3">
      <w:pPr>
        <w:pStyle w:val="Body"/>
        <w:rPr>
          <w:rFonts w:ascii="Arial" w:hAnsi="Arial" w:cs="Arial"/>
        </w:rPr>
      </w:pPr>
      <w:r w:rsidRPr="00FA26C3">
        <w:rPr>
          <w:rFonts w:ascii="Arial" w:hAnsi="Arial" w:cs="Arial"/>
        </w:rPr>
        <w:t xml:space="preserve">Prabhakar, M., Gopinath, K. A., Sai Sravan, U., </w:t>
      </w:r>
      <w:proofErr w:type="spellStart"/>
      <w:r w:rsidRPr="00FA26C3">
        <w:rPr>
          <w:rFonts w:ascii="Arial" w:hAnsi="Arial" w:cs="Arial"/>
        </w:rPr>
        <w:t>Srasvan</w:t>
      </w:r>
      <w:proofErr w:type="spellEnd"/>
      <w:r w:rsidRPr="00FA26C3">
        <w:rPr>
          <w:rFonts w:ascii="Arial" w:hAnsi="Arial" w:cs="Arial"/>
        </w:rPr>
        <w:t xml:space="preserve"> Kumar, G., Thirupathi, M., Samba Siva, G., </w:t>
      </w:r>
      <w:proofErr w:type="spellStart"/>
      <w:r w:rsidRPr="00FA26C3">
        <w:rPr>
          <w:rFonts w:ascii="Arial" w:hAnsi="Arial" w:cs="Arial"/>
        </w:rPr>
        <w:t>Meghalakshmi</w:t>
      </w:r>
      <w:proofErr w:type="spellEnd"/>
      <w:r w:rsidRPr="00FA26C3">
        <w:rPr>
          <w:rFonts w:ascii="Arial" w:hAnsi="Arial" w:cs="Arial"/>
        </w:rPr>
        <w:t>, G., Ravi Kumar, N., &amp; Singh, V. K. (2023). Potential for yield and soil fertility improvement with integration of organics in nutrient management for finger millet under rainfed Alfisols of Southern India. Frontiers in Nutrition, 10(October). https://doi.org/10.3389/fnut.2023.1095449</w:t>
      </w:r>
    </w:p>
    <w:p w14:paraId="5AC215A4" w14:textId="77777777" w:rsidR="00FA26C3" w:rsidRPr="00FA26C3" w:rsidRDefault="00FA26C3" w:rsidP="00FA26C3">
      <w:pPr>
        <w:pStyle w:val="Body"/>
        <w:rPr>
          <w:rFonts w:ascii="Arial" w:hAnsi="Arial" w:cs="Arial"/>
        </w:rPr>
      </w:pPr>
      <w:r w:rsidRPr="00FA26C3">
        <w:rPr>
          <w:rFonts w:ascii="Arial" w:hAnsi="Arial" w:cs="Arial"/>
        </w:rPr>
        <w:t xml:space="preserve">Rangaiah, K. M., Nagaraju, B., </w:t>
      </w:r>
      <w:proofErr w:type="spellStart"/>
      <w:r w:rsidRPr="00FA26C3">
        <w:rPr>
          <w:rFonts w:ascii="Arial" w:hAnsi="Arial" w:cs="Arial"/>
        </w:rPr>
        <w:t>Kasturappa</w:t>
      </w:r>
      <w:proofErr w:type="spellEnd"/>
      <w:r w:rsidRPr="00FA26C3">
        <w:rPr>
          <w:rFonts w:ascii="Arial" w:hAnsi="Arial" w:cs="Arial"/>
        </w:rPr>
        <w:t xml:space="preserve">, G., </w:t>
      </w:r>
      <w:proofErr w:type="spellStart"/>
      <w:r w:rsidRPr="00FA26C3">
        <w:rPr>
          <w:rFonts w:ascii="Arial" w:hAnsi="Arial" w:cs="Arial"/>
        </w:rPr>
        <w:t>Maragondanadibba</w:t>
      </w:r>
      <w:proofErr w:type="spellEnd"/>
      <w:r w:rsidRPr="00FA26C3">
        <w:rPr>
          <w:rFonts w:ascii="Arial" w:hAnsi="Arial" w:cs="Arial"/>
        </w:rPr>
        <w:t xml:space="preserve"> </w:t>
      </w:r>
      <w:proofErr w:type="spellStart"/>
      <w:r w:rsidRPr="00FA26C3">
        <w:rPr>
          <w:rFonts w:ascii="Arial" w:hAnsi="Arial" w:cs="Arial"/>
        </w:rPr>
        <w:t>Nanjundappa</w:t>
      </w:r>
      <w:proofErr w:type="spellEnd"/>
      <w:r w:rsidRPr="00FA26C3">
        <w:rPr>
          <w:rFonts w:ascii="Arial" w:hAnsi="Arial" w:cs="Arial"/>
        </w:rPr>
        <w:t xml:space="preserve">, S., </w:t>
      </w:r>
      <w:proofErr w:type="spellStart"/>
      <w:r w:rsidRPr="00FA26C3">
        <w:rPr>
          <w:rFonts w:ascii="Arial" w:hAnsi="Arial" w:cs="Arial"/>
        </w:rPr>
        <w:t>Sugaturu</w:t>
      </w:r>
      <w:proofErr w:type="spellEnd"/>
      <w:r w:rsidRPr="00FA26C3">
        <w:rPr>
          <w:rFonts w:ascii="Arial" w:hAnsi="Arial" w:cs="Arial"/>
        </w:rPr>
        <w:t xml:space="preserve"> </w:t>
      </w:r>
      <w:proofErr w:type="spellStart"/>
      <w:r w:rsidRPr="00FA26C3">
        <w:rPr>
          <w:rFonts w:ascii="Arial" w:hAnsi="Arial" w:cs="Arial"/>
        </w:rPr>
        <w:t>Narayanaswamy</w:t>
      </w:r>
      <w:proofErr w:type="spellEnd"/>
      <w:r w:rsidRPr="00FA26C3">
        <w:rPr>
          <w:rFonts w:ascii="Arial" w:hAnsi="Arial" w:cs="Arial"/>
        </w:rPr>
        <w:t>, U. K., Srivastava, S., &amp; Dey, P. (2025). Assessment of fertilizer prescription equations, crop and soil performance with different nutrient management practices for green gram (Vigna radiata) in Southern India’s Alfisols. Scientific Reports, 15(1), 1–14. https://doi.org/10.1038/s41598-025-04738-2</w:t>
      </w:r>
    </w:p>
    <w:p w14:paraId="62C50B58" w14:textId="77777777" w:rsidR="00FA26C3" w:rsidRPr="00FA26C3" w:rsidRDefault="00FA26C3" w:rsidP="00FA26C3">
      <w:pPr>
        <w:pStyle w:val="Body"/>
        <w:rPr>
          <w:rFonts w:ascii="Arial" w:hAnsi="Arial" w:cs="Arial"/>
        </w:rPr>
      </w:pPr>
      <w:r w:rsidRPr="00FA26C3">
        <w:rPr>
          <w:rFonts w:ascii="Arial" w:hAnsi="Arial" w:cs="Arial"/>
        </w:rPr>
        <w:t xml:space="preserve">Shaheen, S. M., Rinklebe, J., &amp; Selim, M. H. (2015). Impact of various amendments on immobilization and </w:t>
      </w:r>
      <w:proofErr w:type="spellStart"/>
      <w:r w:rsidRPr="00FA26C3">
        <w:rPr>
          <w:rFonts w:ascii="Arial" w:hAnsi="Arial" w:cs="Arial"/>
        </w:rPr>
        <w:t>phytoavailability</w:t>
      </w:r>
      <w:proofErr w:type="spellEnd"/>
      <w:r w:rsidRPr="00FA26C3">
        <w:rPr>
          <w:rFonts w:ascii="Arial" w:hAnsi="Arial" w:cs="Arial"/>
        </w:rPr>
        <w:t xml:space="preserve"> of nickel and zinc in a contaminated floodplain soil. International Journal of Environmental Science and Technology, 12(9), 2765–2776. https://doi.org/10.1007/s13762-014-0713-x</w:t>
      </w:r>
    </w:p>
    <w:p w14:paraId="3C5115D9" w14:textId="77777777" w:rsidR="00FA26C3" w:rsidRPr="00FA26C3" w:rsidRDefault="00FA26C3" w:rsidP="00FA26C3">
      <w:pPr>
        <w:pStyle w:val="Body"/>
        <w:rPr>
          <w:rFonts w:ascii="Arial" w:hAnsi="Arial" w:cs="Arial"/>
        </w:rPr>
      </w:pPr>
      <w:r w:rsidRPr="00FA26C3">
        <w:rPr>
          <w:rFonts w:ascii="Arial" w:hAnsi="Arial" w:cs="Arial"/>
        </w:rPr>
        <w:lastRenderedPageBreak/>
        <w:t>Sharma, S. B. (2022). Trend setting impacts of organic matter on soil physico-chemical properties in traditional vis -a- vis chemical-based amendment practices. PLOS Sustainability and Transformation, 1(3), 1–17. https://doi.org/10.1371/journal.pstr.0000007</w:t>
      </w:r>
    </w:p>
    <w:p w14:paraId="0DBFE85F" w14:textId="77777777" w:rsidR="00FA26C3" w:rsidRPr="00FA26C3" w:rsidRDefault="00FA26C3" w:rsidP="00FA26C3">
      <w:pPr>
        <w:pStyle w:val="Body"/>
        <w:rPr>
          <w:rFonts w:ascii="Arial" w:hAnsi="Arial" w:cs="Arial"/>
        </w:rPr>
      </w:pPr>
      <w:r w:rsidRPr="00FA26C3">
        <w:rPr>
          <w:rFonts w:ascii="Arial" w:hAnsi="Arial" w:cs="Arial"/>
        </w:rPr>
        <w:t xml:space="preserve">Singh, S., Janardhana Raju, N., &amp; </w:t>
      </w:r>
      <w:proofErr w:type="spellStart"/>
      <w:r w:rsidRPr="00FA26C3">
        <w:rPr>
          <w:rFonts w:ascii="Arial" w:hAnsi="Arial" w:cs="Arial"/>
        </w:rPr>
        <w:t>RamaKrishna</w:t>
      </w:r>
      <w:proofErr w:type="spellEnd"/>
      <w:r w:rsidRPr="00FA26C3">
        <w:rPr>
          <w:rFonts w:ascii="Arial" w:hAnsi="Arial" w:cs="Arial"/>
        </w:rPr>
        <w:t>, C. (2017). Assessment of the effect of landfill leachate irrigation of different doses on wheat plant growth and harvest index: A laboratory simulation study. Environmental Nanotechnology, Monitoring and Management, 8, 150–156. https://doi.org/10.1016/j.enmm.2017.07.005</w:t>
      </w:r>
    </w:p>
    <w:p w14:paraId="16424361" w14:textId="77777777" w:rsidR="00FA26C3" w:rsidRPr="00FA26C3" w:rsidRDefault="00FA26C3" w:rsidP="00FA26C3">
      <w:pPr>
        <w:pStyle w:val="Body"/>
        <w:rPr>
          <w:rFonts w:ascii="Arial" w:hAnsi="Arial" w:cs="Arial"/>
        </w:rPr>
      </w:pPr>
      <w:r w:rsidRPr="00FA26C3">
        <w:rPr>
          <w:rFonts w:ascii="Arial" w:hAnsi="Arial" w:cs="Arial"/>
        </w:rPr>
        <w:t xml:space="preserve">Singh, T. B., &amp; Singh, S. S. (2024). Influence of Agricultural Practices on Soil pH, EC, and Organic matter in various Agricultural Land in Imphal Valley, Manipur, India. International Journal of Current Research and Academic Review, 12(7), 1–7. </w:t>
      </w:r>
      <w:proofErr w:type="spellStart"/>
      <w:r w:rsidRPr="00FA26C3">
        <w:rPr>
          <w:rFonts w:ascii="Arial" w:hAnsi="Arial" w:cs="Arial"/>
        </w:rPr>
        <w:t>doi</w:t>
      </w:r>
      <w:proofErr w:type="spellEnd"/>
      <w:r w:rsidRPr="00FA26C3">
        <w:rPr>
          <w:rFonts w:ascii="Arial" w:hAnsi="Arial" w:cs="Arial"/>
        </w:rPr>
        <w:t>: https://doi.org/10.20546/ijcrar.2024.1207.001</w:t>
      </w:r>
    </w:p>
    <w:p w14:paraId="071FA2EE" w14:textId="77777777" w:rsidR="00FA26C3" w:rsidRPr="00FA26C3" w:rsidRDefault="00FA26C3" w:rsidP="00FA26C3">
      <w:pPr>
        <w:pStyle w:val="Body"/>
        <w:rPr>
          <w:rFonts w:ascii="Arial" w:hAnsi="Arial" w:cs="Arial"/>
        </w:rPr>
      </w:pPr>
      <w:proofErr w:type="spellStart"/>
      <w:r w:rsidRPr="00FA26C3">
        <w:rPr>
          <w:rFonts w:ascii="Arial" w:hAnsi="Arial" w:cs="Arial"/>
        </w:rPr>
        <w:t>Uchimiya</w:t>
      </w:r>
      <w:proofErr w:type="spellEnd"/>
      <w:r w:rsidRPr="00FA26C3">
        <w:rPr>
          <w:rFonts w:ascii="Arial" w:hAnsi="Arial" w:cs="Arial"/>
        </w:rPr>
        <w:t>, M., Bannon, D., Nakanishi, H., McBride, M. B., Williams, M. A., &amp; Yoshihara, T. (2020). Chemical Speciation, Plant Uptake, and Toxicity of Heavy Metals in Agricultural Soils. Journal of Agricultural and Food Chemistry, 68(46), 12856–12869. https://doi.org/10.1021/acs.jafc.0c00183</w:t>
      </w:r>
    </w:p>
    <w:p w14:paraId="63BA2AE6" w14:textId="77777777" w:rsidR="00FA26C3" w:rsidRPr="00FA26C3" w:rsidRDefault="00FA26C3" w:rsidP="00FA26C3">
      <w:pPr>
        <w:pStyle w:val="Body"/>
        <w:rPr>
          <w:rFonts w:ascii="Arial" w:hAnsi="Arial" w:cs="Arial"/>
        </w:rPr>
      </w:pPr>
      <w:r w:rsidRPr="00FA26C3">
        <w:rPr>
          <w:rFonts w:ascii="Arial" w:hAnsi="Arial" w:cs="Arial"/>
        </w:rPr>
        <w:t>Wei, L., Ding, Q., Guo, H., Xiu, W., &amp; Guo, Z. (2021). Forms and mobility of heavy metals/metalloids in sewage-irrigated soils in the North China Plain. Journal of Soils and Sediments, 21(1), 215–234. https://doi.org/10.1007/s11368-020-02744-7</w:t>
      </w:r>
    </w:p>
    <w:p w14:paraId="6CAE5E51" w14:textId="77777777" w:rsidR="00790ADA" w:rsidRPr="00FB3A86" w:rsidRDefault="00790ADA" w:rsidP="00441B6F">
      <w:pPr>
        <w:pStyle w:val="Body"/>
        <w:spacing w:after="0"/>
        <w:rPr>
          <w:rFonts w:ascii="Arial" w:hAnsi="Arial" w:cs="Arial"/>
        </w:rPr>
      </w:pPr>
    </w:p>
    <w:p w14:paraId="7865389E" w14:textId="0FBA4C99" w:rsidR="004D4277" w:rsidRPr="00FB3A86" w:rsidRDefault="004D4277" w:rsidP="00441B6F">
      <w:pPr>
        <w:pStyle w:val="Appendix"/>
        <w:spacing w:after="0"/>
        <w:jc w:val="both"/>
        <w:rPr>
          <w:rFonts w:ascii="Arial" w:hAnsi="Arial" w:cs="Arial"/>
          <w:b w:val="0"/>
        </w:rPr>
        <w:sectPr w:rsidR="004D4277" w:rsidRPr="00FB3A86" w:rsidSect="00C253F9">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E39F484" w14:textId="77777777" w:rsidR="00B01FCD" w:rsidRPr="00FB3A86" w:rsidRDefault="00B01FCD" w:rsidP="00441B6F">
      <w:pPr>
        <w:pStyle w:val="Appendix"/>
        <w:spacing w:after="0"/>
        <w:jc w:val="both"/>
        <w:rPr>
          <w:rFonts w:ascii="Arial" w:hAnsi="Arial" w:cs="Arial"/>
          <w:b w:val="0"/>
        </w:rPr>
      </w:pPr>
    </w:p>
    <w:sectPr w:rsidR="00B01FCD" w:rsidRPr="00FB3A86" w:rsidSect="00C253F9">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921B0" w14:textId="77777777" w:rsidR="00444727" w:rsidRDefault="00444727" w:rsidP="00C37E61">
      <w:r>
        <w:separator/>
      </w:r>
    </w:p>
  </w:endnote>
  <w:endnote w:type="continuationSeparator" w:id="0">
    <w:p w14:paraId="14B359F4" w14:textId="77777777" w:rsidR="00444727" w:rsidRDefault="004447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E8A5" w14:textId="77777777" w:rsidR="00C253F9" w:rsidRDefault="00C25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205E" w14:textId="77777777" w:rsidR="00C253F9" w:rsidRDefault="00C25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483C" w14:textId="77777777" w:rsidR="009E048A" w:rsidRDefault="009E048A">
    <w:pPr>
      <w:pStyle w:val="Footer"/>
      <w:rPr>
        <w:rFonts w:ascii="Arial" w:hAnsi="Arial" w:cs="Arial"/>
        <w:sz w:val="16"/>
      </w:rPr>
    </w:pPr>
  </w:p>
  <w:p w14:paraId="03B316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87E19EE" w14:textId="77777777" w:rsidR="009E048A" w:rsidRDefault="009E048A">
    <w:pPr>
      <w:pStyle w:val="Footer"/>
      <w:rPr>
        <w:rFonts w:ascii="Arial" w:hAnsi="Arial" w:cs="Arial"/>
        <w:sz w:val="16"/>
      </w:rPr>
    </w:pPr>
  </w:p>
  <w:p w14:paraId="68B56B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8CC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246B" w14:textId="77777777" w:rsidR="00444727" w:rsidRDefault="00444727" w:rsidP="00C37E61">
      <w:r>
        <w:separator/>
      </w:r>
    </w:p>
  </w:footnote>
  <w:footnote w:type="continuationSeparator" w:id="0">
    <w:p w14:paraId="3FCE0A14" w14:textId="77777777" w:rsidR="00444727" w:rsidRDefault="004447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7C43" w14:textId="79941C5A" w:rsidR="00C253F9" w:rsidRDefault="00C253F9">
    <w:pPr>
      <w:pStyle w:val="Header"/>
    </w:pPr>
    <w:r>
      <w:rPr>
        <w:noProof/>
      </w:rPr>
      <w:pict w14:anchorId="19FF7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48D8" w14:textId="49FEF759" w:rsidR="00C253F9" w:rsidRDefault="00C253F9">
    <w:pPr>
      <w:pStyle w:val="Header"/>
    </w:pPr>
    <w:r>
      <w:rPr>
        <w:noProof/>
      </w:rPr>
      <w:pict w14:anchorId="33471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AA2F" w14:textId="3CF13A03" w:rsidR="00296529" w:rsidRPr="00296529" w:rsidRDefault="00C253F9" w:rsidP="00296529">
    <w:pPr>
      <w:ind w:left="2160"/>
      <w:jc w:val="center"/>
      <w:rPr>
        <w:rFonts w:ascii="Times New Roman" w:eastAsia="Calibri" w:hAnsi="Times New Roman"/>
        <w:i/>
        <w:sz w:val="18"/>
        <w:szCs w:val="22"/>
      </w:rPr>
    </w:pPr>
    <w:r>
      <w:rPr>
        <w:noProof/>
      </w:rPr>
      <w:pict w14:anchorId="0BA7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A7848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93CC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0780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E760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7FFD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23C4C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30C0" w14:textId="38BCD354" w:rsidR="00C253F9" w:rsidRDefault="00C253F9">
    <w:pPr>
      <w:pStyle w:val="Header"/>
    </w:pPr>
    <w:r>
      <w:rPr>
        <w:noProof/>
      </w:rPr>
      <w:pict w14:anchorId="3162D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577E" w14:textId="3A3FA68E" w:rsidR="00C253F9" w:rsidRDefault="00C253F9">
    <w:pPr>
      <w:pStyle w:val="Header"/>
    </w:pPr>
    <w:r>
      <w:rPr>
        <w:noProof/>
      </w:rPr>
      <w:pict w14:anchorId="5944A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5FFD" w14:textId="5DF4CD29" w:rsidR="00C253F9" w:rsidRDefault="00C253F9">
    <w:pPr>
      <w:pStyle w:val="Header"/>
    </w:pPr>
    <w:r>
      <w:rPr>
        <w:noProof/>
      </w:rPr>
      <w:pict w14:anchorId="66EAE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53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1457AB"/>
    <w:multiLevelType w:val="multilevel"/>
    <w:tmpl w:val="F81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4727"/>
    <w:rsid w:val="00446221"/>
    <w:rsid w:val="00450E62"/>
    <w:rsid w:val="004539DB"/>
    <w:rsid w:val="00471A80"/>
    <w:rsid w:val="004D305E"/>
    <w:rsid w:val="004D4277"/>
    <w:rsid w:val="004E5681"/>
    <w:rsid w:val="00502516"/>
    <w:rsid w:val="00502C5B"/>
    <w:rsid w:val="00505F06"/>
    <w:rsid w:val="00506828"/>
    <w:rsid w:val="0053056E"/>
    <w:rsid w:val="00554FDA"/>
    <w:rsid w:val="00556C0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5D5C"/>
    <w:rsid w:val="006967F7"/>
    <w:rsid w:val="006A250C"/>
    <w:rsid w:val="006B21D3"/>
    <w:rsid w:val="006B57D0"/>
    <w:rsid w:val="006D30FF"/>
    <w:rsid w:val="006D6940"/>
    <w:rsid w:val="006E135D"/>
    <w:rsid w:val="006E4633"/>
    <w:rsid w:val="006F11EC"/>
    <w:rsid w:val="0070082C"/>
    <w:rsid w:val="007369E6"/>
    <w:rsid w:val="00746E59"/>
    <w:rsid w:val="0075475E"/>
    <w:rsid w:val="00754C9A"/>
    <w:rsid w:val="0075599A"/>
    <w:rsid w:val="00761D52"/>
    <w:rsid w:val="007630B5"/>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40D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6805"/>
    <w:rsid w:val="00B52583"/>
    <w:rsid w:val="00B52896"/>
    <w:rsid w:val="00B95236"/>
    <w:rsid w:val="00B96BD9"/>
    <w:rsid w:val="00BA1B01"/>
    <w:rsid w:val="00BA2641"/>
    <w:rsid w:val="00BB37AA"/>
    <w:rsid w:val="00BC53A0"/>
    <w:rsid w:val="00BE4153"/>
    <w:rsid w:val="00BE62AD"/>
    <w:rsid w:val="00BF121F"/>
    <w:rsid w:val="00BF1F80"/>
    <w:rsid w:val="00C166EF"/>
    <w:rsid w:val="00C17EB0"/>
    <w:rsid w:val="00C253F9"/>
    <w:rsid w:val="00C27F5F"/>
    <w:rsid w:val="00C30A0F"/>
    <w:rsid w:val="00C37E61"/>
    <w:rsid w:val="00C70F1B"/>
    <w:rsid w:val="00C71A47"/>
    <w:rsid w:val="00C7464C"/>
    <w:rsid w:val="00C85588"/>
    <w:rsid w:val="00CD6755"/>
    <w:rsid w:val="00CD6856"/>
    <w:rsid w:val="00CE0089"/>
    <w:rsid w:val="00CE793C"/>
    <w:rsid w:val="00CF193C"/>
    <w:rsid w:val="00D173F1"/>
    <w:rsid w:val="00D27D16"/>
    <w:rsid w:val="00D74CB0"/>
    <w:rsid w:val="00D8295D"/>
    <w:rsid w:val="00DC2A65"/>
    <w:rsid w:val="00DE15F0"/>
    <w:rsid w:val="00DE5663"/>
    <w:rsid w:val="00DE78AA"/>
    <w:rsid w:val="00E053D0"/>
    <w:rsid w:val="00E15994"/>
    <w:rsid w:val="00E17913"/>
    <w:rsid w:val="00E3114E"/>
    <w:rsid w:val="00E31A70"/>
    <w:rsid w:val="00E35B02"/>
    <w:rsid w:val="00E56374"/>
    <w:rsid w:val="00E66496"/>
    <w:rsid w:val="00E66B35"/>
    <w:rsid w:val="00E66E10"/>
    <w:rsid w:val="00E769F6"/>
    <w:rsid w:val="00E80EBF"/>
    <w:rsid w:val="00E8407C"/>
    <w:rsid w:val="00E84F3C"/>
    <w:rsid w:val="00EA012C"/>
    <w:rsid w:val="00EC6A55"/>
    <w:rsid w:val="00ED0288"/>
    <w:rsid w:val="00EE52CB"/>
    <w:rsid w:val="00EF581D"/>
    <w:rsid w:val="00EF7FD8"/>
    <w:rsid w:val="00F06F59"/>
    <w:rsid w:val="00F17988"/>
    <w:rsid w:val="00F37555"/>
    <w:rsid w:val="00F469F0"/>
    <w:rsid w:val="00F53273"/>
    <w:rsid w:val="00F556D8"/>
    <w:rsid w:val="00F755E4"/>
    <w:rsid w:val="00F77D02"/>
    <w:rsid w:val="00FA26C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 id="V:Rule2" type="connector" idref="#_x0000_s1026"/>
      </o:rules>
    </o:shapelayout>
  </w:shapeDefaults>
  <w:decimalSymbol w:val="."/>
  <w:listSeparator w:val=","/>
  <w14:docId w14:val="4E1B71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646d9d0fb4ead027/Documents/welch%20t%20test%20for%20paper%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646d9d0fb4ead027/Documents/welch%20t%20test%20for%20paper%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Sheet4!$A$4</c:f>
              <c:strCache>
                <c:ptCount val="1"/>
                <c:pt idx="0">
                  <c:v>Zn</c:v>
                </c:pt>
              </c:strCache>
            </c:strRef>
          </c:tx>
          <c:spPr>
            <a:solidFill>
              <a:schemeClr val="accent1"/>
            </a:solidFill>
            <a:ln>
              <a:noFill/>
            </a:ln>
            <a:effectLst/>
          </c:spPr>
          <c:invertIfNegative val="0"/>
          <c:cat>
            <c:multiLvlStrRef>
              <c:f>Sheet4!$B$2:$G$3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Sheet4!$B$4:$G$4</c:f>
              <c:numCache>
                <c:formatCode>0.00</c:formatCode>
                <c:ptCount val="6"/>
                <c:pt idx="0">
                  <c:v>21.980399999999999</c:v>
                </c:pt>
                <c:pt idx="1">
                  <c:v>40.549799999999998</c:v>
                </c:pt>
                <c:pt idx="2">
                  <c:v>26.150200000000002</c:v>
                </c:pt>
                <c:pt idx="3">
                  <c:v>18.059999999999999</c:v>
                </c:pt>
                <c:pt idx="4">
                  <c:v>24.97</c:v>
                </c:pt>
                <c:pt idx="5">
                  <c:v>14.51</c:v>
                </c:pt>
              </c:numCache>
            </c:numRef>
          </c:val>
          <c:extLst>
            <c:ext xmlns:c16="http://schemas.microsoft.com/office/drawing/2014/chart" uri="{C3380CC4-5D6E-409C-BE32-E72D297353CC}">
              <c16:uniqueId val="{00000000-9A66-4387-8A96-AF90DC2429B0}"/>
            </c:ext>
          </c:extLst>
        </c:ser>
        <c:ser>
          <c:idx val="1"/>
          <c:order val="1"/>
          <c:tx>
            <c:strRef>
              <c:f>Sheet4!$A$5</c:f>
              <c:strCache>
                <c:ptCount val="1"/>
                <c:pt idx="0">
                  <c:v>Cu</c:v>
                </c:pt>
              </c:strCache>
            </c:strRef>
          </c:tx>
          <c:spPr>
            <a:solidFill>
              <a:schemeClr val="accent2"/>
            </a:solidFill>
            <a:ln>
              <a:noFill/>
            </a:ln>
            <a:effectLst/>
          </c:spPr>
          <c:invertIfNegative val="0"/>
          <c:cat>
            <c:multiLvlStrRef>
              <c:f>Sheet4!$B$2:$G$3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Sheet4!$B$5:$G$5</c:f>
              <c:numCache>
                <c:formatCode>0.00</c:formatCode>
                <c:ptCount val="6"/>
                <c:pt idx="0">
                  <c:v>4.2220000000000004</c:v>
                </c:pt>
                <c:pt idx="1">
                  <c:v>5.7949999999999999</c:v>
                </c:pt>
                <c:pt idx="2">
                  <c:v>1.573</c:v>
                </c:pt>
                <c:pt idx="3">
                  <c:v>1.8211999999999999</c:v>
                </c:pt>
                <c:pt idx="4">
                  <c:v>3.8081999999999998</c:v>
                </c:pt>
                <c:pt idx="5">
                  <c:v>3.3944000000000001</c:v>
                </c:pt>
              </c:numCache>
            </c:numRef>
          </c:val>
          <c:extLst>
            <c:ext xmlns:c16="http://schemas.microsoft.com/office/drawing/2014/chart" uri="{C3380CC4-5D6E-409C-BE32-E72D297353CC}">
              <c16:uniqueId val="{00000001-9A66-4387-8A96-AF90DC2429B0}"/>
            </c:ext>
          </c:extLst>
        </c:ser>
        <c:ser>
          <c:idx val="2"/>
          <c:order val="2"/>
          <c:tx>
            <c:strRef>
              <c:f>Sheet4!$A$6</c:f>
              <c:strCache>
                <c:ptCount val="1"/>
                <c:pt idx="0">
                  <c:v>Ni</c:v>
                </c:pt>
              </c:strCache>
            </c:strRef>
          </c:tx>
          <c:spPr>
            <a:solidFill>
              <a:schemeClr val="accent3"/>
            </a:solidFill>
            <a:ln>
              <a:noFill/>
            </a:ln>
            <a:effectLst/>
          </c:spPr>
          <c:invertIfNegative val="0"/>
          <c:cat>
            <c:multiLvlStrRef>
              <c:f>Sheet4!$B$2:$G$3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Sheet4!$B$6:$G$6</c:f>
              <c:numCache>
                <c:formatCode>0.00</c:formatCode>
                <c:ptCount val="6"/>
                <c:pt idx="0">
                  <c:v>3.0404</c:v>
                </c:pt>
                <c:pt idx="1">
                  <c:v>2.1850000000000001</c:v>
                </c:pt>
                <c:pt idx="2">
                  <c:v>3.6383999999999999</c:v>
                </c:pt>
                <c:pt idx="3">
                  <c:v>2.2850000000000001</c:v>
                </c:pt>
                <c:pt idx="4">
                  <c:v>3.8104</c:v>
                </c:pt>
                <c:pt idx="5">
                  <c:v>2.62</c:v>
                </c:pt>
              </c:numCache>
            </c:numRef>
          </c:val>
          <c:extLst>
            <c:ext xmlns:c16="http://schemas.microsoft.com/office/drawing/2014/chart" uri="{C3380CC4-5D6E-409C-BE32-E72D297353CC}">
              <c16:uniqueId val="{00000002-9A66-4387-8A96-AF90DC2429B0}"/>
            </c:ext>
          </c:extLst>
        </c:ser>
        <c:ser>
          <c:idx val="3"/>
          <c:order val="3"/>
          <c:tx>
            <c:strRef>
              <c:f>Sheet4!$A$7</c:f>
              <c:strCache>
                <c:ptCount val="1"/>
                <c:pt idx="0">
                  <c:v>Pb</c:v>
                </c:pt>
              </c:strCache>
            </c:strRef>
          </c:tx>
          <c:spPr>
            <a:solidFill>
              <a:srgbClr val="FFFF00"/>
            </a:solidFill>
            <a:ln>
              <a:noFill/>
            </a:ln>
            <a:effectLst/>
          </c:spPr>
          <c:invertIfNegative val="0"/>
          <c:cat>
            <c:multiLvlStrRef>
              <c:f>Sheet4!$B$2:$G$3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Sheet4!$B$7:$G$7</c:f>
              <c:numCache>
                <c:formatCode>0.00</c:formatCode>
                <c:ptCount val="6"/>
                <c:pt idx="0">
                  <c:v>1.5476000000000001</c:v>
                </c:pt>
                <c:pt idx="1">
                  <c:v>1.4336</c:v>
                </c:pt>
                <c:pt idx="2">
                  <c:v>0.54579999999999995</c:v>
                </c:pt>
                <c:pt idx="3">
                  <c:v>0.72299999999999998</c:v>
                </c:pt>
                <c:pt idx="4">
                  <c:v>1.5616000000000001</c:v>
                </c:pt>
                <c:pt idx="5">
                  <c:v>0.4894</c:v>
                </c:pt>
              </c:numCache>
            </c:numRef>
          </c:val>
          <c:extLst>
            <c:ext xmlns:c16="http://schemas.microsoft.com/office/drawing/2014/chart" uri="{C3380CC4-5D6E-409C-BE32-E72D297353CC}">
              <c16:uniqueId val="{00000003-9A66-4387-8A96-AF90DC2429B0}"/>
            </c:ext>
          </c:extLst>
        </c:ser>
        <c:ser>
          <c:idx val="4"/>
          <c:order val="4"/>
          <c:tx>
            <c:strRef>
              <c:f>Sheet4!$A$8</c:f>
              <c:strCache>
                <c:ptCount val="1"/>
                <c:pt idx="0">
                  <c:v>Cd </c:v>
                </c:pt>
              </c:strCache>
            </c:strRef>
          </c:tx>
          <c:spPr>
            <a:solidFill>
              <a:schemeClr val="accent5"/>
            </a:solidFill>
            <a:ln>
              <a:noFill/>
            </a:ln>
            <a:effectLst/>
          </c:spPr>
          <c:invertIfNegative val="0"/>
          <c:cat>
            <c:multiLvlStrRef>
              <c:f>Sheet4!$B$2:$G$3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Sheet4!$B$8:$G$8</c:f>
              <c:numCache>
                <c:formatCode>0.00</c:formatCode>
                <c:ptCount val="6"/>
                <c:pt idx="0">
                  <c:v>6.8199999999999997E-2</c:v>
                </c:pt>
                <c:pt idx="1">
                  <c:v>6.7799999999999999E-2</c:v>
                </c:pt>
                <c:pt idx="2">
                  <c:v>1.4E-2</c:v>
                </c:pt>
                <c:pt idx="3">
                  <c:v>1.8200000000000001E-2</c:v>
                </c:pt>
                <c:pt idx="4">
                  <c:v>0.20979999999999999</c:v>
                </c:pt>
                <c:pt idx="5">
                  <c:v>0.115</c:v>
                </c:pt>
              </c:numCache>
            </c:numRef>
          </c:val>
          <c:extLst>
            <c:ext xmlns:c16="http://schemas.microsoft.com/office/drawing/2014/chart" uri="{C3380CC4-5D6E-409C-BE32-E72D297353CC}">
              <c16:uniqueId val="{00000004-9A66-4387-8A96-AF90DC2429B0}"/>
            </c:ext>
          </c:extLst>
        </c:ser>
        <c:ser>
          <c:idx val="5"/>
          <c:order val="5"/>
          <c:tx>
            <c:strRef>
              <c:f>Sheet4!$A$9</c:f>
              <c:strCache>
                <c:ptCount val="1"/>
                <c:pt idx="0">
                  <c:v>Cr </c:v>
                </c:pt>
              </c:strCache>
            </c:strRef>
          </c:tx>
          <c:spPr>
            <a:solidFill>
              <a:schemeClr val="accent6"/>
            </a:solidFill>
            <a:ln>
              <a:noFill/>
            </a:ln>
            <a:effectLst/>
          </c:spPr>
          <c:invertIfNegative val="0"/>
          <c:cat>
            <c:multiLvlStrRef>
              <c:f>Sheet4!$B$2:$G$3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Sheet4!$B$9:$G$9</c:f>
              <c:numCache>
                <c:formatCode>0.00</c:formatCode>
                <c:ptCount val="6"/>
                <c:pt idx="0">
                  <c:v>5.3487999999999998</c:v>
                </c:pt>
                <c:pt idx="1">
                  <c:v>4.3066000000000004</c:v>
                </c:pt>
                <c:pt idx="2">
                  <c:v>4.6786000000000003</c:v>
                </c:pt>
                <c:pt idx="3">
                  <c:v>4.4059999999999997</c:v>
                </c:pt>
                <c:pt idx="4">
                  <c:v>1.9530000000000001</c:v>
                </c:pt>
                <c:pt idx="5">
                  <c:v>2.1208</c:v>
                </c:pt>
              </c:numCache>
            </c:numRef>
          </c:val>
          <c:extLst>
            <c:ext xmlns:c16="http://schemas.microsoft.com/office/drawing/2014/chart" uri="{C3380CC4-5D6E-409C-BE32-E72D297353CC}">
              <c16:uniqueId val="{00000005-9A66-4387-8A96-AF90DC2429B0}"/>
            </c:ext>
          </c:extLst>
        </c:ser>
        <c:dLbls>
          <c:showLegendKey val="0"/>
          <c:showVal val="0"/>
          <c:showCatName val="0"/>
          <c:showSerName val="0"/>
          <c:showPercent val="0"/>
          <c:showBubbleSize val="0"/>
        </c:dLbls>
        <c:gapWidth val="150"/>
        <c:overlap val="100"/>
        <c:axId val="173905792"/>
        <c:axId val="173907328"/>
      </c:barChart>
      <c:catAx>
        <c:axId val="173905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173907328"/>
        <c:crosses val="autoZero"/>
        <c:auto val="1"/>
        <c:lblAlgn val="ctr"/>
        <c:lblOffset val="100"/>
        <c:noMultiLvlLbl val="0"/>
      </c:catAx>
      <c:valAx>
        <c:axId val="1739073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Heavy metal concentration in mg/kg</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390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Sheet4!$A$14</c:f>
              <c:strCache>
                <c:ptCount val="1"/>
                <c:pt idx="0">
                  <c:v>Zn</c:v>
                </c:pt>
              </c:strCache>
            </c:strRef>
          </c:tx>
          <c:spPr>
            <a:solidFill>
              <a:schemeClr val="accent1"/>
            </a:solidFill>
            <a:ln>
              <a:noFill/>
            </a:ln>
            <a:effectLst/>
          </c:spPr>
          <c:invertIfNegative val="0"/>
          <c:cat>
            <c:multiLvlStrRef>
              <c:f>Sheet4!$B$12:$G$13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Sheet4!$B$14:$G$14</c:f>
              <c:numCache>
                <c:formatCode>0.00</c:formatCode>
                <c:ptCount val="6"/>
                <c:pt idx="0">
                  <c:v>12.2302</c:v>
                </c:pt>
                <c:pt idx="1">
                  <c:v>22.05</c:v>
                </c:pt>
                <c:pt idx="2">
                  <c:v>2.48</c:v>
                </c:pt>
                <c:pt idx="3">
                  <c:v>6.12</c:v>
                </c:pt>
                <c:pt idx="4">
                  <c:v>16.47</c:v>
                </c:pt>
                <c:pt idx="5">
                  <c:v>18.59</c:v>
                </c:pt>
              </c:numCache>
            </c:numRef>
          </c:val>
          <c:extLst>
            <c:ext xmlns:c16="http://schemas.microsoft.com/office/drawing/2014/chart" uri="{C3380CC4-5D6E-409C-BE32-E72D297353CC}">
              <c16:uniqueId val="{00000000-7B75-49FA-841B-683C63F210F9}"/>
            </c:ext>
          </c:extLst>
        </c:ser>
        <c:ser>
          <c:idx val="1"/>
          <c:order val="1"/>
          <c:tx>
            <c:strRef>
              <c:f>Sheet4!$A$15</c:f>
              <c:strCache>
                <c:ptCount val="1"/>
                <c:pt idx="0">
                  <c:v>Cu</c:v>
                </c:pt>
              </c:strCache>
            </c:strRef>
          </c:tx>
          <c:spPr>
            <a:solidFill>
              <a:schemeClr val="accent2"/>
            </a:solidFill>
            <a:ln>
              <a:noFill/>
            </a:ln>
            <a:effectLst/>
          </c:spPr>
          <c:invertIfNegative val="0"/>
          <c:cat>
            <c:multiLvlStrRef>
              <c:f>Sheet4!$B$12:$G$13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Sheet4!$B$15:$G$15</c:f>
              <c:numCache>
                <c:formatCode>0.00</c:formatCode>
                <c:ptCount val="6"/>
                <c:pt idx="0">
                  <c:v>3.5604</c:v>
                </c:pt>
                <c:pt idx="1">
                  <c:v>3.4769999999999999</c:v>
                </c:pt>
                <c:pt idx="2">
                  <c:v>0.745</c:v>
                </c:pt>
                <c:pt idx="3">
                  <c:v>1.9874000000000001</c:v>
                </c:pt>
                <c:pt idx="4">
                  <c:v>3.7248000000000001</c:v>
                </c:pt>
                <c:pt idx="5">
                  <c:v>5.2149999999999999</c:v>
                </c:pt>
              </c:numCache>
            </c:numRef>
          </c:val>
          <c:extLst>
            <c:ext xmlns:c16="http://schemas.microsoft.com/office/drawing/2014/chart" uri="{C3380CC4-5D6E-409C-BE32-E72D297353CC}">
              <c16:uniqueId val="{00000001-7B75-49FA-841B-683C63F210F9}"/>
            </c:ext>
          </c:extLst>
        </c:ser>
        <c:ser>
          <c:idx val="2"/>
          <c:order val="2"/>
          <c:tx>
            <c:strRef>
              <c:f>Sheet4!$A$16</c:f>
              <c:strCache>
                <c:ptCount val="1"/>
                <c:pt idx="0">
                  <c:v>Ni</c:v>
                </c:pt>
              </c:strCache>
            </c:strRef>
          </c:tx>
          <c:spPr>
            <a:solidFill>
              <a:schemeClr val="accent3"/>
            </a:solidFill>
            <a:ln>
              <a:noFill/>
            </a:ln>
            <a:effectLst/>
          </c:spPr>
          <c:invertIfNegative val="0"/>
          <c:cat>
            <c:multiLvlStrRef>
              <c:f>Sheet4!$B$12:$G$13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Sheet4!$B$16:$G$16</c:f>
              <c:numCache>
                <c:formatCode>0.00</c:formatCode>
                <c:ptCount val="6"/>
                <c:pt idx="0">
                  <c:v>0.96379999999999999</c:v>
                </c:pt>
                <c:pt idx="1">
                  <c:v>0.48060000000000003</c:v>
                </c:pt>
                <c:pt idx="2">
                  <c:v>1.4470000000000001</c:v>
                </c:pt>
                <c:pt idx="3">
                  <c:v>1.5589999999999999</c:v>
                </c:pt>
                <c:pt idx="4">
                  <c:v>1.1688000000000001</c:v>
                </c:pt>
                <c:pt idx="5">
                  <c:v>0.627</c:v>
                </c:pt>
              </c:numCache>
            </c:numRef>
          </c:val>
          <c:extLst>
            <c:ext xmlns:c16="http://schemas.microsoft.com/office/drawing/2014/chart" uri="{C3380CC4-5D6E-409C-BE32-E72D297353CC}">
              <c16:uniqueId val="{00000002-7B75-49FA-841B-683C63F210F9}"/>
            </c:ext>
          </c:extLst>
        </c:ser>
        <c:ser>
          <c:idx val="3"/>
          <c:order val="3"/>
          <c:tx>
            <c:strRef>
              <c:f>Sheet4!$A$17</c:f>
              <c:strCache>
                <c:ptCount val="1"/>
                <c:pt idx="0">
                  <c:v>Pb</c:v>
                </c:pt>
              </c:strCache>
            </c:strRef>
          </c:tx>
          <c:spPr>
            <a:solidFill>
              <a:srgbClr val="FFFF00"/>
            </a:solidFill>
            <a:ln>
              <a:noFill/>
            </a:ln>
            <a:effectLst/>
          </c:spPr>
          <c:invertIfNegative val="0"/>
          <c:cat>
            <c:multiLvlStrRef>
              <c:f>Sheet4!$B$12:$G$13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Sheet4!$B$17:$G$17</c:f>
              <c:numCache>
                <c:formatCode>0.00</c:formatCode>
                <c:ptCount val="6"/>
                <c:pt idx="0">
                  <c:v>7.9399999999999998E-2</c:v>
                </c:pt>
                <c:pt idx="1">
                  <c:v>3.8600000000000002E-2</c:v>
                </c:pt>
                <c:pt idx="2">
                  <c:v>-0.1258</c:v>
                </c:pt>
                <c:pt idx="3">
                  <c:v>-0.193</c:v>
                </c:pt>
                <c:pt idx="4">
                  <c:v>9.06E-2</c:v>
                </c:pt>
                <c:pt idx="5">
                  <c:v>0.30159999999999998</c:v>
                </c:pt>
              </c:numCache>
            </c:numRef>
          </c:val>
          <c:extLst>
            <c:ext xmlns:c16="http://schemas.microsoft.com/office/drawing/2014/chart" uri="{C3380CC4-5D6E-409C-BE32-E72D297353CC}">
              <c16:uniqueId val="{00000003-7B75-49FA-841B-683C63F210F9}"/>
            </c:ext>
          </c:extLst>
        </c:ser>
        <c:ser>
          <c:idx val="4"/>
          <c:order val="4"/>
          <c:tx>
            <c:strRef>
              <c:f>Sheet4!$A$18</c:f>
              <c:strCache>
                <c:ptCount val="1"/>
                <c:pt idx="0">
                  <c:v>Cd </c:v>
                </c:pt>
              </c:strCache>
            </c:strRef>
          </c:tx>
          <c:spPr>
            <a:solidFill>
              <a:schemeClr val="accent5"/>
            </a:solidFill>
            <a:ln>
              <a:noFill/>
            </a:ln>
            <a:effectLst/>
          </c:spPr>
          <c:invertIfNegative val="0"/>
          <c:cat>
            <c:multiLvlStrRef>
              <c:f>Sheet4!$B$12:$G$13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Sheet4!$B$18:$G$18</c:f>
              <c:numCache>
                <c:formatCode>0.00</c:formatCode>
                <c:ptCount val="6"/>
                <c:pt idx="0">
                  <c:v>-9.4000000000000004E-3</c:v>
                </c:pt>
                <c:pt idx="1">
                  <c:v>1.18E-2</c:v>
                </c:pt>
                <c:pt idx="2">
                  <c:v>1.2200000000000001E-2</c:v>
                </c:pt>
                <c:pt idx="3">
                  <c:v>-1.18E-2</c:v>
                </c:pt>
                <c:pt idx="4">
                  <c:v>8.0000000000000002E-3</c:v>
                </c:pt>
                <c:pt idx="5" formatCode="0.000">
                  <c:v>2.3999999999999998E-3</c:v>
                </c:pt>
              </c:numCache>
            </c:numRef>
          </c:val>
          <c:extLst>
            <c:ext xmlns:c16="http://schemas.microsoft.com/office/drawing/2014/chart" uri="{C3380CC4-5D6E-409C-BE32-E72D297353CC}">
              <c16:uniqueId val="{00000004-7B75-49FA-841B-683C63F210F9}"/>
            </c:ext>
          </c:extLst>
        </c:ser>
        <c:ser>
          <c:idx val="5"/>
          <c:order val="5"/>
          <c:tx>
            <c:strRef>
              <c:f>Sheet4!$A$19</c:f>
              <c:strCache>
                <c:ptCount val="1"/>
                <c:pt idx="0">
                  <c:v>Cr </c:v>
                </c:pt>
              </c:strCache>
            </c:strRef>
          </c:tx>
          <c:spPr>
            <a:solidFill>
              <a:schemeClr val="accent6"/>
            </a:solidFill>
            <a:ln>
              <a:noFill/>
            </a:ln>
            <a:effectLst/>
          </c:spPr>
          <c:invertIfNegative val="0"/>
          <c:cat>
            <c:multiLvlStrRef>
              <c:f>Sheet4!$B$12:$G$13</c:f>
              <c:multiLvlStrCache>
                <c:ptCount val="6"/>
                <c:lvl>
                  <c:pt idx="0">
                    <c:v>C</c:v>
                  </c:pt>
                  <c:pt idx="1">
                    <c:v>A</c:v>
                  </c:pt>
                  <c:pt idx="2">
                    <c:v>C</c:v>
                  </c:pt>
                  <c:pt idx="3">
                    <c:v>A</c:v>
                  </c:pt>
                  <c:pt idx="4">
                    <c:v>C</c:v>
                  </c:pt>
                  <c:pt idx="5">
                    <c:v>A</c:v>
                  </c:pt>
                </c:lvl>
                <c:lvl>
                  <c:pt idx="0">
                    <c:v>Ragi </c:v>
                  </c:pt>
                  <c:pt idx="2">
                    <c:v>Maize </c:v>
                  </c:pt>
                  <c:pt idx="4">
                    <c:v>Gr.gram</c:v>
                  </c:pt>
                </c:lvl>
              </c:multiLvlStrCache>
            </c:multiLvlStrRef>
          </c:cat>
          <c:val>
            <c:numRef>
              <c:f>Sheet4!$B$19:$G$19</c:f>
              <c:numCache>
                <c:formatCode>0.00</c:formatCode>
                <c:ptCount val="6"/>
                <c:pt idx="0">
                  <c:v>0.57299999999999995</c:v>
                </c:pt>
                <c:pt idx="1">
                  <c:v>1.0691999999999999</c:v>
                </c:pt>
                <c:pt idx="2">
                  <c:v>0.94299999999999995</c:v>
                </c:pt>
                <c:pt idx="3">
                  <c:v>0.42059999999999997</c:v>
                </c:pt>
                <c:pt idx="4">
                  <c:v>1.151</c:v>
                </c:pt>
                <c:pt idx="5">
                  <c:v>0.71940000000000004</c:v>
                </c:pt>
              </c:numCache>
            </c:numRef>
          </c:val>
          <c:extLst>
            <c:ext xmlns:c16="http://schemas.microsoft.com/office/drawing/2014/chart" uri="{C3380CC4-5D6E-409C-BE32-E72D297353CC}">
              <c16:uniqueId val="{00000005-7B75-49FA-841B-683C63F210F9}"/>
            </c:ext>
          </c:extLst>
        </c:ser>
        <c:dLbls>
          <c:showLegendKey val="0"/>
          <c:showVal val="0"/>
          <c:showCatName val="0"/>
          <c:showSerName val="0"/>
          <c:showPercent val="0"/>
          <c:showBubbleSize val="0"/>
        </c:dLbls>
        <c:gapWidth val="150"/>
        <c:overlap val="100"/>
        <c:axId val="226568448"/>
        <c:axId val="226574336"/>
      </c:barChart>
      <c:catAx>
        <c:axId val="226568448"/>
        <c:scaling>
          <c:orientation val="minMax"/>
        </c:scaling>
        <c:delete val="1"/>
        <c:axPos val="l"/>
        <c:numFmt formatCode="General" sourceLinked="1"/>
        <c:majorTickMark val="none"/>
        <c:minorTickMark val="none"/>
        <c:tickLblPos val="nextTo"/>
        <c:crossAx val="226574336"/>
        <c:crosses val="autoZero"/>
        <c:auto val="1"/>
        <c:lblAlgn val="ctr"/>
        <c:lblOffset val="100"/>
        <c:noMultiLvlLbl val="0"/>
      </c:catAx>
      <c:valAx>
        <c:axId val="2265743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1" i="0" u="none" strike="noStrike" kern="1200" baseline="0">
                    <a:solidFill>
                      <a:sysClr val="windowText" lastClr="000000">
                        <a:lumMod val="65000"/>
                        <a:lumOff val="35000"/>
                      </a:sysClr>
                    </a:solidFill>
                  </a:rPr>
                  <a:t>Heavy metal concentration in mg/kg</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2656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2F7A-DAAF-433C-99B5-C6C0CDB6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15</Pages>
  <Words>16976</Words>
  <Characters>96769</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113518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2026-03-23T12:37:00Z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91baac23-525e-42ab-ba98-9ee4458bf4fc</vt:lpwstr>
  </property>
</Properties>
</file>