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5447F" w14:textId="76132ADB" w:rsidR="007D5554" w:rsidRPr="004F0D74" w:rsidRDefault="007D5554" w:rsidP="006E7425">
      <w:pPr>
        <w:jc w:val="center"/>
        <w:rPr>
          <w:rFonts w:ascii="Times New Roman" w:hAnsi="Times New Roman" w:cs="Times New Roman"/>
          <w:b/>
          <w:bCs/>
        </w:rPr>
      </w:pPr>
      <w:r w:rsidRPr="004F0D74">
        <w:rPr>
          <w:rFonts w:ascii="Times New Roman" w:hAnsi="Times New Roman" w:cs="Times New Roman"/>
          <w:b/>
          <w:bCs/>
        </w:rPr>
        <w:t xml:space="preserve">Tree Vegetation Structure and </w:t>
      </w:r>
      <w:r w:rsidR="006E7425" w:rsidRPr="004F0D74">
        <w:rPr>
          <w:rFonts w:ascii="Times New Roman" w:hAnsi="Times New Roman" w:cs="Times New Roman"/>
          <w:b/>
          <w:bCs/>
        </w:rPr>
        <w:t>Carbon dynamics of Himalayan community forests under the Van Panchayat system, Uttarakhand, India</w:t>
      </w:r>
    </w:p>
    <w:p w14:paraId="06941E2F" w14:textId="77777777" w:rsidR="002806EF" w:rsidRPr="004F0D74" w:rsidRDefault="002806EF" w:rsidP="00C3651D">
      <w:pPr>
        <w:jc w:val="both"/>
        <w:rPr>
          <w:rFonts w:ascii="Times New Roman" w:hAnsi="Times New Roman" w:cs="Times New Roman"/>
        </w:rPr>
      </w:pPr>
    </w:p>
    <w:p w14:paraId="7717FE42" w14:textId="77777777" w:rsidR="00100BDD" w:rsidRPr="004F0D74" w:rsidRDefault="00100BDD" w:rsidP="00C3651D">
      <w:pPr>
        <w:jc w:val="both"/>
        <w:rPr>
          <w:rFonts w:ascii="Times New Roman" w:hAnsi="Times New Roman" w:cs="Times New Roman"/>
          <w:b/>
          <w:bCs/>
        </w:rPr>
      </w:pPr>
    </w:p>
    <w:p w14:paraId="582843BB" w14:textId="0837C15F"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Abstract</w:t>
      </w:r>
    </w:p>
    <w:p w14:paraId="361B21BC" w14:textId="77777777" w:rsidR="00806C60" w:rsidRPr="004F0D74" w:rsidRDefault="00806C60" w:rsidP="00C3651D">
      <w:pPr>
        <w:jc w:val="both"/>
        <w:rPr>
          <w:rFonts w:ascii="Times New Roman" w:hAnsi="Times New Roman" w:cs="Times New Roman"/>
        </w:rPr>
      </w:pPr>
      <w:r w:rsidRPr="004F0D74">
        <w:rPr>
          <w:rFonts w:ascii="Times New Roman" w:hAnsi="Times New Roman" w:cs="Times New Roman"/>
        </w:rPr>
        <w:t xml:space="preserve">Community-managed forests play a critical role in biodiversity conservation, ecosystem functioning, and climate change mitigation in the Himalayan region. Under the Van Panchayat system of Uttarakhand, forests are managed through local institutions with varying degrees of protection and intervention, yet their contribution to carbon sequestration remains insufficiently quantified. This study assessed tree vegetation structure, biomass allocation, and ecosystem carbon stocks in two community forests,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(RCF) of Uttarakhand, India. Vegetation sampling was conducted using line transects with 10 × 10 m quadrats, and phytosociological attributes were analyzed alongside non-destructive biomass estimation methods. Carbon stocks were quantified across aboveground, belowground, litter, and soil pools following IPCC guidelines. Results revealed substantial variation in stand structure and carbon storage between the two forests. ABCF exhibited higher tree density and stored significantly greater total biomass and carbon than RCF, despite lower species diversity. The findings demonstrate that Himalayan community forests function as effective carbon sinks even under low-intensity management, with carbon storage strongly regulated by stand density rather than species richness alone. Integrating basic silvicultural interventions with community governance could further enhance carbon sequestration and support REDD+ implementation in the region.</w:t>
      </w:r>
    </w:p>
    <w:p w14:paraId="7B811572" w14:textId="54D62375" w:rsidR="00C3651D" w:rsidRPr="004F0D74" w:rsidRDefault="00C3651D" w:rsidP="00C3651D">
      <w:pPr>
        <w:jc w:val="both"/>
        <w:rPr>
          <w:rFonts w:ascii="Times New Roman" w:hAnsi="Times New Roman" w:cs="Times New Roman"/>
        </w:rPr>
      </w:pPr>
      <w:r w:rsidRPr="004F0D74">
        <w:rPr>
          <w:rFonts w:ascii="Times New Roman" w:hAnsi="Times New Roman" w:cs="Times New Roman"/>
          <w:b/>
          <w:bCs/>
        </w:rPr>
        <w:t>Keywords:</w:t>
      </w:r>
      <w:r w:rsidRPr="004F0D74">
        <w:rPr>
          <w:rFonts w:ascii="Times New Roman" w:hAnsi="Times New Roman" w:cs="Times New Roman"/>
        </w:rPr>
        <w:t xml:space="preserve"> Community forestry; Van Panchayat; Carbon stock; Biomass; Himalayan forests; REDD+</w:t>
      </w:r>
    </w:p>
    <w:p w14:paraId="4C6DE929" w14:textId="77777777" w:rsidR="006E1607" w:rsidRPr="004F0D74" w:rsidRDefault="006E1607" w:rsidP="00DE03EE">
      <w:pPr>
        <w:jc w:val="both"/>
        <w:rPr>
          <w:rFonts w:ascii="Times New Roman" w:hAnsi="Times New Roman" w:cs="Times New Roman"/>
        </w:rPr>
      </w:pPr>
    </w:p>
    <w:p w14:paraId="5DC26948" w14:textId="608EF56C"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Introduction</w:t>
      </w:r>
    </w:p>
    <w:p w14:paraId="6C4B559E" w14:textId="41534C1B" w:rsidR="00C3651D" w:rsidRPr="004F0D74" w:rsidRDefault="00C3651D" w:rsidP="00C3651D">
      <w:pPr>
        <w:jc w:val="both"/>
        <w:rPr>
          <w:rFonts w:ascii="Times New Roman" w:hAnsi="Times New Roman" w:cs="Times New Roman"/>
        </w:rPr>
      </w:pPr>
      <w:r w:rsidRPr="004F0D74">
        <w:rPr>
          <w:rFonts w:ascii="Times New Roman" w:hAnsi="Times New Roman" w:cs="Times New Roman"/>
        </w:rPr>
        <w:t xml:space="preserve">Forests play a </w:t>
      </w:r>
      <w:r w:rsidR="00AC44F3" w:rsidRPr="004F0D74">
        <w:rPr>
          <w:rFonts w:ascii="Times New Roman" w:hAnsi="Times New Roman" w:cs="Times New Roman"/>
        </w:rPr>
        <w:t>significant</w:t>
      </w:r>
      <w:r w:rsidRPr="004F0D74">
        <w:rPr>
          <w:rFonts w:ascii="Times New Roman" w:hAnsi="Times New Roman" w:cs="Times New Roman"/>
        </w:rPr>
        <w:t xml:space="preserve"> role in regulating the global carbon cycle by sequestering atmospheric carbon dioxide and storing it in biomass and soils. In tropical and subtropical regions, forest ecosystems account for a substantial proportion of terrestrial carbon stocks and contribute significantly to climate change mitigation (Pan et al. 2011). However, increasing anthropogenic pressure, land-use change, and forest degradation have altered forest structure and reduced carbon storage potential, particularly in human-dominated landscapes such as the Himalayan region (Lal 2005).</w:t>
      </w:r>
      <w:r w:rsidR="00560C71" w:rsidRPr="004F0D74">
        <w:rPr>
          <w:rFonts w:ascii="Times New Roman" w:hAnsi="Times New Roman" w:cs="Times New Roman"/>
        </w:rPr>
        <w:t xml:space="preserve"> </w:t>
      </w:r>
      <w:r w:rsidRPr="004F0D74">
        <w:rPr>
          <w:rFonts w:ascii="Times New Roman" w:hAnsi="Times New Roman" w:cs="Times New Roman"/>
        </w:rPr>
        <w:t xml:space="preserve">In the Indian Himalaya, </w:t>
      </w:r>
      <w:r w:rsidR="00AC44F3" w:rsidRPr="004F0D74">
        <w:rPr>
          <w:rFonts w:ascii="Times New Roman" w:hAnsi="Times New Roman" w:cs="Times New Roman"/>
        </w:rPr>
        <w:t>certain</w:t>
      </w:r>
      <w:r w:rsidRPr="004F0D74">
        <w:rPr>
          <w:rFonts w:ascii="Times New Roman" w:hAnsi="Times New Roman" w:cs="Times New Roman"/>
        </w:rPr>
        <w:t xml:space="preserve"> forested landscapes are governed under community-based management systems, of which the Van Panchayat system of Uttarakhand represents one of the oldest and most extensive </w:t>
      </w:r>
      <w:r w:rsidRPr="004F0D74">
        <w:rPr>
          <w:rFonts w:ascii="Times New Roman" w:hAnsi="Times New Roman" w:cs="Times New Roman"/>
        </w:rPr>
        <w:lastRenderedPageBreak/>
        <w:t>institutional frameworks. Established in the early twentieth century, Van Panchayats entrust local communities with collective rights and responsibilities over forest management, primarily to meet subsistence needs while maintaining forest cover (</w:t>
      </w:r>
      <w:r w:rsidR="00AA3ADB" w:rsidRPr="004F0D74">
        <w:rPr>
          <w:rFonts w:ascii="Times New Roman" w:hAnsi="Times New Roman" w:cs="Times New Roman"/>
        </w:rPr>
        <w:t>Pathak</w:t>
      </w:r>
      <w:r w:rsidRPr="004F0D74">
        <w:rPr>
          <w:rFonts w:ascii="Times New Roman" w:hAnsi="Times New Roman" w:cs="Times New Roman"/>
        </w:rPr>
        <w:t xml:space="preserve"> et al. 20</w:t>
      </w:r>
      <w:r w:rsidR="00AA3ADB" w:rsidRPr="004F0D74">
        <w:rPr>
          <w:rFonts w:ascii="Times New Roman" w:hAnsi="Times New Roman" w:cs="Times New Roman"/>
        </w:rPr>
        <w:t>21</w:t>
      </w:r>
      <w:r w:rsidRPr="004F0D74">
        <w:rPr>
          <w:rFonts w:ascii="Times New Roman" w:hAnsi="Times New Roman" w:cs="Times New Roman"/>
        </w:rPr>
        <w:t>). Long-term human–forest interactions under this system have resulted in forests that differ widely in stand density, species composition, regeneration status, and disturbance intensity, thereby influencing ecosystem processes and carbon dynamics.</w:t>
      </w:r>
      <w:r w:rsidR="00560C71" w:rsidRPr="004F0D74">
        <w:rPr>
          <w:rFonts w:ascii="Times New Roman" w:hAnsi="Times New Roman" w:cs="Times New Roman"/>
        </w:rPr>
        <w:t xml:space="preserve"> </w:t>
      </w:r>
      <w:r w:rsidR="00AC44F3" w:rsidRPr="004F0D74">
        <w:rPr>
          <w:rFonts w:ascii="Times New Roman" w:hAnsi="Times New Roman" w:cs="Times New Roman"/>
        </w:rPr>
        <w:t>Studies suggested that</w:t>
      </w:r>
      <w:r w:rsidRPr="004F0D74">
        <w:rPr>
          <w:rFonts w:ascii="Times New Roman" w:hAnsi="Times New Roman" w:cs="Times New Roman"/>
        </w:rPr>
        <w:t xml:space="preserve"> community-managed forests can deliver dual benefits by supporting rural livelihoods and enhancing carbon sequestration, particularly when </w:t>
      </w:r>
      <w:r w:rsidR="00AC44F3" w:rsidRPr="004F0D74">
        <w:rPr>
          <w:rFonts w:ascii="Times New Roman" w:hAnsi="Times New Roman" w:cs="Times New Roman"/>
        </w:rPr>
        <w:t>efficient management is in effect</w:t>
      </w:r>
      <w:r w:rsidRPr="004F0D74">
        <w:rPr>
          <w:rFonts w:ascii="Times New Roman" w:hAnsi="Times New Roman" w:cs="Times New Roman"/>
        </w:rPr>
        <w:t xml:space="preserve">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Pandey et al. 2014). However, evidence from the Himalayan region indicates that many Van Panchayat forests remain weakly managed, experiencing chronic pressures from grazing, fuelwood extraction, and selective harvesting. Such pressures often lead to reduced regeneration, simplified stand structure, and limited soil carbon recovery, potentially constraining long-term carbon sink capacity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60C71" w:rsidRPr="004F0D74">
        <w:rPr>
          <w:rFonts w:ascii="Times New Roman" w:hAnsi="Times New Roman" w:cs="Times New Roman"/>
        </w:rPr>
        <w:t xml:space="preserve"> </w:t>
      </w:r>
      <w:r w:rsidRPr="004F0D74">
        <w:rPr>
          <w:rFonts w:ascii="Times New Roman" w:hAnsi="Times New Roman" w:cs="Times New Roman"/>
        </w:rPr>
        <w:t>Despite growing policy interest in integrating community forestry into climate mitigation initiatives such as REDD+, empirical data on vegetation structure and multi-pool carbon stocks from Van Panchayat forests remain limited and site-specific. In particular, comparative assessments that link stand structural attributes with ecosystem carbon storage are scarce for the western Himalayan foothills.</w:t>
      </w:r>
      <w:r w:rsidR="00AC44F3" w:rsidRPr="004F0D74">
        <w:rPr>
          <w:rFonts w:ascii="Times New Roman" w:hAnsi="Times New Roman" w:cs="Times New Roman"/>
        </w:rPr>
        <w:t xml:space="preserve"> In light of this</w:t>
      </w:r>
      <w:r w:rsidRPr="004F0D74">
        <w:rPr>
          <w:rFonts w:ascii="Times New Roman" w:hAnsi="Times New Roman" w:cs="Times New Roman"/>
        </w:rPr>
        <w:t>, the present study aims to (</w:t>
      </w:r>
      <w:proofErr w:type="spellStart"/>
      <w:r w:rsidRPr="004F0D74">
        <w:rPr>
          <w:rFonts w:ascii="Times New Roman" w:hAnsi="Times New Roman" w:cs="Times New Roman"/>
        </w:rPr>
        <w:t>i</w:t>
      </w:r>
      <w:proofErr w:type="spellEnd"/>
      <w:r w:rsidRPr="004F0D74">
        <w:rPr>
          <w:rFonts w:ascii="Times New Roman" w:hAnsi="Times New Roman" w:cs="Times New Roman"/>
        </w:rPr>
        <w:t xml:space="preserve">) analyze tree vegetation structure and species composition in selected </w:t>
      </w:r>
      <w:r w:rsidR="00BA4053" w:rsidRPr="004F0D74">
        <w:rPr>
          <w:rFonts w:ascii="Times New Roman" w:hAnsi="Times New Roman" w:cs="Times New Roman"/>
        </w:rPr>
        <w:t>Community forests (</w:t>
      </w:r>
      <w:r w:rsidRPr="004F0D74">
        <w:rPr>
          <w:rFonts w:ascii="Times New Roman" w:hAnsi="Times New Roman" w:cs="Times New Roman"/>
        </w:rPr>
        <w:t>Van Panchayat</w:t>
      </w:r>
      <w:r w:rsidR="00BA4053" w:rsidRPr="004F0D74">
        <w:rPr>
          <w:rFonts w:ascii="Times New Roman" w:hAnsi="Times New Roman" w:cs="Times New Roman"/>
        </w:rPr>
        <w:t>)</w:t>
      </w:r>
      <w:r w:rsidRPr="004F0D74">
        <w:rPr>
          <w:rFonts w:ascii="Times New Roman" w:hAnsi="Times New Roman" w:cs="Times New Roman"/>
        </w:rPr>
        <w:t xml:space="preserve"> of Uttarakhand, (ii) quantify biomass and carbon stocks across major ecosystem pools, and (iii) evaluate how differences in stand density and structure influence carbon sequestration potential. By providing field-based evidence from Himalayan community forests, this study seeks to inform sustainable forest management strategies and support the integration of Van Panchayat systems into regional and national climate mitigation frameworks.</w:t>
      </w:r>
      <w:r w:rsidR="00803B60" w:rsidRPr="004F0D74">
        <w:rPr>
          <w:rFonts w:ascii="Times New Roman" w:hAnsi="Times New Roman" w:cs="Times New Roman"/>
        </w:rPr>
        <w:t xml:space="preserve"> </w:t>
      </w:r>
      <w:r w:rsidRPr="004F0D74">
        <w:rPr>
          <w:rFonts w:ascii="Times New Roman" w:hAnsi="Times New Roman" w:cs="Times New Roman"/>
        </w:rPr>
        <w:t xml:space="preserve">This study provides empirical, field-based evidence on how stand structure and community-level management influence biomass and carbon storage in Himalayan Van Panchayat forests, a governance system that remains underrepresented in carbon accounting literature. By integrating detailed vegetation analysis with carbon </w:t>
      </w:r>
      <w:r w:rsidR="00250563" w:rsidRPr="004F0D74">
        <w:rPr>
          <w:rFonts w:ascii="Times New Roman" w:hAnsi="Times New Roman" w:cs="Times New Roman"/>
        </w:rPr>
        <w:t xml:space="preserve">pool </w:t>
      </w:r>
      <w:r w:rsidRPr="004F0D74">
        <w:rPr>
          <w:rFonts w:ascii="Times New Roman" w:hAnsi="Times New Roman" w:cs="Times New Roman"/>
        </w:rPr>
        <w:t>estimation, the research advances understanding of density- versus structure-driven carbon sequestration pathways in community-managed forests. The findings are directly relevant for improving forest management strategies, strengthening Van Panchayat institutions, and informing REDD+ and state-level climate mitigation initiatives in the Indian Himalaya. Importantly, the study highlights the potential of low-intensity, community-based management to deliver measurable climate benefits while maintaining local livelihood functions, thereby contributing to the broader discourse on sustainable forest governance and nature-based solutions.</w:t>
      </w:r>
    </w:p>
    <w:p w14:paraId="3778396C" w14:textId="77777777" w:rsidR="00C3651D" w:rsidRPr="004F0D74" w:rsidRDefault="00C3651D" w:rsidP="007D5554">
      <w:pPr>
        <w:jc w:val="both"/>
        <w:rPr>
          <w:rFonts w:ascii="Times New Roman" w:hAnsi="Times New Roman" w:cs="Times New Roman"/>
          <w:b/>
          <w:bCs/>
        </w:rPr>
      </w:pPr>
    </w:p>
    <w:p w14:paraId="4ECED0E5" w14:textId="2013ED02" w:rsidR="007D5554" w:rsidRPr="004F0D74" w:rsidRDefault="007D5554" w:rsidP="007D5554">
      <w:pPr>
        <w:jc w:val="both"/>
        <w:rPr>
          <w:rFonts w:ascii="Times New Roman" w:hAnsi="Times New Roman" w:cs="Times New Roman"/>
          <w:b/>
          <w:bCs/>
        </w:rPr>
      </w:pPr>
      <w:r w:rsidRPr="004F0D74">
        <w:rPr>
          <w:rFonts w:ascii="Times New Roman" w:hAnsi="Times New Roman" w:cs="Times New Roman"/>
          <w:b/>
          <w:bCs/>
        </w:rPr>
        <w:t>Materials and Methods</w:t>
      </w:r>
    </w:p>
    <w:p w14:paraId="6F30C033"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Study area</w:t>
      </w:r>
    </w:p>
    <w:p w14:paraId="091ED8B0" w14:textId="0238BB81" w:rsidR="007D5554" w:rsidRPr="004F0D74" w:rsidRDefault="007D5554" w:rsidP="007D5554">
      <w:pPr>
        <w:jc w:val="both"/>
        <w:rPr>
          <w:rFonts w:ascii="Times New Roman" w:hAnsi="Times New Roman" w:cs="Times New Roman"/>
        </w:rPr>
      </w:pPr>
      <w:r w:rsidRPr="004F0D74">
        <w:rPr>
          <w:rFonts w:ascii="Times New Roman" w:hAnsi="Times New Roman" w:cs="Times New Roman"/>
        </w:rPr>
        <w:lastRenderedPageBreak/>
        <w:t xml:space="preserve">Dehradun is situated in the </w:t>
      </w:r>
      <w:r w:rsidR="00AC44F3" w:rsidRPr="004F0D74">
        <w:rPr>
          <w:rFonts w:ascii="Times New Roman" w:hAnsi="Times New Roman" w:cs="Times New Roman"/>
        </w:rPr>
        <w:t>w</w:t>
      </w:r>
      <w:r w:rsidRPr="004F0D74">
        <w:rPr>
          <w:rFonts w:ascii="Times New Roman" w:hAnsi="Times New Roman" w:cs="Times New Roman"/>
        </w:rPr>
        <w:t xml:space="preserve">estern Himalaya, between 29°58′–30°32′ N latitude and 77°34′–78°18′ E longitude, bounded by the Lesser Himalaya in the north and the Shivalik ranges in the south. Elevation ranges from approximately 300 to 1,000 m above mean sea level (Champion </w:t>
      </w:r>
      <w:r w:rsidR="00A6236D" w:rsidRPr="004F0D74">
        <w:rPr>
          <w:rFonts w:ascii="Times New Roman" w:hAnsi="Times New Roman" w:cs="Times New Roman"/>
        </w:rPr>
        <w:t>and</w:t>
      </w:r>
      <w:r w:rsidRPr="004F0D74">
        <w:rPr>
          <w:rFonts w:ascii="Times New Roman" w:hAnsi="Times New Roman" w:cs="Times New Roman"/>
        </w:rPr>
        <w:t xml:space="preserve"> Seth 1968), and the region experiences a humid subtropical to sub-temperate monsoonal climate, with hot summers, cool winters, and mean annual rainfall of about 2,000–2,200 mm, largely concentrated between June and September (India Meteorological Department 2020). The natural vegetation is dominated by tropical moist deciduous and subtropical forest types, with </w:t>
      </w:r>
      <w:proofErr w:type="spellStart"/>
      <w:r w:rsidRPr="004F0D74">
        <w:rPr>
          <w:rFonts w:ascii="Times New Roman" w:hAnsi="Times New Roman" w:cs="Times New Roman"/>
          <w:i/>
          <w:iCs/>
        </w:rPr>
        <w:t>Shorea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robusta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sal</w:t>
      </w:r>
      <w:proofErr w:type="spellEnd"/>
      <w:r w:rsidRPr="004F0D74">
        <w:rPr>
          <w:rFonts w:ascii="Times New Roman" w:hAnsi="Times New Roman" w:cs="Times New Roman"/>
        </w:rPr>
        <w:t xml:space="preserve">) as the principal species, accompanied by </w:t>
      </w: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r w:rsidRPr="004F0D74">
        <w:rPr>
          <w:rFonts w:ascii="Times New Roman" w:hAnsi="Times New Roman" w:cs="Times New Roman"/>
        </w:rPr>
        <w:t xml:space="preserve">, </w:t>
      </w: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tomentosa</w:t>
      </w:r>
      <w:proofErr w:type="spellEnd"/>
      <w:r w:rsidRPr="004F0D74">
        <w:rPr>
          <w:rFonts w:ascii="Times New Roman" w:hAnsi="Times New Roman" w:cs="Times New Roman"/>
        </w:rPr>
        <w:t xml:space="preserve">, and </w:t>
      </w: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r w:rsidRPr="004F0D74">
        <w:rPr>
          <w:rFonts w:ascii="Times New Roman" w:hAnsi="Times New Roman" w:cs="Times New Roman"/>
          <w:i/>
          <w:iCs/>
        </w:rPr>
        <w:t xml:space="preserve"> </w:t>
      </w:r>
      <w:r w:rsidRPr="004F0D74">
        <w:rPr>
          <w:rFonts w:ascii="Times New Roman" w:hAnsi="Times New Roman" w:cs="Times New Roman"/>
        </w:rPr>
        <w:t xml:space="preserve">(Champion </w:t>
      </w:r>
      <w:r w:rsidR="00A6236D" w:rsidRPr="004F0D74">
        <w:rPr>
          <w:rFonts w:ascii="Times New Roman" w:hAnsi="Times New Roman" w:cs="Times New Roman"/>
        </w:rPr>
        <w:t>and</w:t>
      </w:r>
      <w:r w:rsidRPr="004F0D74">
        <w:rPr>
          <w:rFonts w:ascii="Times New Roman" w:hAnsi="Times New Roman" w:cs="Times New Roman"/>
        </w:rPr>
        <w:t xml:space="preserve"> Seth 1968; Singh </w:t>
      </w:r>
      <w:r w:rsidR="00A6236D" w:rsidRPr="004F0D74">
        <w:rPr>
          <w:rFonts w:ascii="Times New Roman" w:hAnsi="Times New Roman" w:cs="Times New Roman"/>
        </w:rPr>
        <w:t>and</w:t>
      </w:r>
      <w:r w:rsidRPr="004F0D74">
        <w:rPr>
          <w:rFonts w:ascii="Times New Roman" w:hAnsi="Times New Roman" w:cs="Times New Roman"/>
        </w:rPr>
        <w:t xml:space="preserve"> Singh 1992). Soils are primarily alluvial and colluvial, varying from sandy loam to silty clay loam, generally well-drained, slightly acidic to neutral, and relatively rich in organic carbon under forest cover (Sharma et al. 2010</w:t>
      </w:r>
      <w:r w:rsidR="00A6236D" w:rsidRPr="004F0D74">
        <w:rPr>
          <w:rFonts w:ascii="Times New Roman" w:hAnsi="Times New Roman" w:cs="Times New Roman"/>
        </w:rPr>
        <w:t xml:space="preserve">; </w:t>
      </w:r>
      <w:proofErr w:type="spellStart"/>
      <w:r w:rsidR="00A6236D" w:rsidRPr="004F0D74">
        <w:rPr>
          <w:rFonts w:ascii="Times New Roman" w:hAnsi="Times New Roman" w:cs="Times New Roman"/>
        </w:rPr>
        <w:t>Bargali</w:t>
      </w:r>
      <w:proofErr w:type="spellEnd"/>
      <w:r w:rsidR="00A6236D" w:rsidRPr="004F0D74">
        <w:rPr>
          <w:rFonts w:ascii="Times New Roman" w:hAnsi="Times New Roman" w:cs="Times New Roman"/>
        </w:rPr>
        <w:t xml:space="preserve"> et al. 2018</w:t>
      </w:r>
      <w:r w:rsidRPr="004F0D74">
        <w:rPr>
          <w:rFonts w:ascii="Times New Roman" w:hAnsi="Times New Roman" w:cs="Times New Roman"/>
        </w:rPr>
        <w:t xml:space="preserve">). </w:t>
      </w:r>
      <w:r w:rsidR="00803B60" w:rsidRPr="004F0D74">
        <w:rPr>
          <w:rFonts w:ascii="Times New Roman" w:hAnsi="Times New Roman" w:cs="Times New Roman"/>
        </w:rPr>
        <w:t xml:space="preserve"> </w:t>
      </w:r>
      <w:r w:rsidRPr="004F0D74">
        <w:rPr>
          <w:rFonts w:ascii="Times New Roman" w:hAnsi="Times New Roman" w:cs="Times New Roman"/>
        </w:rPr>
        <w:t xml:space="preserve">The study was carried out during 2024-25 in community-managed forests (CF), locally known as Van Panchayat, of Uttarakhand, India. Dehradun tehsil has total 103.43 ha area managed under five Van Panchayats since year 2005. These van panchayats fall in Raipur and </w:t>
      </w:r>
      <w:proofErr w:type="spellStart"/>
      <w:r w:rsidRPr="004F0D74">
        <w:rPr>
          <w:rFonts w:ascii="Times New Roman" w:hAnsi="Times New Roman" w:cs="Times New Roman"/>
        </w:rPr>
        <w:t>Mussoorie</w:t>
      </w:r>
      <w:proofErr w:type="spellEnd"/>
      <w:r w:rsidRPr="004F0D74">
        <w:rPr>
          <w:rFonts w:ascii="Times New Roman" w:hAnsi="Times New Roman" w:cs="Times New Roman"/>
        </w:rPr>
        <w:t xml:space="preserve"> Forest Ranges. One Van Panchayat from each range namely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(30.175914° N, 78.</w:t>
      </w:r>
      <w:r w:rsidR="00164765" w:rsidRPr="004F0D74">
        <w:rPr>
          <w:rFonts w:ascii="Times New Roman" w:hAnsi="Times New Roman" w:cs="Times New Roman"/>
        </w:rPr>
        <w:t>0</w:t>
      </w:r>
      <w:r w:rsidRPr="004F0D74">
        <w:rPr>
          <w:rFonts w:ascii="Times New Roman" w:hAnsi="Times New Roman" w:cs="Times New Roman"/>
        </w:rPr>
        <w:t xml:space="preserve">4686° E)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(30.253870° N, 78.04979° E) were selected for the study covering an area of 37.37 ha and 11.38 ha, respectively (</w:t>
      </w:r>
      <w:r w:rsidR="00A6236D" w:rsidRPr="004F0D74">
        <w:rPr>
          <w:rFonts w:ascii="Times New Roman" w:hAnsi="Times New Roman" w:cs="Times New Roman"/>
        </w:rPr>
        <w:t xml:space="preserve">Table </w:t>
      </w:r>
      <w:r w:rsidR="00F66677" w:rsidRPr="004F0D74">
        <w:rPr>
          <w:rFonts w:ascii="Times New Roman" w:hAnsi="Times New Roman" w:cs="Times New Roman"/>
        </w:rPr>
        <w:t>I</w:t>
      </w:r>
      <w:r w:rsidR="00A6236D" w:rsidRPr="004F0D74">
        <w:rPr>
          <w:rFonts w:ascii="Times New Roman" w:hAnsi="Times New Roman" w:cs="Times New Roman"/>
        </w:rPr>
        <w:t xml:space="preserve">; </w:t>
      </w:r>
      <w:r w:rsidRPr="004F0D74">
        <w:rPr>
          <w:rFonts w:ascii="Times New Roman" w:hAnsi="Times New Roman" w:cs="Times New Roman"/>
        </w:rPr>
        <w:t>Fig</w:t>
      </w:r>
      <w:r w:rsidR="00A6236D" w:rsidRPr="004F0D74">
        <w:rPr>
          <w:rFonts w:ascii="Times New Roman" w:hAnsi="Times New Roman" w:cs="Times New Roman"/>
        </w:rPr>
        <w:t>ure</w:t>
      </w:r>
      <w:r w:rsidRPr="004F0D74">
        <w:rPr>
          <w:rFonts w:ascii="Times New Roman" w:hAnsi="Times New Roman" w:cs="Times New Roman"/>
        </w:rPr>
        <w:t xml:space="preserve"> </w:t>
      </w:r>
      <w:r w:rsidR="00BC2C7F">
        <w:rPr>
          <w:rFonts w:ascii="Times New Roman" w:hAnsi="Times New Roman" w:cs="Times New Roman"/>
        </w:rPr>
        <w:t>1</w:t>
      </w:r>
      <w:r w:rsidRPr="004F0D74">
        <w:rPr>
          <w:rFonts w:ascii="Times New Roman" w:hAnsi="Times New Roman" w:cs="Times New Roman"/>
        </w:rPr>
        <w:t xml:space="preserve">). </w:t>
      </w:r>
    </w:p>
    <w:p w14:paraId="6D7E0521" w14:textId="77777777" w:rsidR="006E1607" w:rsidRPr="004F0D74" w:rsidRDefault="006E1607" w:rsidP="00F66677">
      <w:pPr>
        <w:spacing w:after="0"/>
        <w:ind w:left="360" w:hanging="432"/>
        <w:jc w:val="both"/>
        <w:rPr>
          <w:rFonts w:ascii="Times New Roman" w:hAnsi="Times New Roman" w:cs="Times New Roman"/>
          <w:b/>
          <w:bCs/>
        </w:rPr>
      </w:pPr>
    </w:p>
    <w:p w14:paraId="7895619B" w14:textId="676A20ED" w:rsidR="00F66677" w:rsidRPr="004F0D74" w:rsidRDefault="00F66677" w:rsidP="00F66677">
      <w:pPr>
        <w:spacing w:after="0"/>
        <w:ind w:left="360" w:hanging="432"/>
        <w:jc w:val="both"/>
        <w:rPr>
          <w:rFonts w:ascii="Times New Roman" w:hAnsi="Times New Roman" w:cs="Times New Roman"/>
          <w:b/>
          <w:bCs/>
        </w:rPr>
      </w:pPr>
      <w:r w:rsidRPr="004F0D74">
        <w:rPr>
          <w:rFonts w:ascii="Times New Roman" w:hAnsi="Times New Roman" w:cs="Times New Roman"/>
          <w:b/>
          <w:bCs/>
        </w:rPr>
        <w:t>Table I: Characteristics of Community Forests</w:t>
      </w:r>
    </w:p>
    <w:tbl>
      <w:tblPr>
        <w:tblStyle w:val="TableGrid"/>
        <w:tblW w:w="0" w:type="auto"/>
        <w:tblLook w:val="04A0" w:firstRow="1" w:lastRow="0" w:firstColumn="1" w:lastColumn="0" w:noHBand="0" w:noVBand="1"/>
      </w:tblPr>
      <w:tblGrid>
        <w:gridCol w:w="2399"/>
        <w:gridCol w:w="3191"/>
        <w:gridCol w:w="3040"/>
      </w:tblGrid>
      <w:tr w:rsidR="00F66677" w:rsidRPr="004F0D74" w14:paraId="54D706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5CE672E" w14:textId="77777777" w:rsidR="00F66677" w:rsidRPr="004F0D74" w:rsidRDefault="00F66677"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Particulars</w:t>
            </w:r>
          </w:p>
        </w:tc>
        <w:tc>
          <w:tcPr>
            <w:tcW w:w="3510" w:type="dxa"/>
            <w:tcBorders>
              <w:top w:val="single" w:sz="4" w:space="0" w:color="auto"/>
              <w:left w:val="single" w:sz="4" w:space="0" w:color="auto"/>
              <w:bottom w:val="single" w:sz="4" w:space="0" w:color="auto"/>
              <w:right w:val="single" w:sz="4" w:space="0" w:color="auto"/>
            </w:tcBorders>
            <w:hideMark/>
          </w:tcPr>
          <w:p w14:paraId="2A590A88"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Akhandwali-Bhilang</w:t>
            </w:r>
            <w:proofErr w:type="spellEnd"/>
            <w:r w:rsidRPr="004F0D74">
              <w:rPr>
                <w:rFonts w:ascii="Times New Roman" w:hAnsi="Times New Roman" w:cs="Times New Roman"/>
                <w:b/>
                <w:bCs/>
              </w:rPr>
              <w:t xml:space="preserve"> Community Forest (ABCF)</w:t>
            </w:r>
          </w:p>
        </w:tc>
        <w:tc>
          <w:tcPr>
            <w:tcW w:w="3325" w:type="dxa"/>
            <w:tcBorders>
              <w:top w:val="single" w:sz="4" w:space="0" w:color="auto"/>
              <w:left w:val="single" w:sz="4" w:space="0" w:color="auto"/>
              <w:bottom w:val="single" w:sz="4" w:space="0" w:color="auto"/>
              <w:right w:val="single" w:sz="4" w:space="0" w:color="auto"/>
            </w:tcBorders>
            <w:hideMark/>
          </w:tcPr>
          <w:p w14:paraId="34F5CD70"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Rikhauli</w:t>
            </w:r>
            <w:proofErr w:type="spellEnd"/>
            <w:r w:rsidRPr="004F0D74">
              <w:rPr>
                <w:rFonts w:ascii="Times New Roman" w:hAnsi="Times New Roman" w:cs="Times New Roman"/>
                <w:b/>
                <w:bCs/>
              </w:rPr>
              <w:t xml:space="preserve"> Community Forest (RCF)</w:t>
            </w:r>
          </w:p>
        </w:tc>
      </w:tr>
      <w:tr w:rsidR="00F66677" w:rsidRPr="004F0D74" w14:paraId="26FCE712"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582E7F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Total Area (ha)</w:t>
            </w:r>
          </w:p>
        </w:tc>
        <w:tc>
          <w:tcPr>
            <w:tcW w:w="3510" w:type="dxa"/>
            <w:tcBorders>
              <w:top w:val="single" w:sz="4" w:space="0" w:color="auto"/>
              <w:left w:val="single" w:sz="4" w:space="0" w:color="auto"/>
              <w:bottom w:val="single" w:sz="4" w:space="0" w:color="auto"/>
              <w:right w:val="single" w:sz="4" w:space="0" w:color="auto"/>
            </w:tcBorders>
            <w:hideMark/>
          </w:tcPr>
          <w:p w14:paraId="0ADAAB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37.37</w:t>
            </w:r>
          </w:p>
        </w:tc>
        <w:tc>
          <w:tcPr>
            <w:tcW w:w="3325" w:type="dxa"/>
            <w:tcBorders>
              <w:top w:val="single" w:sz="4" w:space="0" w:color="auto"/>
              <w:left w:val="single" w:sz="4" w:space="0" w:color="auto"/>
              <w:bottom w:val="single" w:sz="4" w:space="0" w:color="auto"/>
              <w:right w:val="single" w:sz="4" w:space="0" w:color="auto"/>
            </w:tcBorders>
            <w:hideMark/>
          </w:tcPr>
          <w:p w14:paraId="01E0C547"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11.38</w:t>
            </w:r>
          </w:p>
        </w:tc>
      </w:tr>
      <w:tr w:rsidR="00F66677" w:rsidRPr="004F0D74" w14:paraId="2DC5389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4F3972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Elevation (m)</w:t>
            </w:r>
          </w:p>
        </w:tc>
        <w:tc>
          <w:tcPr>
            <w:tcW w:w="3510" w:type="dxa"/>
            <w:tcBorders>
              <w:top w:val="single" w:sz="4" w:space="0" w:color="auto"/>
              <w:left w:val="single" w:sz="4" w:space="0" w:color="auto"/>
              <w:bottom w:val="single" w:sz="4" w:space="0" w:color="auto"/>
              <w:right w:val="single" w:sz="4" w:space="0" w:color="auto"/>
            </w:tcBorders>
            <w:hideMark/>
          </w:tcPr>
          <w:p w14:paraId="69F654C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568</w:t>
            </w:r>
          </w:p>
        </w:tc>
        <w:tc>
          <w:tcPr>
            <w:tcW w:w="3325" w:type="dxa"/>
            <w:tcBorders>
              <w:top w:val="single" w:sz="4" w:space="0" w:color="auto"/>
              <w:left w:val="single" w:sz="4" w:space="0" w:color="auto"/>
              <w:bottom w:val="single" w:sz="4" w:space="0" w:color="auto"/>
              <w:right w:val="single" w:sz="4" w:space="0" w:color="auto"/>
            </w:tcBorders>
            <w:hideMark/>
          </w:tcPr>
          <w:p w14:paraId="2A20220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525</w:t>
            </w:r>
          </w:p>
        </w:tc>
      </w:tr>
      <w:tr w:rsidR="00F66677" w:rsidRPr="004F0D74" w14:paraId="0624397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217A8A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Land type</w:t>
            </w:r>
          </w:p>
        </w:tc>
        <w:tc>
          <w:tcPr>
            <w:tcW w:w="3510" w:type="dxa"/>
            <w:tcBorders>
              <w:top w:val="single" w:sz="4" w:space="0" w:color="auto"/>
              <w:left w:val="single" w:sz="4" w:space="0" w:color="auto"/>
              <w:bottom w:val="single" w:sz="4" w:space="0" w:color="auto"/>
              <w:right w:val="single" w:sz="4" w:space="0" w:color="auto"/>
            </w:tcBorders>
            <w:hideMark/>
          </w:tcPr>
          <w:p w14:paraId="60AD0ACB"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c>
          <w:tcPr>
            <w:tcW w:w="3325" w:type="dxa"/>
            <w:tcBorders>
              <w:top w:val="single" w:sz="4" w:space="0" w:color="auto"/>
              <w:left w:val="single" w:sz="4" w:space="0" w:color="auto"/>
              <w:bottom w:val="single" w:sz="4" w:space="0" w:color="auto"/>
              <w:right w:val="single" w:sz="4" w:space="0" w:color="auto"/>
            </w:tcBorders>
            <w:hideMark/>
          </w:tcPr>
          <w:p w14:paraId="6983F39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r>
      <w:tr w:rsidR="00F66677" w:rsidRPr="004F0D74" w14:paraId="1B4B9A3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6BDC67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Forest type</w:t>
            </w:r>
          </w:p>
        </w:tc>
        <w:tc>
          <w:tcPr>
            <w:tcW w:w="3510" w:type="dxa"/>
            <w:tcBorders>
              <w:top w:val="single" w:sz="4" w:space="0" w:color="auto"/>
              <w:left w:val="single" w:sz="4" w:space="0" w:color="auto"/>
              <w:bottom w:val="single" w:sz="4" w:space="0" w:color="auto"/>
              <w:right w:val="single" w:sz="4" w:space="0" w:color="auto"/>
            </w:tcBorders>
            <w:hideMark/>
          </w:tcPr>
          <w:p w14:paraId="29730E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c>
          <w:tcPr>
            <w:tcW w:w="3325" w:type="dxa"/>
            <w:tcBorders>
              <w:top w:val="single" w:sz="4" w:space="0" w:color="auto"/>
              <w:left w:val="single" w:sz="4" w:space="0" w:color="auto"/>
              <w:bottom w:val="single" w:sz="4" w:space="0" w:color="auto"/>
              <w:right w:val="single" w:sz="4" w:space="0" w:color="auto"/>
            </w:tcBorders>
            <w:hideMark/>
          </w:tcPr>
          <w:p w14:paraId="3DFC83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r>
      <w:tr w:rsidR="00F66677" w:rsidRPr="004F0D74" w14:paraId="2FC0D8E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E66DAE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Year of establishment</w:t>
            </w:r>
          </w:p>
        </w:tc>
        <w:tc>
          <w:tcPr>
            <w:tcW w:w="3510" w:type="dxa"/>
            <w:tcBorders>
              <w:top w:val="single" w:sz="4" w:space="0" w:color="auto"/>
              <w:left w:val="single" w:sz="4" w:space="0" w:color="auto"/>
              <w:bottom w:val="single" w:sz="4" w:space="0" w:color="auto"/>
              <w:right w:val="single" w:sz="4" w:space="0" w:color="auto"/>
            </w:tcBorders>
            <w:hideMark/>
          </w:tcPr>
          <w:p w14:paraId="0AE7F9D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c>
          <w:tcPr>
            <w:tcW w:w="3325" w:type="dxa"/>
            <w:tcBorders>
              <w:top w:val="single" w:sz="4" w:space="0" w:color="auto"/>
              <w:left w:val="single" w:sz="4" w:space="0" w:color="auto"/>
              <w:bottom w:val="single" w:sz="4" w:space="0" w:color="auto"/>
              <w:right w:val="single" w:sz="4" w:space="0" w:color="auto"/>
            </w:tcBorders>
            <w:hideMark/>
          </w:tcPr>
          <w:p w14:paraId="0067F8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r>
      <w:tr w:rsidR="00F66677" w:rsidRPr="004F0D74" w14:paraId="62C03C8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44E804C"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Management</w:t>
            </w:r>
          </w:p>
        </w:tc>
        <w:tc>
          <w:tcPr>
            <w:tcW w:w="3510" w:type="dxa"/>
            <w:tcBorders>
              <w:top w:val="single" w:sz="4" w:space="0" w:color="auto"/>
              <w:left w:val="single" w:sz="4" w:space="0" w:color="auto"/>
              <w:bottom w:val="single" w:sz="4" w:space="0" w:color="auto"/>
              <w:right w:val="single" w:sz="4" w:space="0" w:color="auto"/>
            </w:tcBorders>
            <w:hideMark/>
          </w:tcPr>
          <w:p w14:paraId="229CAC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c>
          <w:tcPr>
            <w:tcW w:w="3325" w:type="dxa"/>
            <w:tcBorders>
              <w:top w:val="single" w:sz="4" w:space="0" w:color="auto"/>
              <w:left w:val="single" w:sz="4" w:space="0" w:color="auto"/>
              <w:bottom w:val="single" w:sz="4" w:space="0" w:color="auto"/>
              <w:right w:val="single" w:sz="4" w:space="0" w:color="auto"/>
            </w:tcBorders>
            <w:hideMark/>
          </w:tcPr>
          <w:p w14:paraId="6F81D4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r>
      <w:tr w:rsidR="00F66677" w:rsidRPr="004F0D74" w14:paraId="704C24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3DF17E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History</w:t>
            </w:r>
          </w:p>
        </w:tc>
        <w:tc>
          <w:tcPr>
            <w:tcW w:w="3510" w:type="dxa"/>
            <w:tcBorders>
              <w:top w:val="single" w:sz="4" w:space="0" w:color="auto"/>
              <w:left w:val="single" w:sz="4" w:space="0" w:color="auto"/>
              <w:bottom w:val="single" w:sz="4" w:space="0" w:color="auto"/>
              <w:right w:val="single" w:sz="4" w:space="0" w:color="auto"/>
            </w:tcBorders>
            <w:hideMark/>
          </w:tcPr>
          <w:p w14:paraId="20A3F0DA"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c>
          <w:tcPr>
            <w:tcW w:w="3325" w:type="dxa"/>
            <w:tcBorders>
              <w:top w:val="single" w:sz="4" w:space="0" w:color="auto"/>
              <w:left w:val="single" w:sz="4" w:space="0" w:color="auto"/>
              <w:bottom w:val="single" w:sz="4" w:space="0" w:color="auto"/>
              <w:right w:val="single" w:sz="4" w:space="0" w:color="auto"/>
            </w:tcBorders>
            <w:hideMark/>
          </w:tcPr>
          <w:p w14:paraId="4C5B94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r>
      <w:tr w:rsidR="00F66677" w:rsidRPr="004F0D74" w14:paraId="3AD69565"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42E56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Activity</w:t>
            </w:r>
          </w:p>
        </w:tc>
        <w:tc>
          <w:tcPr>
            <w:tcW w:w="3510" w:type="dxa"/>
            <w:tcBorders>
              <w:top w:val="single" w:sz="4" w:space="0" w:color="auto"/>
              <w:left w:val="single" w:sz="4" w:space="0" w:color="auto"/>
              <w:bottom w:val="single" w:sz="4" w:space="0" w:color="auto"/>
              <w:right w:val="single" w:sz="4" w:space="0" w:color="auto"/>
            </w:tcBorders>
            <w:hideMark/>
          </w:tcPr>
          <w:p w14:paraId="70A7F3A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c>
          <w:tcPr>
            <w:tcW w:w="3325" w:type="dxa"/>
            <w:tcBorders>
              <w:top w:val="single" w:sz="4" w:space="0" w:color="auto"/>
              <w:left w:val="single" w:sz="4" w:space="0" w:color="auto"/>
              <w:bottom w:val="single" w:sz="4" w:space="0" w:color="auto"/>
              <w:right w:val="single" w:sz="4" w:space="0" w:color="auto"/>
            </w:tcBorders>
            <w:hideMark/>
          </w:tcPr>
          <w:p w14:paraId="763A6F8E"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r>
    </w:tbl>
    <w:p w14:paraId="77FE79D9" w14:textId="77777777" w:rsidR="00F66677" w:rsidRPr="004F0D74" w:rsidRDefault="00F66677" w:rsidP="007D5554">
      <w:pPr>
        <w:jc w:val="both"/>
        <w:rPr>
          <w:rFonts w:ascii="Times New Roman" w:hAnsi="Times New Roman" w:cs="Times New Roman"/>
        </w:rPr>
      </w:pPr>
    </w:p>
    <w:p w14:paraId="72D682C4" w14:textId="77777777" w:rsidR="00F66677" w:rsidRPr="004F0D74" w:rsidRDefault="00F66677" w:rsidP="00F66677">
      <w:pPr>
        <w:spacing w:after="0"/>
        <w:ind w:left="360" w:hanging="432"/>
        <w:jc w:val="both"/>
        <w:rPr>
          <w:rFonts w:ascii="Times New Roman" w:hAnsi="Times New Roman" w:cs="Times New Roman"/>
        </w:rPr>
      </w:pPr>
      <w:r w:rsidRPr="004F0D74">
        <w:rPr>
          <w:rFonts w:ascii="Times New Roman" w:hAnsi="Times New Roman" w:cs="Times New Roman"/>
          <w:noProof/>
        </w:rPr>
        <w:lastRenderedPageBreak/>
        <w:drawing>
          <wp:inline distT="0" distB="0" distL="0" distR="0" wp14:anchorId="49217BA4" wp14:editId="24912B7B">
            <wp:extent cx="5943600" cy="4200525"/>
            <wp:effectExtent l="0" t="0" r="0" b="9525"/>
            <wp:docPr id="27296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0525"/>
                    </a:xfrm>
                    <a:prstGeom prst="rect">
                      <a:avLst/>
                    </a:prstGeom>
                    <a:noFill/>
                    <a:ln>
                      <a:noFill/>
                    </a:ln>
                  </pic:spPr>
                </pic:pic>
              </a:graphicData>
            </a:graphic>
          </wp:inline>
        </w:drawing>
      </w:r>
    </w:p>
    <w:p w14:paraId="5C6A67F6" w14:textId="5C55B87A" w:rsidR="00F66677" w:rsidRPr="004F0D74" w:rsidRDefault="00F66677" w:rsidP="00F66677">
      <w:pPr>
        <w:jc w:val="center"/>
        <w:rPr>
          <w:rFonts w:ascii="Times New Roman" w:hAnsi="Times New Roman" w:cs="Times New Roman"/>
          <w:b/>
          <w:bCs/>
        </w:rPr>
      </w:pPr>
      <w:r w:rsidRPr="004F0D74">
        <w:rPr>
          <w:rFonts w:ascii="Times New Roman" w:hAnsi="Times New Roman" w:cs="Times New Roman"/>
          <w:b/>
          <w:bCs/>
        </w:rPr>
        <w:t xml:space="preserve">Figure </w:t>
      </w:r>
      <w:r w:rsidR="00BC2C7F">
        <w:rPr>
          <w:rFonts w:ascii="Times New Roman" w:hAnsi="Times New Roman" w:cs="Times New Roman"/>
          <w:b/>
          <w:bCs/>
        </w:rPr>
        <w:t>1</w:t>
      </w:r>
      <w:r w:rsidRPr="004F0D74">
        <w:rPr>
          <w:rFonts w:ascii="Times New Roman" w:hAnsi="Times New Roman" w:cs="Times New Roman"/>
          <w:b/>
          <w:bCs/>
        </w:rPr>
        <w:t>: Map of study area</w:t>
      </w:r>
    </w:p>
    <w:p w14:paraId="5DEF4DE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Sampling</w:t>
      </w:r>
    </w:p>
    <w:p w14:paraId="408D458E" w14:textId="1C205CDE" w:rsidR="007D5554" w:rsidRPr="004F0D74" w:rsidRDefault="007D5554" w:rsidP="007D5554">
      <w:pPr>
        <w:jc w:val="both"/>
        <w:rPr>
          <w:rFonts w:ascii="Times New Roman" w:hAnsi="Times New Roman" w:cs="Times New Roman"/>
        </w:rPr>
      </w:pPr>
      <w:r w:rsidRPr="004F0D74">
        <w:rPr>
          <w:rFonts w:ascii="Times New Roman" w:hAnsi="Times New Roman" w:cs="Times New Roman"/>
        </w:rPr>
        <w:t>Using the Line transect, ten quadrats of 10 × 10 m² were laid, separately, in both the sites. A minimum distance of 100 m was maintained between consecutive points. Within each quadrat, 1 × 1 m² sub-quadrat was placed for litter collection (</w:t>
      </w:r>
      <w:proofErr w:type="spellStart"/>
      <w:r w:rsidR="00277061" w:rsidRPr="004F0D74">
        <w:rPr>
          <w:rFonts w:ascii="Times New Roman" w:hAnsi="Times New Roman" w:cs="Times New Roman"/>
        </w:rPr>
        <w:t>Causton</w:t>
      </w:r>
      <w:proofErr w:type="spellEnd"/>
      <w:r w:rsidR="00277061" w:rsidRPr="004F0D74">
        <w:rPr>
          <w:rFonts w:ascii="Times New Roman" w:hAnsi="Times New Roman" w:cs="Times New Roman"/>
        </w:rPr>
        <w:t xml:space="preserve"> 1988</w:t>
      </w:r>
      <w:r w:rsidR="006A3BB0" w:rsidRPr="004F0D74">
        <w:rPr>
          <w:rFonts w:ascii="Times New Roman" w:hAnsi="Times New Roman" w:cs="Times New Roman"/>
        </w:rPr>
        <w:t>;</w:t>
      </w:r>
      <w:r w:rsidR="00277061" w:rsidRPr="004F0D74">
        <w:rPr>
          <w:rFonts w:ascii="Times New Roman" w:hAnsi="Times New Roman" w:cs="Times New Roman"/>
        </w:rPr>
        <w:t xml:space="preserve"> </w:t>
      </w:r>
      <w:r w:rsidR="00595D88" w:rsidRPr="004F0D74">
        <w:rPr>
          <w:rFonts w:ascii="Times New Roman" w:hAnsi="Times New Roman" w:cs="Times New Roman"/>
        </w:rPr>
        <w:t>Buckland et al</w:t>
      </w:r>
      <w:r w:rsidR="006A3BB0" w:rsidRPr="004F0D74">
        <w:rPr>
          <w:rFonts w:ascii="Times New Roman" w:hAnsi="Times New Roman" w:cs="Times New Roman"/>
        </w:rPr>
        <w:t>.</w:t>
      </w:r>
      <w:r w:rsidR="00595D88" w:rsidRPr="004F0D74">
        <w:rPr>
          <w:rFonts w:ascii="Times New Roman" w:hAnsi="Times New Roman" w:cs="Times New Roman"/>
        </w:rPr>
        <w:t xml:space="preserve"> 2007</w:t>
      </w:r>
      <w:r w:rsidRPr="004F0D74">
        <w:rPr>
          <w:rFonts w:ascii="Times New Roman" w:hAnsi="Times New Roman" w:cs="Times New Roman"/>
        </w:rPr>
        <w:t xml:space="preserve">). The soil samples were collected from each quadrat </w:t>
      </w:r>
      <w:r w:rsidRPr="004F0D74">
        <w:rPr>
          <w:rFonts w:ascii="Times New Roman" w:hAnsi="Times New Roman" w:cs="Times New Roman"/>
          <w:color w:val="231F20"/>
          <w:shd w:val="clear" w:color="auto" w:fill="FFFFFF"/>
        </w:rPr>
        <w:t>and composite samples were obtained for two soil layers</w:t>
      </w:r>
      <w:r w:rsidR="00AC44F3" w:rsidRPr="004F0D74">
        <w:rPr>
          <w:rFonts w:ascii="Times New Roman" w:hAnsi="Times New Roman" w:cs="Times New Roman"/>
          <w:color w:val="231F20"/>
          <w:shd w:val="clear" w:color="auto" w:fill="FFFFFF"/>
        </w:rPr>
        <w:t xml:space="preserve"> i.e.</w:t>
      </w:r>
      <w:r w:rsidRPr="004F0D74">
        <w:rPr>
          <w:rFonts w:ascii="Times New Roman" w:hAnsi="Times New Roman" w:cs="Times New Roman"/>
          <w:color w:val="231F20"/>
          <w:shd w:val="clear" w:color="auto" w:fill="FFFFFF"/>
        </w:rPr>
        <w:t xml:space="preserve"> </w:t>
      </w:r>
      <w:r w:rsidRPr="004F0D74">
        <w:rPr>
          <w:rFonts w:ascii="Times New Roman" w:hAnsi="Times New Roman" w:cs="Times New Roman"/>
        </w:rPr>
        <w:t>0–15 cm and 15–30 cm</w:t>
      </w:r>
      <w:r w:rsidRPr="004F0D74">
        <w:rPr>
          <w:rFonts w:ascii="Times New Roman" w:hAnsi="Times New Roman" w:cs="Times New Roman"/>
          <w:color w:val="231F20"/>
          <w:shd w:val="clear" w:color="auto" w:fill="FFFFFF"/>
        </w:rPr>
        <w:t>.</w:t>
      </w:r>
      <w:r w:rsidRPr="004F0D74">
        <w:rPr>
          <w:rFonts w:ascii="Times New Roman" w:hAnsi="Times New Roman" w:cs="Times New Roman"/>
        </w:rPr>
        <w:t xml:space="preserve"> </w:t>
      </w:r>
    </w:p>
    <w:p w14:paraId="06B224D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Vegetation analysis</w:t>
      </w:r>
    </w:p>
    <w:p w14:paraId="7B3D08AD" w14:textId="44414A8D"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All trees with GBH &gt; 10 cm were measured at 1.37 m height following Parthasarathy &amp; </w:t>
      </w:r>
      <w:proofErr w:type="spellStart"/>
      <w:r w:rsidRPr="004F0D74">
        <w:rPr>
          <w:rFonts w:ascii="Times New Roman" w:hAnsi="Times New Roman" w:cs="Times New Roman"/>
        </w:rPr>
        <w:t>Kartikeyan</w:t>
      </w:r>
      <w:proofErr w:type="spellEnd"/>
      <w:r w:rsidRPr="004F0D74">
        <w:rPr>
          <w:rFonts w:ascii="Times New Roman" w:hAnsi="Times New Roman" w:cs="Times New Roman"/>
        </w:rPr>
        <w:t xml:space="preserve"> (1997), and GBH was converted to DBH using the factor π (3.14). Quantitative vegetation parameters i.e. frequency and density were determined. Species diversity was assessed using the Shannon-Wiener Index (Shannon </w:t>
      </w:r>
      <w:r w:rsidR="006A3BB0" w:rsidRPr="004F0D74">
        <w:rPr>
          <w:rFonts w:ascii="Times New Roman" w:hAnsi="Times New Roman" w:cs="Times New Roman"/>
        </w:rPr>
        <w:t>and</w:t>
      </w:r>
      <w:r w:rsidRPr="004F0D74">
        <w:rPr>
          <w:rFonts w:ascii="Times New Roman" w:hAnsi="Times New Roman" w:cs="Times New Roman"/>
        </w:rPr>
        <w:t xml:space="preserve"> Weaver 1949), </w:t>
      </w:r>
      <w:proofErr w:type="spellStart"/>
      <w:r w:rsidRPr="004F0D74">
        <w:rPr>
          <w:rFonts w:ascii="Times New Roman" w:hAnsi="Times New Roman" w:cs="Times New Roman"/>
        </w:rPr>
        <w:t>Margalef’s</w:t>
      </w:r>
      <w:proofErr w:type="spellEnd"/>
      <w:r w:rsidRPr="004F0D74">
        <w:rPr>
          <w:rFonts w:ascii="Times New Roman" w:hAnsi="Times New Roman" w:cs="Times New Roman"/>
        </w:rPr>
        <w:t xml:space="preserve"> Richness Index (</w:t>
      </w: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1958), Simpson’s Dominance Index (Simpson 1949), and </w:t>
      </w:r>
      <w:proofErr w:type="spellStart"/>
      <w:r w:rsidRPr="004F0D74">
        <w:rPr>
          <w:rFonts w:ascii="Times New Roman" w:hAnsi="Times New Roman" w:cs="Times New Roman"/>
        </w:rPr>
        <w:t>Pielou’s</w:t>
      </w:r>
      <w:proofErr w:type="spellEnd"/>
      <w:r w:rsidRPr="004F0D74">
        <w:rPr>
          <w:rFonts w:ascii="Times New Roman" w:hAnsi="Times New Roman" w:cs="Times New Roman"/>
        </w:rPr>
        <w:t xml:space="preserve"> Evenness Index (</w:t>
      </w: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19</w:t>
      </w:r>
      <w:r w:rsidR="009334FD" w:rsidRPr="004F0D74">
        <w:rPr>
          <w:rFonts w:ascii="Times New Roman" w:hAnsi="Times New Roman" w:cs="Times New Roman"/>
        </w:rPr>
        <w:t>6</w:t>
      </w:r>
      <w:r w:rsidRPr="004F0D74">
        <w:rPr>
          <w:rFonts w:ascii="Times New Roman" w:hAnsi="Times New Roman" w:cs="Times New Roman"/>
        </w:rPr>
        <w:t xml:space="preserve">6). The Important Value Index (IVI) was derived by summing relative frequency, relative density, and relative basal area (Phillips 1959). </w:t>
      </w:r>
      <w:r w:rsidR="00832CA8" w:rsidRPr="004F0D74">
        <w:rPr>
          <w:rFonts w:ascii="Times New Roman" w:hAnsi="Times New Roman" w:cs="Times New Roman"/>
        </w:rPr>
        <w:t xml:space="preserve">The </w:t>
      </w:r>
      <w:r w:rsidR="00AC44F3" w:rsidRPr="004F0D74">
        <w:rPr>
          <w:rFonts w:ascii="Times New Roman" w:hAnsi="Times New Roman" w:cs="Times New Roman"/>
        </w:rPr>
        <w:t>distributional</w:t>
      </w:r>
      <w:r w:rsidR="009334FD" w:rsidRPr="004F0D74">
        <w:rPr>
          <w:rFonts w:ascii="Times New Roman" w:hAnsi="Times New Roman" w:cs="Times New Roman"/>
        </w:rPr>
        <w:t xml:space="preserve"> pattern of the </w:t>
      </w:r>
      <w:r w:rsidR="00832CA8" w:rsidRPr="004F0D74">
        <w:rPr>
          <w:rFonts w:ascii="Times New Roman" w:hAnsi="Times New Roman" w:cs="Times New Roman"/>
        </w:rPr>
        <w:t xml:space="preserve">of the species was calculated as </w:t>
      </w:r>
      <w:r w:rsidR="009334FD" w:rsidRPr="004F0D74">
        <w:rPr>
          <w:rFonts w:ascii="Times New Roman" w:hAnsi="Times New Roman" w:cs="Times New Roman"/>
        </w:rPr>
        <w:t>regular (&lt;0.025), random (0.025-0.05) and contagious (&gt;0.05) distribution</w:t>
      </w:r>
      <w:r w:rsidR="00832CA8" w:rsidRPr="004F0D74">
        <w:rPr>
          <w:rFonts w:ascii="Times New Roman" w:hAnsi="Times New Roman" w:cs="Times New Roman"/>
        </w:rPr>
        <w:t xml:space="preserve"> (Curtis and Cottam 1956)</w:t>
      </w:r>
      <w:r w:rsidR="009334FD" w:rsidRPr="004F0D74">
        <w:rPr>
          <w:rFonts w:ascii="Times New Roman" w:hAnsi="Times New Roman" w:cs="Times New Roman"/>
        </w:rPr>
        <w:t xml:space="preserve">. </w:t>
      </w:r>
      <w:r w:rsidRPr="004F0D74">
        <w:rPr>
          <w:rFonts w:ascii="Times New Roman" w:hAnsi="Times New Roman" w:cs="Times New Roman"/>
        </w:rPr>
        <w:t xml:space="preserve">Species </w:t>
      </w:r>
      <w:r w:rsidRPr="004F0D74">
        <w:rPr>
          <w:rFonts w:ascii="Times New Roman" w:hAnsi="Times New Roman" w:cs="Times New Roman"/>
        </w:rPr>
        <w:lastRenderedPageBreak/>
        <w:t xml:space="preserve">identification was carried out using </w:t>
      </w: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et al</w:t>
      </w:r>
      <w:r w:rsidR="006A3BB0" w:rsidRPr="004F0D74">
        <w:rPr>
          <w:rFonts w:ascii="Times New Roman" w:hAnsi="Times New Roman" w:cs="Times New Roman"/>
        </w:rPr>
        <w:t>.</w:t>
      </w:r>
      <w:r w:rsidRPr="004F0D74">
        <w:rPr>
          <w:rFonts w:ascii="Times New Roman" w:hAnsi="Times New Roman" w:cs="Times New Roman"/>
        </w:rPr>
        <w:t xml:space="preserve"> (2007), whereas the status of each plant binomial was confirmed by using the Plants of the World Online Database (</w:t>
      </w:r>
      <w:hyperlink r:id="rId8" w:history="1">
        <w:r w:rsidRPr="004F0D74">
          <w:rPr>
            <w:rStyle w:val="Hyperlink"/>
            <w:rFonts w:ascii="Times New Roman" w:hAnsi="Times New Roman" w:cs="Times New Roman"/>
          </w:rPr>
          <w:t>https://powo.science.kew.org/</w:t>
        </w:r>
      </w:hyperlink>
      <w:r w:rsidRPr="004F0D74">
        <w:rPr>
          <w:rFonts w:ascii="Times New Roman" w:hAnsi="Times New Roman" w:cs="Times New Roman"/>
        </w:rPr>
        <w:t>).</w:t>
      </w:r>
    </w:p>
    <w:p w14:paraId="6F82BF3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 xml:space="preserve">Tree Biomass </w:t>
      </w:r>
    </w:p>
    <w:p w14:paraId="31870088" w14:textId="1BB9A482" w:rsidR="00C83107" w:rsidRPr="004F0D74" w:rsidRDefault="007D5554" w:rsidP="007D5554">
      <w:pPr>
        <w:jc w:val="both"/>
        <w:rPr>
          <w:rFonts w:ascii="Times New Roman" w:hAnsi="Times New Roman" w:cs="Times New Roman"/>
        </w:rPr>
      </w:pPr>
      <w:r w:rsidRPr="004F0D74">
        <w:rPr>
          <w:rFonts w:ascii="Times New Roman" w:hAnsi="Times New Roman" w:cs="Times New Roman"/>
        </w:rPr>
        <w:t>Non-destructive method was used to quantify tree biomass. The Above Ground Biomass (AGB) of tree was determined using the allometric equation</w:t>
      </w:r>
      <w:r w:rsidR="00C83107" w:rsidRPr="004F0D74">
        <w:rPr>
          <w:rFonts w:ascii="Times New Roman" w:hAnsi="Times New Roman" w:cs="Times New Roman"/>
        </w:rPr>
        <w:t xml:space="preserve"> (Rawat and Singh 1988).</w:t>
      </w:r>
    </w:p>
    <w:p w14:paraId="6FCF3387" w14:textId="77777777" w:rsidR="00C83107" w:rsidRPr="004F0D74" w:rsidRDefault="00C83107" w:rsidP="007D5554">
      <w:pPr>
        <w:jc w:val="both"/>
        <w:rPr>
          <w:rFonts w:ascii="Times New Roman" w:hAnsi="Times New Roman" w:cs="Times New Roman"/>
        </w:rPr>
      </w:pPr>
      <m:oMath>
        <m:r>
          <m:rPr>
            <m:sty m:val="p"/>
          </m:rPr>
          <w:rPr>
            <w:rFonts w:ascii="Cambria Math" w:hAnsi="Cambria Math" w:cs="Times New Roman"/>
          </w:rPr>
          <m:t>ln AGB =0.349+1.316 lnGBH</m:t>
        </m:r>
      </m:oMath>
      <w:r w:rsidR="007D5554" w:rsidRPr="004F0D74">
        <w:rPr>
          <w:rFonts w:ascii="Times New Roman" w:hAnsi="Times New Roman" w:cs="Times New Roman"/>
        </w:rPr>
        <w:t xml:space="preserve"> </w:t>
      </w:r>
    </w:p>
    <w:p w14:paraId="05EFAB08" w14:textId="3BE8DF67"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Below Ground Biomass (BGB) was estimated as AGBx0.246 (IPCC 2019), and total tree biomass was obtained as AGB + BGB (Brown et al. 1989). </w:t>
      </w:r>
    </w:p>
    <w:p w14:paraId="56810EF9"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Litter biomass</w:t>
      </w:r>
    </w:p>
    <w:p w14:paraId="302841B9" w14:textId="375986D0"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Litter biomass was quantified by collecting all the dead plant material (leaves, twigs, bark) from 1m × 1m sub-quadrats. The collected litter oven-dried at </w:t>
      </w:r>
      <w:r w:rsidRPr="004F0D74">
        <w:rPr>
          <w:rFonts w:ascii="Times New Roman" w:hAnsi="Times New Roman" w:cs="Times New Roman"/>
          <w:color w:val="000000" w:themeColor="text1"/>
        </w:rPr>
        <w:t>60±5 °C</w:t>
      </w:r>
      <w:r w:rsidRPr="004F0D74">
        <w:rPr>
          <w:rFonts w:ascii="Times New Roman" w:hAnsi="Times New Roman" w:cs="Times New Roman"/>
          <w:color w:val="FF0000"/>
        </w:rPr>
        <w:t xml:space="preserve"> </w:t>
      </w:r>
      <w:r w:rsidRPr="004F0D74">
        <w:rPr>
          <w:rFonts w:ascii="Times New Roman" w:hAnsi="Times New Roman" w:cs="Times New Roman"/>
        </w:rPr>
        <w:t xml:space="preserve">to constant weight, and litter biomass was computed as dry weight per unit area (Brown et al. 1989). </w:t>
      </w:r>
    </w:p>
    <w:p w14:paraId="136E12D4" w14:textId="77777777" w:rsidR="007D5554" w:rsidRPr="004F0D74" w:rsidRDefault="007D5554" w:rsidP="007D5554">
      <w:pPr>
        <w:jc w:val="both"/>
        <w:rPr>
          <w:rFonts w:ascii="Times New Roman" w:hAnsi="Times New Roman" w:cs="Times New Roman"/>
          <w:b/>
          <w:i/>
          <w:iCs/>
          <w:color w:val="000000" w:themeColor="text1"/>
        </w:rPr>
      </w:pPr>
      <w:r w:rsidRPr="004F0D74">
        <w:rPr>
          <w:rFonts w:ascii="Times New Roman" w:hAnsi="Times New Roman" w:cs="Times New Roman"/>
          <w:b/>
          <w:i/>
          <w:iCs/>
          <w:color w:val="000000" w:themeColor="text1"/>
        </w:rPr>
        <w:t>Carbon stock estimation</w:t>
      </w:r>
    </w:p>
    <w:p w14:paraId="335DA6C7"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 xml:space="preserve">Tree carbon stock was calculated by multiplying tree biomass with </w:t>
      </w:r>
      <w:r w:rsidRPr="004F0D74">
        <w:rPr>
          <w:rFonts w:ascii="Times New Roman" w:hAnsi="Times New Roman" w:cs="Times New Roman"/>
          <w:color w:val="000000" w:themeColor="text1"/>
        </w:rPr>
        <w:t>IPCC default value 0.5</w:t>
      </w:r>
      <w:r w:rsidRPr="004F0D74">
        <w:rPr>
          <w:rFonts w:ascii="Times New Roman" w:hAnsi="Times New Roman" w:cs="Times New Roman"/>
        </w:rPr>
        <w:t xml:space="preserve"> (IPCC 2019). </w:t>
      </w:r>
      <w:r w:rsidR="00283D92" w:rsidRPr="004F0D74">
        <w:rPr>
          <w:rFonts w:ascii="Times New Roman" w:hAnsi="Times New Roman" w:cs="Times New Roman"/>
        </w:rPr>
        <w:t xml:space="preserve">The litter carbon was obtained by multiplying litter biomass with the factor 0.37 (Smith and Heath 2001; IPCC 2006). </w:t>
      </w:r>
      <w:r w:rsidRPr="004F0D74">
        <w:rPr>
          <w:rFonts w:ascii="Times New Roman" w:hAnsi="Times New Roman" w:cs="Times New Roman"/>
        </w:rPr>
        <w:t xml:space="preserve">Soil Organic Carbon (SOC) was estimated using the Walkley and Black (1934) wet digestion method. The measured organic carbon percentage was corrected using a factor of 1.33. Bulk density was measured by the soil core method (Blake 1965). </w:t>
      </w:r>
    </w:p>
    <w:p w14:paraId="24B75169"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SOC stock</w:t>
      </w:r>
      <w:r w:rsidR="00DF351C" w:rsidRPr="004F0D74">
        <w:rPr>
          <w:rFonts w:ascii="Times New Roman" w:hAnsi="Times New Roman" w:cs="Times New Roman"/>
        </w:rPr>
        <w:t xml:space="preserve"> in Mgha</w:t>
      </w:r>
      <w:r w:rsidR="00DF351C" w:rsidRPr="004F0D74">
        <w:rPr>
          <w:rFonts w:ascii="Times New Roman" w:hAnsi="Times New Roman" w:cs="Times New Roman"/>
          <w:vertAlign w:val="superscript"/>
        </w:rPr>
        <w:t>-1</w:t>
      </w:r>
      <w:r w:rsidRPr="004F0D74">
        <w:rPr>
          <w:rFonts w:ascii="Times New Roman" w:hAnsi="Times New Roman" w:cs="Times New Roman"/>
        </w:rPr>
        <w:t xml:space="preserve"> was computed </w:t>
      </w:r>
      <w:r w:rsidR="00C83107" w:rsidRPr="004F0D74">
        <w:rPr>
          <w:rFonts w:ascii="Times New Roman" w:hAnsi="Times New Roman" w:cs="Times New Roman"/>
        </w:rPr>
        <w:t xml:space="preserve">following </w:t>
      </w:r>
      <w:proofErr w:type="spellStart"/>
      <w:r w:rsidR="00C83107" w:rsidRPr="004F0D74">
        <w:rPr>
          <w:rFonts w:ascii="Times New Roman" w:hAnsi="Times New Roman" w:cs="Times New Roman"/>
        </w:rPr>
        <w:t>Mohanrana</w:t>
      </w:r>
      <w:proofErr w:type="spellEnd"/>
      <w:r w:rsidR="00C83107" w:rsidRPr="004F0D74">
        <w:rPr>
          <w:rFonts w:ascii="Times New Roman" w:hAnsi="Times New Roman" w:cs="Times New Roman"/>
        </w:rPr>
        <w:t xml:space="preserve"> et al. (2021)</w:t>
      </w:r>
    </w:p>
    <w:p w14:paraId="4AE760CF" w14:textId="79D5E3F4" w:rsidR="00C83107" w:rsidRPr="004F0D74" w:rsidRDefault="00C83107" w:rsidP="007D5554">
      <w:pPr>
        <w:jc w:val="both"/>
        <w:rPr>
          <w:rFonts w:ascii="Times New Roman" w:hAnsi="Times New Roman" w:cs="Times New Roman"/>
        </w:rPr>
      </w:pPr>
      <m:oMathPara>
        <m:oMath>
          <m:r>
            <m:rPr>
              <m:sty m:val="p"/>
            </m:rPr>
            <w:rPr>
              <w:rFonts w:ascii="Cambria Math" w:hAnsi="Cambria Math" w:cs="Times New Roman"/>
            </w:rPr>
            <m:t>SOC stock=</m:t>
          </m:r>
          <m:f>
            <m:fPr>
              <m:ctrlPr>
                <w:rPr>
                  <w:rFonts w:ascii="Cambria Math" w:eastAsiaTheme="minorEastAsia" w:hAnsi="Cambria Math" w:cs="Times New Roman"/>
                  <w:i/>
                </w:rPr>
              </m:ctrlPr>
            </m:fPr>
            <m:num>
              <m:r>
                <w:rPr>
                  <w:rFonts w:ascii="Cambria Math" w:hAnsi="Cambria Math" w:cs="Times New Roman"/>
                </w:rPr>
                <m:t>SO</m:t>
              </m:r>
              <m:r>
                <w:rPr>
                  <w:rFonts w:ascii="Cambria Math" w:eastAsiaTheme="minorEastAsia" w:hAnsi="Cambria Math" w:cs="Times New Roman"/>
                </w:rPr>
                <m:t>C% x BD Mg m</m:t>
              </m:r>
              <m:r>
                <w:rPr>
                  <w:rFonts w:ascii="Cambria Math" w:eastAsiaTheme="minorEastAsia" w:hAnsi="Cambria Math" w:cs="Times New Roman"/>
                  <w:vertAlign w:val="superscript"/>
                </w:rPr>
                <m:t>-3</m:t>
              </m:r>
              <m:r>
                <w:rPr>
                  <w:rFonts w:ascii="Cambria Math" w:eastAsiaTheme="minorEastAsia" w:hAnsi="Cambria Math" w:cs="Times New Roman"/>
                </w:rPr>
                <m:t xml:space="preserve"> x Depth m x 10</m:t>
              </m:r>
              <m:r>
                <w:rPr>
                  <w:rFonts w:ascii="Cambria Math" w:eastAsiaTheme="minorEastAsia" w:hAnsi="Cambria Math" w:cs="Times New Roman"/>
                  <w:vertAlign w:val="superscript"/>
                </w:rPr>
                <m:t xml:space="preserve">4 </m:t>
              </m:r>
              <m:r>
                <w:rPr>
                  <w:rFonts w:ascii="Cambria Math" w:eastAsiaTheme="minorEastAsia" w:hAnsi="Cambria Math" w:cs="Times New Roman"/>
                </w:rPr>
                <m:t>m</m:t>
              </m:r>
              <m:r>
                <w:rPr>
                  <w:rFonts w:ascii="Cambria Math" w:eastAsiaTheme="minorEastAsia" w:hAnsi="Cambria Math" w:cs="Times New Roman"/>
                  <w:vertAlign w:val="superscript"/>
                </w:rPr>
                <m:t>2</m:t>
              </m:r>
              <m:r>
                <w:rPr>
                  <w:rFonts w:ascii="Cambria Math" w:eastAsiaTheme="minorEastAsia" w:hAnsi="Cambria Math" w:cs="Times New Roman"/>
                </w:rPr>
                <m:t xml:space="preserve"> ha</m:t>
              </m:r>
              <m:r>
                <w:rPr>
                  <w:rFonts w:ascii="Cambria Math" w:eastAsiaTheme="minorEastAsia" w:hAnsi="Cambria Math" w:cs="Times New Roman"/>
                  <w:vertAlign w:val="superscript"/>
                </w:rPr>
                <m:t>-1</m:t>
              </m:r>
            </m:num>
            <m:den>
              <m:r>
                <w:rPr>
                  <w:rFonts w:ascii="Cambria Math" w:eastAsiaTheme="minorEastAsia" w:hAnsi="Cambria Math" w:cs="Times New Roman"/>
                </w:rPr>
                <m:t>100</m:t>
              </m:r>
            </m:den>
          </m:f>
        </m:oMath>
      </m:oMathPara>
    </w:p>
    <w:p w14:paraId="61164E15" w14:textId="1D970EF7" w:rsidR="007D5554" w:rsidRPr="004F0D74" w:rsidRDefault="007D5554" w:rsidP="007D5554">
      <w:pPr>
        <w:jc w:val="both"/>
        <w:rPr>
          <w:rFonts w:ascii="Times New Roman" w:hAnsi="Times New Roman" w:cs="Times New Roman"/>
        </w:rPr>
      </w:pPr>
      <w:r w:rsidRPr="004F0D74">
        <w:rPr>
          <w:rFonts w:ascii="Times New Roman" w:hAnsi="Times New Roman" w:cs="Times New Roman"/>
        </w:rPr>
        <w:t>The total carbon stock of each Van Panchayat was obtained by summing the contributions from trees, litter, and soil</w:t>
      </w:r>
      <w:r w:rsidRPr="004F0D74">
        <w:rPr>
          <w:rFonts w:ascii="Times New Roman" w:hAnsi="Times New Roman" w:cs="Times New Roman"/>
          <w:color w:val="FF0000"/>
        </w:rPr>
        <w:t xml:space="preserve"> </w:t>
      </w:r>
      <w:r w:rsidR="00D94D62" w:rsidRPr="004F0D74">
        <w:rPr>
          <w:rFonts w:ascii="Times New Roman" w:hAnsi="Times New Roman" w:cs="Times New Roman"/>
        </w:rPr>
        <w:t xml:space="preserve">in </w:t>
      </w:r>
      <w:r w:rsidR="00283D92" w:rsidRPr="004F0D74">
        <w:rPr>
          <w:rFonts w:ascii="Times New Roman" w:hAnsi="Times New Roman" w:cs="Times New Roman"/>
        </w:rPr>
        <w:t>Mg</w:t>
      </w:r>
      <w:r w:rsidRPr="004F0D74">
        <w:rPr>
          <w:rFonts w:ascii="Times New Roman" w:hAnsi="Times New Roman" w:cs="Times New Roman"/>
        </w:rPr>
        <w:t>h</w:t>
      </w:r>
      <w:r w:rsidR="00283D92" w:rsidRPr="004F0D74">
        <w:rPr>
          <w:rFonts w:ascii="Times New Roman" w:hAnsi="Times New Roman" w:cs="Times New Roman"/>
        </w:rPr>
        <w:t>a</w:t>
      </w:r>
      <w:r w:rsidRPr="004F0D74">
        <w:rPr>
          <w:rFonts w:ascii="Times New Roman" w:hAnsi="Times New Roman" w:cs="Times New Roman"/>
          <w:vertAlign w:val="superscript"/>
        </w:rPr>
        <w:t>−1</w:t>
      </w:r>
      <w:r w:rsidRPr="004F0D74">
        <w:rPr>
          <w:rFonts w:ascii="Times New Roman" w:hAnsi="Times New Roman" w:cs="Times New Roman"/>
        </w:rPr>
        <w:t>. This provided an integrated estimate of the carbon storage potential of the community-managed forests.</w:t>
      </w:r>
      <w:r w:rsidR="00D94D62" w:rsidRPr="004F0D74">
        <w:rPr>
          <w:rFonts w:ascii="Times New Roman" w:hAnsi="Times New Roman" w:cs="Times New Roman"/>
        </w:rPr>
        <w:t xml:space="preserve"> </w:t>
      </w:r>
      <w:r w:rsidRPr="004F0D74">
        <w:rPr>
          <w:rFonts w:ascii="Times New Roman" w:hAnsi="Times New Roman" w:cs="Times New Roman"/>
        </w:rPr>
        <w:t>The carbon stock converted into CO₂ equivalent using the factor 3.67(IPCC 2006, 2019).</w:t>
      </w:r>
    </w:p>
    <w:p w14:paraId="2FBE60D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Statistical Analysis</w:t>
      </w:r>
    </w:p>
    <w:p w14:paraId="35969A9C" w14:textId="4FBC7754" w:rsidR="007D5554" w:rsidRPr="004F0D74" w:rsidRDefault="007D5554" w:rsidP="00F07908">
      <w:pPr>
        <w:spacing w:after="0"/>
        <w:jc w:val="both"/>
        <w:rPr>
          <w:rFonts w:ascii="Times New Roman" w:hAnsi="Times New Roman" w:cs="Times New Roman"/>
        </w:rPr>
      </w:pPr>
      <w:r w:rsidRPr="004F0D74">
        <w:rPr>
          <w:rFonts w:ascii="Times New Roman" w:hAnsi="Times New Roman" w:cs="Times New Roman"/>
        </w:rPr>
        <w:t xml:space="preserve">The </w:t>
      </w:r>
      <w:r w:rsidR="00D94D62" w:rsidRPr="004F0D74">
        <w:rPr>
          <w:rFonts w:ascii="Times New Roman" w:hAnsi="Times New Roman" w:cs="Times New Roman"/>
        </w:rPr>
        <w:t xml:space="preserve">sum and </w:t>
      </w:r>
      <w:r w:rsidRPr="004F0D74">
        <w:rPr>
          <w:rFonts w:ascii="Times New Roman" w:hAnsi="Times New Roman" w:cs="Times New Roman"/>
        </w:rPr>
        <w:t xml:space="preserve">mean of the different parameters </w:t>
      </w:r>
      <w:r w:rsidR="009C5E40" w:rsidRPr="004F0D74">
        <w:rPr>
          <w:rFonts w:ascii="Times New Roman" w:hAnsi="Times New Roman" w:cs="Times New Roman"/>
        </w:rPr>
        <w:t>were</w:t>
      </w:r>
      <w:r w:rsidRPr="004F0D74">
        <w:rPr>
          <w:rFonts w:ascii="Times New Roman" w:hAnsi="Times New Roman" w:cs="Times New Roman"/>
        </w:rPr>
        <w:t xml:space="preserve"> computed using descriptive analysis tools. The differences in soil, vegetation, biomass, and carbon stock between the community forests were analyzed using a </w:t>
      </w:r>
      <w:r w:rsidR="00250563" w:rsidRPr="004F0D74">
        <w:rPr>
          <w:rFonts w:ascii="Times New Roman" w:hAnsi="Times New Roman" w:cs="Times New Roman"/>
        </w:rPr>
        <w:t>s</w:t>
      </w:r>
      <w:r w:rsidRPr="004F0D74">
        <w:rPr>
          <w:rFonts w:ascii="Times New Roman" w:hAnsi="Times New Roman" w:cs="Times New Roman"/>
        </w:rPr>
        <w:t xml:space="preserve">tudent’s t-test. Values were declared significant at P&lt;0.05. Statistical analysis was performed using </w:t>
      </w:r>
      <w:r w:rsidR="00167AFA" w:rsidRPr="004F0D74">
        <w:rPr>
          <w:rFonts w:ascii="Times New Roman" w:hAnsi="Times New Roman" w:cs="Times New Roman"/>
        </w:rPr>
        <w:t>R Studio Software</w:t>
      </w:r>
      <w:r w:rsidR="00F00BFA" w:rsidRPr="004F0D74">
        <w:rPr>
          <w:rFonts w:ascii="Times New Roman" w:hAnsi="Times New Roman" w:cs="Times New Roman"/>
        </w:rPr>
        <w:t xml:space="preserve"> Version 4.5.2</w:t>
      </w:r>
      <w:r w:rsidR="00167AFA" w:rsidRPr="004F0D74">
        <w:rPr>
          <w:rFonts w:ascii="Times New Roman" w:hAnsi="Times New Roman" w:cs="Times New Roman"/>
        </w:rPr>
        <w:t>.</w:t>
      </w:r>
    </w:p>
    <w:p w14:paraId="4CBC2103" w14:textId="77777777" w:rsidR="007D5554" w:rsidRPr="004F0D74" w:rsidRDefault="007D5554" w:rsidP="00F07908">
      <w:pPr>
        <w:spacing w:after="0"/>
        <w:jc w:val="both"/>
        <w:rPr>
          <w:rFonts w:ascii="Times New Roman" w:hAnsi="Times New Roman" w:cs="Times New Roman"/>
          <w:b/>
          <w:bCs/>
        </w:rPr>
      </w:pPr>
    </w:p>
    <w:p w14:paraId="242A85A0" w14:textId="1CDDDE9B" w:rsidR="00745516" w:rsidRPr="004F0D74" w:rsidRDefault="00745516" w:rsidP="00F07908">
      <w:pPr>
        <w:spacing w:after="0"/>
        <w:jc w:val="both"/>
        <w:rPr>
          <w:rFonts w:ascii="Times New Roman" w:hAnsi="Times New Roman" w:cs="Times New Roman"/>
          <w:b/>
          <w:bCs/>
        </w:rPr>
      </w:pPr>
      <w:r w:rsidRPr="004F0D74">
        <w:rPr>
          <w:rFonts w:ascii="Times New Roman" w:hAnsi="Times New Roman" w:cs="Times New Roman"/>
          <w:b/>
          <w:bCs/>
        </w:rPr>
        <w:t>Results and Discussion</w:t>
      </w:r>
    </w:p>
    <w:p w14:paraId="0E55160F" w14:textId="08C7E00F"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Stand structure and species composition</w:t>
      </w:r>
    </w:p>
    <w:p w14:paraId="713BE323" w14:textId="3068F450" w:rsidR="00745516" w:rsidRPr="004F0D74" w:rsidRDefault="00745516" w:rsidP="002C3EEC">
      <w:pPr>
        <w:jc w:val="both"/>
        <w:rPr>
          <w:rFonts w:ascii="Times New Roman" w:hAnsi="Times New Roman" w:cs="Times New Roman"/>
        </w:rPr>
      </w:pPr>
      <w:r w:rsidRPr="004F0D74">
        <w:rPr>
          <w:rFonts w:ascii="Times New Roman" w:hAnsi="Times New Roman" w:cs="Times New Roman"/>
        </w:rPr>
        <w:t>The two Himalayan community forests</w:t>
      </w:r>
      <w:r w:rsidR="00D94D62" w:rsidRPr="004F0D74">
        <w:rPr>
          <w:rFonts w:ascii="Times New Roman" w:hAnsi="Times New Roman" w:cs="Times New Roman"/>
        </w:rPr>
        <w:t>,</w:t>
      </w:r>
      <w:r w:rsidRPr="004F0D74">
        <w:rPr>
          <w:rFonts w:ascii="Times New Roman" w:hAnsi="Times New Roman" w:cs="Times New Roman"/>
        </w:rPr>
        <w:t xml:space="preserve"> </w:t>
      </w:r>
      <w:proofErr w:type="spellStart"/>
      <w:r w:rsidRPr="004F0D74">
        <w:rPr>
          <w:rFonts w:ascii="Times New Roman" w:hAnsi="Times New Roman" w:cs="Times New Roman"/>
        </w:rPr>
        <w:t>Akhandwali</w:t>
      </w:r>
      <w:proofErr w:type="spellEnd"/>
      <w:r w:rsidRPr="004F0D74">
        <w:rPr>
          <w:rFonts w:ascii="Times New Roman" w:hAnsi="Times New Roman" w:cs="Times New Roman"/>
        </w:rPr>
        <w:t>–</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Community Forest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Community Forest (RCF)</w:t>
      </w:r>
      <w:r w:rsidR="00D94D62" w:rsidRPr="004F0D74">
        <w:rPr>
          <w:rFonts w:ascii="Times New Roman" w:hAnsi="Times New Roman" w:cs="Times New Roman"/>
        </w:rPr>
        <w:t xml:space="preserve">, </w:t>
      </w:r>
      <w:r w:rsidRPr="004F0D74">
        <w:rPr>
          <w:rFonts w:ascii="Times New Roman" w:hAnsi="Times New Roman" w:cs="Times New Roman"/>
        </w:rPr>
        <w:t>exhibited marked differences in stand structure</w:t>
      </w:r>
      <w:r w:rsidR="00D94D62" w:rsidRPr="004F0D74">
        <w:rPr>
          <w:rFonts w:ascii="Times New Roman" w:hAnsi="Times New Roman" w:cs="Times New Roman"/>
        </w:rPr>
        <w:t xml:space="preserve"> and </w:t>
      </w:r>
      <w:r w:rsidRPr="004F0D74">
        <w:rPr>
          <w:rFonts w:ascii="Times New Roman" w:hAnsi="Times New Roman" w:cs="Times New Roman"/>
        </w:rPr>
        <w:t>species dominance</w:t>
      </w:r>
      <w:r w:rsidR="00D94D62" w:rsidRPr="004F0D74">
        <w:rPr>
          <w:rFonts w:ascii="Times New Roman" w:hAnsi="Times New Roman" w:cs="Times New Roman"/>
        </w:rPr>
        <w:t xml:space="preserve"> (Table </w:t>
      </w:r>
      <w:r w:rsidR="009F4B2E" w:rsidRPr="004F0D74">
        <w:rPr>
          <w:rFonts w:ascii="Times New Roman" w:hAnsi="Times New Roman" w:cs="Times New Roman"/>
        </w:rPr>
        <w:t>II</w:t>
      </w:r>
      <w:r w:rsidR="00794FC2" w:rsidRPr="004F0D74">
        <w:rPr>
          <w:rFonts w:ascii="Times New Roman" w:hAnsi="Times New Roman" w:cs="Times New Roman"/>
        </w:rPr>
        <w:t xml:space="preserve"> and </w:t>
      </w:r>
      <w:r w:rsidR="009F4B2E" w:rsidRPr="004F0D74">
        <w:rPr>
          <w:rFonts w:ascii="Times New Roman" w:hAnsi="Times New Roman" w:cs="Times New Roman"/>
        </w:rPr>
        <w:t>III</w:t>
      </w:r>
      <w:r w:rsidR="00D94D62" w:rsidRPr="004F0D74">
        <w:rPr>
          <w:rFonts w:ascii="Times New Roman" w:hAnsi="Times New Roman" w:cs="Times New Roman"/>
        </w:rPr>
        <w:t>)</w:t>
      </w:r>
      <w:r w:rsidRPr="004F0D74">
        <w:rPr>
          <w:rFonts w:ascii="Times New Roman" w:hAnsi="Times New Roman" w:cs="Times New Roman"/>
        </w:rPr>
        <w:t xml:space="preserve"> consistent with variability reported across Van Panchayat forests of Uttarakhand </w:t>
      </w:r>
      <w:r w:rsidR="00D94D62" w:rsidRPr="004F0D74">
        <w:rPr>
          <w:rFonts w:ascii="Times New Roman" w:hAnsi="Times New Roman" w:cs="Times New Roman"/>
        </w:rPr>
        <w:t xml:space="preserve">reported by </w:t>
      </w:r>
      <w:proofErr w:type="spellStart"/>
      <w:r w:rsidR="002035F6" w:rsidRPr="004F0D74">
        <w:rPr>
          <w:rFonts w:ascii="Times New Roman" w:hAnsi="Times New Roman" w:cs="Times New Roman"/>
        </w:rPr>
        <w:t>Gairola</w:t>
      </w:r>
      <w:proofErr w:type="spellEnd"/>
      <w:r w:rsidR="002035F6" w:rsidRPr="004F0D74">
        <w:rPr>
          <w:rFonts w:ascii="Times New Roman" w:hAnsi="Times New Roman" w:cs="Times New Roman"/>
        </w:rPr>
        <w:t xml:space="preserve"> et al. </w:t>
      </w:r>
      <w:r w:rsidR="00D94D62" w:rsidRPr="004F0D74">
        <w:rPr>
          <w:rFonts w:ascii="Times New Roman" w:hAnsi="Times New Roman" w:cs="Times New Roman"/>
        </w:rPr>
        <w:t>(</w:t>
      </w:r>
      <w:r w:rsidR="002035F6" w:rsidRPr="004F0D74">
        <w:rPr>
          <w:rFonts w:ascii="Times New Roman" w:hAnsi="Times New Roman" w:cs="Times New Roman"/>
        </w:rPr>
        <w:t>2015</w:t>
      </w:r>
      <w:r w:rsidR="00D94D62" w:rsidRPr="004F0D74">
        <w:rPr>
          <w:rFonts w:ascii="Times New Roman" w:hAnsi="Times New Roman" w:cs="Times New Roman"/>
        </w:rPr>
        <w:t>) and</w:t>
      </w:r>
      <w:r w:rsidR="00AA3ADB" w:rsidRPr="004F0D74">
        <w:rPr>
          <w:rFonts w:ascii="Times New Roman" w:hAnsi="Times New Roman" w:cs="Times New Roman"/>
        </w:rPr>
        <w:t xml:space="preserve"> Pathak et al. (2021)</w:t>
      </w:r>
      <w:r w:rsidRPr="004F0D74">
        <w:rPr>
          <w:rFonts w:ascii="Times New Roman" w:hAnsi="Times New Roman" w:cs="Times New Roman"/>
        </w:rPr>
        <w:t xml:space="preserve">. </w:t>
      </w:r>
      <w:r w:rsidR="00794FC2" w:rsidRPr="004F0D74">
        <w:rPr>
          <w:rFonts w:ascii="Times New Roman" w:hAnsi="Times New Roman" w:cs="Times New Roman"/>
        </w:rPr>
        <w:t xml:space="preserve">In ABCF, dominance of fast-growing multipurpose broadleaved species such as </w:t>
      </w:r>
      <w:r w:rsidR="00794FC2" w:rsidRPr="004F0D74">
        <w:rPr>
          <w:rFonts w:ascii="Times New Roman" w:hAnsi="Times New Roman" w:cs="Times New Roman"/>
          <w:i/>
          <w:iCs/>
        </w:rPr>
        <w:t xml:space="preserve">B. </w:t>
      </w:r>
      <w:proofErr w:type="spellStart"/>
      <w:r w:rsidR="00794FC2" w:rsidRPr="004F0D74">
        <w:rPr>
          <w:rFonts w:ascii="Times New Roman" w:hAnsi="Times New Roman" w:cs="Times New Roman"/>
          <w:i/>
          <w:iCs/>
        </w:rPr>
        <w:t>variegata</w:t>
      </w:r>
      <w:proofErr w:type="spellEnd"/>
      <w:r w:rsidR="00794FC2" w:rsidRPr="004F0D74">
        <w:rPr>
          <w:rFonts w:ascii="Times New Roman" w:hAnsi="Times New Roman" w:cs="Times New Roman"/>
        </w:rPr>
        <w:t xml:space="preserve"> and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resulted in high Importance Value Index (IVI) and dense stocking, a pattern typical of moderately protected Van Panchayat forests. In contrast, RCF was characterized by fewer but larger-girth individuals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M. </w:t>
      </w:r>
      <w:proofErr w:type="spellStart"/>
      <w:r w:rsidR="00794FC2" w:rsidRPr="004F0D74">
        <w:rPr>
          <w:rFonts w:ascii="Times New Roman" w:hAnsi="Times New Roman" w:cs="Times New Roman"/>
          <w:i/>
          <w:iCs/>
        </w:rPr>
        <w:t>longifolia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bellirica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ciliata</w:t>
      </w:r>
      <w:proofErr w:type="spellEnd"/>
      <w:r w:rsidR="00794FC2" w:rsidRPr="004F0D74">
        <w:rPr>
          <w:rFonts w:ascii="Times New Roman" w:hAnsi="Times New Roman" w:cs="Times New Roman"/>
        </w:rPr>
        <w:t xml:space="preserve">), indicating a structurally mature stand with limited recruitment, an increasingly common condition in Himalayan community forests experiencing grazing and selective harvesting.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&amp; M. </w:t>
      </w:r>
      <w:proofErr w:type="spellStart"/>
      <w:r w:rsidR="00794FC2" w:rsidRPr="004F0D74">
        <w:rPr>
          <w:rFonts w:ascii="Times New Roman" w:hAnsi="Times New Roman" w:cs="Times New Roman"/>
          <w:i/>
          <w:iCs/>
        </w:rPr>
        <w:t>philippensis</w:t>
      </w:r>
      <w:proofErr w:type="spellEnd"/>
      <w:r w:rsidR="00794FC2" w:rsidRPr="004F0D74">
        <w:rPr>
          <w:rFonts w:ascii="Times New Roman" w:hAnsi="Times New Roman" w:cs="Times New Roman"/>
          <w:i/>
          <w:iCs/>
        </w:rPr>
        <w:t xml:space="preserve"> </w:t>
      </w:r>
      <w:r w:rsidR="00794FC2" w:rsidRPr="004F0D74">
        <w:rPr>
          <w:rFonts w:ascii="Times New Roman" w:hAnsi="Times New Roman" w:cs="Times New Roman"/>
        </w:rPr>
        <w:t xml:space="preserve">were uniformly distributed in study sites whereas most of the tree species showed clumped distribution in ABCF and random distribution in RCF. </w:t>
      </w:r>
      <w:r w:rsidRPr="004F0D74">
        <w:rPr>
          <w:rFonts w:ascii="Times New Roman" w:hAnsi="Times New Roman" w:cs="Times New Roman"/>
        </w:rPr>
        <w:t xml:space="preserve">ABCF supported substantially higher tree density (760 trees ha⁻¹) than RCF (380 trees ha⁻¹), whereas RCF displayed higher species diversity (H′ = 2.57) and evenness (J = 0.95). Similar density–diversity </w:t>
      </w:r>
      <w:r w:rsidR="002035F6" w:rsidRPr="004F0D74">
        <w:rPr>
          <w:rFonts w:ascii="Times New Roman" w:hAnsi="Times New Roman" w:cs="Times New Roman"/>
        </w:rPr>
        <w:t>results</w:t>
      </w:r>
      <w:r w:rsidRPr="004F0D74">
        <w:rPr>
          <w:rFonts w:ascii="Times New Roman" w:hAnsi="Times New Roman" w:cs="Times New Roman"/>
        </w:rPr>
        <w:t xml:space="preserve"> have been documented in community-managed Himalayan forests subjected to differing levels of protection and extraction pressure (</w:t>
      </w:r>
      <w:r w:rsidR="00DA4C78" w:rsidRPr="004F0D74">
        <w:rPr>
          <w:rFonts w:ascii="Times New Roman" w:hAnsi="Times New Roman" w:cs="Times New Roman"/>
        </w:rPr>
        <w:t>Adhikari et al. 2007</w:t>
      </w:r>
      <w:r w:rsidRPr="004F0D74">
        <w:rPr>
          <w:rFonts w:ascii="Times New Roman" w:hAnsi="Times New Roman" w:cs="Times New Roman"/>
        </w:rPr>
        <w:t xml:space="preserve">; </w:t>
      </w:r>
      <w:r w:rsidR="00DA4C78" w:rsidRPr="004F0D74">
        <w:rPr>
          <w:rFonts w:ascii="Times New Roman" w:hAnsi="Times New Roman" w:cs="Times New Roman"/>
        </w:rPr>
        <w:t>Sharma et al. 2010</w:t>
      </w:r>
      <w:r w:rsidRPr="004F0D74">
        <w:rPr>
          <w:rFonts w:ascii="Times New Roman" w:hAnsi="Times New Roman" w:cs="Times New Roman"/>
        </w:rPr>
        <w:t>).</w:t>
      </w:r>
    </w:p>
    <w:p w14:paraId="6466FC17" w14:textId="5A7282D2"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II: Tree Density (D), Important Value Index (IVI) &amp; A/F of tree species in community managed forests of Uttarakhand</w:t>
      </w:r>
    </w:p>
    <w:p w14:paraId="52B2D3F7" w14:textId="77777777" w:rsidR="006E1607" w:rsidRPr="004F0D74" w:rsidRDefault="006E1607" w:rsidP="009F4B2E">
      <w:pPr>
        <w:spacing w:after="0"/>
        <w:ind w:left="360" w:hanging="432"/>
        <w:jc w:val="both"/>
        <w:rPr>
          <w:rFonts w:ascii="Times New Roman" w:hAnsi="Times New Roman" w:cs="Times New Roman"/>
          <w:b/>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424"/>
        <w:gridCol w:w="669"/>
        <w:gridCol w:w="876"/>
        <w:gridCol w:w="802"/>
        <w:gridCol w:w="662"/>
        <w:gridCol w:w="885"/>
        <w:gridCol w:w="810"/>
      </w:tblGrid>
      <w:tr w:rsidR="009F4B2E" w:rsidRPr="004F0D74" w14:paraId="388135C3" w14:textId="77777777" w:rsidTr="009F4B2E">
        <w:trPr>
          <w:trHeight w:val="278"/>
        </w:trPr>
        <w:tc>
          <w:tcPr>
            <w:tcW w:w="3307" w:type="dxa"/>
            <w:vMerge w:val="restart"/>
            <w:tcBorders>
              <w:top w:val="single" w:sz="4" w:space="0" w:color="auto"/>
              <w:left w:val="single" w:sz="4" w:space="0" w:color="auto"/>
              <w:bottom w:val="single" w:sz="4" w:space="0" w:color="auto"/>
              <w:right w:val="single" w:sz="4" w:space="0" w:color="auto"/>
            </w:tcBorders>
            <w:hideMark/>
          </w:tcPr>
          <w:p w14:paraId="3E0CF25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Species </w:t>
            </w:r>
          </w:p>
        </w:tc>
        <w:tc>
          <w:tcPr>
            <w:tcW w:w="1424" w:type="dxa"/>
            <w:vMerge w:val="restart"/>
            <w:tcBorders>
              <w:top w:val="single" w:sz="4" w:space="0" w:color="auto"/>
              <w:left w:val="single" w:sz="4" w:space="0" w:color="auto"/>
              <w:bottom w:val="single" w:sz="4" w:space="0" w:color="auto"/>
              <w:right w:val="single" w:sz="4" w:space="0" w:color="auto"/>
            </w:tcBorders>
            <w:hideMark/>
          </w:tcPr>
          <w:p w14:paraId="11BADFF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Family </w:t>
            </w:r>
          </w:p>
        </w:tc>
        <w:tc>
          <w:tcPr>
            <w:tcW w:w="2347" w:type="dxa"/>
            <w:gridSpan w:val="3"/>
            <w:tcBorders>
              <w:top w:val="single" w:sz="4" w:space="0" w:color="auto"/>
              <w:left w:val="single" w:sz="4" w:space="0" w:color="auto"/>
              <w:bottom w:val="single" w:sz="4" w:space="0" w:color="auto"/>
              <w:right w:val="single" w:sz="4" w:space="0" w:color="auto"/>
            </w:tcBorders>
            <w:vAlign w:val="center"/>
            <w:hideMark/>
          </w:tcPr>
          <w:p w14:paraId="492F863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ABCF</w:t>
            </w:r>
          </w:p>
        </w:tc>
        <w:tc>
          <w:tcPr>
            <w:tcW w:w="2357" w:type="dxa"/>
            <w:gridSpan w:val="3"/>
            <w:tcBorders>
              <w:top w:val="single" w:sz="4" w:space="0" w:color="auto"/>
              <w:left w:val="single" w:sz="4" w:space="0" w:color="auto"/>
              <w:bottom w:val="single" w:sz="4" w:space="0" w:color="auto"/>
              <w:right w:val="single" w:sz="4" w:space="0" w:color="auto"/>
            </w:tcBorders>
            <w:hideMark/>
          </w:tcPr>
          <w:p w14:paraId="3F3D94C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02515F24" w14:textId="77777777" w:rsidTr="009F4B2E">
        <w:trPr>
          <w:trHeight w:val="404"/>
        </w:trPr>
        <w:tc>
          <w:tcPr>
            <w:tcW w:w="3307" w:type="dxa"/>
            <w:vMerge/>
            <w:tcBorders>
              <w:top w:val="single" w:sz="4" w:space="0" w:color="auto"/>
              <w:left w:val="single" w:sz="4" w:space="0" w:color="auto"/>
              <w:bottom w:val="single" w:sz="4" w:space="0" w:color="auto"/>
              <w:right w:val="single" w:sz="4" w:space="0" w:color="auto"/>
            </w:tcBorders>
            <w:vAlign w:val="center"/>
            <w:hideMark/>
          </w:tcPr>
          <w:p w14:paraId="4FF85EC5" w14:textId="77777777" w:rsidR="009F4B2E" w:rsidRPr="004F0D74" w:rsidRDefault="009F4B2E" w:rsidP="0052419F">
            <w:pPr>
              <w:spacing w:after="0"/>
              <w:ind w:left="360" w:hanging="432"/>
              <w:jc w:val="both"/>
              <w:rPr>
                <w:rFonts w:ascii="Times New Roman" w:hAnsi="Times New Roman" w:cs="Times New Roman"/>
                <w:b/>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65878BF" w14:textId="77777777" w:rsidR="009F4B2E" w:rsidRPr="004F0D74" w:rsidRDefault="009F4B2E" w:rsidP="0052419F">
            <w:pPr>
              <w:spacing w:after="0"/>
              <w:ind w:left="360" w:hanging="432"/>
              <w:jc w:val="both"/>
              <w:rPr>
                <w:rFonts w:ascii="Times New Roman" w:hAnsi="Times New Roman" w:cs="Times New Roman"/>
                <w:b/>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0B1CEE50"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76" w:type="dxa"/>
            <w:tcBorders>
              <w:top w:val="single" w:sz="4" w:space="0" w:color="auto"/>
              <w:left w:val="single" w:sz="4" w:space="0" w:color="auto"/>
              <w:bottom w:val="single" w:sz="4" w:space="0" w:color="auto"/>
              <w:right w:val="single" w:sz="4" w:space="0" w:color="auto"/>
            </w:tcBorders>
            <w:vAlign w:val="center"/>
            <w:hideMark/>
          </w:tcPr>
          <w:p w14:paraId="6FEF2C0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78245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c>
          <w:tcPr>
            <w:tcW w:w="662" w:type="dxa"/>
            <w:tcBorders>
              <w:top w:val="single" w:sz="4" w:space="0" w:color="auto"/>
              <w:left w:val="single" w:sz="4" w:space="0" w:color="auto"/>
              <w:bottom w:val="single" w:sz="4" w:space="0" w:color="auto"/>
              <w:right w:val="single" w:sz="4" w:space="0" w:color="auto"/>
            </w:tcBorders>
            <w:vAlign w:val="center"/>
            <w:hideMark/>
          </w:tcPr>
          <w:p w14:paraId="2D17E3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85" w:type="dxa"/>
            <w:tcBorders>
              <w:top w:val="single" w:sz="4" w:space="0" w:color="auto"/>
              <w:left w:val="single" w:sz="4" w:space="0" w:color="auto"/>
              <w:bottom w:val="single" w:sz="4" w:space="0" w:color="auto"/>
              <w:right w:val="single" w:sz="4" w:space="0" w:color="auto"/>
            </w:tcBorders>
            <w:vAlign w:val="center"/>
            <w:hideMark/>
          </w:tcPr>
          <w:p w14:paraId="08788A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781F3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r>
      <w:tr w:rsidR="009F4B2E" w:rsidRPr="004F0D74" w14:paraId="4B20EA9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6BB8E5F"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bCs/>
                <w:i/>
                <w:iCs/>
              </w:rPr>
              <w:t>Albizia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procera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64517F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2582CF9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632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E779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3D7C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DDC0B3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22.23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A702B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1C6AF31" w14:textId="77777777" w:rsidTr="009F4B2E">
        <w:trPr>
          <w:trHeight w:val="290"/>
        </w:trPr>
        <w:tc>
          <w:tcPr>
            <w:tcW w:w="3307" w:type="dxa"/>
            <w:tcBorders>
              <w:top w:val="single" w:sz="4" w:space="0" w:color="auto"/>
              <w:left w:val="single" w:sz="4" w:space="0" w:color="auto"/>
              <w:bottom w:val="single" w:sz="4" w:space="0" w:color="auto"/>
              <w:right w:val="single" w:sz="4" w:space="0" w:color="auto"/>
            </w:tcBorders>
            <w:hideMark/>
          </w:tcPr>
          <w:p w14:paraId="48D5A70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Bauhinia </w:t>
            </w:r>
            <w:proofErr w:type="spellStart"/>
            <w:r w:rsidRPr="004F0D74">
              <w:rPr>
                <w:rFonts w:ascii="Times New Roman" w:hAnsi="Times New Roman" w:cs="Times New Roman"/>
                <w:bCs/>
                <w:i/>
                <w:iCs/>
              </w:rPr>
              <w:t>variegata</w:t>
            </w:r>
            <w:proofErr w:type="spellEnd"/>
            <w:r w:rsidRPr="004F0D74">
              <w:rPr>
                <w:rFonts w:ascii="Times New Roman" w:hAnsi="Times New Roman" w:cs="Times New Roman"/>
                <w:bCs/>
                <w:iCs/>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4776C75C"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br w:type="page"/>
              <w:t xml:space="preserve">Fabaceae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2CAF7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7C427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105.90</w:t>
            </w:r>
          </w:p>
        </w:tc>
        <w:tc>
          <w:tcPr>
            <w:tcW w:w="802" w:type="dxa"/>
            <w:tcBorders>
              <w:top w:val="single" w:sz="4" w:space="0" w:color="auto"/>
              <w:left w:val="single" w:sz="4" w:space="0" w:color="auto"/>
              <w:bottom w:val="single" w:sz="4" w:space="0" w:color="auto"/>
              <w:right w:val="single" w:sz="4" w:space="0" w:color="auto"/>
            </w:tcBorders>
            <w:vAlign w:val="center"/>
            <w:hideMark/>
          </w:tcPr>
          <w:p w14:paraId="4D0FB95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6F46D3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B22BC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11.12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EAD19E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4E84A885"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1E3BDE91"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Bombax ceiba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79D62C80"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87623D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5748990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23CA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0E4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FA81E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6799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105F436F"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5241D566"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Celtis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australis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42A49727"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Cannabaceae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F4778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3EB7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24.11</w:t>
            </w:r>
          </w:p>
        </w:tc>
        <w:tc>
          <w:tcPr>
            <w:tcW w:w="802" w:type="dxa"/>
            <w:tcBorders>
              <w:top w:val="single" w:sz="4" w:space="0" w:color="auto"/>
              <w:left w:val="single" w:sz="4" w:space="0" w:color="auto"/>
              <w:bottom w:val="single" w:sz="4" w:space="0" w:color="auto"/>
              <w:right w:val="single" w:sz="4" w:space="0" w:color="auto"/>
            </w:tcBorders>
            <w:vAlign w:val="center"/>
            <w:hideMark/>
          </w:tcPr>
          <w:p w14:paraId="6BCA3B2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484D55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D566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DBE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46B0696" w14:textId="77777777" w:rsidTr="009F4B2E">
        <w:trPr>
          <w:trHeight w:val="197"/>
        </w:trPr>
        <w:tc>
          <w:tcPr>
            <w:tcW w:w="3307" w:type="dxa"/>
            <w:tcBorders>
              <w:top w:val="single" w:sz="4" w:space="0" w:color="auto"/>
              <w:left w:val="single" w:sz="4" w:space="0" w:color="auto"/>
              <w:bottom w:val="single" w:sz="4" w:space="0" w:color="auto"/>
              <w:right w:val="single" w:sz="4" w:space="0" w:color="auto"/>
            </w:tcBorders>
            <w:hideMark/>
          </w:tcPr>
          <w:p w14:paraId="31AAA190"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Citrus maxima</w:t>
            </w:r>
            <w:r w:rsidRPr="004F0D74">
              <w:rPr>
                <w:rFonts w:ascii="Times New Roman" w:hAnsi="Times New Roman" w:cs="Times New Roman"/>
              </w:rPr>
              <w:t> (</w:t>
            </w:r>
            <w:proofErr w:type="spellStart"/>
            <w:r w:rsidRPr="004F0D74">
              <w:rPr>
                <w:rFonts w:ascii="Times New Roman" w:hAnsi="Times New Roman" w:cs="Times New Roman"/>
              </w:rPr>
              <w:t>Burm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Osbeck</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A04D98A"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Rutaceae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271A87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C2C5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7.89</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168B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0.05</w:t>
            </w:r>
          </w:p>
        </w:tc>
        <w:tc>
          <w:tcPr>
            <w:tcW w:w="662" w:type="dxa"/>
            <w:tcBorders>
              <w:top w:val="single" w:sz="4" w:space="0" w:color="auto"/>
              <w:left w:val="single" w:sz="4" w:space="0" w:color="auto"/>
              <w:bottom w:val="single" w:sz="4" w:space="0" w:color="auto"/>
              <w:right w:val="single" w:sz="4" w:space="0" w:color="auto"/>
            </w:tcBorders>
            <w:vAlign w:val="center"/>
            <w:hideMark/>
          </w:tcPr>
          <w:p w14:paraId="31F5B0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9893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3522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0EF99AF3"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68E85D9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auriculata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Cs/>
              </w:rPr>
              <w:t>Lour</w:t>
            </w:r>
            <w:proofErr w:type="spellEnd"/>
            <w:r w:rsidRPr="004F0D74">
              <w:rPr>
                <w:rFonts w:ascii="Times New Roman" w:hAnsi="Times New Roman" w:cs="Times New Roman"/>
                <w:bCs/>
                <w:iCs/>
              </w:rPr>
              <w:t>.</w:t>
            </w:r>
          </w:p>
        </w:tc>
        <w:tc>
          <w:tcPr>
            <w:tcW w:w="1424" w:type="dxa"/>
            <w:tcBorders>
              <w:top w:val="single" w:sz="4" w:space="0" w:color="auto"/>
              <w:left w:val="single" w:sz="4" w:space="0" w:color="auto"/>
              <w:bottom w:val="single" w:sz="4" w:space="0" w:color="auto"/>
              <w:right w:val="single" w:sz="4" w:space="0" w:color="auto"/>
            </w:tcBorders>
            <w:hideMark/>
          </w:tcPr>
          <w:p w14:paraId="355C47EC"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Moraceae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03FF4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87AB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51.61</w:t>
            </w:r>
          </w:p>
        </w:tc>
        <w:tc>
          <w:tcPr>
            <w:tcW w:w="802" w:type="dxa"/>
            <w:tcBorders>
              <w:top w:val="single" w:sz="4" w:space="0" w:color="auto"/>
              <w:left w:val="single" w:sz="4" w:space="0" w:color="auto"/>
              <w:bottom w:val="single" w:sz="4" w:space="0" w:color="auto"/>
              <w:right w:val="single" w:sz="4" w:space="0" w:color="auto"/>
            </w:tcBorders>
            <w:vAlign w:val="center"/>
            <w:hideMark/>
          </w:tcPr>
          <w:p w14:paraId="0FDAA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0.02</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5C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DE06D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38.12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BA1D0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0.01</w:t>
            </w:r>
          </w:p>
        </w:tc>
      </w:tr>
      <w:tr w:rsidR="009F4B2E" w:rsidRPr="004F0D74" w14:paraId="152EA61D" w14:textId="77777777" w:rsidTr="009F4B2E">
        <w:trPr>
          <w:trHeight w:val="162"/>
        </w:trPr>
        <w:tc>
          <w:tcPr>
            <w:tcW w:w="3307" w:type="dxa"/>
            <w:tcBorders>
              <w:top w:val="single" w:sz="4" w:space="0" w:color="auto"/>
              <w:left w:val="single" w:sz="4" w:space="0" w:color="auto"/>
              <w:bottom w:val="single" w:sz="4" w:space="0" w:color="auto"/>
              <w:right w:val="single" w:sz="4" w:space="0" w:color="auto"/>
            </w:tcBorders>
            <w:hideMark/>
          </w:tcPr>
          <w:p w14:paraId="18BA0F3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benghalensis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34E711B1"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1F9E83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1B20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6ECBEE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907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7F21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252CA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62F698C4" w14:textId="77777777" w:rsidTr="009F4B2E">
        <w:trPr>
          <w:trHeight w:val="427"/>
        </w:trPr>
        <w:tc>
          <w:tcPr>
            <w:tcW w:w="3307" w:type="dxa"/>
            <w:tcBorders>
              <w:top w:val="single" w:sz="4" w:space="0" w:color="auto"/>
              <w:left w:val="single" w:sz="4" w:space="0" w:color="auto"/>
              <w:bottom w:val="single" w:sz="4" w:space="0" w:color="auto"/>
              <w:right w:val="single" w:sz="4" w:space="0" w:color="auto"/>
            </w:tcBorders>
            <w:hideMark/>
          </w:tcPr>
          <w:p w14:paraId="39A756C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religiosa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3B95C52"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917A6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B6BDC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w:t>
            </w:r>
          </w:p>
        </w:tc>
        <w:tc>
          <w:tcPr>
            <w:tcW w:w="802" w:type="dxa"/>
            <w:tcBorders>
              <w:top w:val="single" w:sz="4" w:space="0" w:color="auto"/>
              <w:left w:val="single" w:sz="4" w:space="0" w:color="auto"/>
              <w:bottom w:val="single" w:sz="4" w:space="0" w:color="auto"/>
              <w:right w:val="single" w:sz="4" w:space="0" w:color="auto"/>
            </w:tcBorders>
            <w:vAlign w:val="center"/>
            <w:hideMark/>
          </w:tcPr>
          <w:p w14:paraId="7407D34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B4140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415FFB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7.29</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5250E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5D61E53"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294F71C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Grewia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optiva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rPr>
              <w:t>J.</w:t>
            </w:r>
            <w:proofErr w:type="gramStart"/>
            <w:r w:rsidRPr="004F0D74">
              <w:rPr>
                <w:rFonts w:ascii="Times New Roman" w:hAnsi="Times New Roman" w:cs="Times New Roman"/>
              </w:rPr>
              <w:t>R.Drumm</w:t>
            </w:r>
            <w:proofErr w:type="spellEnd"/>
            <w:proofErr w:type="gramEnd"/>
            <w:r w:rsidRPr="004F0D74">
              <w:rPr>
                <w:rFonts w:ascii="Times New Roman" w:hAnsi="Times New Roman" w:cs="Times New Roman"/>
              </w:rPr>
              <w:t xml:space="preserve">. ex </w:t>
            </w:r>
            <w:proofErr w:type="spellStart"/>
            <w:r w:rsidRPr="004F0D74">
              <w:rPr>
                <w:rFonts w:ascii="Times New Roman" w:hAnsi="Times New Roman" w:cs="Times New Roman"/>
              </w:rPr>
              <w:t>Burret</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67CD435F"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89E906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172A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17.25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1D36F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7644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DF483D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6.96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3998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DB1FC77"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02560BE1"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Lannea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coromandelica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Houtt</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Merr</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A1273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0DD620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805B0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0D5DA79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F2CE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9EDC59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9.73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C2EA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57A0ED4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02F204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Madhuca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longifolia</w:t>
            </w:r>
            <w:proofErr w:type="spellEnd"/>
            <w:r w:rsidRPr="004F0D74">
              <w:rPr>
                <w:rFonts w:ascii="Times New Roman" w:hAnsi="Times New Roman" w:cs="Times New Roman"/>
              </w:rPr>
              <w:t xml:space="preserve"> var. </w:t>
            </w:r>
            <w:proofErr w:type="spellStart"/>
            <w:r w:rsidRPr="004F0D74">
              <w:rPr>
                <w:rFonts w:ascii="Times New Roman" w:hAnsi="Times New Roman" w:cs="Times New Roman"/>
              </w:rPr>
              <w:t>latifolia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A.Chev</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AF4E18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Sapotaceae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0F7C2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85D58C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0227F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6680B72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FFDCA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7.68</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04842"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t>0.05</w:t>
            </w:r>
          </w:p>
        </w:tc>
      </w:tr>
      <w:tr w:rsidR="009F4B2E" w:rsidRPr="004F0D74" w14:paraId="47B98344" w14:textId="77777777" w:rsidTr="009F4B2E">
        <w:trPr>
          <w:trHeight w:val="389"/>
        </w:trPr>
        <w:tc>
          <w:tcPr>
            <w:tcW w:w="3307" w:type="dxa"/>
            <w:tcBorders>
              <w:top w:val="single" w:sz="4" w:space="0" w:color="auto"/>
              <w:left w:val="single" w:sz="4" w:space="0" w:color="auto"/>
              <w:bottom w:val="single" w:sz="4" w:space="0" w:color="auto"/>
              <w:right w:val="single" w:sz="4" w:space="0" w:color="auto"/>
            </w:tcBorders>
            <w:hideMark/>
          </w:tcPr>
          <w:p w14:paraId="53BCC7A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lastRenderedPageBreak/>
              <w:t>Mallotus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philippensis</w:t>
            </w:r>
            <w:proofErr w:type="spellEnd"/>
            <w:r w:rsidRPr="004F0D74">
              <w:rPr>
                <w:rFonts w:ascii="Times New Roman" w:hAnsi="Times New Roman" w:cs="Times New Roman"/>
                <w:bCs/>
                <w:i/>
                <w:iCs/>
              </w:rPr>
              <w:t xml:space="preserve"> </w:t>
            </w:r>
            <w:r w:rsidRPr="004F0D74">
              <w:rPr>
                <w:rFonts w:ascii="Times New Roman" w:hAnsi="Times New Roman" w:cs="Times New Roman"/>
              </w:rPr>
              <w:t xml:space="preserve">(Lam.) </w:t>
            </w:r>
            <w:proofErr w:type="spellStart"/>
            <w:r w:rsidRPr="004F0D74">
              <w:rPr>
                <w:rFonts w:ascii="Times New Roman" w:hAnsi="Times New Roman" w:cs="Times New Roman"/>
              </w:rPr>
              <w:t>Mull.Arg</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C44A80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Euphorbiaceae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0EF54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9B26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3316562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7AF359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4AE12D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13.98</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1668A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330D3DF" w14:textId="77777777" w:rsidTr="009F4B2E">
        <w:trPr>
          <w:trHeight w:val="272"/>
        </w:trPr>
        <w:tc>
          <w:tcPr>
            <w:tcW w:w="3307" w:type="dxa"/>
            <w:tcBorders>
              <w:top w:val="single" w:sz="4" w:space="0" w:color="auto"/>
              <w:left w:val="single" w:sz="4" w:space="0" w:color="auto"/>
              <w:bottom w:val="single" w:sz="4" w:space="0" w:color="auto"/>
              <w:right w:val="single" w:sz="4" w:space="0" w:color="auto"/>
            </w:tcBorders>
            <w:hideMark/>
          </w:tcPr>
          <w:p w14:paraId="32EDB52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Mangifera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indica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44C41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C71615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B110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19.33</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D088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361F10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BC67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D34CAA"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66EBA27B"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633D021A"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Phanera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vahlii</w:t>
            </w:r>
            <w:proofErr w:type="spellEnd"/>
            <w:r w:rsidRPr="004F0D74">
              <w:rPr>
                <w:rFonts w:ascii="Times New Roman" w:hAnsi="Times New Roman" w:cs="Times New Roman"/>
              </w:rPr>
              <w:t xml:space="preserve"> (Wight &amp; </w:t>
            </w:r>
            <w:proofErr w:type="spellStart"/>
            <w:r w:rsidRPr="004F0D74">
              <w:rPr>
                <w:rFonts w:ascii="Times New Roman" w:hAnsi="Times New Roman" w:cs="Times New Roman"/>
              </w:rPr>
              <w:t>Arn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686957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642086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D73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30CF6E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C605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7BC1E6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21.65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E76A74"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7F1F7E10" w14:textId="77777777" w:rsidTr="009F4B2E">
        <w:trPr>
          <w:trHeight w:val="582"/>
        </w:trPr>
        <w:tc>
          <w:tcPr>
            <w:tcW w:w="3307" w:type="dxa"/>
            <w:tcBorders>
              <w:top w:val="single" w:sz="4" w:space="0" w:color="auto"/>
              <w:left w:val="single" w:sz="4" w:space="0" w:color="auto"/>
              <w:bottom w:val="single" w:sz="4" w:space="0" w:color="auto"/>
              <w:right w:val="single" w:sz="4" w:space="0" w:color="auto"/>
            </w:tcBorders>
            <w:hideMark/>
          </w:tcPr>
          <w:p w14:paraId="78C52751"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Phyllanthus</w:t>
            </w:r>
            <w:r w:rsidRPr="004F0D74">
              <w:rPr>
                <w:rFonts w:ascii="Times New Roman" w:hAnsi="Times New Roman" w:cs="Times New Roman"/>
              </w:rPr>
              <w:t xml:space="preserve"> </w:t>
            </w:r>
            <w:proofErr w:type="spellStart"/>
            <w:r w:rsidRPr="004F0D74">
              <w:rPr>
                <w:rFonts w:ascii="Times New Roman" w:hAnsi="Times New Roman" w:cs="Times New Roman"/>
                <w:i/>
              </w:rPr>
              <w:t>emblica</w:t>
            </w:r>
            <w:proofErr w:type="spellEnd"/>
            <w:r w:rsidRPr="004F0D74">
              <w:rPr>
                <w:rFonts w:ascii="Times New Roman" w:hAnsi="Times New Roman" w:cs="Times New Roman"/>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3E82381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Phyllanthaceae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4AE0F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B64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32AC137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E74AD7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2FFFF5"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7.37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7B1D4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45A2FFF0" w14:textId="77777777" w:rsidTr="009F4B2E">
        <w:trPr>
          <w:trHeight w:val="350"/>
        </w:trPr>
        <w:tc>
          <w:tcPr>
            <w:tcW w:w="3307" w:type="dxa"/>
            <w:tcBorders>
              <w:top w:val="single" w:sz="4" w:space="0" w:color="auto"/>
              <w:left w:val="single" w:sz="4" w:space="0" w:color="auto"/>
              <w:bottom w:val="single" w:sz="4" w:space="0" w:color="auto"/>
              <w:right w:val="single" w:sz="4" w:space="0" w:color="auto"/>
            </w:tcBorders>
            <w:hideMark/>
          </w:tcPr>
          <w:p w14:paraId="7634386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Premna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mollissima</w:t>
            </w:r>
            <w:proofErr w:type="spellEnd"/>
            <w:r w:rsidRPr="004F0D74">
              <w:rPr>
                <w:rFonts w:ascii="Times New Roman" w:hAnsi="Times New Roman" w:cs="Times New Roman"/>
              </w:rPr>
              <w:t xml:space="preserve"> Roth.</w:t>
            </w:r>
          </w:p>
        </w:tc>
        <w:tc>
          <w:tcPr>
            <w:tcW w:w="1424" w:type="dxa"/>
            <w:tcBorders>
              <w:top w:val="single" w:sz="4" w:space="0" w:color="auto"/>
              <w:left w:val="single" w:sz="4" w:space="0" w:color="auto"/>
              <w:bottom w:val="single" w:sz="4" w:space="0" w:color="auto"/>
              <w:right w:val="single" w:sz="4" w:space="0" w:color="auto"/>
            </w:tcBorders>
            <w:hideMark/>
          </w:tcPr>
          <w:p w14:paraId="4C63B1C9"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Lamiaceae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7A850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F13C9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9.99</w:t>
            </w:r>
          </w:p>
        </w:tc>
        <w:tc>
          <w:tcPr>
            <w:tcW w:w="802" w:type="dxa"/>
            <w:tcBorders>
              <w:top w:val="single" w:sz="4" w:space="0" w:color="auto"/>
              <w:left w:val="single" w:sz="4" w:space="0" w:color="auto"/>
              <w:bottom w:val="single" w:sz="4" w:space="0" w:color="auto"/>
              <w:right w:val="single" w:sz="4" w:space="0" w:color="auto"/>
            </w:tcBorders>
            <w:vAlign w:val="center"/>
            <w:hideMark/>
          </w:tcPr>
          <w:p w14:paraId="351313B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0.08</w:t>
            </w:r>
          </w:p>
        </w:tc>
        <w:tc>
          <w:tcPr>
            <w:tcW w:w="662" w:type="dxa"/>
            <w:tcBorders>
              <w:top w:val="single" w:sz="4" w:space="0" w:color="auto"/>
              <w:left w:val="single" w:sz="4" w:space="0" w:color="auto"/>
              <w:bottom w:val="single" w:sz="4" w:space="0" w:color="auto"/>
              <w:right w:val="single" w:sz="4" w:space="0" w:color="auto"/>
            </w:tcBorders>
            <w:vAlign w:val="center"/>
            <w:hideMark/>
          </w:tcPr>
          <w:p w14:paraId="37E914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3C625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426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042244C" w14:textId="77777777" w:rsidTr="009F4B2E">
        <w:trPr>
          <w:trHeight w:val="246"/>
        </w:trPr>
        <w:tc>
          <w:tcPr>
            <w:tcW w:w="3307" w:type="dxa"/>
            <w:tcBorders>
              <w:top w:val="single" w:sz="4" w:space="0" w:color="auto"/>
              <w:left w:val="single" w:sz="4" w:space="0" w:color="auto"/>
              <w:bottom w:val="single" w:sz="4" w:space="0" w:color="auto"/>
              <w:right w:val="single" w:sz="4" w:space="0" w:color="auto"/>
            </w:tcBorders>
            <w:hideMark/>
          </w:tcPr>
          <w:p w14:paraId="1941815E"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Prunus</w:t>
            </w:r>
            <w:r w:rsidRPr="004F0D74">
              <w:rPr>
                <w:rFonts w:ascii="Times New Roman" w:hAnsi="Times New Roman" w:cs="Times New Roman"/>
              </w:rPr>
              <w:t xml:space="preserve"> </w:t>
            </w:r>
            <w:proofErr w:type="spellStart"/>
            <w:r w:rsidRPr="004F0D74">
              <w:rPr>
                <w:rFonts w:ascii="Times New Roman" w:hAnsi="Times New Roman" w:cs="Times New Roman"/>
                <w:i/>
              </w:rPr>
              <w:t>cerasoides</w:t>
            </w:r>
            <w:proofErr w:type="spellEnd"/>
            <w:r w:rsidRPr="004F0D74">
              <w:rPr>
                <w:rFonts w:ascii="Times New Roman" w:hAnsi="Times New Roman" w:cs="Times New Roman"/>
              </w:rPr>
              <w:t xml:space="preserve"> </w:t>
            </w:r>
            <w:proofErr w:type="gramStart"/>
            <w:r w:rsidRPr="004F0D74">
              <w:rPr>
                <w:rFonts w:ascii="Times New Roman" w:hAnsi="Times New Roman" w:cs="Times New Roman"/>
              </w:rPr>
              <w:t>Buch.-</w:t>
            </w:r>
            <w:proofErr w:type="gramEnd"/>
            <w:r w:rsidRPr="004F0D74">
              <w:rPr>
                <w:rFonts w:ascii="Times New Roman" w:hAnsi="Times New Roman" w:cs="Times New Roman"/>
              </w:rPr>
              <w:t xml:space="preserve">Ham. ex </w:t>
            </w:r>
            <w:proofErr w:type="spellStart"/>
            <w:proofErr w:type="gramStart"/>
            <w:r w:rsidRPr="004F0D74">
              <w:rPr>
                <w:rFonts w:ascii="Times New Roman" w:hAnsi="Times New Roman" w:cs="Times New Roman"/>
              </w:rPr>
              <w:t>D.Don</w:t>
            </w:r>
            <w:proofErr w:type="spellEnd"/>
            <w:proofErr w:type="gramEnd"/>
          </w:p>
        </w:tc>
        <w:tc>
          <w:tcPr>
            <w:tcW w:w="1424" w:type="dxa"/>
            <w:tcBorders>
              <w:top w:val="single" w:sz="4" w:space="0" w:color="auto"/>
              <w:left w:val="single" w:sz="4" w:space="0" w:color="auto"/>
              <w:bottom w:val="single" w:sz="4" w:space="0" w:color="auto"/>
              <w:right w:val="single" w:sz="4" w:space="0" w:color="auto"/>
            </w:tcBorders>
            <w:hideMark/>
          </w:tcPr>
          <w:p w14:paraId="010CAB3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Rosaceae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E1071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EEBBD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5.39</w:t>
            </w:r>
          </w:p>
        </w:tc>
        <w:tc>
          <w:tcPr>
            <w:tcW w:w="802" w:type="dxa"/>
            <w:tcBorders>
              <w:top w:val="single" w:sz="4" w:space="0" w:color="auto"/>
              <w:left w:val="single" w:sz="4" w:space="0" w:color="auto"/>
              <w:bottom w:val="single" w:sz="4" w:space="0" w:color="auto"/>
              <w:right w:val="single" w:sz="4" w:space="0" w:color="auto"/>
            </w:tcBorders>
            <w:vAlign w:val="center"/>
            <w:hideMark/>
          </w:tcPr>
          <w:p w14:paraId="5CA8A48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0.20</w:t>
            </w:r>
          </w:p>
        </w:tc>
        <w:tc>
          <w:tcPr>
            <w:tcW w:w="662" w:type="dxa"/>
            <w:tcBorders>
              <w:top w:val="single" w:sz="4" w:space="0" w:color="auto"/>
              <w:left w:val="single" w:sz="4" w:space="0" w:color="auto"/>
              <w:bottom w:val="single" w:sz="4" w:space="0" w:color="auto"/>
              <w:right w:val="single" w:sz="4" w:space="0" w:color="auto"/>
            </w:tcBorders>
            <w:vAlign w:val="center"/>
            <w:hideMark/>
          </w:tcPr>
          <w:p w14:paraId="4CBDD50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A2F1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F06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4EA584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24774D8E"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Pterospermum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acerifolium</w:t>
            </w:r>
            <w:proofErr w:type="spellEnd"/>
            <w:r w:rsidRPr="004F0D74">
              <w:rPr>
                <w:rFonts w:ascii="Times New Roman" w:hAnsi="Times New Roman" w:cs="Times New Roman"/>
                <w:bCs/>
                <w:iCs/>
              </w:rPr>
              <w:t xml:space="preserve"> </w:t>
            </w:r>
            <w:r w:rsidRPr="004F0D74">
              <w:rPr>
                <w:rFonts w:ascii="Times New Roman" w:hAnsi="Times New Roman" w:cs="Times New Roman"/>
              </w:rPr>
              <w:t xml:space="preserve">(L.)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FE7012D"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C24E4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E6C60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w:t>
            </w:r>
          </w:p>
        </w:tc>
        <w:tc>
          <w:tcPr>
            <w:tcW w:w="802" w:type="dxa"/>
            <w:tcBorders>
              <w:top w:val="single" w:sz="4" w:space="0" w:color="auto"/>
              <w:left w:val="single" w:sz="4" w:space="0" w:color="auto"/>
              <w:bottom w:val="single" w:sz="4" w:space="0" w:color="auto"/>
              <w:right w:val="single" w:sz="4" w:space="0" w:color="auto"/>
            </w:tcBorders>
            <w:vAlign w:val="center"/>
            <w:hideMark/>
          </w:tcPr>
          <w:p w14:paraId="3EB7536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1A0739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22F64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2D3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9C13FA5" w14:textId="77777777" w:rsidTr="009F4B2E">
        <w:trPr>
          <w:trHeight w:val="169"/>
        </w:trPr>
        <w:tc>
          <w:tcPr>
            <w:tcW w:w="3307" w:type="dxa"/>
            <w:tcBorders>
              <w:top w:val="single" w:sz="4" w:space="0" w:color="auto"/>
              <w:left w:val="single" w:sz="4" w:space="0" w:color="auto"/>
              <w:bottom w:val="single" w:sz="4" w:space="0" w:color="auto"/>
              <w:right w:val="single" w:sz="4" w:space="0" w:color="auto"/>
            </w:tcBorders>
            <w:hideMark/>
          </w:tcPr>
          <w:p w14:paraId="3D48D91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Saraca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asoca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EBDC7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1A26D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F4EA0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5664141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864DC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6922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59BD5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72C22806" w14:textId="77777777" w:rsidTr="009F4B2E">
        <w:trPr>
          <w:trHeight w:val="376"/>
        </w:trPr>
        <w:tc>
          <w:tcPr>
            <w:tcW w:w="3307" w:type="dxa"/>
            <w:tcBorders>
              <w:top w:val="single" w:sz="4" w:space="0" w:color="auto"/>
              <w:left w:val="single" w:sz="4" w:space="0" w:color="auto"/>
              <w:bottom w:val="single" w:sz="4" w:space="0" w:color="auto"/>
              <w:right w:val="single" w:sz="4" w:space="0" w:color="auto"/>
            </w:tcBorders>
            <w:hideMark/>
          </w:tcPr>
          <w:p w14:paraId="75B367A4"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bCs/>
                <w:i/>
                <w:iCs/>
              </w:rPr>
              <w:t xml:space="preserve">Senna </w:t>
            </w:r>
            <w:proofErr w:type="spellStart"/>
            <w:r w:rsidRPr="004F0D74">
              <w:rPr>
                <w:rFonts w:ascii="Times New Roman" w:hAnsi="Times New Roman" w:cs="Times New Roman"/>
                <w:bCs/>
                <w:i/>
                <w:iCs/>
              </w:rPr>
              <w:t>siamea</w:t>
            </w:r>
            <w:proofErr w:type="spellEnd"/>
            <w:r w:rsidRPr="004F0D74">
              <w:rPr>
                <w:rFonts w:ascii="Times New Roman" w:hAnsi="Times New Roman" w:cs="Times New Roman"/>
              </w:rPr>
              <w:t xml:space="preserve"> (Lam.) </w:t>
            </w:r>
            <w:proofErr w:type="spellStart"/>
            <w:r w:rsidRPr="004F0D74">
              <w:rPr>
                <w:rFonts w:ascii="Times New Roman" w:hAnsi="Times New Roman" w:cs="Times New Roman"/>
              </w:rPr>
              <w:t>H.</w:t>
            </w:r>
            <w:proofErr w:type="gramStart"/>
            <w:r w:rsidRPr="004F0D74">
              <w:rPr>
                <w:rFonts w:ascii="Times New Roman" w:hAnsi="Times New Roman" w:cs="Times New Roman"/>
              </w:rPr>
              <w:t>S.Irwin</w:t>
            </w:r>
            <w:proofErr w:type="spellEnd"/>
            <w:proofErr w:type="gramEnd"/>
            <w:r w:rsidRPr="004F0D74">
              <w:rPr>
                <w:rFonts w:ascii="Times New Roman" w:hAnsi="Times New Roman" w:cs="Times New Roman"/>
              </w:rPr>
              <w:t xml:space="preserve"> &amp; </w:t>
            </w:r>
            <w:proofErr w:type="spellStart"/>
            <w:r w:rsidRPr="004F0D74">
              <w:rPr>
                <w:rFonts w:ascii="Times New Roman" w:hAnsi="Times New Roman" w:cs="Times New Roman"/>
              </w:rPr>
              <w:t>Barneby</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E9C02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216E9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1B84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BBAF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0.03</w:t>
            </w:r>
          </w:p>
        </w:tc>
        <w:tc>
          <w:tcPr>
            <w:tcW w:w="662" w:type="dxa"/>
            <w:tcBorders>
              <w:top w:val="single" w:sz="4" w:space="0" w:color="auto"/>
              <w:left w:val="single" w:sz="4" w:space="0" w:color="auto"/>
              <w:bottom w:val="single" w:sz="4" w:space="0" w:color="auto"/>
              <w:right w:val="single" w:sz="4" w:space="0" w:color="auto"/>
            </w:tcBorders>
            <w:vAlign w:val="center"/>
            <w:hideMark/>
          </w:tcPr>
          <w:p w14:paraId="71416AF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5B0D2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308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175E4B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1D865C54"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rPr>
              <w:t>Syzygium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cumini</w:t>
            </w:r>
            <w:proofErr w:type="spellEnd"/>
            <w:r w:rsidRPr="004F0D74">
              <w:rPr>
                <w:rFonts w:ascii="Times New Roman" w:hAnsi="Times New Roman" w:cs="Times New Roman"/>
              </w:rPr>
              <w:t xml:space="preserve"> (L.) </w:t>
            </w:r>
            <w:proofErr w:type="spellStart"/>
            <w:r w:rsidRPr="004F0D74">
              <w:rPr>
                <w:rFonts w:ascii="Times New Roman" w:hAnsi="Times New Roman" w:cs="Times New Roman"/>
              </w:rPr>
              <w:t>Skeels</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4690B697"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8B9A1E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5466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7EBBB2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978D0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AD1106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23.14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6F2F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15965144"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32D3977F"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Syzygium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jambos</w:t>
            </w:r>
            <w:proofErr w:type="spellEnd"/>
            <w:r w:rsidRPr="004F0D74">
              <w:rPr>
                <w:rFonts w:ascii="Times New Roman" w:hAnsi="Times New Roman" w:cs="Times New Roman"/>
                <w:bCs/>
                <w:iCs/>
              </w:rPr>
              <w:t xml:space="preserve"> </w:t>
            </w:r>
            <w:r w:rsidRPr="004F0D74">
              <w:rPr>
                <w:rFonts w:ascii="Times New Roman" w:hAnsi="Times New Roman" w:cs="Times New Roman"/>
              </w:rPr>
              <w:t>(L.) Alston</w:t>
            </w:r>
          </w:p>
        </w:tc>
        <w:tc>
          <w:tcPr>
            <w:tcW w:w="1424" w:type="dxa"/>
            <w:tcBorders>
              <w:top w:val="single" w:sz="4" w:space="0" w:color="auto"/>
              <w:left w:val="single" w:sz="4" w:space="0" w:color="auto"/>
              <w:bottom w:val="single" w:sz="4" w:space="0" w:color="auto"/>
              <w:right w:val="single" w:sz="4" w:space="0" w:color="auto"/>
            </w:tcBorders>
            <w:hideMark/>
          </w:tcPr>
          <w:p w14:paraId="7A67AF4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6BB8C2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3FCC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645AC7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99D82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A9266A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7967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40F51B1D"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42B84BB6"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Terminalia</w:t>
            </w:r>
            <w:r w:rsidRPr="004F0D74">
              <w:rPr>
                <w:rFonts w:ascii="Times New Roman" w:hAnsi="Times New Roman" w:cs="Times New Roman"/>
              </w:rPr>
              <w:t xml:space="preserve"> </w:t>
            </w:r>
            <w:proofErr w:type="spellStart"/>
            <w:r w:rsidRPr="004F0D74">
              <w:rPr>
                <w:rFonts w:ascii="Times New Roman" w:hAnsi="Times New Roman" w:cs="Times New Roman"/>
                <w:i/>
              </w:rPr>
              <w:t>bellirica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Gaertn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33D4CD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1B90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59E2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6A5AAD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33B7D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C38A7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61.32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3B8C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0.08</w:t>
            </w:r>
          </w:p>
        </w:tc>
      </w:tr>
      <w:tr w:rsidR="009F4B2E" w:rsidRPr="004F0D74" w14:paraId="2F47CB82" w14:textId="77777777" w:rsidTr="009F4B2E">
        <w:trPr>
          <w:trHeight w:val="278"/>
        </w:trPr>
        <w:tc>
          <w:tcPr>
            <w:tcW w:w="3307" w:type="dxa"/>
            <w:tcBorders>
              <w:top w:val="single" w:sz="4" w:space="0" w:color="auto"/>
              <w:left w:val="single" w:sz="4" w:space="0" w:color="auto"/>
              <w:bottom w:val="single" w:sz="4" w:space="0" w:color="auto"/>
              <w:right w:val="single" w:sz="4" w:space="0" w:color="auto"/>
            </w:tcBorders>
            <w:hideMark/>
          </w:tcPr>
          <w:p w14:paraId="161DF96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Terminalia </w:t>
            </w:r>
            <w:proofErr w:type="spellStart"/>
            <w:r w:rsidRPr="004F0D74">
              <w:rPr>
                <w:rFonts w:ascii="Times New Roman" w:hAnsi="Times New Roman" w:cs="Times New Roman"/>
                <w:bCs/>
                <w:i/>
                <w:iCs/>
              </w:rPr>
              <w:t>chebula</w:t>
            </w:r>
            <w:proofErr w:type="spellEnd"/>
            <w:r w:rsidRPr="004F0D74">
              <w:rPr>
                <w:rFonts w:ascii="Times New Roman" w:hAnsi="Times New Roman" w:cs="Times New Roman"/>
                <w:bCs/>
                <w:i/>
                <w:iCs/>
              </w:rPr>
              <w:t xml:space="preserve"> </w:t>
            </w:r>
            <w:r w:rsidRPr="004F0D74">
              <w:rPr>
                <w:rFonts w:ascii="Times New Roman" w:hAnsi="Times New Roman" w:cs="Times New Roman"/>
              </w:rPr>
              <w:t>Retz.</w:t>
            </w:r>
          </w:p>
        </w:tc>
        <w:tc>
          <w:tcPr>
            <w:tcW w:w="1424" w:type="dxa"/>
            <w:tcBorders>
              <w:top w:val="single" w:sz="4" w:space="0" w:color="auto"/>
              <w:left w:val="single" w:sz="4" w:space="0" w:color="auto"/>
              <w:bottom w:val="single" w:sz="4" w:space="0" w:color="auto"/>
              <w:right w:val="single" w:sz="4" w:space="0" w:color="auto"/>
            </w:tcBorders>
            <w:hideMark/>
          </w:tcPr>
          <w:p w14:paraId="16F6DF42"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17DFA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A5D0C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5EC7E0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50E06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62A7A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9BBA5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96E9744" w14:textId="77777777" w:rsidTr="009F4B2E">
        <w:trPr>
          <w:trHeight w:val="454"/>
        </w:trPr>
        <w:tc>
          <w:tcPr>
            <w:tcW w:w="3307" w:type="dxa"/>
            <w:tcBorders>
              <w:top w:val="single" w:sz="4" w:space="0" w:color="auto"/>
              <w:left w:val="single" w:sz="4" w:space="0" w:color="auto"/>
              <w:bottom w:val="single" w:sz="4" w:space="0" w:color="auto"/>
              <w:right w:val="single" w:sz="4" w:space="0" w:color="auto"/>
            </w:tcBorders>
            <w:hideMark/>
          </w:tcPr>
          <w:p w14:paraId="70570D65"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Toona</w:t>
            </w:r>
            <w:proofErr w:type="spellEnd"/>
            <w:r w:rsidRPr="004F0D74">
              <w:rPr>
                <w:rFonts w:ascii="Times New Roman" w:hAnsi="Times New Roman" w:cs="Times New Roman"/>
                <w:i/>
              </w:rPr>
              <w:t xml:space="preserve"> </w:t>
            </w:r>
            <w:proofErr w:type="spellStart"/>
            <w:r w:rsidRPr="004F0D74">
              <w:rPr>
                <w:rFonts w:ascii="Times New Roman" w:hAnsi="Times New Roman" w:cs="Times New Roman"/>
                <w:i/>
              </w:rPr>
              <w:t>ciliata</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M.Roem</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56A9CD5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Meliaceae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B380B0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00BE5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37A11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1D0312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E0D78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34.83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B9368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bl>
    <w:p w14:paraId="7AA14A8F" w14:textId="77777777" w:rsidR="009F4B2E" w:rsidRPr="004F0D74" w:rsidRDefault="009F4B2E" w:rsidP="009F4B2E">
      <w:pPr>
        <w:spacing w:after="0"/>
        <w:jc w:val="both"/>
        <w:rPr>
          <w:rFonts w:ascii="Times New Roman" w:hAnsi="Times New Roman" w:cs="Times New Roman"/>
          <w:b/>
        </w:rPr>
      </w:pPr>
    </w:p>
    <w:p w14:paraId="42ADCF97" w14:textId="736666C2" w:rsidR="009F4B2E" w:rsidRPr="004F0D74" w:rsidRDefault="009F4B2E" w:rsidP="009F4B2E">
      <w:pPr>
        <w:spacing w:after="0"/>
        <w:jc w:val="both"/>
        <w:rPr>
          <w:rFonts w:ascii="Times New Roman" w:hAnsi="Times New Roman" w:cs="Times New Roman"/>
          <w:b/>
        </w:rPr>
      </w:pPr>
      <w:r w:rsidRPr="004F0D74">
        <w:rPr>
          <w:rFonts w:ascii="Times New Roman" w:hAnsi="Times New Roman" w:cs="Times New Roman"/>
          <w:b/>
        </w:rPr>
        <w:t>Table III: Phytosociological parameters of community-managed forests in Uttarakhand</w:t>
      </w:r>
    </w:p>
    <w:p w14:paraId="21019D10" w14:textId="77777777" w:rsidR="009F4B2E" w:rsidRPr="004F0D74" w:rsidRDefault="009F4B2E" w:rsidP="009F4B2E">
      <w:pPr>
        <w:spacing w:after="0"/>
        <w:ind w:left="360" w:hanging="432"/>
        <w:jc w:val="both"/>
        <w:rPr>
          <w:rFonts w:ascii="Times New Roman" w:hAnsi="Times New Roman" w:cs="Times New Roman"/>
          <w:b/>
        </w:rPr>
      </w:pPr>
    </w:p>
    <w:tbl>
      <w:tblPr>
        <w:tblStyle w:val="TableGrid"/>
        <w:tblW w:w="9605" w:type="dxa"/>
        <w:tblLook w:val="04A0" w:firstRow="1" w:lastRow="0" w:firstColumn="1" w:lastColumn="0" w:noHBand="0" w:noVBand="1"/>
      </w:tblPr>
      <w:tblGrid>
        <w:gridCol w:w="4249"/>
        <w:gridCol w:w="2678"/>
        <w:gridCol w:w="2678"/>
      </w:tblGrid>
      <w:tr w:rsidR="009F4B2E" w:rsidRPr="004F0D74" w14:paraId="3F5AF740" w14:textId="77777777" w:rsidTr="0052419F">
        <w:trPr>
          <w:trHeight w:val="341"/>
        </w:trPr>
        <w:tc>
          <w:tcPr>
            <w:tcW w:w="4249" w:type="dxa"/>
            <w:tcBorders>
              <w:top w:val="single" w:sz="4" w:space="0" w:color="auto"/>
              <w:left w:val="single" w:sz="4" w:space="0" w:color="auto"/>
              <w:bottom w:val="single" w:sz="4" w:space="0" w:color="auto"/>
              <w:right w:val="single" w:sz="4" w:space="0" w:color="auto"/>
            </w:tcBorders>
            <w:hideMark/>
          </w:tcPr>
          <w:p w14:paraId="55F3340C" w14:textId="77777777" w:rsidR="009F4B2E" w:rsidRPr="004F0D74" w:rsidRDefault="009F4B2E" w:rsidP="0052419F">
            <w:pPr>
              <w:spacing w:line="278" w:lineRule="auto"/>
              <w:ind w:left="360" w:hanging="432"/>
              <w:jc w:val="both"/>
              <w:rPr>
                <w:rFonts w:ascii="Times New Roman" w:hAnsi="Times New Roman" w:cs="Times New Roman"/>
                <w:b/>
              </w:rPr>
            </w:pPr>
            <w:bookmarkStart w:id="0" w:name="_Hlk218684635"/>
            <w:r w:rsidRPr="004F0D74">
              <w:rPr>
                <w:rFonts w:ascii="Times New Roman" w:hAnsi="Times New Roman" w:cs="Times New Roman"/>
                <w:b/>
              </w:rPr>
              <w:t>Parameters</w:t>
            </w:r>
          </w:p>
        </w:tc>
        <w:tc>
          <w:tcPr>
            <w:tcW w:w="2678" w:type="dxa"/>
            <w:tcBorders>
              <w:top w:val="single" w:sz="4" w:space="0" w:color="auto"/>
              <w:left w:val="single" w:sz="4" w:space="0" w:color="auto"/>
              <w:bottom w:val="single" w:sz="4" w:space="0" w:color="auto"/>
              <w:right w:val="single" w:sz="4" w:space="0" w:color="auto"/>
            </w:tcBorders>
            <w:hideMark/>
          </w:tcPr>
          <w:p w14:paraId="6E2083E7"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ABCF</w:t>
            </w:r>
          </w:p>
        </w:tc>
        <w:tc>
          <w:tcPr>
            <w:tcW w:w="2678" w:type="dxa"/>
            <w:tcBorders>
              <w:top w:val="single" w:sz="4" w:space="0" w:color="auto"/>
              <w:left w:val="single" w:sz="4" w:space="0" w:color="auto"/>
              <w:bottom w:val="single" w:sz="4" w:space="0" w:color="auto"/>
              <w:right w:val="single" w:sz="4" w:space="0" w:color="auto"/>
            </w:tcBorders>
            <w:hideMark/>
          </w:tcPr>
          <w:p w14:paraId="7071230F"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7B87E944"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1FCC3562"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species</w:t>
            </w:r>
          </w:p>
        </w:tc>
        <w:tc>
          <w:tcPr>
            <w:tcW w:w="2678" w:type="dxa"/>
            <w:tcBorders>
              <w:top w:val="single" w:sz="4" w:space="0" w:color="auto"/>
              <w:left w:val="single" w:sz="4" w:space="0" w:color="auto"/>
              <w:bottom w:val="single" w:sz="4" w:space="0" w:color="auto"/>
              <w:right w:val="single" w:sz="4" w:space="0" w:color="auto"/>
            </w:tcBorders>
            <w:hideMark/>
          </w:tcPr>
          <w:p w14:paraId="7828AFF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19</w:t>
            </w:r>
          </w:p>
        </w:tc>
        <w:tc>
          <w:tcPr>
            <w:tcW w:w="2678" w:type="dxa"/>
            <w:tcBorders>
              <w:top w:val="single" w:sz="4" w:space="0" w:color="auto"/>
              <w:left w:val="single" w:sz="4" w:space="0" w:color="auto"/>
              <w:bottom w:val="single" w:sz="4" w:space="0" w:color="auto"/>
              <w:right w:val="single" w:sz="4" w:space="0" w:color="auto"/>
            </w:tcBorders>
            <w:hideMark/>
          </w:tcPr>
          <w:p w14:paraId="4BF47060"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15</w:t>
            </w:r>
          </w:p>
        </w:tc>
      </w:tr>
      <w:tr w:rsidR="009F4B2E" w:rsidRPr="004F0D74" w14:paraId="14037E21"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280CC01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genus</w:t>
            </w:r>
          </w:p>
        </w:tc>
        <w:tc>
          <w:tcPr>
            <w:tcW w:w="2678" w:type="dxa"/>
            <w:tcBorders>
              <w:top w:val="single" w:sz="4" w:space="0" w:color="auto"/>
              <w:left w:val="single" w:sz="4" w:space="0" w:color="auto"/>
              <w:bottom w:val="single" w:sz="4" w:space="0" w:color="auto"/>
              <w:right w:val="single" w:sz="4" w:space="0" w:color="auto"/>
            </w:tcBorders>
            <w:hideMark/>
          </w:tcPr>
          <w:p w14:paraId="0C327C9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16</w:t>
            </w:r>
          </w:p>
        </w:tc>
        <w:tc>
          <w:tcPr>
            <w:tcW w:w="2678" w:type="dxa"/>
            <w:tcBorders>
              <w:top w:val="single" w:sz="4" w:space="0" w:color="auto"/>
              <w:left w:val="single" w:sz="4" w:space="0" w:color="auto"/>
              <w:bottom w:val="single" w:sz="4" w:space="0" w:color="auto"/>
              <w:right w:val="single" w:sz="4" w:space="0" w:color="auto"/>
            </w:tcBorders>
            <w:hideMark/>
          </w:tcPr>
          <w:p w14:paraId="07E269D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13</w:t>
            </w:r>
          </w:p>
        </w:tc>
      </w:tr>
      <w:tr w:rsidR="009F4B2E" w:rsidRPr="004F0D74" w14:paraId="622EC0D0"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650A78B9"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Families</w:t>
            </w:r>
          </w:p>
        </w:tc>
        <w:tc>
          <w:tcPr>
            <w:tcW w:w="2678" w:type="dxa"/>
            <w:tcBorders>
              <w:top w:val="single" w:sz="4" w:space="0" w:color="auto"/>
              <w:left w:val="single" w:sz="4" w:space="0" w:color="auto"/>
              <w:bottom w:val="single" w:sz="4" w:space="0" w:color="auto"/>
              <w:right w:val="single" w:sz="4" w:space="0" w:color="auto"/>
            </w:tcBorders>
            <w:hideMark/>
          </w:tcPr>
          <w:p w14:paraId="5DC64F0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w:t>
            </w:r>
          </w:p>
        </w:tc>
        <w:tc>
          <w:tcPr>
            <w:tcW w:w="2678" w:type="dxa"/>
            <w:tcBorders>
              <w:top w:val="single" w:sz="4" w:space="0" w:color="auto"/>
              <w:left w:val="single" w:sz="4" w:space="0" w:color="auto"/>
              <w:bottom w:val="single" w:sz="4" w:space="0" w:color="auto"/>
              <w:right w:val="single" w:sz="4" w:space="0" w:color="auto"/>
            </w:tcBorders>
            <w:hideMark/>
          </w:tcPr>
          <w:p w14:paraId="1BD1FEF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w:t>
            </w:r>
          </w:p>
        </w:tc>
      </w:tr>
      <w:tr w:rsidR="009F4B2E" w:rsidRPr="004F0D74" w14:paraId="0B4B468F"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6A7D42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Tree density (trees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2678" w:type="dxa"/>
            <w:tcBorders>
              <w:top w:val="single" w:sz="4" w:space="0" w:color="auto"/>
              <w:left w:val="single" w:sz="4" w:space="0" w:color="auto"/>
              <w:bottom w:val="single" w:sz="4" w:space="0" w:color="auto"/>
              <w:right w:val="single" w:sz="4" w:space="0" w:color="auto"/>
            </w:tcBorders>
            <w:hideMark/>
          </w:tcPr>
          <w:p w14:paraId="5F83189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760</w:t>
            </w:r>
          </w:p>
        </w:tc>
        <w:tc>
          <w:tcPr>
            <w:tcW w:w="2678" w:type="dxa"/>
            <w:tcBorders>
              <w:top w:val="single" w:sz="4" w:space="0" w:color="auto"/>
              <w:left w:val="single" w:sz="4" w:space="0" w:color="auto"/>
              <w:bottom w:val="single" w:sz="4" w:space="0" w:color="auto"/>
              <w:right w:val="single" w:sz="4" w:space="0" w:color="auto"/>
            </w:tcBorders>
            <w:hideMark/>
          </w:tcPr>
          <w:p w14:paraId="4354123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380</w:t>
            </w:r>
          </w:p>
        </w:tc>
      </w:tr>
      <w:tr w:rsidR="009F4B2E" w:rsidRPr="004F0D74" w14:paraId="112E39B6"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61DEA47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Shannon diversity index (H')</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558D5EE"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2.31</w:t>
            </w:r>
          </w:p>
        </w:tc>
        <w:tc>
          <w:tcPr>
            <w:tcW w:w="2678" w:type="dxa"/>
            <w:tcBorders>
              <w:top w:val="single" w:sz="4" w:space="0" w:color="auto"/>
              <w:left w:val="single" w:sz="4" w:space="0" w:color="auto"/>
              <w:bottom w:val="single" w:sz="4" w:space="0" w:color="auto"/>
              <w:right w:val="single" w:sz="4" w:space="0" w:color="auto"/>
            </w:tcBorders>
            <w:hideMark/>
          </w:tcPr>
          <w:p w14:paraId="2C13DDB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2.57</w:t>
            </w:r>
          </w:p>
        </w:tc>
      </w:tr>
      <w:tr w:rsidR="009F4B2E" w:rsidRPr="004F0D74" w14:paraId="1F2963BE"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568A860"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Simpson dominance index (D)</w:t>
            </w:r>
          </w:p>
        </w:tc>
        <w:tc>
          <w:tcPr>
            <w:tcW w:w="2678" w:type="dxa"/>
            <w:tcBorders>
              <w:top w:val="single" w:sz="4" w:space="0" w:color="auto"/>
              <w:left w:val="single" w:sz="4" w:space="0" w:color="auto"/>
              <w:bottom w:val="single" w:sz="4" w:space="0" w:color="auto"/>
              <w:right w:val="single" w:sz="4" w:space="0" w:color="auto"/>
            </w:tcBorders>
            <w:vAlign w:val="center"/>
            <w:hideMark/>
          </w:tcPr>
          <w:p w14:paraId="0B1039A1"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0.16</w:t>
            </w:r>
          </w:p>
        </w:tc>
        <w:tc>
          <w:tcPr>
            <w:tcW w:w="2678" w:type="dxa"/>
            <w:tcBorders>
              <w:top w:val="single" w:sz="4" w:space="0" w:color="auto"/>
              <w:left w:val="single" w:sz="4" w:space="0" w:color="auto"/>
              <w:bottom w:val="single" w:sz="4" w:space="0" w:color="auto"/>
              <w:right w:val="single" w:sz="4" w:space="0" w:color="auto"/>
            </w:tcBorders>
            <w:hideMark/>
          </w:tcPr>
          <w:p w14:paraId="087F854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0.09</w:t>
            </w:r>
          </w:p>
        </w:tc>
      </w:tr>
      <w:tr w:rsidR="009F4B2E" w:rsidRPr="004F0D74" w14:paraId="57525768"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11E42D2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Margalef</w:t>
            </w:r>
            <w:proofErr w:type="spellEnd"/>
            <w:r w:rsidRPr="004F0D74">
              <w:rPr>
                <w:rFonts w:ascii="Times New Roman" w:hAnsi="Times New Roman" w:cs="Times New Roman"/>
                <w:b/>
              </w:rPr>
              <w:t xml:space="preserve"> species richness (d)</w:t>
            </w:r>
          </w:p>
        </w:tc>
        <w:tc>
          <w:tcPr>
            <w:tcW w:w="2678" w:type="dxa"/>
            <w:tcBorders>
              <w:top w:val="single" w:sz="4" w:space="0" w:color="auto"/>
              <w:left w:val="single" w:sz="4" w:space="0" w:color="auto"/>
              <w:bottom w:val="single" w:sz="4" w:space="0" w:color="auto"/>
              <w:right w:val="single" w:sz="4" w:space="0" w:color="auto"/>
            </w:tcBorders>
            <w:hideMark/>
          </w:tcPr>
          <w:p w14:paraId="79A5867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4.16</w:t>
            </w:r>
          </w:p>
        </w:tc>
        <w:tc>
          <w:tcPr>
            <w:tcW w:w="2678" w:type="dxa"/>
            <w:tcBorders>
              <w:top w:val="single" w:sz="4" w:space="0" w:color="auto"/>
              <w:left w:val="single" w:sz="4" w:space="0" w:color="auto"/>
              <w:bottom w:val="single" w:sz="4" w:space="0" w:color="auto"/>
              <w:right w:val="single" w:sz="4" w:space="0" w:color="auto"/>
            </w:tcBorders>
            <w:hideMark/>
          </w:tcPr>
          <w:p w14:paraId="5E25484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3.84</w:t>
            </w:r>
          </w:p>
        </w:tc>
      </w:tr>
      <w:tr w:rsidR="009F4B2E" w:rsidRPr="004F0D74" w14:paraId="58C368B9"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0CF0108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Pielou’s</w:t>
            </w:r>
            <w:proofErr w:type="spellEnd"/>
            <w:r w:rsidRPr="004F0D74">
              <w:rPr>
                <w:rFonts w:ascii="Times New Roman" w:hAnsi="Times New Roman" w:cs="Times New Roman"/>
                <w:b/>
              </w:rPr>
              <w:t xml:space="preserve"> evenness index (J)</w:t>
            </w:r>
          </w:p>
        </w:tc>
        <w:tc>
          <w:tcPr>
            <w:tcW w:w="2678" w:type="dxa"/>
            <w:tcBorders>
              <w:top w:val="single" w:sz="4" w:space="0" w:color="auto"/>
              <w:left w:val="single" w:sz="4" w:space="0" w:color="auto"/>
              <w:bottom w:val="single" w:sz="4" w:space="0" w:color="auto"/>
              <w:right w:val="single" w:sz="4" w:space="0" w:color="auto"/>
            </w:tcBorders>
            <w:hideMark/>
          </w:tcPr>
          <w:p w14:paraId="70B75D3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0.78</w:t>
            </w:r>
          </w:p>
        </w:tc>
        <w:tc>
          <w:tcPr>
            <w:tcW w:w="2678" w:type="dxa"/>
            <w:tcBorders>
              <w:top w:val="single" w:sz="4" w:space="0" w:color="auto"/>
              <w:left w:val="single" w:sz="4" w:space="0" w:color="auto"/>
              <w:bottom w:val="single" w:sz="4" w:space="0" w:color="auto"/>
              <w:right w:val="single" w:sz="4" w:space="0" w:color="auto"/>
            </w:tcBorders>
            <w:hideMark/>
          </w:tcPr>
          <w:p w14:paraId="457FF41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0.95</w:t>
            </w:r>
          </w:p>
        </w:tc>
      </w:tr>
      <w:bookmarkEnd w:id="0"/>
    </w:tbl>
    <w:p w14:paraId="2ACD20E3" w14:textId="77777777" w:rsidR="009F4B2E" w:rsidRPr="004F0D74" w:rsidRDefault="009F4B2E" w:rsidP="002C3EEC">
      <w:pPr>
        <w:jc w:val="both"/>
        <w:rPr>
          <w:rFonts w:ascii="Times New Roman" w:hAnsi="Times New Roman" w:cs="Times New Roman"/>
        </w:rPr>
      </w:pPr>
    </w:p>
    <w:p w14:paraId="1DFA943A" w14:textId="54D6B6D4"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t>Biomass allocation and ecosystem carbon stocks</w:t>
      </w:r>
    </w:p>
    <w:p w14:paraId="107FF327" w14:textId="623A6125" w:rsidR="00532698" w:rsidRPr="004F0D74" w:rsidRDefault="00745516" w:rsidP="00532698">
      <w:pPr>
        <w:jc w:val="both"/>
        <w:rPr>
          <w:rFonts w:ascii="Times New Roman" w:hAnsi="Times New Roman" w:cs="Times New Roman"/>
          <w:b/>
          <w:bCs/>
        </w:rPr>
      </w:pPr>
      <w:r w:rsidRPr="004F0D74">
        <w:rPr>
          <w:rFonts w:ascii="Times New Roman" w:hAnsi="Times New Roman" w:cs="Times New Roman"/>
        </w:rPr>
        <w:lastRenderedPageBreak/>
        <w:t xml:space="preserve">Total ecosystem biomass and carbon stock differed </w:t>
      </w:r>
      <w:r w:rsidR="00AA066D" w:rsidRPr="004F0D74">
        <w:rPr>
          <w:rFonts w:ascii="Times New Roman" w:hAnsi="Times New Roman" w:cs="Times New Roman"/>
        </w:rPr>
        <w:t>significantly</w:t>
      </w:r>
      <w:r w:rsidRPr="004F0D74">
        <w:rPr>
          <w:rFonts w:ascii="Times New Roman" w:hAnsi="Times New Roman" w:cs="Times New Roman"/>
        </w:rPr>
        <w:t xml:space="preserve"> between the two forests</w:t>
      </w:r>
      <w:r w:rsidR="00AA066D" w:rsidRPr="004F0D74">
        <w:rPr>
          <w:rFonts w:ascii="Times New Roman" w:hAnsi="Times New Roman" w:cs="Times New Roman"/>
        </w:rPr>
        <w:t xml:space="preserve"> (Table </w:t>
      </w:r>
      <w:r w:rsidR="009F4B2E" w:rsidRPr="004F0D74">
        <w:rPr>
          <w:rFonts w:ascii="Times New Roman" w:hAnsi="Times New Roman" w:cs="Times New Roman"/>
        </w:rPr>
        <w:t>IV</w:t>
      </w:r>
      <w:r w:rsidR="00C06BAF" w:rsidRPr="004F0D74">
        <w:rPr>
          <w:rFonts w:ascii="Times New Roman" w:hAnsi="Times New Roman" w:cs="Times New Roman"/>
        </w:rPr>
        <w:t xml:space="preserve">, </w:t>
      </w:r>
      <w:r w:rsidR="009F4B2E" w:rsidRPr="004F0D74">
        <w:rPr>
          <w:rFonts w:ascii="Times New Roman" w:hAnsi="Times New Roman" w:cs="Times New Roman"/>
        </w:rPr>
        <w:t>V</w:t>
      </w:r>
      <w:r w:rsidR="00C06BAF" w:rsidRPr="004F0D74">
        <w:rPr>
          <w:rFonts w:ascii="Times New Roman" w:hAnsi="Times New Roman" w:cs="Times New Roman"/>
        </w:rPr>
        <w:t xml:space="preserve">, </w:t>
      </w:r>
      <w:r w:rsidR="009F4B2E" w:rsidRPr="004F0D74">
        <w:rPr>
          <w:rFonts w:ascii="Times New Roman" w:hAnsi="Times New Roman" w:cs="Times New Roman"/>
        </w:rPr>
        <w:t>VI</w:t>
      </w:r>
      <w:r w:rsidR="00AA066D" w:rsidRPr="004F0D74">
        <w:rPr>
          <w:rFonts w:ascii="Times New Roman" w:hAnsi="Times New Roman" w:cs="Times New Roman"/>
        </w:rPr>
        <w:t>)</w:t>
      </w:r>
      <w:r w:rsidRPr="004F0D74">
        <w:rPr>
          <w:rFonts w:ascii="Times New Roman" w:hAnsi="Times New Roman" w:cs="Times New Roman"/>
        </w:rPr>
        <w:t xml:space="preserve">. ABCF accumulated 350.76 Mg ha⁻¹ of total biomass and 175.77 Mg C ha⁻¹, compared to 261.81 Mg ha⁻¹ and 131.37 Mg C ha⁻¹ in RCF, representing approximately 34% higher carbon storage in ABCF. These values fall within the reported range for mid-elevation Himalayan broadleaved forests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32698" w:rsidRPr="004F0D74">
        <w:rPr>
          <w:rFonts w:ascii="Times New Roman" w:hAnsi="Times New Roman" w:cs="Times New Roman"/>
        </w:rPr>
        <w:t xml:space="preserve"> Correspondingly, total carbon stock was higher in ABCF than in RCF</w:t>
      </w:r>
      <w:r w:rsidR="00AA066D" w:rsidRPr="004F0D74">
        <w:rPr>
          <w:rFonts w:ascii="Times New Roman" w:hAnsi="Times New Roman" w:cs="Times New Roman"/>
        </w:rPr>
        <w:t xml:space="preserve">, </w:t>
      </w:r>
      <w:r w:rsidR="00532698" w:rsidRPr="004F0D74">
        <w:rPr>
          <w:rFonts w:ascii="Times New Roman" w:hAnsi="Times New Roman" w:cs="Times New Roman"/>
        </w:rPr>
        <w:t>translating to CO₂ equivalents of 645.09 and 482.14 Mg ha⁻¹, respectively.</w:t>
      </w:r>
      <w:r w:rsidR="00AA066D" w:rsidRPr="004F0D74">
        <w:rPr>
          <w:rFonts w:ascii="Times New Roman" w:hAnsi="Times New Roman" w:cs="Times New Roman"/>
        </w:rPr>
        <w:t xml:space="preserve"> </w:t>
      </w:r>
      <w:r w:rsidRPr="004F0D74">
        <w:rPr>
          <w:rFonts w:ascii="Times New Roman" w:hAnsi="Times New Roman" w:cs="Times New Roman"/>
        </w:rPr>
        <w:t xml:space="preserve">Aboveground biomass constituted the dominant carbon pool in both forests (&gt;79%), while belowground biomass contributed ~19%, consistent with biomass partitioning patterns observed across </w:t>
      </w:r>
      <w:r w:rsidR="00DA4C78" w:rsidRPr="004F0D74">
        <w:rPr>
          <w:rFonts w:ascii="Times New Roman" w:hAnsi="Times New Roman" w:cs="Times New Roman"/>
        </w:rPr>
        <w:t>Himalayan Forest</w:t>
      </w:r>
      <w:r w:rsidRPr="004F0D74">
        <w:rPr>
          <w:rFonts w:ascii="Times New Roman" w:hAnsi="Times New Roman" w:cs="Times New Roman"/>
        </w:rPr>
        <w:t xml:space="preserve"> ecosystems (Lal 2005; Sharma et al. 2010). Litter and soil carbon pools were comparatively small, reflecting continued biomass extraction and grazing pressure, which constrain litter accumulation and soil carbon stabilization in Van Panchayat forests (Pandey et al. 2014).</w:t>
      </w:r>
      <w:r w:rsidR="00AA066D" w:rsidRPr="004F0D74">
        <w:rPr>
          <w:rFonts w:ascii="Times New Roman" w:hAnsi="Times New Roman" w:cs="Times New Roman"/>
        </w:rPr>
        <w:t xml:space="preserve"> </w:t>
      </w:r>
      <w:r w:rsidR="00532698" w:rsidRPr="004F0D74">
        <w:rPr>
          <w:rFonts w:ascii="Times New Roman" w:hAnsi="Times New Roman" w:cs="Times New Roman"/>
        </w:rPr>
        <w:t xml:space="preserve">At the species level, </w:t>
      </w:r>
      <w:r w:rsidR="00532698" w:rsidRPr="004F0D74">
        <w:rPr>
          <w:rFonts w:ascii="Times New Roman" w:hAnsi="Times New Roman" w:cs="Times New Roman"/>
          <w:i/>
          <w:iCs/>
        </w:rPr>
        <w:t>B</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variegata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F</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auriculata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M</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indica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siamea</w:t>
      </w:r>
      <w:proofErr w:type="spellEnd"/>
      <w:r w:rsidR="00532698" w:rsidRPr="004F0D74">
        <w:rPr>
          <w:rFonts w:ascii="Times New Roman" w:hAnsi="Times New Roman" w:cs="Times New Roman"/>
        </w:rPr>
        <w:t xml:space="preserve"> contributed disproportionately to biomass and carbon storage in ABCF, while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bellirica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ciliata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cumini</w:t>
      </w:r>
      <w:proofErr w:type="spellEnd"/>
      <w:r w:rsidR="00532698" w:rsidRPr="004F0D74">
        <w:rPr>
          <w:rFonts w:ascii="Times New Roman" w:hAnsi="Times New Roman" w:cs="Times New Roman"/>
        </w:rPr>
        <w:t xml:space="preserve"> were major contributors in RCF. </w:t>
      </w:r>
    </w:p>
    <w:p w14:paraId="21F6960A" w14:textId="488FDC49" w:rsidR="00745516" w:rsidRPr="004F0D74" w:rsidRDefault="00745516" w:rsidP="002C3EEC">
      <w:pPr>
        <w:jc w:val="both"/>
        <w:rPr>
          <w:rFonts w:ascii="Times New Roman" w:hAnsi="Times New Roman" w:cs="Times New Roman"/>
        </w:rPr>
      </w:pPr>
      <w:r w:rsidRPr="004F0D74">
        <w:rPr>
          <w:rFonts w:ascii="Times New Roman" w:hAnsi="Times New Roman" w:cs="Times New Roman"/>
        </w:rPr>
        <w:t>Species-level analysis further revealed contrasting carbon allocation strategies. In ABCF, carbon storage was distributed across multiple medium- to large-sized individuals, enhancing cumulative ecosystem carbon. In RCF, carbon was concentrated in a limited number of large trees, restricting overall carbon accumulation despite higher evenness. Consequently, ABCF stored higher CO₂ equivalents (645.09 Mg ha⁻¹) than RCF (482.14 Mg ha⁻¹), underscoring the importance of stem density in regulating landscape-scale carbon stocks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w:t>
      </w:r>
      <w:r w:rsidR="001B4835" w:rsidRPr="004F0D74">
        <w:rPr>
          <w:rFonts w:ascii="Times New Roman" w:hAnsi="Times New Roman" w:cs="Times New Roman"/>
        </w:rPr>
        <w:t xml:space="preserve">Kaushal </w:t>
      </w:r>
      <w:r w:rsidR="00DA4C78" w:rsidRPr="004F0D74">
        <w:rPr>
          <w:rFonts w:ascii="Times New Roman" w:hAnsi="Times New Roman" w:cs="Times New Roman"/>
        </w:rPr>
        <w:t>and</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Bhaishya</w:t>
      </w:r>
      <w:proofErr w:type="spellEnd"/>
      <w:r w:rsidR="001B4835" w:rsidRPr="004F0D74">
        <w:rPr>
          <w:rFonts w:ascii="Times New Roman" w:hAnsi="Times New Roman" w:cs="Times New Roman"/>
        </w:rPr>
        <w:t xml:space="preserve"> 2021</w:t>
      </w:r>
      <w:r w:rsidRPr="004F0D74">
        <w:rPr>
          <w:rFonts w:ascii="Times New Roman" w:hAnsi="Times New Roman" w:cs="Times New Roman"/>
        </w:rPr>
        <w:t>).</w:t>
      </w:r>
      <w:r w:rsidR="00532698" w:rsidRPr="004F0D74">
        <w:rPr>
          <w:rFonts w:ascii="Times New Roman" w:hAnsi="Times New Roman" w:cs="Times New Roman"/>
        </w:rPr>
        <w:t xml:space="preserve"> Soil carbon contribution was relatively low but </w:t>
      </w:r>
      <w:r w:rsidR="001B4835" w:rsidRPr="004F0D74">
        <w:rPr>
          <w:rFonts w:ascii="Times New Roman" w:hAnsi="Times New Roman" w:cs="Times New Roman"/>
        </w:rPr>
        <w:t>varied significantly</w:t>
      </w:r>
      <w:r w:rsidR="00532698" w:rsidRPr="004F0D74">
        <w:rPr>
          <w:rFonts w:ascii="Times New Roman" w:hAnsi="Times New Roman" w:cs="Times New Roman"/>
        </w:rPr>
        <w:t xml:space="preserve"> between sites (0.85 Mg C ha⁻¹ in ABCF and 0.70 Mg C ha⁻¹ in RCF).</w:t>
      </w:r>
    </w:p>
    <w:p w14:paraId="32345475"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IV: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Akhandwali-Bhilang</w:t>
      </w:r>
      <w:proofErr w:type="spellEnd"/>
      <w:r w:rsidRPr="004F0D74">
        <w:rPr>
          <w:rFonts w:ascii="Times New Roman" w:hAnsi="Times New Roman" w:cs="Times New Roman"/>
          <w:b/>
        </w:rPr>
        <w:t xml:space="preserve"> Community Forest (ABCF)</w:t>
      </w:r>
    </w:p>
    <w:p w14:paraId="1C98C84D" w14:textId="77777777" w:rsidR="009F4B2E" w:rsidRPr="004F0D74" w:rsidRDefault="009F4B2E" w:rsidP="009F4B2E">
      <w:pPr>
        <w:spacing w:after="0"/>
        <w:ind w:left="360" w:hanging="432"/>
        <w:jc w:val="both"/>
        <w:rPr>
          <w:rFonts w:ascii="Times New Roman" w:hAnsi="Times New Roman" w:cs="Times New Roman"/>
          <w:b/>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10"/>
        <w:gridCol w:w="1170"/>
        <w:gridCol w:w="1119"/>
        <w:gridCol w:w="1145"/>
        <w:gridCol w:w="976"/>
        <w:gridCol w:w="1214"/>
        <w:gridCol w:w="1060"/>
      </w:tblGrid>
      <w:tr w:rsidR="009F4B2E" w:rsidRPr="004F0D74" w14:paraId="74EA0949" w14:textId="77777777" w:rsidTr="0052419F">
        <w:trPr>
          <w:trHeight w:val="107"/>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C48E380"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34C81D1"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GBH</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CDA0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AGB</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2E4699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BGB</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1FB31DF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TB</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3592813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CS</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507358E5"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1060" w:type="dxa"/>
            <w:tcBorders>
              <w:top w:val="single" w:sz="4" w:space="0" w:color="auto"/>
              <w:left w:val="single" w:sz="4" w:space="0" w:color="auto"/>
              <w:bottom w:val="single" w:sz="4" w:space="0" w:color="auto"/>
              <w:right w:val="single" w:sz="4" w:space="0" w:color="auto"/>
            </w:tcBorders>
            <w:hideMark/>
          </w:tcPr>
          <w:p w14:paraId="74261B1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48151377"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1731DBE"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Bhauhinia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variegata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848F5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1F8D2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76.24</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1C2F9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18.30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FDFB3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03C2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44.43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F4CA8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163.07</w:t>
            </w:r>
          </w:p>
        </w:tc>
        <w:tc>
          <w:tcPr>
            <w:tcW w:w="1060" w:type="dxa"/>
            <w:tcBorders>
              <w:top w:val="single" w:sz="4" w:space="0" w:color="auto"/>
              <w:left w:val="single" w:sz="4" w:space="0" w:color="auto"/>
              <w:bottom w:val="single" w:sz="4" w:space="0" w:color="auto"/>
              <w:right w:val="single" w:sz="4" w:space="0" w:color="auto"/>
            </w:tcBorders>
            <w:hideMark/>
          </w:tcPr>
          <w:p w14:paraId="3AF445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26CCD5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6B98958B"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Celtis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australis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7ADE31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58.75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EEC5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24.37</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728E8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76897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30.22</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290978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11E6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52.13</w:t>
            </w:r>
          </w:p>
        </w:tc>
        <w:tc>
          <w:tcPr>
            <w:tcW w:w="1060" w:type="dxa"/>
            <w:tcBorders>
              <w:top w:val="single" w:sz="4" w:space="0" w:color="auto"/>
              <w:left w:val="single" w:sz="4" w:space="0" w:color="auto"/>
              <w:bottom w:val="single" w:sz="4" w:space="0" w:color="auto"/>
              <w:right w:val="single" w:sz="4" w:space="0" w:color="auto"/>
            </w:tcBorders>
            <w:hideMark/>
          </w:tcPr>
          <w:p w14:paraId="69BC93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1FEBD2"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30D611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Citrus maxima</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35164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9BA4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6.66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1F779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E0A1F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8.26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55C99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C80AF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14.25</w:t>
            </w:r>
          </w:p>
        </w:tc>
        <w:tc>
          <w:tcPr>
            <w:tcW w:w="1060" w:type="dxa"/>
            <w:tcBorders>
              <w:top w:val="single" w:sz="4" w:space="0" w:color="auto"/>
              <w:left w:val="single" w:sz="4" w:space="0" w:color="auto"/>
              <w:bottom w:val="single" w:sz="4" w:space="0" w:color="auto"/>
              <w:right w:val="single" w:sz="4" w:space="0" w:color="auto"/>
            </w:tcBorders>
            <w:hideMark/>
          </w:tcPr>
          <w:p w14:paraId="3FD7F0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F1BC492"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5A6C8BC"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A6F87E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3BE48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45.33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5EA29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3832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56.20</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E0480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26.42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DB295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96.95</w:t>
            </w:r>
          </w:p>
        </w:tc>
        <w:tc>
          <w:tcPr>
            <w:tcW w:w="1060" w:type="dxa"/>
            <w:tcBorders>
              <w:top w:val="single" w:sz="4" w:space="0" w:color="auto"/>
              <w:left w:val="single" w:sz="4" w:space="0" w:color="auto"/>
              <w:bottom w:val="single" w:sz="4" w:space="0" w:color="auto"/>
              <w:right w:val="single" w:sz="4" w:space="0" w:color="auto"/>
            </w:tcBorders>
            <w:hideMark/>
          </w:tcPr>
          <w:p w14:paraId="470FAAE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D3280DD"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750E36A"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53133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B85EF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16.12</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C38BE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80323E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19.99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865A9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4F54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34.48</w:t>
            </w:r>
          </w:p>
        </w:tc>
        <w:tc>
          <w:tcPr>
            <w:tcW w:w="1060" w:type="dxa"/>
            <w:tcBorders>
              <w:top w:val="single" w:sz="4" w:space="0" w:color="auto"/>
              <w:left w:val="single" w:sz="4" w:space="0" w:color="auto"/>
              <w:bottom w:val="single" w:sz="4" w:space="0" w:color="auto"/>
              <w:right w:val="single" w:sz="4" w:space="0" w:color="auto"/>
            </w:tcBorders>
            <w:hideMark/>
          </w:tcPr>
          <w:p w14:paraId="2A6CDB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06EC00F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5865BCE"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E7CA62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F0023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35827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7F33F5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3.35</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19D1DF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1.57</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38B08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5.77</w:t>
            </w:r>
          </w:p>
        </w:tc>
        <w:tc>
          <w:tcPr>
            <w:tcW w:w="1060" w:type="dxa"/>
            <w:tcBorders>
              <w:top w:val="single" w:sz="4" w:space="0" w:color="auto"/>
              <w:left w:val="single" w:sz="4" w:space="0" w:color="auto"/>
              <w:bottom w:val="single" w:sz="4" w:space="0" w:color="auto"/>
              <w:right w:val="single" w:sz="4" w:space="0" w:color="auto"/>
            </w:tcBorders>
            <w:hideMark/>
          </w:tcPr>
          <w:p w14:paraId="27E493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77999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6EE109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FF83A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60.71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69FE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22.49</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B43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69C8DB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98D487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13.11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2174B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48.10</w:t>
            </w:r>
          </w:p>
        </w:tc>
        <w:tc>
          <w:tcPr>
            <w:tcW w:w="1060" w:type="dxa"/>
            <w:tcBorders>
              <w:top w:val="single" w:sz="4" w:space="0" w:color="auto"/>
              <w:left w:val="single" w:sz="4" w:space="0" w:color="auto"/>
              <w:bottom w:val="single" w:sz="4" w:space="0" w:color="auto"/>
              <w:right w:val="single" w:sz="4" w:space="0" w:color="auto"/>
            </w:tcBorders>
            <w:hideMark/>
          </w:tcPr>
          <w:p w14:paraId="4A8669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001CD6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4B24B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1CC86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E60208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8CC1E3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0.41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9AF77D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959A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0.99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5494C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3.64</w:t>
            </w:r>
          </w:p>
        </w:tc>
        <w:tc>
          <w:tcPr>
            <w:tcW w:w="1060" w:type="dxa"/>
            <w:tcBorders>
              <w:top w:val="single" w:sz="4" w:space="0" w:color="auto"/>
              <w:left w:val="single" w:sz="4" w:space="0" w:color="auto"/>
              <w:bottom w:val="single" w:sz="4" w:space="0" w:color="auto"/>
              <w:right w:val="single" w:sz="4" w:space="0" w:color="auto"/>
            </w:tcBorders>
            <w:hideMark/>
          </w:tcPr>
          <w:p w14:paraId="07FF162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9E2D9C6"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030DBB4"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695D9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380B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70F96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1FD2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CF14F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26505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7890E66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7A3A3DD"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3EC97D3C"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2D64DB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117.50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27188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30.60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88506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25FAA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13F9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3851B4D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65.44</w:t>
            </w:r>
          </w:p>
        </w:tc>
        <w:tc>
          <w:tcPr>
            <w:tcW w:w="1060" w:type="dxa"/>
            <w:tcBorders>
              <w:top w:val="single" w:sz="4" w:space="0" w:color="auto"/>
              <w:left w:val="single" w:sz="4" w:space="0" w:color="auto"/>
              <w:bottom w:val="single" w:sz="4" w:space="0" w:color="auto"/>
              <w:right w:val="single" w:sz="4" w:space="0" w:color="auto"/>
            </w:tcBorders>
            <w:hideMark/>
          </w:tcPr>
          <w:p w14:paraId="319336A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2E76E46"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BD24C45"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C4DD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8514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06F06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49EA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B3A01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0.89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A1208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060" w:type="dxa"/>
            <w:tcBorders>
              <w:top w:val="single" w:sz="4" w:space="0" w:color="auto"/>
              <w:left w:val="single" w:sz="4" w:space="0" w:color="auto"/>
              <w:bottom w:val="single" w:sz="4" w:space="0" w:color="auto"/>
              <w:right w:val="single" w:sz="4" w:space="0" w:color="auto"/>
            </w:tcBorders>
            <w:hideMark/>
          </w:tcPr>
          <w:p w14:paraId="00D6FE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F7FA1E7"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37E4F2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lastRenderedPageBreak/>
              <w:t>Premna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rPr>
              <w:t>mollissima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FAF09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91E4C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8.03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A6AC4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CFBFE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A51D3E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3AB4B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17.18</w:t>
            </w:r>
          </w:p>
        </w:tc>
        <w:tc>
          <w:tcPr>
            <w:tcW w:w="1060" w:type="dxa"/>
            <w:tcBorders>
              <w:top w:val="single" w:sz="4" w:space="0" w:color="auto"/>
              <w:left w:val="single" w:sz="4" w:space="0" w:color="auto"/>
              <w:bottom w:val="single" w:sz="4" w:space="0" w:color="auto"/>
              <w:right w:val="single" w:sz="4" w:space="0" w:color="auto"/>
            </w:tcBorders>
            <w:hideMark/>
          </w:tcPr>
          <w:p w14:paraId="073461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7F49873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E731679"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Prunus </w:t>
            </w:r>
            <w:proofErr w:type="spellStart"/>
            <w:r w:rsidRPr="004F0D74">
              <w:rPr>
                <w:rFonts w:ascii="Times New Roman" w:hAnsi="Times New Roman" w:cs="Times New Roman"/>
                <w:i/>
              </w:rPr>
              <w:t>cerasoides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0320E0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50F5D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BF4F8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4FEF21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3ED5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6464029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11.84</w:t>
            </w:r>
          </w:p>
        </w:tc>
        <w:tc>
          <w:tcPr>
            <w:tcW w:w="1060" w:type="dxa"/>
            <w:tcBorders>
              <w:top w:val="single" w:sz="4" w:space="0" w:color="auto"/>
              <w:left w:val="single" w:sz="4" w:space="0" w:color="auto"/>
              <w:bottom w:val="single" w:sz="4" w:space="0" w:color="auto"/>
              <w:right w:val="single" w:sz="4" w:space="0" w:color="auto"/>
            </w:tcBorders>
            <w:hideMark/>
          </w:tcPr>
          <w:p w14:paraId="6BC4FD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4FF482D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2D589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Pterospermum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acerifolium</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01F3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D8A8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0B3F8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636B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811C8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D5124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6.06</w:t>
            </w:r>
          </w:p>
        </w:tc>
        <w:tc>
          <w:tcPr>
            <w:tcW w:w="1060" w:type="dxa"/>
            <w:tcBorders>
              <w:top w:val="single" w:sz="4" w:space="0" w:color="auto"/>
              <w:left w:val="single" w:sz="4" w:space="0" w:color="auto"/>
              <w:bottom w:val="single" w:sz="4" w:space="0" w:color="auto"/>
              <w:right w:val="single" w:sz="4" w:space="0" w:color="auto"/>
            </w:tcBorders>
            <w:hideMark/>
          </w:tcPr>
          <w:p w14:paraId="3D03A5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E0D0413"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724C955F"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Saraca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asoca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7F0B55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E934E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D9E8D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6B4D69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29A068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9F91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735DBC4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F3D815"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6238B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Senna </w:t>
            </w:r>
            <w:proofErr w:type="spellStart"/>
            <w:r w:rsidRPr="004F0D74">
              <w:rPr>
                <w:rFonts w:ascii="Times New Roman" w:hAnsi="Times New Roman" w:cs="Times New Roman"/>
                <w:i/>
                <w:iCs/>
              </w:rPr>
              <w:t>siamea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726F9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60.40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D4763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15.86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76C807D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2E29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19.67</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A50EBD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9.24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D7398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33.93</w:t>
            </w:r>
          </w:p>
        </w:tc>
        <w:tc>
          <w:tcPr>
            <w:tcW w:w="1060" w:type="dxa"/>
            <w:tcBorders>
              <w:top w:val="single" w:sz="4" w:space="0" w:color="auto"/>
              <w:left w:val="single" w:sz="4" w:space="0" w:color="auto"/>
              <w:bottom w:val="single" w:sz="4" w:space="0" w:color="auto"/>
              <w:right w:val="single" w:sz="4" w:space="0" w:color="auto"/>
            </w:tcBorders>
            <w:hideMark/>
          </w:tcPr>
          <w:p w14:paraId="26BBBAA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3CEC0DA"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7B56170"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467E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2D56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05235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D4C9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0A3C9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1AD597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024ECB0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68762CA"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DC93CB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jambos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C2B4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274F45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BCFD2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D316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30CBE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AE201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5B57132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0FBA2A74"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2E5B721"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chebula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1AF15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C57A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6.88</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700B3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0E15F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110D5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DE302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14.72</w:t>
            </w:r>
          </w:p>
        </w:tc>
        <w:tc>
          <w:tcPr>
            <w:tcW w:w="1060" w:type="dxa"/>
            <w:tcBorders>
              <w:top w:val="single" w:sz="4" w:space="0" w:color="auto"/>
              <w:left w:val="single" w:sz="4" w:space="0" w:color="auto"/>
              <w:bottom w:val="single" w:sz="4" w:space="0" w:color="auto"/>
              <w:right w:val="single" w:sz="4" w:space="0" w:color="auto"/>
            </w:tcBorders>
            <w:hideMark/>
          </w:tcPr>
          <w:p w14:paraId="78E8A2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73FB5C69" w14:textId="77777777" w:rsidR="009F4B2E" w:rsidRPr="004F0D74" w:rsidRDefault="009F4B2E" w:rsidP="009F4B2E">
      <w:pPr>
        <w:spacing w:after="0"/>
        <w:ind w:left="360" w:hanging="432"/>
        <w:jc w:val="both"/>
        <w:rPr>
          <w:rFonts w:ascii="Times New Roman" w:hAnsi="Times New Roman" w:cs="Times New Roman"/>
          <w:b/>
        </w:rPr>
      </w:pPr>
    </w:p>
    <w:p w14:paraId="0D1511CC"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Rikhauli</w:t>
      </w:r>
      <w:proofErr w:type="spellEnd"/>
      <w:r w:rsidRPr="004F0D74">
        <w:rPr>
          <w:rFonts w:ascii="Times New Roman" w:hAnsi="Times New Roman" w:cs="Times New Roman"/>
          <w:b/>
        </w:rPr>
        <w:t xml:space="preserve"> Community Forest (RCF)</w:t>
      </w:r>
    </w:p>
    <w:p w14:paraId="7C587714" w14:textId="77777777" w:rsidR="009F4B2E" w:rsidRPr="004F0D74" w:rsidRDefault="009F4B2E" w:rsidP="009F4B2E">
      <w:pPr>
        <w:spacing w:after="0"/>
        <w:ind w:left="360" w:hanging="432"/>
        <w:jc w:val="both"/>
        <w:rPr>
          <w:rFonts w:ascii="Times New Roman" w:hAnsi="Times New Roman" w:cs="Times New Roman"/>
          <w:b/>
        </w:rPr>
      </w:pPr>
    </w:p>
    <w:tbl>
      <w:tblPr>
        <w:tblW w:w="1021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960"/>
        <w:gridCol w:w="1160"/>
        <w:gridCol w:w="1180"/>
        <w:gridCol w:w="1060"/>
        <w:gridCol w:w="1180"/>
        <w:gridCol w:w="1200"/>
        <w:gridCol w:w="911"/>
      </w:tblGrid>
      <w:tr w:rsidR="009F4B2E" w:rsidRPr="004F0D74" w14:paraId="29EC9E4A"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DD2E67"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84A143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bCs/>
              </w:rPr>
              <w:t>GBH</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CF7347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AGB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A38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BGB</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5E880A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TB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39CD0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CS</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206EAE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911" w:type="dxa"/>
            <w:tcBorders>
              <w:top w:val="single" w:sz="4" w:space="0" w:color="auto"/>
              <w:left w:val="single" w:sz="4" w:space="0" w:color="auto"/>
              <w:bottom w:val="single" w:sz="4" w:space="0" w:color="auto"/>
              <w:right w:val="single" w:sz="4" w:space="0" w:color="auto"/>
            </w:tcBorders>
            <w:hideMark/>
          </w:tcPr>
          <w:p w14:paraId="6E6EC0F0"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35D27075" w14:textId="77777777" w:rsidTr="0052419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58154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8CCD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A1FC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A6B2E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CE55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9DC7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13.59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3FDCA4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49.86</w:t>
            </w:r>
          </w:p>
        </w:tc>
        <w:tc>
          <w:tcPr>
            <w:tcW w:w="911" w:type="dxa"/>
            <w:tcBorders>
              <w:top w:val="single" w:sz="4" w:space="0" w:color="auto"/>
              <w:left w:val="single" w:sz="4" w:space="0" w:color="auto"/>
              <w:bottom w:val="single" w:sz="4" w:space="0" w:color="auto"/>
              <w:right w:val="single" w:sz="4" w:space="0" w:color="auto"/>
            </w:tcBorders>
            <w:hideMark/>
          </w:tcPr>
          <w:p w14:paraId="1A4721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48EF58D8"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5310FCB"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purpurea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37D0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87.33</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34DB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DCB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6915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77DAD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B7EAD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32.70</w:t>
            </w:r>
          </w:p>
        </w:tc>
        <w:tc>
          <w:tcPr>
            <w:tcW w:w="911" w:type="dxa"/>
            <w:tcBorders>
              <w:top w:val="single" w:sz="4" w:space="0" w:color="auto"/>
              <w:left w:val="single" w:sz="4" w:space="0" w:color="auto"/>
              <w:bottom w:val="single" w:sz="4" w:space="0" w:color="auto"/>
              <w:right w:val="single" w:sz="4" w:space="0" w:color="auto"/>
            </w:tcBorders>
            <w:hideMark/>
          </w:tcPr>
          <w:p w14:paraId="05D149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BF12336"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13038D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variegata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201C9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74.50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9A0F5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EF49C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91B70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CAE7D7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10819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17.84</w:t>
            </w:r>
          </w:p>
        </w:tc>
        <w:tc>
          <w:tcPr>
            <w:tcW w:w="911" w:type="dxa"/>
            <w:tcBorders>
              <w:top w:val="single" w:sz="4" w:space="0" w:color="auto"/>
              <w:left w:val="single" w:sz="4" w:space="0" w:color="auto"/>
              <w:bottom w:val="single" w:sz="4" w:space="0" w:color="auto"/>
              <w:right w:val="single" w:sz="4" w:space="0" w:color="auto"/>
            </w:tcBorders>
            <w:hideMark/>
          </w:tcPr>
          <w:p w14:paraId="2D4786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5F15B9D"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CE0A13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Bombax ceiba</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948EB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86.00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E3412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B08A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15B34E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6.17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AD47B6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48EBC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10.65</w:t>
            </w:r>
          </w:p>
        </w:tc>
        <w:tc>
          <w:tcPr>
            <w:tcW w:w="911" w:type="dxa"/>
            <w:tcBorders>
              <w:top w:val="single" w:sz="4" w:space="0" w:color="auto"/>
              <w:left w:val="single" w:sz="4" w:space="0" w:color="auto"/>
              <w:bottom w:val="single" w:sz="4" w:space="0" w:color="auto"/>
              <w:right w:val="single" w:sz="4" w:space="0" w:color="auto"/>
            </w:tcBorders>
            <w:hideMark/>
          </w:tcPr>
          <w:p w14:paraId="52E994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296A4B1"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5493B0"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B2B8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527B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0582B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4.21</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98FD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21.77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5536C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10.23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C87C9C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37.54</w:t>
            </w:r>
          </w:p>
        </w:tc>
        <w:tc>
          <w:tcPr>
            <w:tcW w:w="911" w:type="dxa"/>
            <w:tcBorders>
              <w:top w:val="single" w:sz="4" w:space="0" w:color="auto"/>
              <w:left w:val="single" w:sz="4" w:space="0" w:color="auto"/>
              <w:bottom w:val="single" w:sz="4" w:space="0" w:color="auto"/>
              <w:right w:val="single" w:sz="4" w:space="0" w:color="auto"/>
            </w:tcBorders>
            <w:hideMark/>
          </w:tcPr>
          <w:p w14:paraId="205471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39C7994"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38F74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73955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93430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23748D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0DF171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29F64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7DBA6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911" w:type="dxa"/>
            <w:tcBorders>
              <w:top w:val="single" w:sz="4" w:space="0" w:color="auto"/>
              <w:left w:val="single" w:sz="4" w:space="0" w:color="auto"/>
              <w:bottom w:val="single" w:sz="4" w:space="0" w:color="auto"/>
              <w:right w:val="single" w:sz="4" w:space="0" w:color="auto"/>
            </w:tcBorders>
            <w:hideMark/>
          </w:tcPr>
          <w:p w14:paraId="0085AF2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408E16C"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4F0EE8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FB3B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6631CA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F286A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6C959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3037D2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7E438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7.07</w:t>
            </w:r>
          </w:p>
        </w:tc>
        <w:tc>
          <w:tcPr>
            <w:tcW w:w="911" w:type="dxa"/>
            <w:tcBorders>
              <w:top w:val="single" w:sz="4" w:space="0" w:color="auto"/>
              <w:left w:val="single" w:sz="4" w:space="0" w:color="auto"/>
              <w:bottom w:val="single" w:sz="4" w:space="0" w:color="auto"/>
              <w:right w:val="single" w:sz="4" w:space="0" w:color="auto"/>
            </w:tcBorders>
            <w:hideMark/>
          </w:tcPr>
          <w:p w14:paraId="0966B3B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50DA707E" w14:textId="77777777" w:rsidTr="0052419F">
        <w:trPr>
          <w:trHeight w:val="35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3BCCEB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5229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7416AA3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48CF9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468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E7236B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A98B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21.20</w:t>
            </w:r>
          </w:p>
        </w:tc>
        <w:tc>
          <w:tcPr>
            <w:tcW w:w="911" w:type="dxa"/>
            <w:tcBorders>
              <w:top w:val="single" w:sz="4" w:space="0" w:color="auto"/>
              <w:left w:val="single" w:sz="4" w:space="0" w:color="auto"/>
              <w:bottom w:val="single" w:sz="4" w:space="0" w:color="auto"/>
              <w:right w:val="single" w:sz="4" w:space="0" w:color="auto"/>
            </w:tcBorders>
            <w:hideMark/>
          </w:tcPr>
          <w:p w14:paraId="596348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FFB3E14"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71A718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Madhuca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longifolia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824D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112.00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DE3A18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0B7BD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3F4CB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11D86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4CF66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15.08</w:t>
            </w:r>
          </w:p>
        </w:tc>
        <w:tc>
          <w:tcPr>
            <w:tcW w:w="911" w:type="dxa"/>
            <w:tcBorders>
              <w:top w:val="single" w:sz="4" w:space="0" w:color="auto"/>
              <w:left w:val="single" w:sz="4" w:space="0" w:color="auto"/>
              <w:bottom w:val="single" w:sz="4" w:space="0" w:color="auto"/>
              <w:right w:val="single" w:sz="4" w:space="0" w:color="auto"/>
            </w:tcBorders>
            <w:hideMark/>
          </w:tcPr>
          <w:p w14:paraId="13A9B11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E746FA7"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489821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50C4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78512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72D51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0A612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1564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5C9F0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9.58</w:t>
            </w:r>
          </w:p>
        </w:tc>
        <w:tc>
          <w:tcPr>
            <w:tcW w:w="911" w:type="dxa"/>
            <w:tcBorders>
              <w:top w:val="single" w:sz="4" w:space="0" w:color="auto"/>
              <w:left w:val="single" w:sz="4" w:space="0" w:color="auto"/>
              <w:bottom w:val="single" w:sz="4" w:space="0" w:color="auto"/>
              <w:right w:val="single" w:sz="4" w:space="0" w:color="auto"/>
            </w:tcBorders>
            <w:hideMark/>
          </w:tcPr>
          <w:p w14:paraId="3F11F1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1159FF" w14:textId="77777777" w:rsidTr="0052419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3EC1AC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CC3E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5D8978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15.99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DCE6A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2CE0A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19.83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564DD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9.32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98ADCE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34.20</w:t>
            </w:r>
          </w:p>
        </w:tc>
        <w:tc>
          <w:tcPr>
            <w:tcW w:w="911" w:type="dxa"/>
            <w:tcBorders>
              <w:top w:val="single" w:sz="4" w:space="0" w:color="auto"/>
              <w:left w:val="single" w:sz="4" w:space="0" w:color="auto"/>
              <w:bottom w:val="single" w:sz="4" w:space="0" w:color="auto"/>
              <w:right w:val="single" w:sz="4" w:space="0" w:color="auto"/>
            </w:tcBorders>
            <w:hideMark/>
          </w:tcPr>
          <w:p w14:paraId="0F49E63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CD2AB19"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1B63DD7"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6F2F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F7A7B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8E0CB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2F433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6.94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D593D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96FF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11.97</w:t>
            </w:r>
          </w:p>
        </w:tc>
        <w:tc>
          <w:tcPr>
            <w:tcW w:w="911" w:type="dxa"/>
            <w:tcBorders>
              <w:top w:val="single" w:sz="4" w:space="0" w:color="auto"/>
              <w:left w:val="single" w:sz="4" w:space="0" w:color="auto"/>
              <w:bottom w:val="single" w:sz="4" w:space="0" w:color="auto"/>
              <w:right w:val="single" w:sz="4" w:space="0" w:color="auto"/>
            </w:tcBorders>
            <w:hideMark/>
          </w:tcPr>
          <w:p w14:paraId="62D2D21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5133BC"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FAC9C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1ACB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702A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18.20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B39C3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4.37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20CA43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22.57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A03BE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CA563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38.94</w:t>
            </w:r>
          </w:p>
        </w:tc>
        <w:tc>
          <w:tcPr>
            <w:tcW w:w="911" w:type="dxa"/>
            <w:tcBorders>
              <w:top w:val="single" w:sz="4" w:space="0" w:color="auto"/>
              <w:left w:val="single" w:sz="4" w:space="0" w:color="auto"/>
              <w:bottom w:val="single" w:sz="4" w:space="0" w:color="auto"/>
              <w:right w:val="single" w:sz="4" w:space="0" w:color="auto"/>
            </w:tcBorders>
            <w:hideMark/>
          </w:tcPr>
          <w:p w14:paraId="3FD5DB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73D999"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3A5C0E"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bellerica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EA7E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98.86</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BF445F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42.38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52D20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10.17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39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E5B22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94E9B7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90.65</w:t>
            </w:r>
          </w:p>
        </w:tc>
        <w:tc>
          <w:tcPr>
            <w:tcW w:w="911" w:type="dxa"/>
            <w:tcBorders>
              <w:top w:val="single" w:sz="4" w:space="0" w:color="auto"/>
              <w:left w:val="single" w:sz="4" w:space="0" w:color="auto"/>
              <w:bottom w:val="single" w:sz="4" w:space="0" w:color="auto"/>
              <w:right w:val="single" w:sz="4" w:space="0" w:color="auto"/>
            </w:tcBorders>
            <w:hideMark/>
          </w:tcPr>
          <w:p w14:paraId="17B01DC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97BADF3"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96FAF2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Toona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ciliata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C9F4C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110.25</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498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28.07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D19FC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6.74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8F4C9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34.81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1D46B9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30B56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60.05</w:t>
            </w:r>
          </w:p>
        </w:tc>
        <w:tc>
          <w:tcPr>
            <w:tcW w:w="911" w:type="dxa"/>
            <w:tcBorders>
              <w:top w:val="single" w:sz="4" w:space="0" w:color="auto"/>
              <w:left w:val="single" w:sz="4" w:space="0" w:color="auto"/>
              <w:bottom w:val="single" w:sz="4" w:space="0" w:color="auto"/>
              <w:right w:val="single" w:sz="4" w:space="0" w:color="auto"/>
            </w:tcBorders>
            <w:hideMark/>
          </w:tcPr>
          <w:p w14:paraId="00AC35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48CD4401" w14:textId="77777777" w:rsidR="009F4B2E" w:rsidRPr="004F0D74" w:rsidRDefault="009F4B2E" w:rsidP="009F4B2E">
      <w:pPr>
        <w:spacing w:after="0"/>
        <w:ind w:left="360" w:hanging="432"/>
        <w:jc w:val="both"/>
        <w:rPr>
          <w:rFonts w:ascii="Times New Roman" w:hAnsi="Times New Roman" w:cs="Times New Roman"/>
        </w:rPr>
      </w:pPr>
    </w:p>
    <w:p w14:paraId="05B6C1EB" w14:textId="77777777" w:rsidR="009F4B2E" w:rsidRPr="004F0D74" w:rsidRDefault="009F4B2E" w:rsidP="009F4B2E">
      <w:pPr>
        <w:spacing w:after="0"/>
        <w:jc w:val="both"/>
        <w:rPr>
          <w:rFonts w:ascii="Times New Roman" w:hAnsi="Times New Roman" w:cs="Times New Roman"/>
          <w:b/>
          <w:bCs/>
        </w:rPr>
      </w:pPr>
      <w:r w:rsidRPr="004F0D74">
        <w:rPr>
          <w:rFonts w:ascii="Times New Roman" w:hAnsi="Times New Roman" w:cs="Times New Roman"/>
          <w:b/>
          <w:bCs/>
        </w:rPr>
        <w:t>Table VI: Total biomass (Mg ha</w:t>
      </w:r>
      <w:r w:rsidRPr="004F0D74">
        <w:rPr>
          <w:rFonts w:ascii="Times New Roman" w:hAnsi="Times New Roman" w:cs="Times New Roman"/>
          <w:b/>
          <w:bCs/>
          <w:vertAlign w:val="superscript"/>
        </w:rPr>
        <w:t>-1</w:t>
      </w:r>
      <w:r w:rsidRPr="004F0D74">
        <w:rPr>
          <w:rFonts w:ascii="Times New Roman" w:hAnsi="Times New Roman" w:cs="Times New Roman"/>
          <w:b/>
          <w:bCs/>
        </w:rPr>
        <w:t>) and carbon stock (</w:t>
      </w:r>
      <w:r w:rsidRPr="004F0D74">
        <w:rPr>
          <w:rFonts w:ascii="Times New Roman" w:hAnsi="Times New Roman" w:cs="Times New Roman"/>
          <w:b/>
        </w:rPr>
        <w:t>Mg C ha</w:t>
      </w:r>
      <w:r w:rsidRPr="004F0D74">
        <w:rPr>
          <w:rFonts w:ascii="Times New Roman" w:hAnsi="Times New Roman" w:cs="Times New Roman"/>
          <w:b/>
          <w:vertAlign w:val="superscript"/>
        </w:rPr>
        <w:t>-1</w:t>
      </w:r>
      <w:r w:rsidRPr="004F0D74">
        <w:rPr>
          <w:rFonts w:ascii="Times New Roman" w:hAnsi="Times New Roman" w:cs="Times New Roman"/>
          <w:b/>
          <w:bCs/>
        </w:rPr>
        <w:t>) in different pools of community-managed forests of Uttarakhand</w:t>
      </w:r>
    </w:p>
    <w:p w14:paraId="4F3A08E5" w14:textId="77777777" w:rsidR="009F4B2E" w:rsidRPr="004F0D74" w:rsidRDefault="009F4B2E" w:rsidP="009F4B2E">
      <w:pPr>
        <w:spacing w:after="0"/>
        <w:ind w:left="360" w:hanging="432"/>
        <w:jc w:val="both"/>
        <w:rPr>
          <w:rFonts w:ascii="Times New Roman" w:hAnsi="Times New Roman" w:cs="Times New Roman"/>
          <w:b/>
          <w:bCs/>
        </w:rPr>
      </w:pPr>
    </w:p>
    <w:tbl>
      <w:tblPr>
        <w:tblStyle w:val="TableGrid"/>
        <w:tblW w:w="9514" w:type="dxa"/>
        <w:tblLook w:val="04A0" w:firstRow="1" w:lastRow="0" w:firstColumn="1" w:lastColumn="0" w:noHBand="0" w:noVBand="1"/>
      </w:tblPr>
      <w:tblGrid>
        <w:gridCol w:w="2073"/>
        <w:gridCol w:w="1294"/>
        <w:gridCol w:w="1215"/>
        <w:gridCol w:w="1287"/>
        <w:gridCol w:w="1215"/>
        <w:gridCol w:w="1215"/>
        <w:gridCol w:w="1215"/>
      </w:tblGrid>
      <w:tr w:rsidR="009F4B2E" w:rsidRPr="004F0D74" w14:paraId="39A762BF" w14:textId="77777777" w:rsidTr="0052419F">
        <w:trPr>
          <w:trHeight w:val="412"/>
        </w:trPr>
        <w:tc>
          <w:tcPr>
            <w:tcW w:w="2073" w:type="dxa"/>
            <w:vMerge w:val="restart"/>
            <w:tcBorders>
              <w:top w:val="single" w:sz="4" w:space="0" w:color="auto"/>
              <w:left w:val="single" w:sz="4" w:space="0" w:color="auto"/>
              <w:bottom w:val="single" w:sz="4" w:space="0" w:color="auto"/>
              <w:right w:val="single" w:sz="4" w:space="0" w:color="auto"/>
            </w:tcBorders>
            <w:hideMark/>
          </w:tcPr>
          <w:p w14:paraId="00741FB3"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Carbon pools</w:t>
            </w:r>
          </w:p>
        </w:tc>
        <w:tc>
          <w:tcPr>
            <w:tcW w:w="2509" w:type="dxa"/>
            <w:gridSpan w:val="2"/>
            <w:tcBorders>
              <w:top w:val="single" w:sz="4" w:space="0" w:color="auto"/>
              <w:left w:val="single" w:sz="4" w:space="0" w:color="auto"/>
              <w:bottom w:val="single" w:sz="4" w:space="0" w:color="auto"/>
              <w:right w:val="single" w:sz="4" w:space="0" w:color="auto"/>
            </w:tcBorders>
            <w:hideMark/>
          </w:tcPr>
          <w:p w14:paraId="01F0B5B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Biomass</w:t>
            </w:r>
          </w:p>
        </w:tc>
        <w:tc>
          <w:tcPr>
            <w:tcW w:w="2502" w:type="dxa"/>
            <w:gridSpan w:val="2"/>
            <w:tcBorders>
              <w:top w:val="single" w:sz="4" w:space="0" w:color="auto"/>
              <w:left w:val="single" w:sz="4" w:space="0" w:color="auto"/>
              <w:bottom w:val="single" w:sz="4" w:space="0" w:color="auto"/>
              <w:right w:val="single" w:sz="4" w:space="0" w:color="auto"/>
            </w:tcBorders>
            <w:hideMark/>
          </w:tcPr>
          <w:p w14:paraId="0A784DA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 xml:space="preserve">Carbon </w:t>
            </w:r>
          </w:p>
        </w:tc>
        <w:tc>
          <w:tcPr>
            <w:tcW w:w="2430" w:type="dxa"/>
            <w:gridSpan w:val="2"/>
            <w:tcBorders>
              <w:top w:val="single" w:sz="4" w:space="0" w:color="auto"/>
              <w:left w:val="single" w:sz="4" w:space="0" w:color="auto"/>
              <w:bottom w:val="single" w:sz="4" w:space="0" w:color="auto"/>
              <w:right w:val="single" w:sz="4" w:space="0" w:color="auto"/>
            </w:tcBorders>
            <w:hideMark/>
          </w:tcPr>
          <w:p w14:paraId="4448D88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CO2 equivalent</w:t>
            </w:r>
          </w:p>
        </w:tc>
      </w:tr>
      <w:tr w:rsidR="009F4B2E" w:rsidRPr="004F0D74" w14:paraId="0965C877" w14:textId="77777777" w:rsidTr="0052419F">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07E" w14:textId="77777777" w:rsidR="009F4B2E" w:rsidRPr="004F0D74" w:rsidRDefault="009F4B2E" w:rsidP="0052419F">
            <w:pPr>
              <w:spacing w:line="278" w:lineRule="auto"/>
              <w:ind w:left="360" w:hanging="432"/>
              <w:jc w:val="both"/>
              <w:rPr>
                <w:rFonts w:ascii="Times New Roman" w:hAnsi="Times New Roman" w:cs="Times New Roman"/>
                <w:b/>
                <w:bCs/>
              </w:rPr>
            </w:pPr>
          </w:p>
        </w:tc>
        <w:tc>
          <w:tcPr>
            <w:tcW w:w="1294" w:type="dxa"/>
            <w:tcBorders>
              <w:top w:val="single" w:sz="4" w:space="0" w:color="auto"/>
              <w:left w:val="single" w:sz="4" w:space="0" w:color="auto"/>
              <w:bottom w:val="single" w:sz="4" w:space="0" w:color="auto"/>
              <w:right w:val="single" w:sz="4" w:space="0" w:color="auto"/>
            </w:tcBorders>
            <w:hideMark/>
          </w:tcPr>
          <w:p w14:paraId="1413CA14"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563C0EB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87" w:type="dxa"/>
            <w:tcBorders>
              <w:top w:val="single" w:sz="4" w:space="0" w:color="auto"/>
              <w:left w:val="single" w:sz="4" w:space="0" w:color="auto"/>
              <w:bottom w:val="single" w:sz="4" w:space="0" w:color="auto"/>
              <w:right w:val="single" w:sz="4" w:space="0" w:color="auto"/>
            </w:tcBorders>
            <w:hideMark/>
          </w:tcPr>
          <w:p w14:paraId="590E990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201204C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15" w:type="dxa"/>
            <w:tcBorders>
              <w:top w:val="single" w:sz="4" w:space="0" w:color="auto"/>
              <w:left w:val="single" w:sz="4" w:space="0" w:color="auto"/>
              <w:bottom w:val="single" w:sz="4" w:space="0" w:color="auto"/>
              <w:right w:val="single" w:sz="4" w:space="0" w:color="auto"/>
            </w:tcBorders>
            <w:hideMark/>
          </w:tcPr>
          <w:p w14:paraId="6E4F031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6836624B"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r>
      <w:tr w:rsidR="009F4B2E" w:rsidRPr="004F0D74" w14:paraId="1399D421"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0C8425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Aboveground</w:t>
            </w:r>
          </w:p>
        </w:tc>
        <w:tc>
          <w:tcPr>
            <w:tcW w:w="1294" w:type="dxa"/>
            <w:tcBorders>
              <w:top w:val="single" w:sz="4" w:space="0" w:color="auto"/>
              <w:left w:val="single" w:sz="4" w:space="0" w:color="auto"/>
              <w:bottom w:val="single" w:sz="4" w:space="0" w:color="auto"/>
              <w:right w:val="single" w:sz="4" w:space="0" w:color="auto"/>
            </w:tcBorders>
            <w:hideMark/>
          </w:tcPr>
          <w:p w14:paraId="3DA4E30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279.99*</w:t>
            </w:r>
          </w:p>
        </w:tc>
        <w:tc>
          <w:tcPr>
            <w:tcW w:w="1214" w:type="dxa"/>
            <w:tcBorders>
              <w:top w:val="single" w:sz="4" w:space="0" w:color="auto"/>
              <w:left w:val="single" w:sz="4" w:space="0" w:color="auto"/>
              <w:bottom w:val="single" w:sz="4" w:space="0" w:color="auto"/>
              <w:right w:val="single" w:sz="4" w:space="0" w:color="auto"/>
            </w:tcBorders>
            <w:hideMark/>
          </w:tcPr>
          <w:p w14:paraId="79A6A04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209.68*</w:t>
            </w:r>
          </w:p>
        </w:tc>
        <w:tc>
          <w:tcPr>
            <w:tcW w:w="1287" w:type="dxa"/>
            <w:tcBorders>
              <w:top w:val="single" w:sz="4" w:space="0" w:color="auto"/>
              <w:left w:val="single" w:sz="4" w:space="0" w:color="auto"/>
              <w:bottom w:val="single" w:sz="4" w:space="0" w:color="auto"/>
              <w:right w:val="single" w:sz="4" w:space="0" w:color="auto"/>
            </w:tcBorders>
            <w:hideMark/>
          </w:tcPr>
          <w:p w14:paraId="086036C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140.00*</w:t>
            </w:r>
          </w:p>
        </w:tc>
        <w:tc>
          <w:tcPr>
            <w:tcW w:w="1214" w:type="dxa"/>
            <w:tcBorders>
              <w:top w:val="single" w:sz="4" w:space="0" w:color="auto"/>
              <w:left w:val="single" w:sz="4" w:space="0" w:color="auto"/>
              <w:bottom w:val="single" w:sz="4" w:space="0" w:color="auto"/>
              <w:right w:val="single" w:sz="4" w:space="0" w:color="auto"/>
            </w:tcBorders>
            <w:hideMark/>
          </w:tcPr>
          <w:p w14:paraId="6E229941"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104.84*</w:t>
            </w:r>
          </w:p>
        </w:tc>
        <w:tc>
          <w:tcPr>
            <w:tcW w:w="1215" w:type="dxa"/>
            <w:tcBorders>
              <w:top w:val="single" w:sz="4" w:space="0" w:color="auto"/>
              <w:left w:val="single" w:sz="4" w:space="0" w:color="auto"/>
              <w:bottom w:val="single" w:sz="4" w:space="0" w:color="auto"/>
              <w:right w:val="single" w:sz="4" w:space="0" w:color="auto"/>
            </w:tcBorders>
            <w:hideMark/>
          </w:tcPr>
          <w:p w14:paraId="405E437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513.80*</w:t>
            </w:r>
          </w:p>
        </w:tc>
        <w:tc>
          <w:tcPr>
            <w:tcW w:w="1214" w:type="dxa"/>
            <w:tcBorders>
              <w:top w:val="single" w:sz="4" w:space="0" w:color="auto"/>
              <w:left w:val="single" w:sz="4" w:space="0" w:color="auto"/>
              <w:bottom w:val="single" w:sz="4" w:space="0" w:color="auto"/>
              <w:right w:val="single" w:sz="4" w:space="0" w:color="auto"/>
            </w:tcBorders>
            <w:hideMark/>
          </w:tcPr>
          <w:p w14:paraId="7B4EA84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384.76*</w:t>
            </w:r>
          </w:p>
        </w:tc>
      </w:tr>
      <w:tr w:rsidR="009F4B2E" w:rsidRPr="004F0D74" w14:paraId="58C05219" w14:textId="77777777" w:rsidTr="0052419F">
        <w:trPr>
          <w:trHeight w:val="412"/>
        </w:trPr>
        <w:tc>
          <w:tcPr>
            <w:tcW w:w="2073" w:type="dxa"/>
            <w:tcBorders>
              <w:top w:val="single" w:sz="4" w:space="0" w:color="auto"/>
              <w:left w:val="single" w:sz="4" w:space="0" w:color="auto"/>
              <w:bottom w:val="single" w:sz="4" w:space="0" w:color="auto"/>
              <w:right w:val="single" w:sz="4" w:space="0" w:color="auto"/>
            </w:tcBorders>
            <w:hideMark/>
          </w:tcPr>
          <w:p w14:paraId="0F6BBC0D"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Belowground</w:t>
            </w:r>
          </w:p>
        </w:tc>
        <w:tc>
          <w:tcPr>
            <w:tcW w:w="1294" w:type="dxa"/>
            <w:tcBorders>
              <w:top w:val="single" w:sz="4" w:space="0" w:color="auto"/>
              <w:left w:val="single" w:sz="4" w:space="0" w:color="auto"/>
              <w:bottom w:val="single" w:sz="4" w:space="0" w:color="auto"/>
              <w:right w:val="single" w:sz="4" w:space="0" w:color="auto"/>
            </w:tcBorders>
            <w:hideMark/>
          </w:tcPr>
          <w:p w14:paraId="3319EBD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67.20*</w:t>
            </w:r>
          </w:p>
        </w:tc>
        <w:tc>
          <w:tcPr>
            <w:tcW w:w="1214" w:type="dxa"/>
            <w:tcBorders>
              <w:top w:val="single" w:sz="4" w:space="0" w:color="auto"/>
              <w:left w:val="single" w:sz="4" w:space="0" w:color="auto"/>
              <w:bottom w:val="single" w:sz="4" w:space="0" w:color="auto"/>
              <w:right w:val="single" w:sz="4" w:space="0" w:color="auto"/>
            </w:tcBorders>
            <w:hideMark/>
          </w:tcPr>
          <w:p w14:paraId="04790B3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50.32*</w:t>
            </w:r>
          </w:p>
        </w:tc>
        <w:tc>
          <w:tcPr>
            <w:tcW w:w="1287" w:type="dxa"/>
            <w:tcBorders>
              <w:top w:val="single" w:sz="4" w:space="0" w:color="auto"/>
              <w:left w:val="single" w:sz="4" w:space="0" w:color="auto"/>
              <w:bottom w:val="single" w:sz="4" w:space="0" w:color="auto"/>
              <w:right w:val="single" w:sz="4" w:space="0" w:color="auto"/>
            </w:tcBorders>
            <w:hideMark/>
          </w:tcPr>
          <w:p w14:paraId="32AF3536"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33.60*</w:t>
            </w:r>
          </w:p>
        </w:tc>
        <w:tc>
          <w:tcPr>
            <w:tcW w:w="1214" w:type="dxa"/>
            <w:tcBorders>
              <w:top w:val="single" w:sz="4" w:space="0" w:color="auto"/>
              <w:left w:val="single" w:sz="4" w:space="0" w:color="auto"/>
              <w:bottom w:val="single" w:sz="4" w:space="0" w:color="auto"/>
              <w:right w:val="single" w:sz="4" w:space="0" w:color="auto"/>
            </w:tcBorders>
            <w:hideMark/>
          </w:tcPr>
          <w:p w14:paraId="06992D5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25.16*</w:t>
            </w:r>
          </w:p>
        </w:tc>
        <w:tc>
          <w:tcPr>
            <w:tcW w:w="1215" w:type="dxa"/>
            <w:tcBorders>
              <w:top w:val="single" w:sz="4" w:space="0" w:color="auto"/>
              <w:left w:val="single" w:sz="4" w:space="0" w:color="auto"/>
              <w:bottom w:val="single" w:sz="4" w:space="0" w:color="auto"/>
              <w:right w:val="single" w:sz="4" w:space="0" w:color="auto"/>
            </w:tcBorders>
            <w:hideMark/>
          </w:tcPr>
          <w:p w14:paraId="3D6E0CF8"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123.31*</w:t>
            </w:r>
          </w:p>
        </w:tc>
        <w:tc>
          <w:tcPr>
            <w:tcW w:w="1214" w:type="dxa"/>
            <w:tcBorders>
              <w:top w:val="single" w:sz="4" w:space="0" w:color="auto"/>
              <w:left w:val="single" w:sz="4" w:space="0" w:color="auto"/>
              <w:bottom w:val="single" w:sz="4" w:space="0" w:color="auto"/>
              <w:right w:val="single" w:sz="4" w:space="0" w:color="auto"/>
            </w:tcBorders>
            <w:hideMark/>
          </w:tcPr>
          <w:p w14:paraId="41F46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92.34*</w:t>
            </w:r>
          </w:p>
        </w:tc>
      </w:tr>
      <w:tr w:rsidR="009F4B2E" w:rsidRPr="004F0D74" w14:paraId="47B5E3B0"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651A5E20"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lastRenderedPageBreak/>
              <w:t xml:space="preserve">Litter </w:t>
            </w:r>
          </w:p>
        </w:tc>
        <w:tc>
          <w:tcPr>
            <w:tcW w:w="1294" w:type="dxa"/>
            <w:tcBorders>
              <w:top w:val="single" w:sz="4" w:space="0" w:color="auto"/>
              <w:left w:val="single" w:sz="4" w:space="0" w:color="auto"/>
              <w:bottom w:val="single" w:sz="4" w:space="0" w:color="auto"/>
              <w:right w:val="single" w:sz="4" w:space="0" w:color="auto"/>
            </w:tcBorders>
            <w:hideMark/>
          </w:tcPr>
          <w:p w14:paraId="3F99D1AF"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0.35</w:t>
            </w:r>
          </w:p>
        </w:tc>
        <w:tc>
          <w:tcPr>
            <w:tcW w:w="1214" w:type="dxa"/>
            <w:tcBorders>
              <w:top w:val="single" w:sz="4" w:space="0" w:color="auto"/>
              <w:left w:val="single" w:sz="4" w:space="0" w:color="auto"/>
              <w:bottom w:val="single" w:sz="4" w:space="0" w:color="auto"/>
              <w:right w:val="single" w:sz="4" w:space="0" w:color="auto"/>
            </w:tcBorders>
            <w:hideMark/>
          </w:tcPr>
          <w:p w14:paraId="0B0DF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0.36</w:t>
            </w:r>
          </w:p>
        </w:tc>
        <w:tc>
          <w:tcPr>
            <w:tcW w:w="1287" w:type="dxa"/>
            <w:tcBorders>
              <w:top w:val="single" w:sz="4" w:space="0" w:color="auto"/>
              <w:left w:val="single" w:sz="4" w:space="0" w:color="auto"/>
              <w:bottom w:val="single" w:sz="4" w:space="0" w:color="auto"/>
              <w:right w:val="single" w:sz="4" w:space="0" w:color="auto"/>
            </w:tcBorders>
            <w:hideMark/>
          </w:tcPr>
          <w:p w14:paraId="32697D3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0.13</w:t>
            </w:r>
          </w:p>
        </w:tc>
        <w:tc>
          <w:tcPr>
            <w:tcW w:w="1214" w:type="dxa"/>
            <w:tcBorders>
              <w:top w:val="single" w:sz="4" w:space="0" w:color="auto"/>
              <w:left w:val="single" w:sz="4" w:space="0" w:color="auto"/>
              <w:bottom w:val="single" w:sz="4" w:space="0" w:color="auto"/>
              <w:right w:val="single" w:sz="4" w:space="0" w:color="auto"/>
            </w:tcBorders>
            <w:hideMark/>
          </w:tcPr>
          <w:p w14:paraId="13F62DC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0.14</w:t>
            </w:r>
          </w:p>
        </w:tc>
        <w:tc>
          <w:tcPr>
            <w:tcW w:w="1215" w:type="dxa"/>
            <w:tcBorders>
              <w:top w:val="single" w:sz="4" w:space="0" w:color="auto"/>
              <w:left w:val="single" w:sz="4" w:space="0" w:color="auto"/>
              <w:bottom w:val="single" w:sz="4" w:space="0" w:color="auto"/>
              <w:right w:val="single" w:sz="4" w:space="0" w:color="auto"/>
            </w:tcBorders>
            <w:hideMark/>
          </w:tcPr>
          <w:p w14:paraId="66461F7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c>
          <w:tcPr>
            <w:tcW w:w="1214" w:type="dxa"/>
            <w:tcBorders>
              <w:top w:val="single" w:sz="4" w:space="0" w:color="auto"/>
              <w:left w:val="single" w:sz="4" w:space="0" w:color="auto"/>
              <w:bottom w:val="single" w:sz="4" w:space="0" w:color="auto"/>
              <w:right w:val="single" w:sz="4" w:space="0" w:color="auto"/>
            </w:tcBorders>
            <w:hideMark/>
          </w:tcPr>
          <w:p w14:paraId="2B32676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r>
      <w:tr w:rsidR="009F4B2E" w:rsidRPr="004F0D74" w14:paraId="3E14C7B3"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7ECA7C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Soil</w:t>
            </w:r>
          </w:p>
        </w:tc>
        <w:tc>
          <w:tcPr>
            <w:tcW w:w="1294" w:type="dxa"/>
            <w:tcBorders>
              <w:top w:val="single" w:sz="4" w:space="0" w:color="auto"/>
              <w:left w:val="single" w:sz="4" w:space="0" w:color="auto"/>
              <w:bottom w:val="single" w:sz="4" w:space="0" w:color="auto"/>
              <w:right w:val="single" w:sz="4" w:space="0" w:color="auto"/>
            </w:tcBorders>
            <w:hideMark/>
          </w:tcPr>
          <w:p w14:paraId="3CEDA37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14" w:type="dxa"/>
            <w:tcBorders>
              <w:top w:val="single" w:sz="4" w:space="0" w:color="auto"/>
              <w:left w:val="single" w:sz="4" w:space="0" w:color="auto"/>
              <w:bottom w:val="single" w:sz="4" w:space="0" w:color="auto"/>
              <w:right w:val="single" w:sz="4" w:space="0" w:color="auto"/>
            </w:tcBorders>
            <w:hideMark/>
          </w:tcPr>
          <w:p w14:paraId="03A5A13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87" w:type="dxa"/>
            <w:tcBorders>
              <w:top w:val="single" w:sz="4" w:space="0" w:color="auto"/>
              <w:left w:val="single" w:sz="4" w:space="0" w:color="auto"/>
              <w:bottom w:val="single" w:sz="4" w:space="0" w:color="auto"/>
              <w:right w:val="single" w:sz="4" w:space="0" w:color="auto"/>
            </w:tcBorders>
            <w:hideMark/>
          </w:tcPr>
          <w:p w14:paraId="04278F2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0.85*</w:t>
            </w:r>
          </w:p>
        </w:tc>
        <w:tc>
          <w:tcPr>
            <w:tcW w:w="1214" w:type="dxa"/>
            <w:tcBorders>
              <w:top w:val="single" w:sz="4" w:space="0" w:color="auto"/>
              <w:left w:val="single" w:sz="4" w:space="0" w:color="auto"/>
              <w:bottom w:val="single" w:sz="4" w:space="0" w:color="auto"/>
              <w:right w:val="single" w:sz="4" w:space="0" w:color="auto"/>
            </w:tcBorders>
            <w:hideMark/>
          </w:tcPr>
          <w:p w14:paraId="7CABBDE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0.70*</w:t>
            </w:r>
          </w:p>
        </w:tc>
        <w:tc>
          <w:tcPr>
            <w:tcW w:w="1215" w:type="dxa"/>
            <w:tcBorders>
              <w:top w:val="single" w:sz="4" w:space="0" w:color="auto"/>
              <w:left w:val="single" w:sz="4" w:space="0" w:color="auto"/>
              <w:bottom w:val="single" w:sz="4" w:space="0" w:color="auto"/>
              <w:right w:val="single" w:sz="4" w:space="0" w:color="auto"/>
            </w:tcBorders>
            <w:hideMark/>
          </w:tcPr>
          <w:p w14:paraId="63A0647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3.13*</w:t>
            </w:r>
          </w:p>
        </w:tc>
        <w:tc>
          <w:tcPr>
            <w:tcW w:w="1214" w:type="dxa"/>
            <w:tcBorders>
              <w:top w:val="single" w:sz="4" w:space="0" w:color="auto"/>
              <w:left w:val="single" w:sz="4" w:space="0" w:color="auto"/>
              <w:bottom w:val="single" w:sz="4" w:space="0" w:color="auto"/>
              <w:right w:val="single" w:sz="4" w:space="0" w:color="auto"/>
            </w:tcBorders>
            <w:hideMark/>
          </w:tcPr>
          <w:p w14:paraId="1B3AE94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2.58*</w:t>
            </w:r>
          </w:p>
        </w:tc>
      </w:tr>
      <w:tr w:rsidR="009F4B2E" w:rsidRPr="004F0D74" w14:paraId="45ACC0EC"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3E3DF59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Total</w:t>
            </w:r>
          </w:p>
        </w:tc>
        <w:tc>
          <w:tcPr>
            <w:tcW w:w="1294" w:type="dxa"/>
            <w:tcBorders>
              <w:top w:val="single" w:sz="4" w:space="0" w:color="auto"/>
              <w:left w:val="single" w:sz="4" w:space="0" w:color="auto"/>
              <w:bottom w:val="single" w:sz="4" w:space="0" w:color="auto"/>
              <w:right w:val="single" w:sz="4" w:space="0" w:color="auto"/>
            </w:tcBorders>
            <w:vAlign w:val="bottom"/>
            <w:hideMark/>
          </w:tcPr>
          <w:p w14:paraId="6A049533"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350.76</w:t>
            </w:r>
          </w:p>
        </w:tc>
        <w:tc>
          <w:tcPr>
            <w:tcW w:w="1214" w:type="dxa"/>
            <w:tcBorders>
              <w:top w:val="single" w:sz="4" w:space="0" w:color="auto"/>
              <w:left w:val="single" w:sz="4" w:space="0" w:color="auto"/>
              <w:bottom w:val="single" w:sz="4" w:space="0" w:color="auto"/>
              <w:right w:val="single" w:sz="4" w:space="0" w:color="auto"/>
            </w:tcBorders>
            <w:vAlign w:val="bottom"/>
            <w:hideMark/>
          </w:tcPr>
          <w:p w14:paraId="4CDCA775"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261.81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8111CD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175.77</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38CBFD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131.37</w:t>
            </w:r>
          </w:p>
        </w:tc>
        <w:tc>
          <w:tcPr>
            <w:tcW w:w="1215" w:type="dxa"/>
            <w:tcBorders>
              <w:top w:val="single" w:sz="4" w:space="0" w:color="auto"/>
              <w:left w:val="single" w:sz="4" w:space="0" w:color="auto"/>
              <w:bottom w:val="single" w:sz="4" w:space="0" w:color="auto"/>
              <w:right w:val="single" w:sz="4" w:space="0" w:color="auto"/>
            </w:tcBorders>
            <w:vAlign w:val="bottom"/>
            <w:hideMark/>
          </w:tcPr>
          <w:p w14:paraId="59A99E55"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645.09</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B2C184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482.14</w:t>
            </w:r>
          </w:p>
        </w:tc>
      </w:tr>
    </w:tbl>
    <w:p w14:paraId="0F72091C" w14:textId="7777777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rPr>
        <w:t>*Indicates significant difference between the values of same row at P&lt;0.05</w:t>
      </w:r>
    </w:p>
    <w:p w14:paraId="221703F2" w14:textId="77777777" w:rsidR="009F4B2E" w:rsidRPr="004F0D74" w:rsidRDefault="009F4B2E" w:rsidP="002C3EEC">
      <w:pPr>
        <w:jc w:val="both"/>
        <w:rPr>
          <w:rFonts w:ascii="Times New Roman" w:hAnsi="Times New Roman" w:cs="Times New Roman"/>
        </w:rPr>
      </w:pPr>
    </w:p>
    <w:p w14:paraId="741E3FF9" w14:textId="29E06F35" w:rsidR="001412A5" w:rsidRPr="004F0D74" w:rsidRDefault="001412A5" w:rsidP="002C3EEC">
      <w:pPr>
        <w:jc w:val="both"/>
        <w:rPr>
          <w:rFonts w:ascii="Times New Roman" w:hAnsi="Times New Roman" w:cs="Times New Roman"/>
          <w:b/>
          <w:bCs/>
        </w:rPr>
      </w:pPr>
      <w:r w:rsidRPr="004F0D74">
        <w:rPr>
          <w:rFonts w:ascii="Times New Roman" w:hAnsi="Times New Roman" w:cs="Times New Roman"/>
          <w:b/>
          <w:bCs/>
          <w:i/>
          <w:iCs/>
        </w:rPr>
        <w:t>Cluster analysis</w:t>
      </w:r>
    </w:p>
    <w:p w14:paraId="5AA37EA4" w14:textId="12ECA2A5" w:rsidR="001412A5" w:rsidRPr="004F0D74" w:rsidRDefault="001412A5" w:rsidP="001412A5">
      <w:pPr>
        <w:jc w:val="both"/>
        <w:rPr>
          <w:rFonts w:ascii="Times New Roman" w:hAnsi="Times New Roman" w:cs="Times New Roman"/>
        </w:rPr>
      </w:pPr>
      <w:r w:rsidRPr="004F0D74">
        <w:rPr>
          <w:rFonts w:ascii="Times New Roman" w:hAnsi="Times New Roman" w:cs="Times New Roman"/>
        </w:rPr>
        <w:t>Hierarchical cluster analysis was employed to evaluate the degree of similarity among the studied tree species based on the biomass. The dendrogram revealed a clear hierarchical structure, indicating significant interspecific variation for biomass hence carbon sequestration and the presence of distinct similarity groups among the species in both sites (Fig</w:t>
      </w:r>
      <w:r w:rsidR="00DA4C78" w:rsidRPr="004F0D74">
        <w:rPr>
          <w:rFonts w:ascii="Times New Roman" w:hAnsi="Times New Roman" w:cs="Times New Roman"/>
        </w:rPr>
        <w:t>ure</w:t>
      </w:r>
      <w:r w:rsidRPr="004F0D74">
        <w:rPr>
          <w:rFonts w:ascii="Times New Roman" w:hAnsi="Times New Roman" w:cs="Times New Roman"/>
        </w:rPr>
        <w:t xml:space="preserve"> </w:t>
      </w:r>
      <w:r w:rsidR="00DA4C78" w:rsidRPr="004F0D74">
        <w:rPr>
          <w:rFonts w:ascii="Times New Roman" w:hAnsi="Times New Roman" w:cs="Times New Roman"/>
        </w:rPr>
        <w:t>2</w:t>
      </w:r>
      <w:r w:rsidRPr="004F0D74">
        <w:rPr>
          <w:rFonts w:ascii="Times New Roman" w:hAnsi="Times New Roman" w:cs="Times New Roman"/>
        </w:rPr>
        <w:t xml:space="preserve">a, </w:t>
      </w:r>
      <w:r w:rsidR="00DA4C78" w:rsidRPr="004F0D74">
        <w:rPr>
          <w:rFonts w:ascii="Times New Roman" w:hAnsi="Times New Roman" w:cs="Times New Roman"/>
        </w:rPr>
        <w:t>2</w:t>
      </w:r>
      <w:r w:rsidRPr="004F0D74">
        <w:rPr>
          <w:rFonts w:ascii="Times New Roman" w:hAnsi="Times New Roman" w:cs="Times New Roman"/>
        </w:rPr>
        <w:t xml:space="preserve">b). </w:t>
      </w: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r w:rsidRPr="004F0D74">
        <w:rPr>
          <w:rFonts w:ascii="Times New Roman" w:hAnsi="Times New Roman" w:cs="Times New Roman"/>
        </w:rPr>
        <w:t xml:space="preserve"> &amp;</w:t>
      </w:r>
      <w:r w:rsidRPr="004F0D74">
        <w:rPr>
          <w:rFonts w:ascii="Times New Roman" w:hAnsi="Times New Roman" w:cs="Times New Roman"/>
          <w:i/>
          <w:iCs/>
        </w:rPr>
        <w:t xml:space="preserve"> </w:t>
      </w: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r w:rsidRPr="004F0D74">
        <w:rPr>
          <w:rFonts w:ascii="Times New Roman" w:hAnsi="Times New Roman" w:cs="Times New Roman"/>
        </w:rPr>
        <w:t xml:space="preserve"> formed a separate cluster, exhibits the greatest dissimilarity in comparison to the remaining species, suggesting unique characteristics in terms of biomass contribution in RCF and ABCF, respectively. Such divergence may be attributed to species-specific morphological, anatomical, or physiological characteristics, highlighting its unique ecological or functional attributes. The remaining species in both sites were grouped into two major cluster, species within a cluster suggests high degree of similarity, which reflect shared growth patterns. The separation of the two major cluster indicates distinct differences in the biomass, possibly associated with variations in wood properties, ecological preferences, or physiological responses. The hierarchical clustering demonstrated clear differentiation among species and confirmed the effectiveness of the biomass in capturing meaningful biological variation. This information is valuable to understand species behavior, ecological adaptation, and for informing forest management and conservation strategies.</w:t>
      </w:r>
    </w:p>
    <w:p w14:paraId="46D12030" w14:textId="77777777" w:rsidR="009F4B2E" w:rsidRPr="004F0D74" w:rsidRDefault="009F4B2E" w:rsidP="009F4B2E">
      <w:pPr>
        <w:spacing w:after="0"/>
        <w:ind w:left="360" w:hanging="432"/>
        <w:jc w:val="both"/>
        <w:rPr>
          <w:rFonts w:ascii="Times New Roman" w:hAnsi="Times New Roman" w:cs="Times New Roman"/>
        </w:rPr>
      </w:pPr>
    </w:p>
    <w:p w14:paraId="5FCCBCA9"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noProof/>
        </w:rPr>
        <w:lastRenderedPageBreak/>
        <w:drawing>
          <wp:inline distT="0" distB="0" distL="0" distR="0" wp14:anchorId="6CAA9603" wp14:editId="2197083C">
            <wp:extent cx="5540991" cy="3587436"/>
            <wp:effectExtent l="0" t="0" r="3175" b="0"/>
            <wp:docPr id="181430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4142" cy="3595951"/>
                    </a:xfrm>
                    <a:prstGeom prst="rect">
                      <a:avLst/>
                    </a:prstGeom>
                    <a:noFill/>
                    <a:ln>
                      <a:noFill/>
                    </a:ln>
                  </pic:spPr>
                </pic:pic>
              </a:graphicData>
            </a:graphic>
          </wp:inline>
        </w:drawing>
      </w:r>
    </w:p>
    <w:p w14:paraId="4C6E7676"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Figure 2a: Dendrogram showing cluster of tree species on the basis of biomass produced in ABCF</w:t>
      </w:r>
    </w:p>
    <w:p w14:paraId="687C6EC4" w14:textId="77777777" w:rsidR="006E1607" w:rsidRPr="004F0D74" w:rsidRDefault="006E1607" w:rsidP="009F4B2E">
      <w:pPr>
        <w:spacing w:after="0"/>
        <w:ind w:left="360" w:hanging="432"/>
        <w:jc w:val="both"/>
        <w:rPr>
          <w:rFonts w:ascii="Times New Roman" w:hAnsi="Times New Roman" w:cs="Times New Roman"/>
          <w:b/>
          <w:bCs/>
        </w:rPr>
      </w:pPr>
    </w:p>
    <w:p w14:paraId="44C36941" w14:textId="446EA31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noProof/>
        </w:rPr>
        <w:drawing>
          <wp:inline distT="0" distB="0" distL="0" distR="0" wp14:anchorId="1725A52D" wp14:editId="1A5B8C52">
            <wp:extent cx="5540375" cy="3302916"/>
            <wp:effectExtent l="0" t="0" r="3175" b="0"/>
            <wp:docPr id="493272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8629" cy="3307836"/>
                    </a:xfrm>
                    <a:prstGeom prst="rect">
                      <a:avLst/>
                    </a:prstGeom>
                    <a:noFill/>
                    <a:ln>
                      <a:noFill/>
                    </a:ln>
                  </pic:spPr>
                </pic:pic>
              </a:graphicData>
            </a:graphic>
          </wp:inline>
        </w:drawing>
      </w:r>
    </w:p>
    <w:p w14:paraId="17A9BB08"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Figure 2b: Dendrogram showing cluster of tree species on the basis of biomass produced in RCF</w:t>
      </w:r>
    </w:p>
    <w:p w14:paraId="3A4B16BF" w14:textId="77777777" w:rsidR="00E355C1" w:rsidRDefault="00E355C1" w:rsidP="002C3EEC">
      <w:pPr>
        <w:jc w:val="both"/>
        <w:rPr>
          <w:rFonts w:ascii="Times New Roman" w:hAnsi="Times New Roman" w:cs="Times New Roman"/>
          <w:b/>
          <w:bCs/>
          <w:i/>
          <w:iCs/>
        </w:rPr>
      </w:pPr>
    </w:p>
    <w:p w14:paraId="0BE6B1B6" w14:textId="588D282C"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Cause</w:t>
      </w:r>
      <w:r w:rsidR="00164765" w:rsidRPr="004F0D74">
        <w:rPr>
          <w:rFonts w:ascii="Times New Roman" w:hAnsi="Times New Roman" w:cs="Times New Roman"/>
          <w:b/>
          <w:bCs/>
          <w:i/>
          <w:iCs/>
        </w:rPr>
        <w:t>-</w:t>
      </w:r>
      <w:r w:rsidRPr="004F0D74">
        <w:rPr>
          <w:rFonts w:ascii="Times New Roman" w:hAnsi="Times New Roman" w:cs="Times New Roman"/>
          <w:b/>
          <w:bCs/>
          <w:i/>
          <w:iCs/>
        </w:rPr>
        <w:t>mechanism</w:t>
      </w:r>
      <w:r w:rsidR="00164765" w:rsidRPr="004F0D74">
        <w:rPr>
          <w:rFonts w:ascii="Times New Roman" w:hAnsi="Times New Roman" w:cs="Times New Roman"/>
          <w:b/>
          <w:bCs/>
          <w:i/>
          <w:iCs/>
        </w:rPr>
        <w:t>-</w:t>
      </w:r>
      <w:r w:rsidRPr="004F0D74">
        <w:rPr>
          <w:rFonts w:ascii="Times New Roman" w:hAnsi="Times New Roman" w:cs="Times New Roman"/>
          <w:b/>
          <w:bCs/>
          <w:i/>
          <w:iCs/>
        </w:rPr>
        <w:t>implication synthesis</w:t>
      </w:r>
    </w:p>
    <w:p w14:paraId="20CE96FC" w14:textId="795755EC" w:rsidR="00745516" w:rsidRPr="004F0D74" w:rsidRDefault="00E96B23" w:rsidP="002C3EEC">
      <w:pPr>
        <w:jc w:val="both"/>
        <w:rPr>
          <w:rFonts w:ascii="Times New Roman" w:hAnsi="Times New Roman" w:cs="Times New Roman"/>
        </w:rPr>
      </w:pPr>
      <w:r w:rsidRPr="009E1B7D">
        <w:rPr>
          <w:rFonts w:ascii="Times New Roman" w:hAnsi="Times New Roman" w:cs="Times New Roman"/>
        </w:rPr>
        <w:t>The differences in carbon storage observed between the two forests appear to be driven mainly by stand density rather than species richness</w:t>
      </w:r>
      <w:r w:rsidRPr="00E96B23">
        <w:rPr>
          <w:rFonts w:ascii="Times New Roman" w:hAnsi="Times New Roman" w:cs="Times New Roman"/>
        </w:rPr>
        <w:t>,</w:t>
      </w:r>
      <w:r>
        <w:t xml:space="preserve"> </w:t>
      </w:r>
      <w:r w:rsidR="00745516" w:rsidRPr="004F0D74">
        <w:rPr>
          <w:rFonts w:ascii="Times New Roman" w:hAnsi="Times New Roman" w:cs="Times New Roman"/>
        </w:rPr>
        <w:t xml:space="preserve">a finding consistent with previous studies from community forests in the central Himalaya (Sharma et al. 2010; </w:t>
      </w:r>
      <w:proofErr w:type="spellStart"/>
      <w:r w:rsidR="00745516" w:rsidRPr="004F0D74">
        <w:rPr>
          <w:rFonts w:ascii="Times New Roman" w:hAnsi="Times New Roman" w:cs="Times New Roman"/>
        </w:rPr>
        <w:t>Gairola</w:t>
      </w:r>
      <w:proofErr w:type="spellEnd"/>
      <w:r w:rsidR="00745516" w:rsidRPr="004F0D74">
        <w:rPr>
          <w:rFonts w:ascii="Times New Roman" w:hAnsi="Times New Roman" w:cs="Times New Roman"/>
        </w:rPr>
        <w:t xml:space="preserve"> et al. 2015). </w:t>
      </w:r>
      <w:r w:rsidRPr="009E1B7D">
        <w:rPr>
          <w:rFonts w:ascii="Times New Roman" w:hAnsi="Times New Roman" w:cs="Times New Roman"/>
        </w:rPr>
        <w:t>In ABCF, the high density of stems and the dominance of fast-growing broad-leaved species contributed to greater overall biomass accumulation. This indicates a density-driven carbon sequestration mechanism, where a larger number of trees collectively store more carbon.</w:t>
      </w:r>
      <w:r>
        <w:rPr>
          <w:rFonts w:ascii="Times New Roman" w:hAnsi="Times New Roman" w:cs="Times New Roman"/>
        </w:rPr>
        <w:t xml:space="preserve"> </w:t>
      </w:r>
      <w:r w:rsidR="00745516" w:rsidRPr="004F0D74">
        <w:rPr>
          <w:rFonts w:ascii="Times New Roman" w:hAnsi="Times New Roman" w:cs="Times New Roman"/>
        </w:rPr>
        <w:t>In contrast, RCF represents a size-driven mechanism, where carbon storage is constrained by low stocking density despite the presence of large trees.</w:t>
      </w:r>
      <w:r w:rsidR="00DA4C78" w:rsidRPr="004F0D74">
        <w:rPr>
          <w:rFonts w:ascii="Times New Roman" w:hAnsi="Times New Roman" w:cs="Times New Roman"/>
        </w:rPr>
        <w:t xml:space="preserve"> </w:t>
      </w:r>
      <w:r w:rsidR="00745516" w:rsidRPr="004F0D74">
        <w:rPr>
          <w:rFonts w:ascii="Times New Roman" w:hAnsi="Times New Roman" w:cs="Times New Roman"/>
        </w:rPr>
        <w:t>Both forests function as net carbon sinks, highlighting the climate mitigation value of Van Panchayat forests even under low-intensity management. However, the limited soil carbon contribution suggest that protection alone may lead to carbon saturation over time (</w:t>
      </w:r>
      <w:proofErr w:type="spellStart"/>
      <w:r w:rsidR="00745516" w:rsidRPr="004F0D74">
        <w:rPr>
          <w:rFonts w:ascii="Times New Roman" w:hAnsi="Times New Roman" w:cs="Times New Roman"/>
        </w:rPr>
        <w:t>Luyssaert</w:t>
      </w:r>
      <w:proofErr w:type="spellEnd"/>
      <w:r w:rsidR="00745516" w:rsidRPr="004F0D74">
        <w:rPr>
          <w:rFonts w:ascii="Times New Roman" w:hAnsi="Times New Roman" w:cs="Times New Roman"/>
        </w:rPr>
        <w:t xml:space="preserve"> et al. 2008; Pan et al. 2011). </w:t>
      </w:r>
      <w:r>
        <w:rPr>
          <w:rFonts w:ascii="Times New Roman" w:hAnsi="Times New Roman" w:cs="Times New Roman"/>
        </w:rPr>
        <w:t>Management strategies</w:t>
      </w:r>
      <w:r w:rsidR="00745516" w:rsidRPr="004F0D74">
        <w:rPr>
          <w:rFonts w:ascii="Times New Roman" w:hAnsi="Times New Roman" w:cs="Times New Roman"/>
        </w:rPr>
        <w:t xml:space="preserve"> such as assisted natural regeneration, grazing regulation, and selective thinning have been shown to enhance biomass productivity, improve soil carbon inputs, and increase long-term carbon permanence in Himalayan community forests (Pandey et al. 2014; </w:t>
      </w:r>
      <w:proofErr w:type="spellStart"/>
      <w:r w:rsidR="00745516" w:rsidRPr="004F0D74">
        <w:rPr>
          <w:rFonts w:ascii="Times New Roman" w:hAnsi="Times New Roman" w:cs="Times New Roman"/>
        </w:rPr>
        <w:t>Skutsch</w:t>
      </w:r>
      <w:proofErr w:type="spellEnd"/>
      <w:r w:rsidR="00745516" w:rsidRPr="004F0D74">
        <w:rPr>
          <w:rFonts w:ascii="Times New Roman" w:hAnsi="Times New Roman" w:cs="Times New Roman"/>
        </w:rPr>
        <w:t xml:space="preserve"> and Ba 2010).</w:t>
      </w:r>
    </w:p>
    <w:p w14:paraId="2F73E583" w14:textId="69AAD933" w:rsidR="00745516" w:rsidRPr="004F0D74" w:rsidRDefault="00745516" w:rsidP="002C3EEC">
      <w:pPr>
        <w:jc w:val="both"/>
        <w:rPr>
          <w:rFonts w:ascii="Times New Roman" w:hAnsi="Times New Roman" w:cs="Times New Roman"/>
          <w:b/>
          <w:bCs/>
        </w:rPr>
      </w:pPr>
      <w:r w:rsidRPr="004F0D74">
        <w:rPr>
          <w:rFonts w:ascii="Times New Roman" w:hAnsi="Times New Roman" w:cs="Times New Roman"/>
          <w:b/>
          <w:bCs/>
        </w:rPr>
        <w:t>Conclusion</w:t>
      </w:r>
    </w:p>
    <w:p w14:paraId="71731537" w14:textId="4EEB9129" w:rsidR="00745516" w:rsidRPr="004F0D74" w:rsidRDefault="00745516" w:rsidP="001B4835">
      <w:pPr>
        <w:jc w:val="both"/>
        <w:rPr>
          <w:rFonts w:ascii="Times New Roman" w:hAnsi="Times New Roman" w:cs="Times New Roman"/>
        </w:rPr>
      </w:pPr>
      <w:r w:rsidRPr="004F0D74">
        <w:rPr>
          <w:rFonts w:ascii="Times New Roman" w:hAnsi="Times New Roman" w:cs="Times New Roman"/>
        </w:rPr>
        <w:t>This study demonstrates that Himalayan Van Panchayat forests store substantial ecosystem carbon and function as effective community-based carbon sinks, corroborating earlier regional assessments</w:t>
      </w:r>
      <w:r w:rsidR="00DA4C78" w:rsidRPr="004F0D74">
        <w:rPr>
          <w:rFonts w:ascii="Times New Roman" w:hAnsi="Times New Roman" w:cs="Times New Roman"/>
        </w:rPr>
        <w:t xml:space="preserve">. </w:t>
      </w:r>
      <w:r w:rsidRPr="004F0D74">
        <w:rPr>
          <w:rFonts w:ascii="Times New Roman" w:hAnsi="Times New Roman" w:cs="Times New Roman"/>
        </w:rPr>
        <w:t xml:space="preserve">Forests with higher stem density stored </w:t>
      </w:r>
      <w:r w:rsidR="00532698" w:rsidRPr="004F0D74">
        <w:rPr>
          <w:rFonts w:ascii="Times New Roman" w:hAnsi="Times New Roman" w:cs="Times New Roman"/>
          <w:color w:val="000000" w:themeColor="text1"/>
        </w:rPr>
        <w:t xml:space="preserve">up to 34% </w:t>
      </w:r>
      <w:r w:rsidRPr="004F0D74">
        <w:rPr>
          <w:rFonts w:ascii="Times New Roman" w:hAnsi="Times New Roman" w:cs="Times New Roman"/>
        </w:rPr>
        <w:t>more carbon than structurally mature but sparsely stocked stands, emphasizing the critical role of regeneration and stocking density in determining carbon outcomes. However, the relatively small soil carbon pool indicates persistent ecological constraints</w:t>
      </w:r>
      <w:r w:rsidR="001B4835" w:rsidRPr="004F0D74">
        <w:rPr>
          <w:rFonts w:ascii="Times New Roman" w:hAnsi="Times New Roman" w:cs="Times New Roman"/>
        </w:rPr>
        <w:t xml:space="preserve"> may</w:t>
      </w:r>
      <w:r w:rsidRPr="004F0D74">
        <w:rPr>
          <w:rFonts w:ascii="Times New Roman" w:hAnsi="Times New Roman" w:cs="Times New Roman"/>
        </w:rPr>
        <w:t xml:space="preserve"> linked historical disturbance and ongoing resource use</w:t>
      </w:r>
      <w:r w:rsidR="00532698" w:rsidRPr="004F0D74">
        <w:rPr>
          <w:rFonts w:ascii="Times New Roman" w:hAnsi="Times New Roman" w:cs="Times New Roman"/>
        </w:rPr>
        <w:t xml:space="preserve"> like grazing </w:t>
      </w:r>
      <w:r w:rsidRPr="004F0D74">
        <w:rPr>
          <w:rFonts w:ascii="Times New Roman" w:hAnsi="Times New Roman" w:cs="Times New Roman"/>
        </w:rPr>
        <w:t>(Lal 2005).</w:t>
      </w:r>
      <w:r w:rsidR="001B4835" w:rsidRPr="004F0D74">
        <w:rPr>
          <w:rFonts w:ascii="Times New Roman" w:hAnsi="Times New Roman" w:cs="Times New Roman"/>
        </w:rPr>
        <w:t xml:space="preserve"> </w:t>
      </w:r>
      <w:r w:rsidR="00E150F6" w:rsidRPr="004F0D74">
        <w:rPr>
          <w:rFonts w:ascii="Times New Roman" w:hAnsi="Times New Roman" w:cs="Times New Roman"/>
        </w:rPr>
        <w:t>Importantly, the higher carbon stock in ABCF demonstrates that even low-intensity community protection can significantly enhance carbon sequestration, even in the absence of intensive silvicultural management. When aligned with broader Himalayan evidence, these results support the view that unmanaged or weakly managed community forests act as passive carbon sinks, relying on stem density and legacy biomass. Strategic interventions—such as assisted natural regeneration, grazing regulation, and selective thinning—could further improve stand structure, enhance soil carbon inputs, and stabilize long-term carbon storage. Strengthening Van Panchayat governance while retaining community access thus represents a viable pathway for climate mitigation and livelihood co-benefits in the Himalayan region.</w:t>
      </w:r>
      <w:r w:rsidR="00D16F27" w:rsidRPr="004F0D74">
        <w:rPr>
          <w:rFonts w:ascii="Times New Roman" w:hAnsi="Times New Roman" w:cs="Times New Roman"/>
        </w:rPr>
        <w:t xml:space="preserve"> </w:t>
      </w:r>
      <w:r w:rsidRPr="004F0D74">
        <w:rPr>
          <w:rFonts w:ascii="Times New Roman" w:hAnsi="Times New Roman" w:cs="Times New Roman"/>
        </w:rPr>
        <w:t>From a policy perspective, these findings strongly support the inclusion of Van Panchayat forests within REDD+ and state-level forest carbon initiatives</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Bayrak</w:t>
      </w:r>
      <w:proofErr w:type="spellEnd"/>
      <w:r w:rsidR="001B4835" w:rsidRPr="004F0D74">
        <w:rPr>
          <w:rFonts w:ascii="Times New Roman" w:hAnsi="Times New Roman" w:cs="Times New Roman"/>
        </w:rPr>
        <w:t xml:space="preserve"> and </w:t>
      </w:r>
      <w:proofErr w:type="spellStart"/>
      <w:r w:rsidR="001B4835" w:rsidRPr="004F0D74">
        <w:rPr>
          <w:rFonts w:ascii="Times New Roman" w:hAnsi="Times New Roman" w:cs="Times New Roman"/>
        </w:rPr>
        <w:t>Marafa</w:t>
      </w:r>
      <w:proofErr w:type="spellEnd"/>
      <w:r w:rsidR="001B4835" w:rsidRPr="004F0D74">
        <w:rPr>
          <w:rFonts w:ascii="Times New Roman" w:hAnsi="Times New Roman" w:cs="Times New Roman"/>
        </w:rPr>
        <w:t xml:space="preserve"> 2016)</w:t>
      </w:r>
      <w:r w:rsidRPr="004F0D74">
        <w:rPr>
          <w:rFonts w:ascii="Times New Roman" w:hAnsi="Times New Roman" w:cs="Times New Roman"/>
        </w:rPr>
        <w:t>. Community protection alone generates measurable climate benefits, but integrating low-cost silvicultural interventions and strengthening local governance can substantially enhance additionality, permanence, and co-benefits (</w:t>
      </w: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and Ba 2010; Pandey et al. 2014). Himalayan community forests should therefore be recognized not only </w:t>
      </w:r>
      <w:r w:rsidRPr="004F0D74">
        <w:rPr>
          <w:rFonts w:ascii="Times New Roman" w:hAnsi="Times New Roman" w:cs="Times New Roman"/>
        </w:rPr>
        <w:lastRenderedPageBreak/>
        <w:t>as conservation landscapes but as high-potential, climate-responsive socio-ecological systems.</w:t>
      </w:r>
    </w:p>
    <w:p w14:paraId="3F33282F" w14:textId="77777777" w:rsidR="00C055DF" w:rsidRDefault="00C055DF" w:rsidP="00E355C1">
      <w:pPr>
        <w:jc w:val="both"/>
        <w:rPr>
          <w:rFonts w:ascii="Times New Roman" w:hAnsi="Times New Roman" w:cs="Times New Roman"/>
        </w:rPr>
      </w:pPr>
      <w:bookmarkStart w:id="1" w:name="_GoBack"/>
      <w:bookmarkEnd w:id="1"/>
    </w:p>
    <w:p w14:paraId="6FCC6B97" w14:textId="77777777" w:rsidR="00C055DF" w:rsidRPr="00C055DF" w:rsidRDefault="00C055DF" w:rsidP="00C055DF">
      <w:pPr>
        <w:jc w:val="both"/>
        <w:rPr>
          <w:rFonts w:ascii="Times New Roman" w:hAnsi="Times New Roman" w:cs="Times New Roman"/>
        </w:rPr>
      </w:pPr>
      <w:r w:rsidRPr="00C055DF">
        <w:rPr>
          <w:rFonts w:ascii="Times New Roman" w:hAnsi="Times New Roman" w:cs="Times New Roman"/>
        </w:rPr>
        <w:t>COMPETING INTERESTS DISCLAIMER:</w:t>
      </w:r>
    </w:p>
    <w:p w14:paraId="21055DE8" w14:textId="104869BB" w:rsidR="00C055DF" w:rsidRPr="004F0D74" w:rsidRDefault="00C055DF" w:rsidP="00C055DF">
      <w:pPr>
        <w:jc w:val="both"/>
        <w:rPr>
          <w:rFonts w:ascii="Times New Roman" w:hAnsi="Times New Roman" w:cs="Times New Roman"/>
        </w:rPr>
      </w:pPr>
      <w:r w:rsidRPr="00C055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EBC2457" w14:textId="77777777" w:rsidR="00E355C1" w:rsidRDefault="00E355C1" w:rsidP="00C92BE7">
      <w:pPr>
        <w:jc w:val="both"/>
        <w:rPr>
          <w:rFonts w:ascii="Times New Roman" w:hAnsi="Times New Roman" w:cs="Times New Roman"/>
          <w:b/>
          <w:bCs/>
        </w:rPr>
      </w:pPr>
    </w:p>
    <w:p w14:paraId="5EA6BD11" w14:textId="6DB47367" w:rsidR="00C92BE7" w:rsidRPr="004F0D74" w:rsidRDefault="00745516" w:rsidP="00C92BE7">
      <w:pPr>
        <w:jc w:val="both"/>
        <w:rPr>
          <w:rFonts w:ascii="Times New Roman" w:hAnsi="Times New Roman" w:cs="Times New Roman"/>
          <w:b/>
          <w:bCs/>
        </w:rPr>
      </w:pPr>
      <w:r w:rsidRPr="004F0D74">
        <w:rPr>
          <w:rFonts w:ascii="Times New Roman" w:hAnsi="Times New Roman" w:cs="Times New Roman"/>
          <w:b/>
          <w:bCs/>
        </w:rPr>
        <w:t xml:space="preserve">References </w:t>
      </w:r>
    </w:p>
    <w:p w14:paraId="62B6F5B9" w14:textId="197BDF7E"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Adhikari B, Williams F, Lovett JC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Local benefits from community forests in the middle hills of Nepal. Forest Policy and Economics 9:464–478.</w:t>
      </w:r>
    </w:p>
    <w:p w14:paraId="1FFD9A58" w14:textId="33CF1E4A"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SS, </w:t>
      </w: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K, Singh L, Ghosh L, </w:t>
      </w:r>
      <w:proofErr w:type="spellStart"/>
      <w:r w:rsidRPr="004F0D74">
        <w:rPr>
          <w:rFonts w:ascii="Times New Roman" w:hAnsi="Times New Roman" w:cs="Times New Roman"/>
        </w:rPr>
        <w:t>Lakhera</w:t>
      </w:r>
      <w:proofErr w:type="spellEnd"/>
      <w:r w:rsidRPr="004F0D74">
        <w:rPr>
          <w:rFonts w:ascii="Times New Roman" w:hAnsi="Times New Roman" w:cs="Times New Roman"/>
        </w:rPr>
        <w:t xml:space="preserve"> ML </w:t>
      </w:r>
      <w:r w:rsidR="00803B60" w:rsidRPr="004F0D74">
        <w:rPr>
          <w:rFonts w:ascii="Times New Roman" w:hAnsi="Times New Roman" w:cs="Times New Roman"/>
        </w:rPr>
        <w:t>(</w:t>
      </w:r>
      <w:r w:rsidRPr="004F0D74">
        <w:rPr>
          <w:rFonts w:ascii="Times New Roman" w:hAnsi="Times New Roman" w:cs="Times New Roman"/>
        </w:rPr>
        <w:t>2018</w:t>
      </w:r>
      <w:r w:rsidR="00803B60" w:rsidRPr="004F0D74">
        <w:rPr>
          <w:rFonts w:ascii="Times New Roman" w:hAnsi="Times New Roman" w:cs="Times New Roman"/>
        </w:rPr>
        <w:t>)</w:t>
      </w:r>
      <w:r w:rsidRPr="004F0D74">
        <w:rPr>
          <w:rFonts w:ascii="Times New Roman" w:hAnsi="Times New Roman" w:cs="Times New Roman"/>
        </w:rPr>
        <w:t xml:space="preserve"> Acacia </w:t>
      </w:r>
      <w:proofErr w:type="spellStart"/>
      <w:r w:rsidRPr="004F0D74">
        <w:rPr>
          <w:rFonts w:ascii="Times New Roman" w:hAnsi="Times New Roman" w:cs="Times New Roman"/>
        </w:rPr>
        <w:t>nilotica</w:t>
      </w:r>
      <w:proofErr w:type="spellEnd"/>
      <w:r w:rsidRPr="004F0D74">
        <w:rPr>
          <w:rFonts w:ascii="Times New Roman" w:hAnsi="Times New Roman" w:cs="Times New Roman"/>
        </w:rPr>
        <w:t xml:space="preserve"> based agroforestry system: Effect on soil properties and biological activities in semi-arid region of India. Journal of Forestry Research 29:1–12.</w:t>
      </w:r>
    </w:p>
    <w:p w14:paraId="5F16D72B" w14:textId="5093797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Bayrak</w:t>
      </w:r>
      <w:proofErr w:type="spellEnd"/>
      <w:r w:rsidRPr="004F0D74">
        <w:rPr>
          <w:rFonts w:ascii="Times New Roman" w:hAnsi="Times New Roman" w:cs="Times New Roman"/>
        </w:rPr>
        <w:t xml:space="preserve"> MM, </w:t>
      </w:r>
      <w:proofErr w:type="spellStart"/>
      <w:r w:rsidRPr="004F0D74">
        <w:rPr>
          <w:rFonts w:ascii="Times New Roman" w:hAnsi="Times New Roman" w:cs="Times New Roman"/>
        </w:rPr>
        <w:t>Marafa</w:t>
      </w:r>
      <w:proofErr w:type="spellEnd"/>
      <w:r w:rsidRPr="004F0D74">
        <w:rPr>
          <w:rFonts w:ascii="Times New Roman" w:hAnsi="Times New Roman" w:cs="Times New Roman"/>
        </w:rPr>
        <w:t xml:space="preserve"> LM </w:t>
      </w:r>
      <w:r w:rsidR="00803B60" w:rsidRPr="004F0D74">
        <w:rPr>
          <w:rFonts w:ascii="Times New Roman" w:hAnsi="Times New Roman" w:cs="Times New Roman"/>
        </w:rPr>
        <w:t>(</w:t>
      </w:r>
      <w:r w:rsidRPr="004F0D74">
        <w:rPr>
          <w:rFonts w:ascii="Times New Roman" w:hAnsi="Times New Roman" w:cs="Times New Roman"/>
        </w:rPr>
        <w:t>2016</w:t>
      </w:r>
      <w:r w:rsidR="00803B60" w:rsidRPr="004F0D74">
        <w:rPr>
          <w:rFonts w:ascii="Times New Roman" w:hAnsi="Times New Roman" w:cs="Times New Roman"/>
        </w:rPr>
        <w:t>)</w:t>
      </w:r>
      <w:r w:rsidRPr="004F0D74">
        <w:rPr>
          <w:rFonts w:ascii="Times New Roman" w:hAnsi="Times New Roman" w:cs="Times New Roman"/>
        </w:rPr>
        <w:t xml:space="preserve"> Ten Years of REDD+: A Critical Review of the Impact of REDD+ on Forest</w:t>
      </w:r>
      <w:r w:rsidRPr="004F0D74">
        <w:rPr>
          <w:rFonts w:ascii="Times New Roman" w:hAnsi="Times New Roman" w:cs="Times New Roman"/>
        </w:rPr>
        <w:noBreakHyphen/>
        <w:t>Dependent Communities. Sustainability 8(7):620.</w:t>
      </w:r>
    </w:p>
    <w:p w14:paraId="0A49651D" w14:textId="2EBC12CD"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Blake GR</w:t>
      </w:r>
      <w:r w:rsidR="00803B60" w:rsidRPr="004F0D74">
        <w:rPr>
          <w:rFonts w:ascii="Times New Roman" w:hAnsi="Times New Roman" w:cs="Times New Roman"/>
        </w:rPr>
        <w:t xml:space="preserve"> (</w:t>
      </w:r>
      <w:r w:rsidRPr="004F0D74">
        <w:rPr>
          <w:rFonts w:ascii="Times New Roman" w:hAnsi="Times New Roman" w:cs="Times New Roman"/>
        </w:rPr>
        <w:t>1965</w:t>
      </w:r>
      <w:r w:rsidR="00803B60" w:rsidRPr="004F0D74">
        <w:rPr>
          <w:rFonts w:ascii="Times New Roman" w:hAnsi="Times New Roman" w:cs="Times New Roman"/>
        </w:rPr>
        <w:t>)</w:t>
      </w:r>
      <w:r w:rsidRPr="004F0D74">
        <w:rPr>
          <w:rFonts w:ascii="Times New Roman" w:hAnsi="Times New Roman" w:cs="Times New Roman"/>
        </w:rPr>
        <w:t xml:space="preserve"> Bulk density. In: Black CA, editors. Methods of Soil Analysis: Part 1 Physical and Mineralogical Properties, Including Statistics of Measurement and Sampling New York: Academic Press. pp 374–390. </w:t>
      </w:r>
    </w:p>
    <w:p w14:paraId="3CB8D0DE" w14:textId="1FB4FCC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Brown S, Gillespie AJR, Lugo AE </w:t>
      </w:r>
      <w:r w:rsidR="00803B60" w:rsidRPr="004F0D74">
        <w:rPr>
          <w:rFonts w:ascii="Times New Roman" w:hAnsi="Times New Roman" w:cs="Times New Roman"/>
        </w:rPr>
        <w:t>(</w:t>
      </w:r>
      <w:r w:rsidRPr="004F0D74">
        <w:rPr>
          <w:rFonts w:ascii="Times New Roman" w:hAnsi="Times New Roman" w:cs="Times New Roman"/>
        </w:rPr>
        <w:t>1989</w:t>
      </w:r>
      <w:r w:rsidR="00803B60" w:rsidRPr="004F0D74">
        <w:rPr>
          <w:rFonts w:ascii="Times New Roman" w:hAnsi="Times New Roman" w:cs="Times New Roman"/>
        </w:rPr>
        <w:t>)</w:t>
      </w:r>
      <w:r w:rsidRPr="004F0D74">
        <w:rPr>
          <w:rFonts w:ascii="Times New Roman" w:hAnsi="Times New Roman" w:cs="Times New Roman"/>
        </w:rPr>
        <w:t xml:space="preserve"> Biomass estimation methods for tropical forests with applications to forest inventory data. Forest Science 35(4):881-902.</w:t>
      </w:r>
    </w:p>
    <w:p w14:paraId="1931AB7E" w14:textId="18B34CB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Buckland ST, Borchers DL, Johnston A, Henrys PA, Marques TA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Line Transect Methods for Plant Surveys. Biometrics 63(4):989–998. </w:t>
      </w:r>
    </w:p>
    <w:p w14:paraId="218CC842" w14:textId="07BFCC09"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Causton</w:t>
      </w:r>
      <w:proofErr w:type="spellEnd"/>
      <w:r w:rsidRPr="004F0D74">
        <w:rPr>
          <w:rFonts w:ascii="Times New Roman" w:hAnsi="Times New Roman" w:cs="Times New Roman"/>
        </w:rPr>
        <w:t xml:space="preserve"> DR </w:t>
      </w:r>
      <w:r w:rsidR="00803B60" w:rsidRPr="004F0D74">
        <w:rPr>
          <w:rFonts w:ascii="Times New Roman" w:hAnsi="Times New Roman" w:cs="Times New Roman"/>
        </w:rPr>
        <w:t>(</w:t>
      </w:r>
      <w:r w:rsidRPr="004F0D74">
        <w:rPr>
          <w:rFonts w:ascii="Times New Roman" w:hAnsi="Times New Roman" w:cs="Times New Roman"/>
        </w:rPr>
        <w:t>1988</w:t>
      </w:r>
      <w:r w:rsidR="00803B60" w:rsidRPr="004F0D74">
        <w:rPr>
          <w:rFonts w:ascii="Times New Roman" w:hAnsi="Times New Roman" w:cs="Times New Roman"/>
        </w:rPr>
        <w:t>)</w:t>
      </w:r>
      <w:r w:rsidRPr="004F0D74">
        <w:rPr>
          <w:rFonts w:ascii="Times New Roman" w:hAnsi="Times New Roman" w:cs="Times New Roman"/>
        </w:rPr>
        <w:t xml:space="preserve"> An introduction to vegetation analysis: Principles, practice and interpretation. London: Academic Division of Unwin Hyman Ltd</w:t>
      </w:r>
    </w:p>
    <w:p w14:paraId="30EB4A65" w14:textId="3E79372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Champion HG, Seth SK </w:t>
      </w:r>
      <w:r w:rsidR="00803B60" w:rsidRPr="004F0D74">
        <w:rPr>
          <w:rFonts w:ascii="Times New Roman" w:hAnsi="Times New Roman" w:cs="Times New Roman"/>
        </w:rPr>
        <w:t>(</w:t>
      </w:r>
      <w:r w:rsidRPr="004F0D74">
        <w:rPr>
          <w:rFonts w:ascii="Times New Roman" w:hAnsi="Times New Roman" w:cs="Times New Roman"/>
        </w:rPr>
        <w:t>1968</w:t>
      </w:r>
      <w:r w:rsidR="00803B60" w:rsidRPr="004F0D74">
        <w:rPr>
          <w:rFonts w:ascii="Times New Roman" w:hAnsi="Times New Roman" w:cs="Times New Roman"/>
        </w:rPr>
        <w:t>)</w:t>
      </w:r>
      <w:r w:rsidRPr="004F0D74">
        <w:rPr>
          <w:rFonts w:ascii="Times New Roman" w:hAnsi="Times New Roman" w:cs="Times New Roman"/>
        </w:rPr>
        <w:t xml:space="preserve"> A Revised Survey of the Forest Types of India. New Delhi: Government of India Press.</w:t>
      </w:r>
    </w:p>
    <w:p w14:paraId="4D91C3EE" w14:textId="7025B75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 Agrawal A </w:t>
      </w:r>
      <w:r w:rsidR="00803B60" w:rsidRPr="004F0D74">
        <w:rPr>
          <w:rFonts w:ascii="Times New Roman" w:hAnsi="Times New Roman" w:cs="Times New Roman"/>
        </w:rPr>
        <w:t>(</w:t>
      </w:r>
      <w:r w:rsidRPr="004F0D74">
        <w:rPr>
          <w:rFonts w:ascii="Times New Roman" w:hAnsi="Times New Roman" w:cs="Times New Roman"/>
        </w:rPr>
        <w:t>2009</w:t>
      </w:r>
      <w:r w:rsidR="00803B60" w:rsidRPr="004F0D74">
        <w:rPr>
          <w:rFonts w:ascii="Times New Roman" w:hAnsi="Times New Roman" w:cs="Times New Roman"/>
        </w:rPr>
        <w:t>)</w:t>
      </w:r>
      <w:r w:rsidRPr="004F0D74">
        <w:rPr>
          <w:rFonts w:ascii="Times New Roman" w:hAnsi="Times New Roman" w:cs="Times New Roman"/>
        </w:rPr>
        <w:t xml:space="preserve"> Trade-offs and synergies between carbon storage and livelihood benefits from forest commons. </w:t>
      </w:r>
      <w:hyperlink r:id="rId11" w:history="1">
        <w:r w:rsidRPr="004F0D74">
          <w:rPr>
            <w:rStyle w:val="Hyperlink"/>
            <w:rFonts w:ascii="Times New Roman" w:hAnsi="Times New Roman" w:cs="Times New Roman"/>
            <w:color w:val="auto"/>
            <w:u w:val="none"/>
          </w:rPr>
          <w:t xml:space="preserve">Proceedings of the </w:t>
        </w:r>
      </w:hyperlink>
      <w:hyperlink r:id="rId12" w:history="1">
        <w:r w:rsidRPr="004F0D74">
          <w:rPr>
            <w:rStyle w:val="Hyperlink"/>
            <w:rFonts w:ascii="Times New Roman" w:hAnsi="Times New Roman" w:cs="Times New Roman"/>
            <w:color w:val="auto"/>
            <w:u w:val="none"/>
          </w:rPr>
          <w:t>National Academy of Sciences of the United States of America</w:t>
        </w:r>
      </w:hyperlink>
      <w:r w:rsidRPr="004F0D74">
        <w:rPr>
          <w:rFonts w:ascii="Times New Roman" w:hAnsi="Times New Roman" w:cs="Times New Roman"/>
        </w:rPr>
        <w:t xml:space="preserve"> 106:17667–17670.</w:t>
      </w:r>
    </w:p>
    <w:p w14:paraId="6C1666FD" w14:textId="2B82595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Curtis JT and Cottam G</w:t>
      </w:r>
      <w:r w:rsidR="0065042F" w:rsidRPr="004F0D74">
        <w:rPr>
          <w:rFonts w:ascii="Times New Roman" w:hAnsi="Times New Roman" w:cs="Times New Roman"/>
        </w:rPr>
        <w:t xml:space="preserve"> (</w:t>
      </w:r>
      <w:r w:rsidRPr="004F0D74">
        <w:rPr>
          <w:rFonts w:ascii="Times New Roman" w:hAnsi="Times New Roman" w:cs="Times New Roman"/>
        </w:rPr>
        <w:t>1956</w:t>
      </w:r>
      <w:r w:rsidR="0065042F" w:rsidRPr="004F0D74">
        <w:rPr>
          <w:rFonts w:ascii="Times New Roman" w:hAnsi="Times New Roman" w:cs="Times New Roman"/>
        </w:rPr>
        <w:t>)</w:t>
      </w:r>
      <w:r w:rsidRPr="004F0D74">
        <w:rPr>
          <w:rFonts w:ascii="Times New Roman" w:hAnsi="Times New Roman" w:cs="Times New Roman"/>
        </w:rPr>
        <w:t xml:space="preserve"> Plant ecology work book. Laboratory Field Reference Manual. Minnesota: Burgees Publication.</w:t>
      </w:r>
    </w:p>
    <w:p w14:paraId="3279D679" w14:textId="2456ABDA"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Sharma CM,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 </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2015</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Live tree biomass and carbon variation along an altitudinal gradient in moist temperate valley slopes of the Garhwal Himalaya (India). Current Science 100(12):1862–1870. </w:t>
      </w:r>
    </w:p>
    <w:p w14:paraId="07259C6E" w14:textId="104CCA6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India Meteorological Department (IMD) </w:t>
      </w:r>
      <w:r w:rsidR="0065042F" w:rsidRPr="004F0D74">
        <w:rPr>
          <w:rFonts w:ascii="Times New Roman" w:hAnsi="Times New Roman" w:cs="Times New Roman"/>
        </w:rPr>
        <w:t>(</w:t>
      </w:r>
      <w:r w:rsidRPr="004F0D74">
        <w:rPr>
          <w:rFonts w:ascii="Times New Roman" w:hAnsi="Times New Roman" w:cs="Times New Roman"/>
        </w:rPr>
        <w:t>2020</w:t>
      </w:r>
      <w:r w:rsidR="0065042F" w:rsidRPr="004F0D74">
        <w:rPr>
          <w:rFonts w:ascii="Times New Roman" w:hAnsi="Times New Roman" w:cs="Times New Roman"/>
        </w:rPr>
        <w:t>)</w:t>
      </w:r>
      <w:r w:rsidRPr="004F0D74">
        <w:rPr>
          <w:rFonts w:ascii="Times New Roman" w:hAnsi="Times New Roman" w:cs="Times New Roman"/>
        </w:rPr>
        <w:t xml:space="preserve"> Climatological Tables of Observatories in India. Pune: IMD.</w:t>
      </w:r>
    </w:p>
    <w:p w14:paraId="48EECB7A" w14:textId="29F8D43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 xml:space="preserve">IPCC </w:t>
      </w:r>
      <w:r w:rsidR="0065042F" w:rsidRPr="004F0D74">
        <w:rPr>
          <w:rFonts w:ascii="Times New Roman" w:hAnsi="Times New Roman" w:cs="Times New Roman"/>
        </w:rPr>
        <w:t>(</w:t>
      </w:r>
      <w:r w:rsidRPr="004F0D74">
        <w:rPr>
          <w:rFonts w:ascii="Times New Roman" w:hAnsi="Times New Roman" w:cs="Times New Roman"/>
        </w:rPr>
        <w:t>2006</w:t>
      </w:r>
      <w:r w:rsidR="0065042F" w:rsidRPr="004F0D74">
        <w:rPr>
          <w:rFonts w:ascii="Times New Roman" w:hAnsi="Times New Roman" w:cs="Times New Roman"/>
        </w:rPr>
        <w:t>)</w:t>
      </w:r>
      <w:r w:rsidRPr="004F0D74">
        <w:rPr>
          <w:rFonts w:ascii="Times New Roman" w:hAnsi="Times New Roman" w:cs="Times New Roman"/>
        </w:rPr>
        <w:t xml:space="preserve"> Good Practice Guidance for Land Use, Land-Use Change and Forestry. Intergovernmental Panel on Climate Change.</w:t>
      </w:r>
    </w:p>
    <w:p w14:paraId="0C00E4E9" w14:textId="33382CCA"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2007</w:t>
      </w:r>
      <w:r w:rsidR="0065042F" w:rsidRPr="004F0D74">
        <w:rPr>
          <w:rFonts w:ascii="Times New Roman" w:hAnsi="Times New Roman" w:cs="Times New Roman"/>
        </w:rPr>
        <w:t>)</w:t>
      </w:r>
      <w:r w:rsidRPr="004F0D74">
        <w:rPr>
          <w:rFonts w:ascii="Times New Roman" w:hAnsi="Times New Roman" w:cs="Times New Roman"/>
        </w:rPr>
        <w:t xml:space="preserve"> The physical science basis. Contribution of Working Group I to the Fourth Assessment Report of the Intergovernmental Panel on Climate Change. Cambridge, United Kingdom and New York: Cambridge University Press. pp113-119.</w:t>
      </w:r>
    </w:p>
    <w:p w14:paraId="195A6D1A" w14:textId="5C28370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2019</w:t>
      </w:r>
      <w:r w:rsidR="0065042F" w:rsidRPr="004F0D74">
        <w:rPr>
          <w:rFonts w:ascii="Times New Roman" w:hAnsi="Times New Roman" w:cs="Times New Roman"/>
        </w:rPr>
        <w:t>)</w:t>
      </w:r>
      <w:r w:rsidRPr="004F0D74">
        <w:rPr>
          <w:rFonts w:ascii="Times New Roman" w:hAnsi="Times New Roman" w:cs="Times New Roman"/>
        </w:rPr>
        <w:t xml:space="preserve"> 2019 Refinement to the 2006 IPCC Guidelines for National Greenhouse Gas. Volume 4: Agriculture, Forestry and Other Land Use. </w:t>
      </w:r>
      <w:hyperlink r:id="rId13" w:history="1">
        <w:r w:rsidRPr="004F0D74">
          <w:rPr>
            <w:rStyle w:val="Hyperlink"/>
            <w:rFonts w:ascii="Times New Roman" w:hAnsi="Times New Roman" w:cs="Times New Roman"/>
          </w:rPr>
          <w:t>https://www.ipcc-nggip.iges.or.jp/public/2019rf/vol4.html</w:t>
        </w:r>
      </w:hyperlink>
      <w:r w:rsidRPr="004F0D74">
        <w:rPr>
          <w:rFonts w:ascii="Times New Roman" w:hAnsi="Times New Roman" w:cs="Times New Roman"/>
        </w:rPr>
        <w:t xml:space="preserve"> </w:t>
      </w:r>
    </w:p>
    <w:p w14:paraId="3D184999" w14:textId="7A85CFAF"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r w:rsidRPr="004F0D74">
        <w:rPr>
          <w:rFonts w:ascii="Times New Roman" w:eastAsia="Times New Roman" w:hAnsi="Times New Roman" w:cs="Times New Roman"/>
          <w:kern w:val="0"/>
          <w:lang w:bidi="hi-IN"/>
          <w14:ligatures w14:val="none"/>
        </w:rPr>
        <w:t xml:space="preserve">Kaushal S, </w:t>
      </w:r>
      <w:proofErr w:type="spellStart"/>
      <w:r w:rsidRPr="004F0D74">
        <w:rPr>
          <w:rFonts w:ascii="Times New Roman" w:eastAsia="Times New Roman" w:hAnsi="Times New Roman" w:cs="Times New Roman"/>
          <w:kern w:val="0"/>
          <w:lang w:bidi="hi-IN"/>
          <w14:ligatures w14:val="none"/>
        </w:rPr>
        <w:t>Baishya</w:t>
      </w:r>
      <w:proofErr w:type="spellEnd"/>
      <w:r w:rsidRPr="004F0D74">
        <w:rPr>
          <w:rFonts w:ascii="Times New Roman" w:eastAsia="Times New Roman" w:hAnsi="Times New Roman" w:cs="Times New Roman"/>
          <w:kern w:val="0"/>
          <w:lang w:bidi="hi-IN"/>
          <w14:ligatures w14:val="none"/>
        </w:rPr>
        <w:t xml:space="preserve"> R </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2021</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Stand structure and species diversity regulate biomass carbon stock under major Central Himalayan Forest types of India. Ecological Processes 10:14. </w:t>
      </w:r>
    </w:p>
    <w:p w14:paraId="67CC538A" w14:textId="121CE43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Lal R</w:t>
      </w:r>
      <w:r w:rsidR="00BF02F5" w:rsidRPr="004F0D74">
        <w:rPr>
          <w:rFonts w:ascii="Times New Roman" w:hAnsi="Times New Roman" w:cs="Times New Roman"/>
        </w:rPr>
        <w:t xml:space="preserve"> (</w:t>
      </w:r>
      <w:r w:rsidRPr="004F0D74">
        <w:rPr>
          <w:rFonts w:ascii="Times New Roman" w:hAnsi="Times New Roman" w:cs="Times New Roman"/>
        </w:rPr>
        <w:t>2005</w:t>
      </w:r>
      <w:r w:rsidR="00BF02F5" w:rsidRPr="004F0D74">
        <w:rPr>
          <w:rFonts w:ascii="Times New Roman" w:hAnsi="Times New Roman" w:cs="Times New Roman"/>
        </w:rPr>
        <w:t>)</w:t>
      </w:r>
      <w:r w:rsidRPr="004F0D74">
        <w:rPr>
          <w:rFonts w:ascii="Times New Roman" w:hAnsi="Times New Roman" w:cs="Times New Roman"/>
        </w:rPr>
        <w:t xml:space="preserve"> Forest soils and carbon sequestration. Forest Ecology and Management 220(1-3):242–258.</w:t>
      </w:r>
    </w:p>
    <w:p w14:paraId="1E22A42F" w14:textId="26BB53CE" w:rsidR="00252A61" w:rsidRPr="004F0D74" w:rsidRDefault="005369F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Luyssaert</w:t>
      </w:r>
      <w:proofErr w:type="spellEnd"/>
      <w:r w:rsidRPr="004F0D74">
        <w:rPr>
          <w:rFonts w:ascii="Times New Roman" w:hAnsi="Times New Roman" w:cs="Times New Roman"/>
        </w:rPr>
        <w:t xml:space="preserve"> S, </w:t>
      </w:r>
      <w:hyperlink r:id="rId14" w:anchor="auth-E___Detlef-Schulze-Aff3" w:history="1">
        <w:r w:rsidRPr="004F0D74">
          <w:rPr>
            <w:rStyle w:val="Hyperlink"/>
            <w:rFonts w:ascii="Times New Roman" w:hAnsi="Times New Roman" w:cs="Times New Roman"/>
            <w:color w:val="auto"/>
            <w:u w:val="none"/>
          </w:rPr>
          <w:t>Schulze</w:t>
        </w:r>
      </w:hyperlink>
      <w:r w:rsidRPr="004F0D74">
        <w:rPr>
          <w:rFonts w:ascii="Times New Roman" w:hAnsi="Times New Roman" w:cs="Times New Roman"/>
        </w:rPr>
        <w:t xml:space="preserve"> E-Detlef, </w:t>
      </w:r>
      <w:hyperlink r:id="rId15" w:anchor="auth-Annett-B_rner-Aff3" w:history="1">
        <w:proofErr w:type="spellStart"/>
        <w:r w:rsidRPr="004F0D74">
          <w:rPr>
            <w:rStyle w:val="Hyperlink"/>
            <w:rFonts w:ascii="Times New Roman" w:hAnsi="Times New Roman" w:cs="Times New Roman"/>
            <w:color w:val="auto"/>
            <w:u w:val="none"/>
          </w:rPr>
          <w:t>Borner</w:t>
        </w:r>
        <w:proofErr w:type="spellEnd"/>
      </w:hyperlink>
      <w:r w:rsidRPr="004F0D74">
        <w:rPr>
          <w:rFonts w:ascii="Times New Roman" w:hAnsi="Times New Roman" w:cs="Times New Roman"/>
        </w:rPr>
        <w:t xml:space="preserve"> Annett, </w:t>
      </w:r>
      <w:hyperlink r:id="rId16" w:anchor="auth-Alexander-Knohl-Aff4" w:history="1">
        <w:proofErr w:type="spellStart"/>
        <w:r w:rsidRPr="004F0D74">
          <w:rPr>
            <w:rStyle w:val="Hyperlink"/>
            <w:rFonts w:ascii="Times New Roman" w:hAnsi="Times New Roman" w:cs="Times New Roman"/>
            <w:color w:val="auto"/>
            <w:u w:val="none"/>
          </w:rPr>
          <w:t>Knohl</w:t>
        </w:r>
        <w:proofErr w:type="spellEnd"/>
      </w:hyperlink>
      <w:r w:rsidRPr="004F0D74">
        <w:rPr>
          <w:rFonts w:ascii="Times New Roman" w:hAnsi="Times New Roman" w:cs="Times New Roman"/>
        </w:rPr>
        <w:t xml:space="preserve"> Alexander, </w:t>
      </w:r>
      <w:hyperlink r:id="rId17" w:anchor="auth-Dominik-Hessenm_ller-Aff3" w:history="1">
        <w:proofErr w:type="spellStart"/>
        <w:r w:rsidRPr="004F0D74">
          <w:rPr>
            <w:rStyle w:val="Hyperlink"/>
            <w:rFonts w:ascii="Times New Roman" w:hAnsi="Times New Roman" w:cs="Times New Roman"/>
            <w:color w:val="auto"/>
            <w:u w:val="none"/>
          </w:rPr>
          <w:t>Hessenmoller</w:t>
        </w:r>
        <w:proofErr w:type="spellEnd"/>
      </w:hyperlink>
      <w:r w:rsidRPr="004F0D74">
        <w:rPr>
          <w:rFonts w:ascii="Times New Roman" w:hAnsi="Times New Roman" w:cs="Times New Roman"/>
        </w:rPr>
        <w:t xml:space="preserve"> Dominik, </w:t>
      </w:r>
      <w:hyperlink r:id="rId18" w:anchor="auth-Beverly_E_-Law-Aff2" w:history="1">
        <w:r w:rsidRPr="004F0D74">
          <w:rPr>
            <w:rStyle w:val="Hyperlink"/>
            <w:rFonts w:ascii="Times New Roman" w:hAnsi="Times New Roman" w:cs="Times New Roman"/>
            <w:color w:val="auto"/>
            <w:u w:val="none"/>
          </w:rPr>
          <w:t>Law</w:t>
        </w:r>
      </w:hyperlink>
      <w:r w:rsidRPr="004F0D74">
        <w:rPr>
          <w:rFonts w:ascii="Times New Roman" w:hAnsi="Times New Roman" w:cs="Times New Roman"/>
        </w:rPr>
        <w:t xml:space="preserve"> Beverly E, </w:t>
      </w:r>
      <w:hyperlink r:id="rId19" w:anchor="auth-Philippe-Ciais-Aff5"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 and </w:t>
      </w:r>
      <w:hyperlink r:id="rId20" w:anchor="auth-John-Grace-Aff6" w:history="1">
        <w:r w:rsidRPr="004F0D74">
          <w:rPr>
            <w:rStyle w:val="Hyperlink"/>
            <w:rFonts w:ascii="Times New Roman" w:hAnsi="Times New Roman" w:cs="Times New Roman"/>
            <w:color w:val="auto"/>
            <w:u w:val="none"/>
          </w:rPr>
          <w:t>Grace</w:t>
        </w:r>
      </w:hyperlink>
      <w:r w:rsidRPr="004F0D74">
        <w:rPr>
          <w:rFonts w:ascii="Times New Roman" w:hAnsi="Times New Roman" w:cs="Times New Roman"/>
        </w:rPr>
        <w:t xml:space="preserve"> John </w:t>
      </w:r>
      <w:r w:rsidR="00BF02F5" w:rsidRPr="004F0D74">
        <w:rPr>
          <w:rFonts w:ascii="Times New Roman" w:hAnsi="Times New Roman" w:cs="Times New Roman"/>
        </w:rPr>
        <w:t>(</w:t>
      </w:r>
      <w:r w:rsidRPr="004F0D74">
        <w:rPr>
          <w:rFonts w:ascii="Times New Roman" w:hAnsi="Times New Roman" w:cs="Times New Roman"/>
        </w:rPr>
        <w:t>2008</w:t>
      </w:r>
      <w:r w:rsidR="00BF02F5" w:rsidRPr="004F0D74">
        <w:rPr>
          <w:rFonts w:ascii="Times New Roman" w:hAnsi="Times New Roman" w:cs="Times New Roman"/>
        </w:rPr>
        <w:t>)</w:t>
      </w:r>
      <w:r w:rsidRPr="004F0D74">
        <w:rPr>
          <w:rFonts w:ascii="Times New Roman" w:hAnsi="Times New Roman" w:cs="Times New Roman"/>
        </w:rPr>
        <w:t xml:space="preserve"> Old-growth forests as global carbon sinks. Nature 455:213–215.</w:t>
      </w:r>
    </w:p>
    <w:p w14:paraId="0F66BA35" w14:textId="523324BE" w:rsidR="00252A61" w:rsidRPr="004F0D74" w:rsidRDefault="00252A6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Moharana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Pravash</w:t>
      </w:r>
      <w:proofErr w:type="spellEnd"/>
      <w:r w:rsidRPr="004F0D74">
        <w:rPr>
          <w:rFonts w:ascii="Times New Roman" w:hAnsi="Times New Roman" w:cs="Times New Roman"/>
        </w:rPr>
        <w:t xml:space="preserve"> Chandra, Jena </w:t>
      </w:r>
      <w:proofErr w:type="spellStart"/>
      <w:r w:rsidRPr="004F0D74">
        <w:rPr>
          <w:rFonts w:ascii="Times New Roman" w:hAnsi="Times New Roman" w:cs="Times New Roman"/>
        </w:rPr>
        <w:t>Roomesh</w:t>
      </w:r>
      <w:proofErr w:type="spellEnd"/>
      <w:r w:rsidRPr="004F0D74">
        <w:rPr>
          <w:rFonts w:ascii="Times New Roman" w:hAnsi="Times New Roman" w:cs="Times New Roman"/>
        </w:rPr>
        <w:t xml:space="preserve"> Kumar, Kumar Nirmal, Singh Ram </w:t>
      </w:r>
      <w:proofErr w:type="spellStart"/>
      <w:r w:rsidRPr="004F0D74">
        <w:rPr>
          <w:rFonts w:ascii="Times New Roman" w:hAnsi="Times New Roman" w:cs="Times New Roman"/>
        </w:rPr>
        <w:t>Sakal</w:t>
      </w:r>
      <w:proofErr w:type="spellEnd"/>
      <w:r w:rsidRPr="004F0D74">
        <w:rPr>
          <w:rFonts w:ascii="Times New Roman" w:hAnsi="Times New Roman" w:cs="Times New Roman"/>
        </w:rPr>
        <w:t xml:space="preserve">, Rao Sajjan Singh </w:t>
      </w:r>
      <w:r w:rsidR="00BF02F5" w:rsidRPr="004F0D74">
        <w:rPr>
          <w:rFonts w:ascii="Times New Roman" w:hAnsi="Times New Roman" w:cs="Times New Roman"/>
        </w:rPr>
        <w:t>(</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Assessment of soil organic and inorganic carbon stock at different soil depths after conversion of desert into arable land in the hot arid regions of India. Carbon Management 12(2):153-165.</w:t>
      </w:r>
    </w:p>
    <w:p w14:paraId="365D9549" w14:textId="0BA5CC52"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R</w:t>
      </w:r>
      <w:r w:rsidR="00BF02F5" w:rsidRPr="004F0D74">
        <w:rPr>
          <w:rFonts w:ascii="Times New Roman" w:hAnsi="Times New Roman" w:cs="Times New Roman"/>
        </w:rPr>
        <w:t xml:space="preserve"> (</w:t>
      </w:r>
      <w:r w:rsidRPr="004F0D74">
        <w:rPr>
          <w:rFonts w:ascii="Times New Roman" w:hAnsi="Times New Roman" w:cs="Times New Roman"/>
        </w:rPr>
        <w:t>1958</w:t>
      </w:r>
      <w:r w:rsidR="00BF02F5" w:rsidRPr="004F0D74">
        <w:rPr>
          <w:rFonts w:ascii="Times New Roman" w:hAnsi="Times New Roman" w:cs="Times New Roman"/>
        </w:rPr>
        <w:t>)</w:t>
      </w:r>
      <w:r w:rsidRPr="004F0D74">
        <w:rPr>
          <w:rFonts w:ascii="Times New Roman" w:hAnsi="Times New Roman" w:cs="Times New Roman"/>
        </w:rPr>
        <w:t xml:space="preserve"> Information Theory in Ecology. General Systems Yearbook 3:36–71.</w:t>
      </w:r>
    </w:p>
    <w:p w14:paraId="3F34DCF9" w14:textId="1D15F1E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Ministry of Environment, Forest and Climate Change (</w:t>
      </w:r>
      <w:proofErr w:type="spellStart"/>
      <w:r w:rsidRPr="004F0D74">
        <w:rPr>
          <w:rFonts w:ascii="Times New Roman" w:hAnsi="Times New Roman" w:cs="Times New Roman"/>
        </w:rPr>
        <w:t>MoEFCC</w:t>
      </w:r>
      <w:proofErr w:type="spellEnd"/>
      <w:r w:rsidRPr="004F0D74">
        <w:rPr>
          <w:rFonts w:ascii="Times New Roman" w:hAnsi="Times New Roman" w:cs="Times New Roman"/>
        </w:rPr>
        <w:t>)</w:t>
      </w:r>
      <w:r w:rsidR="00BF02F5" w:rsidRPr="004F0D74">
        <w:rPr>
          <w:rFonts w:ascii="Times New Roman" w:hAnsi="Times New Roman" w:cs="Times New Roman"/>
        </w:rPr>
        <w:t xml:space="preserve"> (</w:t>
      </w:r>
      <w:r w:rsidRPr="004F0D74">
        <w:rPr>
          <w:rFonts w:ascii="Times New Roman" w:hAnsi="Times New Roman" w:cs="Times New Roman"/>
        </w:rPr>
        <w:t>2020</w:t>
      </w:r>
      <w:r w:rsidR="00BF02F5" w:rsidRPr="004F0D74">
        <w:rPr>
          <w:rFonts w:ascii="Times New Roman" w:hAnsi="Times New Roman" w:cs="Times New Roman"/>
        </w:rPr>
        <w:t>)</w:t>
      </w:r>
      <w:r w:rsidRPr="004F0D74">
        <w:rPr>
          <w:rFonts w:ascii="Times New Roman" w:hAnsi="Times New Roman" w:cs="Times New Roman"/>
        </w:rPr>
        <w:t xml:space="preserve"> Annual Report 2019–20. New Delhi: Government of India.</w:t>
      </w:r>
    </w:p>
    <w:p w14:paraId="6A0E12EC" w14:textId="3C2AE51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Pan </w:t>
      </w:r>
      <w:proofErr w:type="spellStart"/>
      <w:r w:rsidRPr="004F0D74">
        <w:rPr>
          <w:rFonts w:ascii="Times New Roman" w:hAnsi="Times New Roman" w:cs="Times New Roman"/>
        </w:rPr>
        <w:t>Yude</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00164765" w:rsidRPr="004F0D74">
        <w:rPr>
          <w:rFonts w:ascii="Times New Roman" w:hAnsi="Times New Roman" w:cs="Times New Roman"/>
        </w:rPr>
        <w:t>Birdsey</w:t>
      </w:r>
      <w:proofErr w:type="spellEnd"/>
      <w:r w:rsidRPr="004F0D74">
        <w:rPr>
          <w:rFonts w:ascii="Times New Roman" w:hAnsi="Times New Roman" w:cs="Times New Roman"/>
        </w:rPr>
        <w:t xml:space="preserve"> Richard A,</w:t>
      </w:r>
      <w:r w:rsidR="00164765" w:rsidRPr="004F0D74">
        <w:rPr>
          <w:rFonts w:ascii="Times New Roman" w:hAnsi="Times New Roman" w:cs="Times New Roman"/>
        </w:rPr>
        <w:t xml:space="preserve"> Fang</w:t>
      </w:r>
      <w:r w:rsidRPr="004F0D74">
        <w:rPr>
          <w:rFonts w:ascii="Times New Roman" w:hAnsi="Times New Roman" w:cs="Times New Roman"/>
        </w:rPr>
        <w:t xml:space="preserve"> </w:t>
      </w:r>
      <w:hyperlink r:id="rId21" w:anchor="con3" w:history="1">
        <w:proofErr w:type="spellStart"/>
        <w:r w:rsidRPr="004F0D74">
          <w:rPr>
            <w:rStyle w:val="Hyperlink"/>
            <w:rFonts w:ascii="Times New Roman" w:hAnsi="Times New Roman" w:cs="Times New Roman"/>
            <w:color w:val="auto"/>
            <w:u w:val="none"/>
          </w:rPr>
          <w:t>Jingyun</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Houghton Richard, Kauppi </w:t>
      </w:r>
      <w:hyperlink r:id="rId22" w:anchor="con5" w:history="1">
        <w:proofErr w:type="spellStart"/>
        <w:r w:rsidRPr="004F0D74">
          <w:rPr>
            <w:rStyle w:val="Hyperlink"/>
            <w:rFonts w:ascii="Times New Roman" w:hAnsi="Times New Roman" w:cs="Times New Roman"/>
            <w:color w:val="auto"/>
            <w:u w:val="none"/>
          </w:rPr>
          <w:t>Pekka</w:t>
        </w:r>
        <w:proofErr w:type="spellEnd"/>
        <w:r w:rsidRPr="004F0D74">
          <w:rPr>
            <w:rStyle w:val="Hyperlink"/>
            <w:rFonts w:ascii="Times New Roman" w:hAnsi="Times New Roman" w:cs="Times New Roman"/>
            <w:color w:val="auto"/>
            <w:u w:val="none"/>
          </w:rPr>
          <w:t xml:space="preserve"> E</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23" w:anchor="con6" w:history="1">
        <w:proofErr w:type="spellStart"/>
        <w:r w:rsidRPr="004F0D74">
          <w:rPr>
            <w:rStyle w:val="Hyperlink"/>
            <w:rFonts w:ascii="Times New Roman" w:hAnsi="Times New Roman" w:cs="Times New Roman"/>
            <w:color w:val="auto"/>
            <w:u w:val="none"/>
          </w:rPr>
          <w:t>Kurz</w:t>
        </w:r>
        <w:proofErr w:type="spellEnd"/>
      </w:hyperlink>
      <w:r w:rsidRPr="004F0D74">
        <w:rPr>
          <w:rFonts w:ascii="Times New Roman" w:hAnsi="Times New Roman" w:cs="Times New Roman"/>
        </w:rPr>
        <w:t xml:space="preserve"> Werner A,</w:t>
      </w:r>
      <w:r w:rsidR="00164765" w:rsidRPr="004F0D74">
        <w:rPr>
          <w:rFonts w:ascii="Times New Roman" w:hAnsi="Times New Roman" w:cs="Times New Roman"/>
        </w:rPr>
        <w:t xml:space="preserve"> </w:t>
      </w:r>
      <w:r w:rsidRPr="004F0D74">
        <w:rPr>
          <w:rFonts w:ascii="Times New Roman" w:hAnsi="Times New Roman" w:cs="Times New Roman"/>
        </w:rPr>
        <w:t xml:space="preserve">Phillips </w:t>
      </w:r>
      <w:hyperlink r:id="rId24" w:anchor="con7" w:history="1">
        <w:r w:rsidRPr="004F0D74">
          <w:rPr>
            <w:rStyle w:val="Hyperlink"/>
            <w:rFonts w:ascii="Times New Roman" w:hAnsi="Times New Roman" w:cs="Times New Roman"/>
            <w:color w:val="auto"/>
            <w:u w:val="none"/>
          </w:rPr>
          <w:t>Oliver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Shvidenko</w:t>
      </w:r>
      <w:proofErr w:type="spellEnd"/>
      <w:r w:rsidRPr="004F0D74">
        <w:rPr>
          <w:rFonts w:ascii="Times New Roman" w:hAnsi="Times New Roman" w:cs="Times New Roman"/>
        </w:rPr>
        <w:t xml:space="preserve"> </w:t>
      </w:r>
      <w:hyperlink r:id="rId25" w:anchor="con8" w:history="1">
        <w:r w:rsidRPr="004F0D74">
          <w:rPr>
            <w:rStyle w:val="Hyperlink"/>
            <w:rFonts w:ascii="Times New Roman" w:hAnsi="Times New Roman" w:cs="Times New Roman"/>
            <w:color w:val="auto"/>
            <w:u w:val="none"/>
          </w:rPr>
          <w:t>Anatoly</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Lewis </w:t>
      </w:r>
      <w:hyperlink r:id="rId26" w:anchor="con9" w:history="1">
        <w:r w:rsidRPr="004F0D74">
          <w:rPr>
            <w:rStyle w:val="Hyperlink"/>
            <w:rFonts w:ascii="Times New Roman" w:hAnsi="Times New Roman" w:cs="Times New Roman"/>
            <w:color w:val="auto"/>
            <w:u w:val="none"/>
          </w:rPr>
          <w:t>Simon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Canadell</w:t>
      </w:r>
      <w:proofErr w:type="spellEnd"/>
      <w:r w:rsidRPr="004F0D74">
        <w:rPr>
          <w:rFonts w:ascii="Times New Roman" w:hAnsi="Times New Roman" w:cs="Times New Roman"/>
        </w:rPr>
        <w:t xml:space="preserve"> </w:t>
      </w:r>
      <w:hyperlink r:id="rId27" w:anchor="con10" w:history="1">
        <w:proofErr w:type="spellStart"/>
        <w:r w:rsidRPr="004F0D74">
          <w:rPr>
            <w:rStyle w:val="Hyperlink"/>
            <w:rFonts w:ascii="Times New Roman" w:hAnsi="Times New Roman" w:cs="Times New Roman"/>
            <w:color w:val="auto"/>
            <w:u w:val="none"/>
          </w:rPr>
          <w:t>Josep</w:t>
        </w:r>
        <w:proofErr w:type="spellEnd"/>
        <w:r w:rsidRPr="004F0D74">
          <w:rPr>
            <w:rStyle w:val="Hyperlink"/>
            <w:rFonts w:ascii="Times New Roman" w:hAnsi="Times New Roman" w:cs="Times New Roman"/>
            <w:color w:val="auto"/>
            <w:u w:val="none"/>
          </w:rPr>
          <w:t xml:space="preserve"> G</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28" w:anchor="con11"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w:t>
      </w:r>
      <w:r w:rsidR="00164765" w:rsidRPr="004F0D74">
        <w:rPr>
          <w:rFonts w:ascii="Times New Roman" w:hAnsi="Times New Roman" w:cs="Times New Roman"/>
        </w:rPr>
        <w:t xml:space="preserve"> </w:t>
      </w:r>
      <w:r w:rsidRPr="004F0D74">
        <w:rPr>
          <w:rFonts w:ascii="Times New Roman" w:hAnsi="Times New Roman" w:cs="Times New Roman"/>
        </w:rPr>
        <w:t xml:space="preserve">Jackson </w:t>
      </w:r>
      <w:hyperlink r:id="rId29" w:anchor="con12" w:history="1">
        <w:r w:rsidRPr="004F0D74">
          <w:rPr>
            <w:rStyle w:val="Hyperlink"/>
            <w:rFonts w:ascii="Times New Roman" w:hAnsi="Times New Roman" w:cs="Times New Roman"/>
            <w:color w:val="auto"/>
            <w:u w:val="none"/>
          </w:rPr>
          <w:t>Robert B</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Pacala</w:t>
      </w:r>
      <w:proofErr w:type="spellEnd"/>
      <w:r w:rsidRPr="004F0D74">
        <w:rPr>
          <w:rFonts w:ascii="Times New Roman" w:hAnsi="Times New Roman" w:cs="Times New Roman"/>
        </w:rPr>
        <w:t xml:space="preserve"> </w:t>
      </w:r>
      <w:hyperlink r:id="rId30" w:anchor="con13" w:history="1">
        <w:r w:rsidRPr="004F0D74">
          <w:rPr>
            <w:rStyle w:val="Hyperlink"/>
            <w:rFonts w:ascii="Times New Roman" w:hAnsi="Times New Roman" w:cs="Times New Roman"/>
            <w:color w:val="auto"/>
            <w:u w:val="none"/>
          </w:rPr>
          <w:t>Stephen W</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McGuire </w:t>
      </w:r>
      <w:hyperlink r:id="rId31" w:anchor="con14" w:history="1">
        <w:r w:rsidRPr="004F0D74">
          <w:rPr>
            <w:rStyle w:val="Hyperlink"/>
            <w:rFonts w:ascii="Times New Roman" w:hAnsi="Times New Roman" w:cs="Times New Roman"/>
            <w:color w:val="auto"/>
            <w:u w:val="none"/>
          </w:rPr>
          <w:t>A David</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Piao </w:t>
      </w:r>
      <w:hyperlink r:id="rId32" w:anchor="con15" w:history="1">
        <w:proofErr w:type="spellStart"/>
        <w:r w:rsidRPr="004F0D74">
          <w:rPr>
            <w:rStyle w:val="Hyperlink"/>
            <w:rFonts w:ascii="Times New Roman" w:hAnsi="Times New Roman" w:cs="Times New Roman"/>
            <w:color w:val="auto"/>
            <w:u w:val="none"/>
          </w:rPr>
          <w:t>Shilong</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33" w:anchor="con16" w:history="1">
        <w:proofErr w:type="spellStart"/>
        <w:r w:rsidRPr="004F0D74">
          <w:rPr>
            <w:rStyle w:val="Hyperlink"/>
            <w:rFonts w:ascii="Times New Roman" w:hAnsi="Times New Roman" w:cs="Times New Roman"/>
            <w:color w:val="auto"/>
            <w:u w:val="none"/>
          </w:rPr>
          <w:t>Rautiainen</w:t>
        </w:r>
        <w:proofErr w:type="spellEnd"/>
      </w:hyperlink>
      <w:r w:rsidRPr="004F0D74">
        <w:rPr>
          <w:rFonts w:ascii="Times New Roman" w:hAnsi="Times New Roman" w:cs="Times New Roman"/>
        </w:rPr>
        <w:t xml:space="preserve"> </w:t>
      </w:r>
      <w:proofErr w:type="spellStart"/>
      <w:r w:rsidRPr="004F0D74">
        <w:rPr>
          <w:rFonts w:ascii="Times New Roman" w:hAnsi="Times New Roman" w:cs="Times New Roman"/>
        </w:rPr>
        <w:t>Aapo</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Sitch</w:t>
      </w:r>
      <w:proofErr w:type="spellEnd"/>
      <w:r w:rsidRPr="004F0D74">
        <w:rPr>
          <w:rFonts w:ascii="Times New Roman" w:hAnsi="Times New Roman" w:cs="Times New Roman"/>
        </w:rPr>
        <w:t xml:space="preserve"> </w:t>
      </w:r>
      <w:hyperlink r:id="rId34" w:anchor="con17" w:history="1">
        <w:r w:rsidRPr="004F0D74">
          <w:rPr>
            <w:rStyle w:val="Hyperlink"/>
            <w:rFonts w:ascii="Times New Roman" w:hAnsi="Times New Roman" w:cs="Times New Roman"/>
            <w:color w:val="auto"/>
            <w:u w:val="none"/>
          </w:rPr>
          <w:t>Stephen</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Hayes </w:t>
      </w:r>
      <w:hyperlink r:id="rId35" w:anchor="con18" w:history="1">
        <w:r w:rsidRPr="004F0D74">
          <w:rPr>
            <w:rStyle w:val="Hyperlink"/>
            <w:rFonts w:ascii="Times New Roman" w:hAnsi="Times New Roman" w:cs="Times New Roman"/>
            <w:color w:val="auto"/>
            <w:u w:val="none"/>
          </w:rPr>
          <w:t>Daniel</w:t>
        </w:r>
      </w:hyperlink>
      <w:r w:rsidR="00BF02F5" w:rsidRPr="004F0D74">
        <w:rPr>
          <w:rFonts w:ascii="Times New Roman" w:hAnsi="Times New Roman" w:cs="Times New Roman"/>
        </w:rPr>
        <w:t xml:space="preserve"> (</w:t>
      </w:r>
      <w:r w:rsidRPr="004F0D74">
        <w:rPr>
          <w:rFonts w:ascii="Times New Roman" w:hAnsi="Times New Roman" w:cs="Times New Roman"/>
        </w:rPr>
        <w:t>2011</w:t>
      </w:r>
      <w:r w:rsidR="00BF02F5" w:rsidRPr="004F0D74">
        <w:rPr>
          <w:rFonts w:ascii="Times New Roman" w:hAnsi="Times New Roman" w:cs="Times New Roman"/>
        </w:rPr>
        <w:t>)</w:t>
      </w:r>
      <w:r w:rsidRPr="004F0D74">
        <w:rPr>
          <w:rFonts w:ascii="Times New Roman" w:hAnsi="Times New Roman" w:cs="Times New Roman"/>
        </w:rPr>
        <w:t xml:space="preserve"> A large and persistent carbon sink in the world’s forests. Science 333: 988-993.</w:t>
      </w:r>
    </w:p>
    <w:p w14:paraId="38F8D91A" w14:textId="19755456"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Pandey SS, </w:t>
      </w:r>
      <w:proofErr w:type="spellStart"/>
      <w:r w:rsidRPr="004F0D74">
        <w:rPr>
          <w:rFonts w:ascii="Times New Roman" w:eastAsia="Times New Roman" w:hAnsi="Times New Roman" w:cs="Times New Roman"/>
          <w:kern w:val="0"/>
          <w:lang w:bidi="hi-IN"/>
          <w14:ligatures w14:val="none"/>
        </w:rPr>
        <w:t>Maraseni</w:t>
      </w:r>
      <w:proofErr w:type="spellEnd"/>
      <w:r w:rsidRPr="004F0D74">
        <w:rPr>
          <w:rFonts w:ascii="Times New Roman" w:eastAsia="Times New Roman" w:hAnsi="Times New Roman" w:cs="Times New Roman"/>
          <w:kern w:val="0"/>
          <w:lang w:bidi="hi-IN"/>
          <w14:ligatures w14:val="none"/>
        </w:rPr>
        <w:t xml:space="preserve"> TN, Cockfield G</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2014</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Carbon stock dynamics in different vegetation dominated community forests under REDD+: A case from Nepal. Forest Ecology and Management 327:40-47. </w:t>
      </w:r>
    </w:p>
    <w:p w14:paraId="3DAD8D77" w14:textId="6BEDA7D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Pathak Ravi, Thakur Shinny, Negi Vikram S, Rawal </w:t>
      </w:r>
      <w:proofErr w:type="spellStart"/>
      <w:r w:rsidRPr="004F0D74">
        <w:rPr>
          <w:rFonts w:ascii="Times New Roman" w:hAnsi="Times New Roman" w:cs="Times New Roman"/>
        </w:rPr>
        <w:t>Ranbeer</w:t>
      </w:r>
      <w:proofErr w:type="spellEnd"/>
      <w:r w:rsidRPr="004F0D74">
        <w:rPr>
          <w:rFonts w:ascii="Times New Roman" w:hAnsi="Times New Roman" w:cs="Times New Roman"/>
        </w:rPr>
        <w:t xml:space="preserve"> S, </w:t>
      </w:r>
      <w:proofErr w:type="spellStart"/>
      <w:r w:rsidRPr="004F0D74">
        <w:rPr>
          <w:rFonts w:ascii="Times New Roman" w:hAnsi="Times New Roman" w:cs="Times New Roman"/>
        </w:rPr>
        <w:t>Bahukhandi</w:t>
      </w:r>
      <w:proofErr w:type="spellEnd"/>
      <w:r w:rsidRPr="004F0D74">
        <w:rPr>
          <w:rFonts w:ascii="Times New Roman" w:hAnsi="Times New Roman" w:cs="Times New Roman"/>
        </w:rPr>
        <w:t xml:space="preserve"> Amit, </w:t>
      </w:r>
      <w:proofErr w:type="spellStart"/>
      <w:r w:rsidRPr="004F0D74">
        <w:rPr>
          <w:rFonts w:ascii="Times New Roman" w:hAnsi="Times New Roman" w:cs="Times New Roman"/>
        </w:rPr>
        <w:t>Durgapal</w:t>
      </w:r>
      <w:proofErr w:type="spellEnd"/>
      <w:r w:rsidRPr="004F0D74">
        <w:rPr>
          <w:rFonts w:ascii="Times New Roman" w:hAnsi="Times New Roman" w:cs="Times New Roman"/>
        </w:rPr>
        <w:t xml:space="preserve"> Kamini, </w:t>
      </w:r>
      <w:proofErr w:type="spellStart"/>
      <w:r w:rsidRPr="004F0D74">
        <w:rPr>
          <w:rFonts w:ascii="Times New Roman" w:hAnsi="Times New Roman" w:cs="Times New Roman"/>
        </w:rPr>
        <w:t>Barola</w:t>
      </w:r>
      <w:proofErr w:type="spellEnd"/>
      <w:r w:rsidRPr="004F0D74">
        <w:rPr>
          <w:rFonts w:ascii="Times New Roman" w:hAnsi="Times New Roman" w:cs="Times New Roman"/>
        </w:rPr>
        <w:t xml:space="preserve"> Anjali, Tewari Deep, Bhatt Indra </w:t>
      </w:r>
      <w:r w:rsidR="00BF02F5" w:rsidRPr="004F0D74">
        <w:rPr>
          <w:rFonts w:ascii="Times New Roman" w:hAnsi="Times New Roman" w:cs="Times New Roman"/>
        </w:rPr>
        <w:t>D (</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Ecological condition and management status of Community Forests in Indian western Himalaya. Land Use Policy 109:105636.</w:t>
      </w:r>
    </w:p>
    <w:p w14:paraId="4618F1F6" w14:textId="58F33C7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Phillips E A</w:t>
      </w:r>
      <w:r w:rsidR="00BF02F5" w:rsidRPr="004F0D74">
        <w:rPr>
          <w:rFonts w:ascii="Times New Roman" w:hAnsi="Times New Roman" w:cs="Times New Roman"/>
        </w:rPr>
        <w:t xml:space="preserve"> (</w:t>
      </w:r>
      <w:r w:rsidRPr="004F0D74">
        <w:rPr>
          <w:rFonts w:ascii="Times New Roman" w:hAnsi="Times New Roman" w:cs="Times New Roman"/>
        </w:rPr>
        <w:t>1959</w:t>
      </w:r>
      <w:r w:rsidR="00BF02F5" w:rsidRPr="004F0D74">
        <w:rPr>
          <w:rFonts w:ascii="Times New Roman" w:hAnsi="Times New Roman" w:cs="Times New Roman"/>
        </w:rPr>
        <w:t>)</w:t>
      </w:r>
      <w:r w:rsidRPr="004F0D74">
        <w:rPr>
          <w:rFonts w:ascii="Times New Roman" w:hAnsi="Times New Roman" w:cs="Times New Roman"/>
        </w:rPr>
        <w:t xml:space="preserve"> Methods of vegetation study. Holt, Rinehart and Winston.</w:t>
      </w:r>
    </w:p>
    <w:p w14:paraId="46073B24" w14:textId="6499CDF5"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EC </w:t>
      </w:r>
      <w:r w:rsidR="00BF02F5" w:rsidRPr="004F0D74">
        <w:rPr>
          <w:rFonts w:ascii="Times New Roman" w:hAnsi="Times New Roman" w:cs="Times New Roman"/>
        </w:rPr>
        <w:t>(</w:t>
      </w:r>
      <w:r w:rsidRPr="004F0D74">
        <w:rPr>
          <w:rFonts w:ascii="Times New Roman" w:hAnsi="Times New Roman" w:cs="Times New Roman"/>
        </w:rPr>
        <w:t>1966</w:t>
      </w:r>
      <w:r w:rsidR="00BF02F5" w:rsidRPr="004F0D74">
        <w:rPr>
          <w:rFonts w:ascii="Times New Roman" w:hAnsi="Times New Roman" w:cs="Times New Roman"/>
        </w:rPr>
        <w:t>)</w:t>
      </w:r>
      <w:r w:rsidRPr="004F0D74">
        <w:rPr>
          <w:rFonts w:ascii="Times New Roman" w:hAnsi="Times New Roman" w:cs="Times New Roman"/>
        </w:rPr>
        <w:t xml:space="preserve"> The measurement of diversity in different types of biological collections. Journal of Theoretical Biology 13(1):131-144.</w:t>
      </w:r>
    </w:p>
    <w:p w14:paraId="1E74A694" w14:textId="520E95A1"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Rawat GS, Singh JS </w:t>
      </w:r>
      <w:r w:rsidR="00BF02F5" w:rsidRPr="004F0D74">
        <w:rPr>
          <w:rFonts w:ascii="Times New Roman" w:hAnsi="Times New Roman" w:cs="Times New Roman"/>
        </w:rPr>
        <w:t>(</w:t>
      </w:r>
      <w:r w:rsidRPr="004F0D74">
        <w:rPr>
          <w:rFonts w:ascii="Times New Roman" w:hAnsi="Times New Roman" w:cs="Times New Roman"/>
        </w:rPr>
        <w:t>1988</w:t>
      </w:r>
      <w:r w:rsidR="00BF02F5" w:rsidRPr="004F0D74">
        <w:rPr>
          <w:rFonts w:ascii="Times New Roman" w:hAnsi="Times New Roman" w:cs="Times New Roman"/>
        </w:rPr>
        <w:t>)</w:t>
      </w:r>
      <w:r w:rsidRPr="004F0D74">
        <w:rPr>
          <w:rFonts w:ascii="Times New Roman" w:hAnsi="Times New Roman" w:cs="Times New Roman"/>
        </w:rPr>
        <w:t xml:space="preserve"> Structure and functions of montane subtropical forest ecosystems of north‐western Himalaya, India. Vegetation 73(2-3):97-112.</w:t>
      </w:r>
    </w:p>
    <w:p w14:paraId="7C272EB7" w14:textId="54F14E8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Shannon CE, Weaver W</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The Mathematical Theory of Communication. Urbana: University of Illinois Press.</w:t>
      </w:r>
    </w:p>
    <w:p w14:paraId="0638101B" w14:textId="27791CC0"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Sharma CM, </w:t>
      </w:r>
      <w:proofErr w:type="spellStart"/>
      <w:r w:rsidRPr="004F0D74">
        <w:rPr>
          <w:rFonts w:ascii="Times New Roman" w:eastAsia="Times New Roman" w:hAnsi="Times New Roman" w:cs="Times New Roman"/>
          <w:kern w:val="0"/>
          <w:lang w:bidi="hi-IN"/>
          <w14:ligatures w14:val="none"/>
        </w:rPr>
        <w:t>Baduni</w:t>
      </w:r>
      <w:proofErr w:type="spellEnd"/>
      <w:r w:rsidRPr="004F0D74">
        <w:rPr>
          <w:rFonts w:ascii="Times New Roman" w:eastAsia="Times New Roman" w:hAnsi="Times New Roman" w:cs="Times New Roman"/>
          <w:kern w:val="0"/>
          <w:lang w:bidi="hi-IN"/>
          <w14:ligatures w14:val="none"/>
        </w:rPr>
        <w:t xml:space="preserve"> NP, </w:t>
      </w: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2010</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Tree diversity and carbon stocks of some major forest types of Garhwal Himalaya, India. </w:t>
      </w:r>
      <w:r w:rsidRPr="004F0D74">
        <w:rPr>
          <w:rFonts w:ascii="Times New Roman" w:hAnsi="Times New Roman" w:cs="Times New Roman"/>
        </w:rPr>
        <w:t>Forest Ecology and Management</w:t>
      </w:r>
      <w:r w:rsidRPr="004F0D74">
        <w:rPr>
          <w:rFonts w:ascii="Times New Roman" w:eastAsia="Times New Roman" w:hAnsi="Times New Roman" w:cs="Times New Roman"/>
          <w:kern w:val="0"/>
          <w:lang w:bidi="hi-IN"/>
          <w14:ligatures w14:val="none"/>
        </w:rPr>
        <w:t xml:space="preserve"> 260(12):2170–2179.</w:t>
      </w:r>
    </w:p>
    <w:p w14:paraId="2FCE8565" w14:textId="49698CD4"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Simpson EH</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Measurement of diversity. Nature 163(4148):688. </w:t>
      </w:r>
    </w:p>
    <w:p w14:paraId="20E04644" w14:textId="18DF4D6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Singh JS, Singh SP </w:t>
      </w:r>
      <w:r w:rsidR="00BF02F5" w:rsidRPr="004F0D74">
        <w:rPr>
          <w:rFonts w:ascii="Times New Roman" w:hAnsi="Times New Roman" w:cs="Times New Roman"/>
        </w:rPr>
        <w:t>(</w:t>
      </w:r>
      <w:r w:rsidRPr="004F0D74">
        <w:rPr>
          <w:rFonts w:ascii="Times New Roman" w:hAnsi="Times New Roman" w:cs="Times New Roman"/>
        </w:rPr>
        <w:t>1992</w:t>
      </w:r>
      <w:r w:rsidR="00BF02F5" w:rsidRPr="004F0D74">
        <w:rPr>
          <w:rFonts w:ascii="Times New Roman" w:hAnsi="Times New Roman" w:cs="Times New Roman"/>
        </w:rPr>
        <w:t>)</w:t>
      </w:r>
      <w:r w:rsidRPr="004F0D74">
        <w:rPr>
          <w:rFonts w:ascii="Times New Roman" w:hAnsi="Times New Roman" w:cs="Times New Roman"/>
        </w:rPr>
        <w:t xml:space="preserve"> Forest of Himalaya: Structure, Functioning and Impact of Man. Nainital: </w:t>
      </w:r>
      <w:proofErr w:type="spellStart"/>
      <w:r w:rsidRPr="004F0D74">
        <w:rPr>
          <w:rFonts w:ascii="Times New Roman" w:hAnsi="Times New Roman" w:cs="Times New Roman"/>
        </w:rPr>
        <w:t>Gyanodaya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Prakashan</w:t>
      </w:r>
      <w:proofErr w:type="spellEnd"/>
      <w:r w:rsidRPr="004F0D74">
        <w:rPr>
          <w:rFonts w:ascii="Times New Roman" w:hAnsi="Times New Roman" w:cs="Times New Roman"/>
        </w:rPr>
        <w:t>.</w:t>
      </w:r>
    </w:p>
    <w:p w14:paraId="56F4589F" w14:textId="2C263A5D"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M, Ba L</w:t>
      </w:r>
      <w:r w:rsidR="00BF02F5" w:rsidRPr="004F0D74">
        <w:rPr>
          <w:rFonts w:ascii="Times New Roman" w:hAnsi="Times New Roman" w:cs="Times New Roman"/>
        </w:rPr>
        <w:t xml:space="preserve"> (</w:t>
      </w:r>
      <w:r w:rsidRPr="004F0D74">
        <w:rPr>
          <w:rFonts w:ascii="Times New Roman" w:hAnsi="Times New Roman" w:cs="Times New Roman"/>
        </w:rPr>
        <w:t>2010</w:t>
      </w:r>
      <w:r w:rsidR="00BF02F5" w:rsidRPr="004F0D74">
        <w:rPr>
          <w:rFonts w:ascii="Times New Roman" w:hAnsi="Times New Roman" w:cs="Times New Roman"/>
        </w:rPr>
        <w:t>)</w:t>
      </w:r>
      <w:r w:rsidRPr="004F0D74">
        <w:rPr>
          <w:rFonts w:ascii="Times New Roman" w:hAnsi="Times New Roman" w:cs="Times New Roman"/>
        </w:rPr>
        <w:t xml:space="preserve"> Crediting carbon in dry forests: The potential for community forest management. Forest Policy and Economics 12:264–270.</w:t>
      </w:r>
    </w:p>
    <w:p w14:paraId="76F8B542" w14:textId="600253A3"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Smith JE, Heath LS</w:t>
      </w:r>
      <w:r w:rsidR="00BF02F5" w:rsidRPr="004F0D74">
        <w:rPr>
          <w:rFonts w:ascii="Times New Roman" w:hAnsi="Times New Roman" w:cs="Times New Roman"/>
        </w:rPr>
        <w:t xml:space="preserve"> (</w:t>
      </w:r>
      <w:r w:rsidRPr="004F0D74">
        <w:rPr>
          <w:rFonts w:ascii="Times New Roman" w:hAnsi="Times New Roman" w:cs="Times New Roman"/>
        </w:rPr>
        <w:t>2001</w:t>
      </w:r>
      <w:r w:rsidR="00BF02F5" w:rsidRPr="004F0D74">
        <w:rPr>
          <w:rFonts w:ascii="Times New Roman" w:hAnsi="Times New Roman" w:cs="Times New Roman"/>
        </w:rPr>
        <w:t>)</w:t>
      </w:r>
      <w:r w:rsidRPr="004F0D74">
        <w:rPr>
          <w:rFonts w:ascii="Times New Roman" w:hAnsi="Times New Roman" w:cs="Times New Roman"/>
        </w:rPr>
        <w:t xml:space="preserve"> Identifying influences on model uncertainty: an application using a forest carbon budget model. Environmental Management 27:253–267.</w:t>
      </w:r>
    </w:p>
    <w:p w14:paraId="3E4E9B97" w14:textId="7715B0B4"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BP, Sharma JR, </w:t>
      </w:r>
      <w:proofErr w:type="spellStart"/>
      <w:r w:rsidRPr="004F0D74">
        <w:rPr>
          <w:rFonts w:ascii="Times New Roman" w:hAnsi="Times New Roman" w:cs="Times New Roman"/>
        </w:rPr>
        <w:t>Chaudhery</w:t>
      </w:r>
      <w:proofErr w:type="spellEnd"/>
      <w:r w:rsidRPr="004F0D74">
        <w:rPr>
          <w:rFonts w:ascii="Times New Roman" w:hAnsi="Times New Roman" w:cs="Times New Roman"/>
        </w:rPr>
        <w:t xml:space="preserve"> U, Sing D K</w:t>
      </w:r>
      <w:r w:rsidR="00BF02F5" w:rsidRPr="004F0D74">
        <w:rPr>
          <w:rFonts w:ascii="Times New Roman" w:hAnsi="Times New Roman" w:cs="Times New Roman"/>
        </w:rPr>
        <w:t xml:space="preserve"> (</w:t>
      </w:r>
      <w:r w:rsidRPr="004F0D74">
        <w:rPr>
          <w:rFonts w:ascii="Times New Roman" w:hAnsi="Times New Roman" w:cs="Times New Roman"/>
        </w:rPr>
        <w:t>2007</w:t>
      </w:r>
      <w:r w:rsidR="00BF02F5" w:rsidRPr="004F0D74">
        <w:rPr>
          <w:rFonts w:ascii="Times New Roman" w:hAnsi="Times New Roman" w:cs="Times New Roman"/>
        </w:rPr>
        <w:t>)</w:t>
      </w:r>
      <w:r w:rsidRPr="004F0D74">
        <w:rPr>
          <w:rFonts w:ascii="Times New Roman" w:hAnsi="Times New Roman" w:cs="Times New Roman"/>
        </w:rPr>
        <w:t xml:space="preserve"> Flowering Plants of Uttarakhand (A Checklist). Dehradun: </w:t>
      </w:r>
      <w:proofErr w:type="spellStart"/>
      <w:r w:rsidRPr="004F0D74">
        <w:rPr>
          <w:rFonts w:ascii="Times New Roman" w:hAnsi="Times New Roman" w:cs="Times New Roman"/>
        </w:rPr>
        <w:t>Bishen</w:t>
      </w:r>
      <w:proofErr w:type="spellEnd"/>
      <w:r w:rsidRPr="004F0D74">
        <w:rPr>
          <w:rFonts w:ascii="Times New Roman" w:hAnsi="Times New Roman" w:cs="Times New Roman"/>
        </w:rPr>
        <w:t xml:space="preserve"> Singh </w:t>
      </w:r>
      <w:proofErr w:type="spellStart"/>
      <w:r w:rsidRPr="004F0D74">
        <w:rPr>
          <w:rFonts w:ascii="Times New Roman" w:hAnsi="Times New Roman" w:cs="Times New Roman"/>
        </w:rPr>
        <w:t>Mahendra</w:t>
      </w:r>
      <w:proofErr w:type="spellEnd"/>
      <w:r w:rsidRPr="004F0D74">
        <w:rPr>
          <w:rFonts w:ascii="Times New Roman" w:hAnsi="Times New Roman" w:cs="Times New Roman"/>
        </w:rPr>
        <w:t xml:space="preserve"> Pal Singh.</w:t>
      </w:r>
    </w:p>
    <w:p w14:paraId="15FACA67" w14:textId="76DCA4B5" w:rsidR="001412A5" w:rsidRPr="004F0D74" w:rsidRDefault="005369F1" w:rsidP="006E1607">
      <w:pPr>
        <w:spacing w:after="0"/>
        <w:ind w:left="360" w:hanging="432"/>
        <w:jc w:val="both"/>
        <w:rPr>
          <w:rFonts w:ascii="Times New Roman" w:hAnsi="Times New Roman" w:cs="Times New Roman"/>
          <w:b/>
          <w:bCs/>
        </w:rPr>
      </w:pPr>
      <w:r w:rsidRPr="004F0D74">
        <w:rPr>
          <w:rFonts w:ascii="Times New Roman" w:hAnsi="Times New Roman" w:cs="Times New Roman"/>
        </w:rPr>
        <w:t xml:space="preserve">Walkley A, Black IA </w:t>
      </w:r>
      <w:r w:rsidR="00BF02F5" w:rsidRPr="004F0D74">
        <w:rPr>
          <w:rFonts w:ascii="Times New Roman" w:hAnsi="Times New Roman" w:cs="Times New Roman"/>
        </w:rPr>
        <w:t>(</w:t>
      </w:r>
      <w:r w:rsidRPr="004F0D74">
        <w:rPr>
          <w:rFonts w:ascii="Times New Roman" w:hAnsi="Times New Roman" w:cs="Times New Roman"/>
        </w:rPr>
        <w:t>1934</w:t>
      </w:r>
      <w:r w:rsidR="00BF02F5" w:rsidRPr="004F0D74">
        <w:rPr>
          <w:rFonts w:ascii="Times New Roman" w:hAnsi="Times New Roman" w:cs="Times New Roman"/>
        </w:rPr>
        <w:t>)</w:t>
      </w:r>
      <w:r w:rsidRPr="004F0D74">
        <w:rPr>
          <w:rFonts w:ascii="Times New Roman" w:hAnsi="Times New Roman" w:cs="Times New Roman"/>
        </w:rPr>
        <w:t xml:space="preserve"> An examination of the </w:t>
      </w:r>
      <w:proofErr w:type="spellStart"/>
      <w:r w:rsidRPr="004F0D74">
        <w:rPr>
          <w:rFonts w:ascii="Times New Roman" w:hAnsi="Times New Roman" w:cs="Times New Roman"/>
        </w:rPr>
        <w:t>Degtjareff</w:t>
      </w:r>
      <w:proofErr w:type="spellEnd"/>
      <w:r w:rsidRPr="004F0D74">
        <w:rPr>
          <w:rFonts w:ascii="Times New Roman" w:hAnsi="Times New Roman" w:cs="Times New Roman"/>
        </w:rPr>
        <w:t xml:space="preserve"> method for determining soil organic matter, and a proposed modification of the chromic acid titration method. Soil Science 37(1):29-38.</w:t>
      </w:r>
    </w:p>
    <w:sectPr w:rsidR="001412A5" w:rsidRPr="004F0D74" w:rsidSect="0025129D">
      <w:headerReference w:type="even" r:id="rId36"/>
      <w:headerReference w:type="default" r:id="rId37"/>
      <w:footerReference w:type="even" r:id="rId38"/>
      <w:footerReference w:type="default" r:id="rId39"/>
      <w:headerReference w:type="first" r:id="rId40"/>
      <w:footerReference w:type="firs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2E00" w14:textId="77777777" w:rsidR="00C67637" w:rsidRDefault="00C67637" w:rsidP="00051D70">
      <w:pPr>
        <w:spacing w:after="0" w:line="240" w:lineRule="auto"/>
      </w:pPr>
      <w:r>
        <w:separator/>
      </w:r>
    </w:p>
  </w:endnote>
  <w:endnote w:type="continuationSeparator" w:id="0">
    <w:p w14:paraId="395FC0B7" w14:textId="77777777" w:rsidR="00C67637" w:rsidRDefault="00C67637" w:rsidP="0005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0371" w14:textId="77777777" w:rsidR="00051D70" w:rsidRDefault="0005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9AF8" w14:textId="77777777" w:rsidR="00051D70" w:rsidRDefault="00051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D0CE" w14:textId="77777777" w:rsidR="00051D70" w:rsidRDefault="0005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C48C" w14:textId="77777777" w:rsidR="00C67637" w:rsidRDefault="00C67637" w:rsidP="00051D70">
      <w:pPr>
        <w:spacing w:after="0" w:line="240" w:lineRule="auto"/>
      </w:pPr>
      <w:r>
        <w:separator/>
      </w:r>
    </w:p>
  </w:footnote>
  <w:footnote w:type="continuationSeparator" w:id="0">
    <w:p w14:paraId="3E5A37F0" w14:textId="77777777" w:rsidR="00C67637" w:rsidRDefault="00C67637" w:rsidP="0005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342" w14:textId="1A543030" w:rsidR="00051D70" w:rsidRDefault="00051D70">
    <w:pPr>
      <w:pStyle w:val="Header"/>
    </w:pPr>
    <w:r>
      <w:rPr>
        <w:noProof/>
      </w:rPr>
      <w:pict w14:anchorId="5E1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0"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B44A" w14:textId="4938A909" w:rsidR="00051D70" w:rsidRDefault="00051D70">
    <w:pPr>
      <w:pStyle w:val="Header"/>
    </w:pPr>
    <w:r>
      <w:rPr>
        <w:noProof/>
      </w:rPr>
      <w:pict w14:anchorId="3C52A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1"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B227" w14:textId="2FAD3875" w:rsidR="00051D70" w:rsidRDefault="00051D70">
    <w:pPr>
      <w:pStyle w:val="Header"/>
    </w:pPr>
    <w:r>
      <w:rPr>
        <w:noProof/>
      </w:rPr>
      <w:pict w14:anchorId="1BF8B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69"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250"/>
    <w:multiLevelType w:val="hybridMultilevel"/>
    <w:tmpl w:val="FA3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3C3"/>
    <w:multiLevelType w:val="multilevel"/>
    <w:tmpl w:val="EC3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68A"/>
    <w:multiLevelType w:val="multilevel"/>
    <w:tmpl w:val="C6B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45B0"/>
    <w:multiLevelType w:val="hybridMultilevel"/>
    <w:tmpl w:val="775EE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FB68A7"/>
    <w:multiLevelType w:val="hybridMultilevel"/>
    <w:tmpl w:val="FA367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17755"/>
    <w:multiLevelType w:val="hybridMultilevel"/>
    <w:tmpl w:val="9C3A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C7D01"/>
    <w:multiLevelType w:val="multilevel"/>
    <w:tmpl w:val="AAA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47655"/>
    <w:multiLevelType w:val="multilevel"/>
    <w:tmpl w:val="F9A2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00AC2"/>
    <w:multiLevelType w:val="multilevel"/>
    <w:tmpl w:val="AEF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F5EF9"/>
    <w:multiLevelType w:val="multilevel"/>
    <w:tmpl w:val="69D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52D46"/>
    <w:multiLevelType w:val="multilevel"/>
    <w:tmpl w:val="04E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74C23"/>
    <w:multiLevelType w:val="hybridMultilevel"/>
    <w:tmpl w:val="6AE09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6"/>
  </w:num>
  <w:num w:numId="6">
    <w:abstractNumId w:val="1"/>
  </w:num>
  <w:num w:numId="7">
    <w:abstractNumId w:val="3"/>
  </w:num>
  <w:num w:numId="8">
    <w:abstractNumId w:val="10"/>
  </w:num>
  <w:num w:numId="9">
    <w:abstractNumId w:val="11"/>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6C"/>
    <w:rsid w:val="00051D70"/>
    <w:rsid w:val="00054074"/>
    <w:rsid w:val="00055E91"/>
    <w:rsid w:val="00062B38"/>
    <w:rsid w:val="00064593"/>
    <w:rsid w:val="00071241"/>
    <w:rsid w:val="000745FD"/>
    <w:rsid w:val="00074B8C"/>
    <w:rsid w:val="00082F94"/>
    <w:rsid w:val="00083681"/>
    <w:rsid w:val="00083B29"/>
    <w:rsid w:val="00097A30"/>
    <w:rsid w:val="000A4522"/>
    <w:rsid w:val="000B2209"/>
    <w:rsid w:val="00100BDD"/>
    <w:rsid w:val="00130B9E"/>
    <w:rsid w:val="001412A5"/>
    <w:rsid w:val="00164765"/>
    <w:rsid w:val="00167AFA"/>
    <w:rsid w:val="00176770"/>
    <w:rsid w:val="00194E92"/>
    <w:rsid w:val="001956AF"/>
    <w:rsid w:val="001B4835"/>
    <w:rsid w:val="001D5CC2"/>
    <w:rsid w:val="001D695D"/>
    <w:rsid w:val="001E3ED0"/>
    <w:rsid w:val="001F01A8"/>
    <w:rsid w:val="002035F6"/>
    <w:rsid w:val="002074AF"/>
    <w:rsid w:val="0021156C"/>
    <w:rsid w:val="00246907"/>
    <w:rsid w:val="00250563"/>
    <w:rsid w:val="00250EDF"/>
    <w:rsid w:val="0025129D"/>
    <w:rsid w:val="00252A61"/>
    <w:rsid w:val="00261408"/>
    <w:rsid w:val="00277061"/>
    <w:rsid w:val="002806EF"/>
    <w:rsid w:val="00283D92"/>
    <w:rsid w:val="002915C2"/>
    <w:rsid w:val="002B2B14"/>
    <w:rsid w:val="002B7650"/>
    <w:rsid w:val="002C3EEC"/>
    <w:rsid w:val="002D5EF5"/>
    <w:rsid w:val="002D7D17"/>
    <w:rsid w:val="00310934"/>
    <w:rsid w:val="00352811"/>
    <w:rsid w:val="00366CC8"/>
    <w:rsid w:val="00377A8E"/>
    <w:rsid w:val="00395CB1"/>
    <w:rsid w:val="003D02BA"/>
    <w:rsid w:val="003E15A3"/>
    <w:rsid w:val="00421610"/>
    <w:rsid w:val="00424279"/>
    <w:rsid w:val="0043329C"/>
    <w:rsid w:val="004344C9"/>
    <w:rsid w:val="00463EA7"/>
    <w:rsid w:val="00482071"/>
    <w:rsid w:val="00485B80"/>
    <w:rsid w:val="00486804"/>
    <w:rsid w:val="004C289D"/>
    <w:rsid w:val="004C4DEF"/>
    <w:rsid w:val="004D446F"/>
    <w:rsid w:val="004F0D74"/>
    <w:rsid w:val="00504556"/>
    <w:rsid w:val="00532698"/>
    <w:rsid w:val="005369F1"/>
    <w:rsid w:val="005410DC"/>
    <w:rsid w:val="00560C71"/>
    <w:rsid w:val="0057386B"/>
    <w:rsid w:val="00574CE8"/>
    <w:rsid w:val="0059422D"/>
    <w:rsid w:val="00595D88"/>
    <w:rsid w:val="00617940"/>
    <w:rsid w:val="0064366F"/>
    <w:rsid w:val="00647206"/>
    <w:rsid w:val="0065042F"/>
    <w:rsid w:val="006507ED"/>
    <w:rsid w:val="00660E67"/>
    <w:rsid w:val="00663A57"/>
    <w:rsid w:val="006962B9"/>
    <w:rsid w:val="006A3BB0"/>
    <w:rsid w:val="006C0A0A"/>
    <w:rsid w:val="006C22EF"/>
    <w:rsid w:val="006D415D"/>
    <w:rsid w:val="006E1607"/>
    <w:rsid w:val="006E7425"/>
    <w:rsid w:val="007003DF"/>
    <w:rsid w:val="00710058"/>
    <w:rsid w:val="00715E98"/>
    <w:rsid w:val="00745516"/>
    <w:rsid w:val="007462D2"/>
    <w:rsid w:val="00760AF4"/>
    <w:rsid w:val="007621F9"/>
    <w:rsid w:val="0079477C"/>
    <w:rsid w:val="00794FC2"/>
    <w:rsid w:val="007D5554"/>
    <w:rsid w:val="007F0C20"/>
    <w:rsid w:val="00800880"/>
    <w:rsid w:val="008038D1"/>
    <w:rsid w:val="00803B60"/>
    <w:rsid w:val="00806C60"/>
    <w:rsid w:val="00810094"/>
    <w:rsid w:val="00823464"/>
    <w:rsid w:val="0082781B"/>
    <w:rsid w:val="00832CA8"/>
    <w:rsid w:val="008446DA"/>
    <w:rsid w:val="00866A50"/>
    <w:rsid w:val="008800D8"/>
    <w:rsid w:val="00883914"/>
    <w:rsid w:val="008852C0"/>
    <w:rsid w:val="008C5116"/>
    <w:rsid w:val="008D1603"/>
    <w:rsid w:val="008E0F39"/>
    <w:rsid w:val="008E2AF3"/>
    <w:rsid w:val="00925472"/>
    <w:rsid w:val="009334FD"/>
    <w:rsid w:val="009579D3"/>
    <w:rsid w:val="00973B90"/>
    <w:rsid w:val="00975AB1"/>
    <w:rsid w:val="00995A90"/>
    <w:rsid w:val="00996F84"/>
    <w:rsid w:val="009C5E40"/>
    <w:rsid w:val="009D4A6B"/>
    <w:rsid w:val="009D59E9"/>
    <w:rsid w:val="009F4B2E"/>
    <w:rsid w:val="00A05E31"/>
    <w:rsid w:val="00A10003"/>
    <w:rsid w:val="00A109C5"/>
    <w:rsid w:val="00A111CD"/>
    <w:rsid w:val="00A20D44"/>
    <w:rsid w:val="00A6236D"/>
    <w:rsid w:val="00A848D0"/>
    <w:rsid w:val="00A877B7"/>
    <w:rsid w:val="00AA066D"/>
    <w:rsid w:val="00AA3ADB"/>
    <w:rsid w:val="00AC44F3"/>
    <w:rsid w:val="00B00021"/>
    <w:rsid w:val="00B057C3"/>
    <w:rsid w:val="00B23F54"/>
    <w:rsid w:val="00B26264"/>
    <w:rsid w:val="00B46909"/>
    <w:rsid w:val="00B713B1"/>
    <w:rsid w:val="00B73B89"/>
    <w:rsid w:val="00BA0C6B"/>
    <w:rsid w:val="00BA4053"/>
    <w:rsid w:val="00BC0766"/>
    <w:rsid w:val="00BC2C7F"/>
    <w:rsid w:val="00BD410A"/>
    <w:rsid w:val="00BF02F5"/>
    <w:rsid w:val="00BF1DAB"/>
    <w:rsid w:val="00C055DF"/>
    <w:rsid w:val="00C06BAF"/>
    <w:rsid w:val="00C3651D"/>
    <w:rsid w:val="00C50804"/>
    <w:rsid w:val="00C51D77"/>
    <w:rsid w:val="00C67637"/>
    <w:rsid w:val="00C83107"/>
    <w:rsid w:val="00C92BE7"/>
    <w:rsid w:val="00CA6ADE"/>
    <w:rsid w:val="00CD0154"/>
    <w:rsid w:val="00CE474F"/>
    <w:rsid w:val="00D16F27"/>
    <w:rsid w:val="00D17BEF"/>
    <w:rsid w:val="00D304AB"/>
    <w:rsid w:val="00D307D6"/>
    <w:rsid w:val="00D33B0A"/>
    <w:rsid w:val="00D823C9"/>
    <w:rsid w:val="00D94D62"/>
    <w:rsid w:val="00DA4C78"/>
    <w:rsid w:val="00DC2697"/>
    <w:rsid w:val="00DD6BB8"/>
    <w:rsid w:val="00DE03EE"/>
    <w:rsid w:val="00DE0C7B"/>
    <w:rsid w:val="00DE4B2A"/>
    <w:rsid w:val="00DF351C"/>
    <w:rsid w:val="00E150F6"/>
    <w:rsid w:val="00E355C1"/>
    <w:rsid w:val="00E36625"/>
    <w:rsid w:val="00E752CC"/>
    <w:rsid w:val="00E7545F"/>
    <w:rsid w:val="00E777BF"/>
    <w:rsid w:val="00E85636"/>
    <w:rsid w:val="00E86178"/>
    <w:rsid w:val="00E96B23"/>
    <w:rsid w:val="00EA3615"/>
    <w:rsid w:val="00EC2F71"/>
    <w:rsid w:val="00ED30A9"/>
    <w:rsid w:val="00F00BFA"/>
    <w:rsid w:val="00F06D9D"/>
    <w:rsid w:val="00F07908"/>
    <w:rsid w:val="00F25C1A"/>
    <w:rsid w:val="00F61974"/>
    <w:rsid w:val="00F65B80"/>
    <w:rsid w:val="00F66677"/>
    <w:rsid w:val="00F956AF"/>
    <w:rsid w:val="00F96BFB"/>
    <w:rsid w:val="00FA5178"/>
    <w:rsid w:val="00FA5862"/>
    <w:rsid w:val="00FC2F15"/>
    <w:rsid w:val="00FF00F1"/>
    <w:rsid w:val="00FF3F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C49B0"/>
  <w15:chartTrackingRefBased/>
  <w15:docId w15:val="{1CF2B2EF-52F5-41DF-94CC-16D4180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1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1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1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6C"/>
    <w:rPr>
      <w:rFonts w:eastAsiaTheme="majorEastAsia" w:cstheme="majorBidi"/>
      <w:color w:val="272727" w:themeColor="text1" w:themeTint="D8"/>
    </w:rPr>
  </w:style>
  <w:style w:type="paragraph" w:styleId="Title">
    <w:name w:val="Title"/>
    <w:basedOn w:val="Normal"/>
    <w:next w:val="Normal"/>
    <w:link w:val="TitleChar"/>
    <w:uiPriority w:val="10"/>
    <w:qFormat/>
    <w:rsid w:val="0021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6C"/>
    <w:pPr>
      <w:spacing w:before="160"/>
      <w:jc w:val="center"/>
    </w:pPr>
    <w:rPr>
      <w:i/>
      <w:iCs/>
      <w:color w:val="404040" w:themeColor="text1" w:themeTint="BF"/>
    </w:rPr>
  </w:style>
  <w:style w:type="character" w:customStyle="1" w:styleId="QuoteChar">
    <w:name w:val="Quote Char"/>
    <w:basedOn w:val="DefaultParagraphFont"/>
    <w:link w:val="Quote"/>
    <w:uiPriority w:val="29"/>
    <w:rsid w:val="0021156C"/>
    <w:rPr>
      <w:i/>
      <w:iCs/>
      <w:color w:val="404040" w:themeColor="text1" w:themeTint="BF"/>
    </w:rPr>
  </w:style>
  <w:style w:type="paragraph" w:styleId="ListParagraph">
    <w:name w:val="List Paragraph"/>
    <w:basedOn w:val="Normal"/>
    <w:uiPriority w:val="34"/>
    <w:qFormat/>
    <w:rsid w:val="0021156C"/>
    <w:pPr>
      <w:ind w:left="720"/>
      <w:contextualSpacing/>
    </w:pPr>
  </w:style>
  <w:style w:type="character" w:styleId="IntenseEmphasis">
    <w:name w:val="Intense Emphasis"/>
    <w:basedOn w:val="DefaultParagraphFont"/>
    <w:uiPriority w:val="21"/>
    <w:qFormat/>
    <w:rsid w:val="0021156C"/>
    <w:rPr>
      <w:i/>
      <w:iCs/>
      <w:color w:val="2F5496" w:themeColor="accent1" w:themeShade="BF"/>
    </w:rPr>
  </w:style>
  <w:style w:type="paragraph" w:styleId="IntenseQuote">
    <w:name w:val="Intense Quote"/>
    <w:basedOn w:val="Normal"/>
    <w:next w:val="Normal"/>
    <w:link w:val="IntenseQuoteChar"/>
    <w:uiPriority w:val="30"/>
    <w:qFormat/>
    <w:rsid w:val="00211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56C"/>
    <w:rPr>
      <w:i/>
      <w:iCs/>
      <w:color w:val="2F5496" w:themeColor="accent1" w:themeShade="BF"/>
    </w:rPr>
  </w:style>
  <w:style w:type="character" w:styleId="IntenseReference">
    <w:name w:val="Intense Reference"/>
    <w:basedOn w:val="DefaultParagraphFont"/>
    <w:uiPriority w:val="32"/>
    <w:qFormat/>
    <w:rsid w:val="0021156C"/>
    <w:rPr>
      <w:b/>
      <w:bCs/>
      <w:smallCaps/>
      <w:color w:val="2F5496" w:themeColor="accent1" w:themeShade="BF"/>
      <w:spacing w:val="5"/>
    </w:rPr>
  </w:style>
  <w:style w:type="character" w:styleId="Emphasis">
    <w:name w:val="Emphasis"/>
    <w:basedOn w:val="DefaultParagraphFont"/>
    <w:uiPriority w:val="20"/>
    <w:qFormat/>
    <w:rsid w:val="00745516"/>
    <w:rPr>
      <w:i/>
      <w:iCs/>
    </w:rPr>
  </w:style>
  <w:style w:type="character" w:styleId="Strong">
    <w:name w:val="Strong"/>
    <w:basedOn w:val="DefaultParagraphFont"/>
    <w:uiPriority w:val="22"/>
    <w:qFormat/>
    <w:rsid w:val="00745516"/>
    <w:rPr>
      <w:b/>
      <w:bCs/>
    </w:rPr>
  </w:style>
  <w:style w:type="paragraph" w:styleId="NormalWeb">
    <w:name w:val="Normal (Web)"/>
    <w:basedOn w:val="Normal"/>
    <w:uiPriority w:val="99"/>
    <w:semiHidden/>
    <w:unhideWhenUsed/>
    <w:rsid w:val="0074551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Hyperlink">
    <w:name w:val="Hyperlink"/>
    <w:basedOn w:val="DefaultParagraphFont"/>
    <w:uiPriority w:val="99"/>
    <w:unhideWhenUsed/>
    <w:rsid w:val="007D5554"/>
    <w:rPr>
      <w:color w:val="0563C1" w:themeColor="hyperlink"/>
      <w:u w:val="single"/>
    </w:rPr>
  </w:style>
  <w:style w:type="character" w:styleId="UnresolvedMention">
    <w:name w:val="Unresolved Mention"/>
    <w:basedOn w:val="DefaultParagraphFont"/>
    <w:uiPriority w:val="99"/>
    <w:semiHidden/>
    <w:unhideWhenUsed/>
    <w:rsid w:val="00EC2F71"/>
    <w:rPr>
      <w:color w:val="605E5C"/>
      <w:shd w:val="clear" w:color="auto" w:fill="E1DFDD"/>
    </w:rPr>
  </w:style>
  <w:style w:type="table" w:styleId="TableGrid">
    <w:name w:val="Table Grid"/>
    <w:basedOn w:val="TableNormal"/>
    <w:uiPriority w:val="59"/>
    <w:rsid w:val="00B2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5CB1"/>
    <w:rPr>
      <w:color w:val="666666"/>
    </w:rPr>
  </w:style>
  <w:style w:type="character" w:styleId="FollowedHyperlink">
    <w:name w:val="FollowedHyperlink"/>
    <w:basedOn w:val="DefaultParagraphFont"/>
    <w:uiPriority w:val="99"/>
    <w:semiHidden/>
    <w:unhideWhenUsed/>
    <w:rsid w:val="00A111CD"/>
    <w:rPr>
      <w:color w:val="954F72" w:themeColor="followedHyperlink"/>
      <w:u w:val="single"/>
    </w:rPr>
  </w:style>
  <w:style w:type="paragraph" w:styleId="Header">
    <w:name w:val="header"/>
    <w:basedOn w:val="Normal"/>
    <w:link w:val="HeaderChar"/>
    <w:uiPriority w:val="99"/>
    <w:unhideWhenUsed/>
    <w:rsid w:val="0005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70"/>
  </w:style>
  <w:style w:type="paragraph" w:styleId="Footer">
    <w:name w:val="footer"/>
    <w:basedOn w:val="Normal"/>
    <w:link w:val="FooterChar"/>
    <w:uiPriority w:val="99"/>
    <w:unhideWhenUsed/>
    <w:rsid w:val="0005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cc-nggip.iges.or.jp/public/2019rf/vol4.html" TargetMode="External"/><Relationship Id="rId18" Type="http://schemas.openxmlformats.org/officeDocument/2006/relationships/hyperlink" Target="https://www.nature.com/articles/nature07276" TargetMode="External"/><Relationship Id="rId26" Type="http://schemas.openxmlformats.org/officeDocument/2006/relationships/hyperlink" Target="https://www.science.org/doi/10.1126/science.1201609" TargetMode="External"/><Relationship Id="rId39" Type="http://schemas.openxmlformats.org/officeDocument/2006/relationships/footer" Target="footer2.xml"/><Relationship Id="rId21" Type="http://schemas.openxmlformats.org/officeDocument/2006/relationships/hyperlink" Target="https://www.science.org/doi/10.1126/science.1201609" TargetMode="External"/><Relationship Id="rId34" Type="http://schemas.openxmlformats.org/officeDocument/2006/relationships/hyperlink" Target="https://www.science.org/doi/10.1126/science.1201609"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nature.com/articles/nature07276" TargetMode="External"/><Relationship Id="rId20" Type="http://schemas.openxmlformats.org/officeDocument/2006/relationships/hyperlink" Target="https://www.nature.com/articles/nature07276" TargetMode="External"/><Relationship Id="rId29" Type="http://schemas.openxmlformats.org/officeDocument/2006/relationships/hyperlink" Target="https://www.science.org/doi/10.1126/science.120160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roceedings+of+the+&amp;client=firefox-b-d&amp;hs=UthU&amp;sca_esv=0ccad900ef2a9a41&amp;biw=1366&amp;bih=625&amp;sxsrf=ANbL-n5Og54G5_tT6udvGIuNt4GiZnn0RQ%3A1771406189677&amp;ei=bYOVab_9KO-hseMPuN3QCA&amp;ved=2ahUKEwiQhuOy3OKSAxXVh68BHXGbPfUQgK4QegQIARAB&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24" Type="http://schemas.openxmlformats.org/officeDocument/2006/relationships/hyperlink" Target="https://www.science.org/doi/10.1126/science.1201609" TargetMode="External"/><Relationship Id="rId32" Type="http://schemas.openxmlformats.org/officeDocument/2006/relationships/hyperlink" Target="https://www.science.org/doi/10.1126/science.120160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ature.com/articles/nature07276" TargetMode="External"/><Relationship Id="rId23" Type="http://schemas.openxmlformats.org/officeDocument/2006/relationships/hyperlink" Target="https://www.science.org/doi/10.1126/science.1201609" TargetMode="External"/><Relationship Id="rId28" Type="http://schemas.openxmlformats.org/officeDocument/2006/relationships/hyperlink" Target="https://www.science.org/doi/10.1126/science.1201609"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nature.com/articles/nature07276" TargetMode="External"/><Relationship Id="rId31" Type="http://schemas.openxmlformats.org/officeDocument/2006/relationships/hyperlink" Target="https://www.science.org/doi/10.1126/science.120160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ature.com/articles/nature07276" TargetMode="External"/><Relationship Id="rId22" Type="http://schemas.openxmlformats.org/officeDocument/2006/relationships/hyperlink" Target="https://www.science.org/doi/10.1126/science.1201609" TargetMode="External"/><Relationship Id="rId27" Type="http://schemas.openxmlformats.org/officeDocument/2006/relationships/hyperlink" Target="https://www.science.org/doi/10.1126/science.1201609" TargetMode="External"/><Relationship Id="rId30" Type="http://schemas.openxmlformats.org/officeDocument/2006/relationships/hyperlink" Target="https://www.science.org/doi/10.1126/science.1201609" TargetMode="External"/><Relationship Id="rId35" Type="http://schemas.openxmlformats.org/officeDocument/2006/relationships/hyperlink" Target="https://www.science.org/doi/10.1126/science.1201609" TargetMode="External"/><Relationship Id="rId43" Type="http://schemas.openxmlformats.org/officeDocument/2006/relationships/theme" Target="theme/theme1.xml"/><Relationship Id="rId8" Type="http://schemas.openxmlformats.org/officeDocument/2006/relationships/hyperlink" Target="https://powo.science.kew.org/" TargetMode="External"/><Relationship Id="rId3" Type="http://schemas.openxmlformats.org/officeDocument/2006/relationships/settings" Target="settings.xml"/><Relationship Id="rId12" Type="http://schemas.openxmlformats.org/officeDocument/2006/relationships/hyperlink" Target="https://www.google.com/search?q=National+Academy+of+Sciences+of+the+United+States+of+America&amp;client=firefox-b-d&amp;hs=UthU&amp;sca_esv=0ccad900ef2a9a41&amp;biw=1366&amp;bih=625&amp;sxsrf=ANbL-n5Og54G5_tT6udvGIuNt4GiZnn0RQ%3A1771406189677&amp;ei=bYOVab_9KO-hseMPuN3QCA&amp;ved=2ahUKEwiQhuOy3OKSAxXVh68BHXGbPfUQgK4QegQIARAD&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17" Type="http://schemas.openxmlformats.org/officeDocument/2006/relationships/hyperlink" Target="https://www.nature.com/articles/nature07276" TargetMode="External"/><Relationship Id="rId25" Type="http://schemas.openxmlformats.org/officeDocument/2006/relationships/hyperlink" Target="https://www.science.org/doi/10.1126/science.1201609" TargetMode="External"/><Relationship Id="rId33" Type="http://schemas.openxmlformats.org/officeDocument/2006/relationships/hyperlink" Target="https://www.science.org/doi/10.1126/science.12016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15</Pages>
  <Words>5094</Words>
  <Characters>29040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1084</cp:lastModifiedBy>
  <cp:revision>165</cp:revision>
  <dcterms:created xsi:type="dcterms:W3CDTF">2026-01-15T06:54:00Z</dcterms:created>
  <dcterms:modified xsi:type="dcterms:W3CDTF">2026-03-12T08:55:00Z</dcterms:modified>
</cp:coreProperties>
</file>