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7E54E" w14:textId="77777777" w:rsidR="00A258C3" w:rsidRPr="00790ADA" w:rsidRDefault="00E13DF7" w:rsidP="00E13DF7">
      <w:pPr>
        <w:pStyle w:val="Author"/>
        <w:spacing w:after="240" w:line="240" w:lineRule="auto"/>
        <w:jc w:val="both"/>
        <w:rPr>
          <w:rFonts w:ascii="Arial" w:hAnsi="Arial" w:cs="Arial"/>
          <w:sz w:val="36"/>
        </w:rPr>
      </w:pPr>
      <w:r w:rsidRPr="00E13DF7">
        <w:rPr>
          <w:rFonts w:ascii="Arial" w:hAnsi="Arial" w:cs="Arial"/>
          <w:bCs/>
          <w:iCs/>
          <w:kern w:val="28"/>
          <w:sz w:val="36"/>
        </w:rPr>
        <w:t>Agronomic Performance and Yield Stability of Maize (</w:t>
      </w:r>
      <w:proofErr w:type="spellStart"/>
      <w:r w:rsidRPr="00F80F39">
        <w:rPr>
          <w:rFonts w:ascii="Arial" w:hAnsi="Arial" w:cs="Arial"/>
          <w:bCs/>
          <w:i/>
          <w:iCs/>
          <w:kern w:val="28"/>
          <w:sz w:val="36"/>
        </w:rPr>
        <w:t>Zea</w:t>
      </w:r>
      <w:proofErr w:type="spellEnd"/>
      <w:r w:rsidRPr="00F80F39">
        <w:rPr>
          <w:rFonts w:ascii="Arial" w:hAnsi="Arial" w:cs="Arial"/>
          <w:bCs/>
          <w:i/>
          <w:iCs/>
          <w:kern w:val="28"/>
          <w:sz w:val="36"/>
        </w:rPr>
        <w:t xml:space="preserve"> mays</w:t>
      </w:r>
      <w:r w:rsidRPr="00E13DF7">
        <w:rPr>
          <w:rFonts w:ascii="Arial" w:hAnsi="Arial" w:cs="Arial"/>
          <w:bCs/>
          <w:iCs/>
          <w:kern w:val="28"/>
          <w:sz w:val="36"/>
        </w:rPr>
        <w:t xml:space="preserve"> L.) Hybrids under Drought Stress in the </w:t>
      </w:r>
      <w:proofErr w:type="spellStart"/>
      <w:r w:rsidRPr="00E13DF7">
        <w:rPr>
          <w:rFonts w:ascii="Arial" w:hAnsi="Arial" w:cs="Arial"/>
          <w:bCs/>
          <w:iCs/>
          <w:kern w:val="28"/>
          <w:sz w:val="36"/>
        </w:rPr>
        <w:t>Sudanian</w:t>
      </w:r>
      <w:proofErr w:type="spellEnd"/>
      <w:r w:rsidRPr="00E13DF7">
        <w:rPr>
          <w:rFonts w:ascii="Arial" w:hAnsi="Arial" w:cs="Arial"/>
          <w:bCs/>
          <w:iCs/>
          <w:kern w:val="28"/>
          <w:sz w:val="36"/>
        </w:rPr>
        <w:t xml:space="preserve"> Savanna of Côte d'Ivoire</w:t>
      </w:r>
    </w:p>
    <w:p w14:paraId="217EE67E" w14:textId="77777777" w:rsidR="008900D4" w:rsidRPr="00805B52" w:rsidRDefault="008900D4" w:rsidP="00805B52">
      <w:pPr>
        <w:pStyle w:val="Affiliation"/>
        <w:spacing w:after="0" w:line="240" w:lineRule="auto"/>
        <w:rPr>
          <w:rFonts w:ascii="Arial" w:hAnsi="Arial" w:cs="Arial"/>
        </w:rPr>
      </w:pPr>
    </w:p>
    <w:p w14:paraId="1081DB0B" w14:textId="70A742ED" w:rsidR="00B01FCD" w:rsidRPr="00FB3A86" w:rsidRDefault="003A3AAC" w:rsidP="00441B6F">
      <w:pPr>
        <w:pStyle w:val="Copyright"/>
        <w:spacing w:after="0" w:line="240" w:lineRule="auto"/>
        <w:jc w:val="both"/>
        <w:rPr>
          <w:rFonts w:ascii="Arial" w:hAnsi="Arial" w:cs="Arial"/>
        </w:rPr>
        <w:sectPr w:rsidR="00B01FCD" w:rsidRPr="00FB3A86" w:rsidSect="00D01E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9B8702" wp14:editId="23C250EC">
                <wp:extent cx="5303520" cy="635"/>
                <wp:effectExtent l="13335" t="12065" r="17145" b="16510"/>
                <wp:docPr id="35112859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96C41A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0BCE1F4" w14:textId="77777777" w:rsidR="00790ADA" w:rsidRPr="00FB3A86" w:rsidRDefault="000E2984" w:rsidP="00441B6F">
      <w:pPr>
        <w:pStyle w:val="AbstHead"/>
        <w:spacing w:after="0"/>
        <w:jc w:val="both"/>
        <w:rPr>
          <w:rFonts w:ascii="Arial" w:hAnsi="Arial" w:cs="Arial"/>
        </w:rPr>
      </w:pPr>
      <w:r w:rsidRPr="00FB3A86">
        <w:rPr>
          <w:rFonts w:ascii="Arial" w:hAnsi="Arial" w:cs="Arial"/>
          <w:caps w:val="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9F7BEB2" w14:textId="77777777" w:rsidTr="00805B52">
        <w:tc>
          <w:tcPr>
            <w:tcW w:w="9576" w:type="dxa"/>
          </w:tcPr>
          <w:p w14:paraId="493526E1" w14:textId="77777777" w:rsidR="00F80F39" w:rsidRPr="00F80F39" w:rsidRDefault="00F80F39" w:rsidP="00F80F39">
            <w:pPr>
              <w:pStyle w:val="Body"/>
              <w:spacing w:after="0"/>
              <w:rPr>
                <w:rFonts w:ascii="Arial" w:eastAsia="Calibri" w:hAnsi="Arial" w:cs="Arial"/>
                <w:szCs w:val="22"/>
              </w:rPr>
            </w:pPr>
            <w:r w:rsidRPr="00F80F39">
              <w:rPr>
                <w:rFonts w:ascii="Arial" w:eastAsia="Calibri" w:hAnsi="Arial" w:cs="Arial"/>
                <w:b/>
                <w:szCs w:val="22"/>
              </w:rPr>
              <w:t>Aims:</w:t>
            </w:r>
            <w:r w:rsidRPr="00F80F39">
              <w:rPr>
                <w:rFonts w:ascii="Arial" w:eastAsia="Calibri" w:hAnsi="Arial" w:cs="Arial"/>
                <w:szCs w:val="22"/>
              </w:rPr>
              <w:t xml:space="preserve"> Evaluating the stability of grain yield under abiotic stress is a major challenge for enhancing the resilience of cereal-based cropping systems in West Africa.</w:t>
            </w:r>
          </w:p>
          <w:p w14:paraId="17216C65" w14:textId="77777777" w:rsidR="00F80F39" w:rsidRPr="00F80F39" w:rsidRDefault="00F80F39" w:rsidP="00F80F39">
            <w:pPr>
              <w:pStyle w:val="Body"/>
              <w:spacing w:after="0"/>
              <w:rPr>
                <w:rFonts w:ascii="Arial" w:eastAsia="Calibri" w:hAnsi="Arial" w:cs="Arial"/>
                <w:szCs w:val="22"/>
              </w:rPr>
            </w:pPr>
            <w:r w:rsidRPr="00F80F39">
              <w:rPr>
                <w:rFonts w:ascii="Arial" w:eastAsia="Calibri" w:hAnsi="Arial" w:cs="Arial"/>
                <w:b/>
                <w:szCs w:val="22"/>
              </w:rPr>
              <w:t>Place and Duration of Study:</w:t>
            </w:r>
            <w:r w:rsidRPr="00F80F39">
              <w:rPr>
                <w:rFonts w:ascii="Arial" w:eastAsia="Calibri" w:hAnsi="Arial" w:cs="Arial"/>
                <w:szCs w:val="22"/>
              </w:rPr>
              <w:t xml:space="preserve"> This study aimed to </w:t>
            </w:r>
            <w:proofErr w:type="spellStart"/>
            <w:r w:rsidRPr="00F80F39">
              <w:rPr>
                <w:rFonts w:ascii="Arial" w:eastAsia="Calibri" w:hAnsi="Arial" w:cs="Arial"/>
                <w:szCs w:val="22"/>
              </w:rPr>
              <w:t>characterise</w:t>
            </w:r>
            <w:proofErr w:type="spellEnd"/>
            <w:r w:rsidRPr="00F80F39">
              <w:rPr>
                <w:rFonts w:ascii="Arial" w:eastAsia="Calibri" w:hAnsi="Arial" w:cs="Arial"/>
                <w:szCs w:val="22"/>
              </w:rPr>
              <w:t xml:space="preserve"> the performance and stability of seven maize genotypes (five experimental hybrids and two checks) across two contrasting environ</w:t>
            </w:r>
            <w:r>
              <w:rPr>
                <w:rFonts w:ascii="Arial" w:eastAsia="Calibri" w:hAnsi="Arial" w:cs="Arial"/>
                <w:szCs w:val="22"/>
              </w:rPr>
              <w:t>ments in northern Côte d’Ivoire</w:t>
            </w:r>
            <w:r w:rsidRPr="00F80F39">
              <w:rPr>
                <w:rFonts w:ascii="Arial" w:eastAsia="Calibri" w:hAnsi="Arial" w:cs="Arial"/>
                <w:szCs w:val="22"/>
              </w:rPr>
              <w:t xml:space="preserve">: </w:t>
            </w:r>
            <w:proofErr w:type="spellStart"/>
            <w:r w:rsidRPr="00F80F39">
              <w:rPr>
                <w:rFonts w:ascii="Arial" w:eastAsia="Calibri" w:hAnsi="Arial" w:cs="Arial"/>
                <w:szCs w:val="22"/>
              </w:rPr>
              <w:t>Ferké</w:t>
            </w:r>
            <w:proofErr w:type="spellEnd"/>
            <w:r w:rsidRPr="00F80F39">
              <w:rPr>
                <w:rFonts w:ascii="Arial" w:eastAsia="Calibri" w:hAnsi="Arial" w:cs="Arial"/>
                <w:szCs w:val="22"/>
              </w:rPr>
              <w:t xml:space="preserve"> (</w:t>
            </w:r>
            <w:proofErr w:type="spellStart"/>
            <w:r w:rsidRPr="00F80F39">
              <w:rPr>
                <w:rFonts w:ascii="Arial" w:eastAsia="Calibri" w:hAnsi="Arial" w:cs="Arial"/>
                <w:szCs w:val="22"/>
              </w:rPr>
              <w:t>favourable</w:t>
            </w:r>
            <w:proofErr w:type="spellEnd"/>
            <w:r w:rsidRPr="00F80F39">
              <w:rPr>
                <w:rFonts w:ascii="Arial" w:eastAsia="Calibri" w:hAnsi="Arial" w:cs="Arial"/>
                <w:szCs w:val="22"/>
              </w:rPr>
              <w:t xml:space="preserve"> rainfall cond</w:t>
            </w:r>
            <w:bookmarkStart w:id="0" w:name="_GoBack"/>
            <w:bookmarkEnd w:id="0"/>
            <w:r w:rsidRPr="00F80F39">
              <w:rPr>
                <w:rFonts w:ascii="Arial" w:eastAsia="Calibri" w:hAnsi="Arial" w:cs="Arial"/>
                <w:szCs w:val="22"/>
              </w:rPr>
              <w:t xml:space="preserve">itions) and </w:t>
            </w:r>
            <w:proofErr w:type="spellStart"/>
            <w:r w:rsidRPr="00F80F39">
              <w:rPr>
                <w:rFonts w:ascii="Arial" w:eastAsia="Calibri" w:hAnsi="Arial" w:cs="Arial"/>
                <w:szCs w:val="22"/>
              </w:rPr>
              <w:t>Boundiali</w:t>
            </w:r>
            <w:proofErr w:type="spellEnd"/>
            <w:r w:rsidRPr="00F80F39">
              <w:rPr>
                <w:rFonts w:ascii="Arial" w:eastAsia="Calibri" w:hAnsi="Arial" w:cs="Arial"/>
                <w:szCs w:val="22"/>
              </w:rPr>
              <w:t xml:space="preserve"> (severe water stress during the grain-filling phase).</w:t>
            </w:r>
          </w:p>
          <w:p w14:paraId="78480C52" w14:textId="77777777" w:rsidR="00F80F39" w:rsidRPr="00F80F39" w:rsidRDefault="00F80F39" w:rsidP="00F80F39">
            <w:pPr>
              <w:pStyle w:val="Body"/>
              <w:spacing w:after="0"/>
              <w:rPr>
                <w:rFonts w:ascii="Arial" w:eastAsia="Calibri" w:hAnsi="Arial" w:cs="Arial"/>
                <w:szCs w:val="22"/>
              </w:rPr>
            </w:pPr>
            <w:r w:rsidRPr="00F80F39">
              <w:rPr>
                <w:rFonts w:ascii="Arial" w:eastAsia="Calibri" w:hAnsi="Arial" w:cs="Arial"/>
                <w:b/>
                <w:szCs w:val="22"/>
              </w:rPr>
              <w:t>Study design:</w:t>
            </w:r>
            <w:r w:rsidRPr="00F80F39">
              <w:rPr>
                <w:rFonts w:ascii="Arial" w:eastAsia="Calibri" w:hAnsi="Arial" w:cs="Arial"/>
                <w:szCs w:val="22"/>
              </w:rPr>
              <w:t xml:space="preserve"> The experimental design was a </w:t>
            </w:r>
            <w:proofErr w:type="spellStart"/>
            <w:r w:rsidRPr="00F80F39">
              <w:rPr>
                <w:rFonts w:ascii="Arial" w:eastAsia="Calibri" w:hAnsi="Arial" w:cs="Arial"/>
                <w:szCs w:val="22"/>
              </w:rPr>
              <w:t>randomised</w:t>
            </w:r>
            <w:proofErr w:type="spellEnd"/>
            <w:r w:rsidRPr="00F80F39">
              <w:rPr>
                <w:rFonts w:ascii="Arial" w:eastAsia="Calibri" w:hAnsi="Arial" w:cs="Arial"/>
                <w:szCs w:val="22"/>
              </w:rPr>
              <w:t xml:space="preserve"> complete block design (RCBD) with three replications.</w:t>
            </w:r>
          </w:p>
          <w:p w14:paraId="7F0D9760" w14:textId="77777777" w:rsidR="00F80F39" w:rsidRPr="00F80F39" w:rsidRDefault="00F80F39" w:rsidP="00F80F39">
            <w:pPr>
              <w:pStyle w:val="Body"/>
              <w:spacing w:after="0"/>
              <w:rPr>
                <w:rFonts w:ascii="Arial" w:eastAsia="Calibri" w:hAnsi="Arial" w:cs="Arial"/>
                <w:szCs w:val="22"/>
              </w:rPr>
            </w:pPr>
            <w:r w:rsidRPr="00F80F39">
              <w:rPr>
                <w:rFonts w:ascii="Arial" w:eastAsia="Calibri" w:hAnsi="Arial" w:cs="Arial"/>
                <w:b/>
                <w:szCs w:val="22"/>
              </w:rPr>
              <w:t>Results:</w:t>
            </w:r>
            <w:r w:rsidRPr="00F80F39">
              <w:rPr>
                <w:rFonts w:ascii="Arial" w:eastAsia="Calibri" w:hAnsi="Arial" w:cs="Arial"/>
                <w:szCs w:val="22"/>
              </w:rPr>
              <w:t xml:space="preserve"> Analysis of variance (ANOVA) revealed highly significant effects (P &lt; 0.001) for genotypes, environments, and the genotype × environment (G×E) interaction. At </w:t>
            </w:r>
            <w:proofErr w:type="spellStart"/>
            <w:r w:rsidRPr="00F80F39">
              <w:rPr>
                <w:rFonts w:ascii="Arial" w:eastAsia="Calibri" w:hAnsi="Arial" w:cs="Arial"/>
                <w:szCs w:val="22"/>
              </w:rPr>
              <w:t>Ferké</w:t>
            </w:r>
            <w:proofErr w:type="spellEnd"/>
            <w:r w:rsidRPr="00F80F39">
              <w:rPr>
                <w:rFonts w:ascii="Arial" w:eastAsia="Calibri" w:hAnsi="Arial" w:cs="Arial"/>
                <w:szCs w:val="22"/>
              </w:rPr>
              <w:t xml:space="preserve">, mean grain yields reached a potential of 5.79 t/ha, whereas a drastic reduction was observed at </w:t>
            </w:r>
            <w:proofErr w:type="spellStart"/>
            <w:r w:rsidRPr="00F80F39">
              <w:rPr>
                <w:rFonts w:ascii="Arial" w:eastAsia="Calibri" w:hAnsi="Arial" w:cs="Arial"/>
                <w:szCs w:val="22"/>
              </w:rPr>
              <w:t>Boundiali</w:t>
            </w:r>
            <w:proofErr w:type="spellEnd"/>
            <w:r w:rsidRPr="00F80F39">
              <w:rPr>
                <w:rFonts w:ascii="Arial" w:eastAsia="Calibri" w:hAnsi="Arial" w:cs="Arial"/>
                <w:szCs w:val="22"/>
              </w:rPr>
              <w:t xml:space="preserve"> (mean of 2.63 t/ha). GGE biplot analysis decomposed the G×E interaction and identified two distinct mega-environments. Hybrid A1909-9 exhibited remarkable stability and balanced performance across both sites, while EWH-118 demonstrated the highest tolerance to stress, achieving 4.35 t/ha at </w:t>
            </w:r>
            <w:proofErr w:type="spellStart"/>
            <w:r w:rsidRPr="00F80F39">
              <w:rPr>
                <w:rFonts w:ascii="Arial" w:eastAsia="Calibri" w:hAnsi="Arial" w:cs="Arial"/>
                <w:szCs w:val="22"/>
              </w:rPr>
              <w:t>Boundiali</w:t>
            </w:r>
            <w:proofErr w:type="spellEnd"/>
            <w:r w:rsidRPr="00F80F39">
              <w:rPr>
                <w:rFonts w:ascii="Arial" w:eastAsia="Calibri" w:hAnsi="Arial" w:cs="Arial"/>
                <w:szCs w:val="22"/>
              </w:rPr>
              <w:t>. In contrast, the check FMB showed high sensitivity, with a yield reduction of 60%.</w:t>
            </w:r>
          </w:p>
          <w:p w14:paraId="47754C2A" w14:textId="77777777" w:rsidR="00505F06" w:rsidRPr="00BA1B01" w:rsidRDefault="00F80F39" w:rsidP="00441B6F">
            <w:pPr>
              <w:pStyle w:val="Body"/>
              <w:spacing w:after="0"/>
              <w:rPr>
                <w:rFonts w:ascii="Arial" w:eastAsia="Calibri" w:hAnsi="Arial" w:cs="Arial"/>
                <w:szCs w:val="22"/>
              </w:rPr>
            </w:pPr>
            <w:r w:rsidRPr="00F80F39">
              <w:rPr>
                <w:rFonts w:ascii="Arial" w:eastAsia="Calibri" w:hAnsi="Arial" w:cs="Arial"/>
                <w:b/>
                <w:szCs w:val="22"/>
              </w:rPr>
              <w:t>Conclusion:</w:t>
            </w:r>
            <w:r w:rsidRPr="00F80F39">
              <w:rPr>
                <w:rFonts w:ascii="Arial" w:eastAsia="Calibri" w:hAnsi="Arial" w:cs="Arial"/>
                <w:szCs w:val="22"/>
              </w:rPr>
              <w:t xml:space="preserve"> In conclusion, hybrids A1909-9 and EWH-118 display the most promising adaptability profiles and are recommended for dissemination in the </w:t>
            </w:r>
            <w:proofErr w:type="spellStart"/>
            <w:r w:rsidRPr="00F80F39">
              <w:rPr>
                <w:rFonts w:ascii="Arial" w:eastAsia="Calibri" w:hAnsi="Arial" w:cs="Arial"/>
                <w:szCs w:val="22"/>
              </w:rPr>
              <w:t>Sudanian</w:t>
            </w:r>
            <w:proofErr w:type="spellEnd"/>
            <w:r w:rsidRPr="00F80F39">
              <w:rPr>
                <w:rFonts w:ascii="Arial" w:eastAsia="Calibri" w:hAnsi="Arial" w:cs="Arial"/>
                <w:szCs w:val="22"/>
              </w:rPr>
              <w:t xml:space="preserve"> savannah zone subject to climatic </w:t>
            </w:r>
            <w:proofErr w:type="spellStart"/>
            <w:proofErr w:type="gramStart"/>
            <w:r w:rsidRPr="00F80F39">
              <w:rPr>
                <w:rFonts w:ascii="Arial" w:eastAsia="Calibri" w:hAnsi="Arial" w:cs="Arial"/>
                <w:szCs w:val="22"/>
              </w:rPr>
              <w:t>variability.</w:t>
            </w:r>
            <w:r w:rsidR="00BA1B01" w:rsidRPr="00BA1B01">
              <w:rPr>
                <w:rFonts w:ascii="Arial" w:eastAsia="Calibri" w:hAnsi="Arial" w:cs="Arial"/>
                <w:szCs w:val="22"/>
              </w:rPr>
              <w:t>patients</w:t>
            </w:r>
            <w:proofErr w:type="spellEnd"/>
            <w:proofErr w:type="gramEnd"/>
            <w:r w:rsidR="00BA1B01" w:rsidRPr="00BA1B01">
              <w:rPr>
                <w:rFonts w:ascii="Arial" w:eastAsia="Calibri" w:hAnsi="Arial" w:cs="Arial"/>
                <w:szCs w:val="22"/>
              </w:rPr>
              <w:t>. These predictors, however, need further work to validate reliability.</w:t>
            </w:r>
          </w:p>
        </w:tc>
      </w:tr>
    </w:tbl>
    <w:p w14:paraId="305BB1E5" w14:textId="77777777" w:rsidR="00505F06" w:rsidRPr="00A24E7E" w:rsidRDefault="00A24E7E" w:rsidP="00E70812">
      <w:pPr>
        <w:pStyle w:val="Body"/>
        <w:rPr>
          <w:rFonts w:ascii="Arial" w:hAnsi="Arial" w:cs="Arial"/>
          <w:i/>
        </w:rPr>
      </w:pPr>
      <w:r>
        <w:rPr>
          <w:rFonts w:ascii="Arial" w:hAnsi="Arial" w:cs="Arial"/>
          <w:i/>
        </w:rPr>
        <w:t xml:space="preserve">Keywords: </w:t>
      </w:r>
      <w:proofErr w:type="spellStart"/>
      <w:r w:rsidR="00F80F39" w:rsidRPr="00F80F39">
        <w:rPr>
          <w:rFonts w:ascii="Arial" w:hAnsi="Arial" w:cs="Arial"/>
          <w:i/>
        </w:rPr>
        <w:t>Zea</w:t>
      </w:r>
      <w:proofErr w:type="spellEnd"/>
      <w:r w:rsidR="00F80F39" w:rsidRPr="00F80F39">
        <w:rPr>
          <w:rFonts w:ascii="Arial" w:hAnsi="Arial" w:cs="Arial"/>
          <w:i/>
        </w:rPr>
        <w:t xml:space="preserve"> mays, Genotype × environment interaction, GGE biplot, Drought, Food security, Côte d'Ivoire.</w:t>
      </w:r>
    </w:p>
    <w:p w14:paraId="48C46227" w14:textId="77777777" w:rsidR="007F7B32" w:rsidRDefault="000E2984" w:rsidP="0029352D">
      <w:pPr>
        <w:pStyle w:val="AbstHead"/>
        <w:spacing w:after="0" w:line="360" w:lineRule="auto"/>
        <w:jc w:val="both"/>
        <w:rPr>
          <w:rFonts w:ascii="Arial" w:hAnsi="Arial" w:cs="Arial"/>
        </w:rPr>
      </w:pPr>
      <w:r>
        <w:rPr>
          <w:rFonts w:ascii="Arial" w:hAnsi="Arial" w:cs="Arial"/>
          <w:caps w:val="0"/>
        </w:rPr>
        <w:t xml:space="preserve">1. </w:t>
      </w:r>
      <w:r w:rsidRPr="00FB3A86">
        <w:rPr>
          <w:rFonts w:ascii="Arial" w:hAnsi="Arial" w:cs="Arial"/>
          <w:caps w:val="0"/>
        </w:rPr>
        <w:t>Introduction</w:t>
      </w:r>
      <w:r>
        <w:rPr>
          <w:rFonts w:ascii="Arial" w:hAnsi="Arial" w:cs="Arial"/>
          <w:caps w:val="0"/>
        </w:rPr>
        <w:t xml:space="preserve"> </w:t>
      </w:r>
    </w:p>
    <w:p w14:paraId="30F64258" w14:textId="77777777" w:rsidR="00F80F39" w:rsidRPr="00F80F39" w:rsidRDefault="00F80F39" w:rsidP="0029352D">
      <w:pPr>
        <w:spacing w:line="360" w:lineRule="auto"/>
        <w:jc w:val="both"/>
      </w:pPr>
      <w:r w:rsidRPr="00F80F39">
        <w:t xml:space="preserve">Climate variability in West Africa necessitates a continual re-evaluation of varietal selection strategies for staple crops. According to Cairns et al. (2022), drought-prone environments in sub-Saharan Africa require specific breeding strategies to ensure food security. In Côte d'Ivoire, the </w:t>
      </w:r>
      <w:proofErr w:type="spellStart"/>
      <w:r w:rsidRPr="00F80F39">
        <w:t>Sudanian</w:t>
      </w:r>
      <w:proofErr w:type="spellEnd"/>
      <w:r w:rsidRPr="00F80F39">
        <w:t xml:space="preserve"> savanna zones, despite their high </w:t>
      </w:r>
      <w:proofErr w:type="spellStart"/>
      <w:r w:rsidRPr="00F80F39">
        <w:t>agro</w:t>
      </w:r>
      <w:proofErr w:type="spellEnd"/>
      <w:r w:rsidRPr="00F80F39">
        <w:t xml:space="preserve">-ecological potential, are subject to increasing rainfall irregularity. While the </w:t>
      </w:r>
      <w:proofErr w:type="spellStart"/>
      <w:r w:rsidRPr="00F80F39">
        <w:t>Ferké</w:t>
      </w:r>
      <w:proofErr w:type="spellEnd"/>
      <w:r w:rsidRPr="00F80F39">
        <w:t xml:space="preserve"> area generally benefits from a bimodal rainfall distribution </w:t>
      </w:r>
      <w:proofErr w:type="spellStart"/>
      <w:r w:rsidRPr="00F80F39">
        <w:t>favourable</w:t>
      </w:r>
      <w:proofErr w:type="spellEnd"/>
      <w:r w:rsidRPr="00F80F39">
        <w:t xml:space="preserve"> for cereal cultivation, the </w:t>
      </w:r>
      <w:proofErr w:type="spellStart"/>
      <w:r w:rsidRPr="00F80F39">
        <w:t>Boundiali</w:t>
      </w:r>
      <w:proofErr w:type="spellEnd"/>
      <w:r w:rsidRPr="00F80F39">
        <w:t xml:space="preserve"> region remains vulnerable to unpredictable drought episodes (</w:t>
      </w:r>
      <w:proofErr w:type="spellStart"/>
      <w:r w:rsidRPr="00F80F39">
        <w:t>Kouakou</w:t>
      </w:r>
      <w:proofErr w:type="spellEnd"/>
      <w:r w:rsidRPr="00F80F39">
        <w:t xml:space="preserve"> et al., 2019). According to </w:t>
      </w:r>
      <w:proofErr w:type="spellStart"/>
      <w:r w:rsidRPr="00F80F39">
        <w:t>Asseng</w:t>
      </w:r>
      <w:proofErr w:type="spellEnd"/>
      <w:r w:rsidRPr="00F80F39">
        <w:t xml:space="preserve"> et al. (2021), water stress occurring during critical phases of flowering or grain filling can lead to drastic yield losses, ranging from 30 to 70%.</w:t>
      </w:r>
    </w:p>
    <w:p w14:paraId="725BEB14" w14:textId="77777777" w:rsidR="00F80F39" w:rsidRPr="00F80F39" w:rsidRDefault="00F80F39" w:rsidP="0029352D">
      <w:pPr>
        <w:spacing w:line="360" w:lineRule="auto"/>
        <w:jc w:val="both"/>
      </w:pPr>
      <w:r w:rsidRPr="00F80F39">
        <w:t xml:space="preserve">In this context, selection for stability must no longer be limited to assessing average yield but must imperatively incorporate resilience, defined as the capacity to maintain performance in limiting environments (Zhang et al., 2023). Recent studies conducted in West Africa (Diouf et </w:t>
      </w:r>
      <w:r w:rsidRPr="00F80F39">
        <w:lastRenderedPageBreak/>
        <w:t xml:space="preserve">al., 2020; </w:t>
      </w:r>
      <w:proofErr w:type="spellStart"/>
      <w:r w:rsidRPr="00F80F39">
        <w:t>Traoré</w:t>
      </w:r>
      <w:proofErr w:type="spellEnd"/>
      <w:r w:rsidRPr="00F80F39">
        <w:t xml:space="preserve"> et al., 2021) confirm the importance of multi-location evaluation for identifying adapted varieties. The analysis of genotype × environment (G×E) interaction thus becomes a crucial tool for breeders. Traditionally, grain yield is the predominant selection criterion; however, under water stress, phenological and morphophysiological parameters, such as the anthesis-</w:t>
      </w:r>
      <w:proofErr w:type="spellStart"/>
      <w:r w:rsidRPr="00F80F39">
        <w:t>silking</w:t>
      </w:r>
      <w:proofErr w:type="spellEnd"/>
      <w:r w:rsidRPr="00F80F39">
        <w:t xml:space="preserve"> interval (ASI) or plant height (PHT), become key indicators of survival and reproductive success (</w:t>
      </w:r>
      <w:proofErr w:type="spellStart"/>
      <w:r w:rsidRPr="00F80F39">
        <w:t>Teboh</w:t>
      </w:r>
      <w:proofErr w:type="spellEnd"/>
      <w:r w:rsidRPr="00F80F39">
        <w:t xml:space="preserve"> et al., 2020). A reduced ASI is notably correlated with improved pollen </w:t>
      </w:r>
      <w:proofErr w:type="spellStart"/>
      <w:r w:rsidRPr="00F80F39">
        <w:t>synchronisation</w:t>
      </w:r>
      <w:proofErr w:type="spellEnd"/>
      <w:r w:rsidRPr="00F80F39">
        <w:t xml:space="preserve"> and successful </w:t>
      </w:r>
      <w:proofErr w:type="spellStart"/>
      <w:r w:rsidRPr="00F80F39">
        <w:t>fertilisation</w:t>
      </w:r>
      <w:proofErr w:type="spellEnd"/>
      <w:r w:rsidRPr="00F80F39">
        <w:t xml:space="preserve"> under stress.</w:t>
      </w:r>
    </w:p>
    <w:p w14:paraId="4B56588C" w14:textId="77777777" w:rsidR="00F80F39" w:rsidRPr="00F80F39" w:rsidRDefault="00F80F39" w:rsidP="0029352D">
      <w:pPr>
        <w:spacing w:line="360" w:lineRule="auto"/>
        <w:jc w:val="both"/>
      </w:pPr>
      <w:r w:rsidRPr="00F80F39">
        <w:t xml:space="preserve">To interpret these complex interactions, the GGE biplot model (genotype main effect + genotype-by-environment interaction) has established itself as the reference tool in biometrics. This model not only enables the </w:t>
      </w:r>
      <w:proofErr w:type="spellStart"/>
      <w:r w:rsidRPr="00F80F39">
        <w:t>visualisation</w:t>
      </w:r>
      <w:proofErr w:type="spellEnd"/>
      <w:r w:rsidRPr="00F80F39">
        <w:t xml:space="preserve"> of 'mega-environments' but also identifies 'ideal' genotypes capable of combining productivity under optimal conditions with stability under stress (Yan, 2019). The methodological approach adopted in this study draws inspiration from the work of Badu-</w:t>
      </w:r>
      <w:proofErr w:type="spellStart"/>
      <w:r w:rsidRPr="00F80F39">
        <w:t>Apraku</w:t>
      </w:r>
      <w:proofErr w:type="spellEnd"/>
      <w:r w:rsidRPr="00F80F39">
        <w:t xml:space="preserve"> and </w:t>
      </w:r>
      <w:proofErr w:type="spellStart"/>
      <w:r w:rsidRPr="00F80F39">
        <w:t>Fakorede</w:t>
      </w:r>
      <w:proofErr w:type="spellEnd"/>
      <w:r w:rsidRPr="00F80F39">
        <w:t xml:space="preserve"> (2020) on the evaluation of maize hybrids in Africa.</w:t>
      </w:r>
    </w:p>
    <w:p w14:paraId="4A8FDD7B" w14:textId="77777777" w:rsidR="00F80F39" w:rsidRPr="00E70812" w:rsidRDefault="00F80F39" w:rsidP="0029352D">
      <w:pPr>
        <w:spacing w:after="240" w:line="360" w:lineRule="auto"/>
        <w:jc w:val="both"/>
        <w:rPr>
          <w:b/>
          <w:caps/>
        </w:rPr>
      </w:pPr>
      <w:r w:rsidRPr="00F80F39">
        <w:t xml:space="preserve">The present study aims to </w:t>
      </w:r>
      <w:proofErr w:type="spellStart"/>
      <w:r w:rsidRPr="00F80F39">
        <w:t>characterise</w:t>
      </w:r>
      <w:proofErr w:type="spellEnd"/>
      <w:r w:rsidRPr="00F80F39">
        <w:t xml:space="preserve"> the agronomic performance and resilience of five new maize hybrids in response to the water deficit observed at </w:t>
      </w:r>
      <w:proofErr w:type="spellStart"/>
      <w:r w:rsidRPr="00F80F39">
        <w:t>Boundiali</w:t>
      </w:r>
      <w:proofErr w:type="spellEnd"/>
      <w:r w:rsidRPr="00F80F39">
        <w:t xml:space="preserve"> compared to the production potential at </w:t>
      </w:r>
      <w:proofErr w:type="spellStart"/>
      <w:r w:rsidRPr="00F80F39">
        <w:t>Ferké</w:t>
      </w:r>
      <w:proofErr w:type="spellEnd"/>
      <w:r w:rsidRPr="00F80F39">
        <w:t xml:space="preserve">. The ultimate objective is to identify and propose stable and high-performing hybrid varieties suitable for national registration to secure cereal production in the </w:t>
      </w:r>
      <w:proofErr w:type="spellStart"/>
      <w:r w:rsidRPr="00F80F39">
        <w:t>Sudanian</w:t>
      </w:r>
      <w:proofErr w:type="spellEnd"/>
      <w:r w:rsidRPr="00F80F39">
        <w:t xml:space="preserve"> zone.</w:t>
      </w:r>
    </w:p>
    <w:p w14:paraId="0C30A3BC" w14:textId="77777777" w:rsidR="007F7B32" w:rsidRDefault="000E2984" w:rsidP="0029352D">
      <w:pPr>
        <w:pStyle w:val="AbstHead"/>
        <w:spacing w:after="0" w:line="360" w:lineRule="auto"/>
        <w:jc w:val="both"/>
        <w:rPr>
          <w:rFonts w:ascii="Arial" w:hAnsi="Arial" w:cs="Arial"/>
        </w:rPr>
      </w:pPr>
      <w:r>
        <w:rPr>
          <w:rFonts w:ascii="Arial" w:hAnsi="Arial" w:cs="Arial"/>
          <w:caps w:val="0"/>
        </w:rPr>
        <w:t>2. Material and Methods</w:t>
      </w:r>
    </w:p>
    <w:p w14:paraId="410613ED" w14:textId="77777777" w:rsidR="00790ADA" w:rsidRPr="00FB3A86" w:rsidRDefault="000E2984" w:rsidP="0029352D">
      <w:pPr>
        <w:pStyle w:val="AbstHead"/>
        <w:spacing w:after="0" w:line="360" w:lineRule="auto"/>
        <w:jc w:val="both"/>
        <w:rPr>
          <w:rFonts w:ascii="Arial" w:hAnsi="Arial" w:cs="Arial"/>
        </w:rPr>
      </w:pPr>
      <w:r>
        <w:rPr>
          <w:bCs/>
          <w:caps w:val="0"/>
        </w:rPr>
        <w:t xml:space="preserve">2.1. </w:t>
      </w:r>
      <w:r w:rsidRPr="00192102">
        <w:rPr>
          <w:bCs/>
          <w:caps w:val="0"/>
        </w:rPr>
        <w:t>Experimental Sites</w:t>
      </w:r>
    </w:p>
    <w:p w14:paraId="21374085" w14:textId="77777777" w:rsidR="00DD284E" w:rsidRPr="00DD284E" w:rsidRDefault="00DD284E" w:rsidP="0029352D">
      <w:pPr>
        <w:pStyle w:val="Body"/>
        <w:spacing w:line="360" w:lineRule="auto"/>
        <w:rPr>
          <w:rFonts w:ascii="Arial" w:hAnsi="Arial" w:cs="Arial"/>
        </w:rPr>
      </w:pPr>
      <w:r w:rsidRPr="00DD284E">
        <w:rPr>
          <w:rFonts w:ascii="Arial" w:hAnsi="Arial" w:cs="Arial"/>
        </w:rPr>
        <w:t xml:space="preserve">The study was conducted at two contrasting </w:t>
      </w:r>
      <w:r>
        <w:rPr>
          <w:rFonts w:ascii="Arial" w:hAnsi="Arial" w:cs="Arial"/>
        </w:rPr>
        <w:t>sites in northern Côte d’Ivoire</w:t>
      </w:r>
      <w:r w:rsidRPr="00DD284E">
        <w:rPr>
          <w:rFonts w:ascii="Arial" w:hAnsi="Arial" w:cs="Arial"/>
        </w:rPr>
        <w:t>:</w:t>
      </w:r>
    </w:p>
    <w:p w14:paraId="5FB2E47D" w14:textId="77777777" w:rsidR="00DD284E" w:rsidRPr="00DD284E" w:rsidRDefault="00DD284E" w:rsidP="0029352D">
      <w:pPr>
        <w:pStyle w:val="Body"/>
        <w:spacing w:line="360" w:lineRule="auto"/>
        <w:rPr>
          <w:rFonts w:ascii="Arial" w:hAnsi="Arial" w:cs="Arial"/>
        </w:rPr>
      </w:pPr>
      <w:r>
        <w:rPr>
          <w:rFonts w:ascii="Arial" w:hAnsi="Arial" w:cs="Arial"/>
        </w:rPr>
        <w:t>•</w:t>
      </w:r>
      <w:r w:rsidR="003101CE">
        <w:rPr>
          <w:rFonts w:ascii="Arial" w:hAnsi="Arial" w:cs="Arial"/>
          <w:b/>
        </w:rPr>
        <w:t xml:space="preserve"> </w:t>
      </w:r>
      <w:proofErr w:type="spellStart"/>
      <w:r w:rsidRPr="00DD284E">
        <w:rPr>
          <w:rFonts w:ascii="Arial" w:hAnsi="Arial" w:cs="Arial"/>
          <w:b/>
        </w:rPr>
        <w:t>Ferké</w:t>
      </w:r>
      <w:proofErr w:type="spellEnd"/>
      <w:r w:rsidRPr="00DD284E">
        <w:rPr>
          <w:rFonts w:ascii="Arial" w:hAnsi="Arial" w:cs="Arial"/>
          <w:b/>
        </w:rPr>
        <w:t>:</w:t>
      </w:r>
      <w:r w:rsidRPr="00DD284E">
        <w:rPr>
          <w:rFonts w:ascii="Arial" w:hAnsi="Arial" w:cs="Arial"/>
        </w:rPr>
        <w:t xml:space="preserve"> Located in an area with </w:t>
      </w:r>
      <w:proofErr w:type="spellStart"/>
      <w:r w:rsidRPr="00DD284E">
        <w:rPr>
          <w:rFonts w:ascii="Arial" w:hAnsi="Arial" w:cs="Arial"/>
        </w:rPr>
        <w:t>favourable</w:t>
      </w:r>
      <w:proofErr w:type="spellEnd"/>
      <w:r w:rsidRPr="00DD284E">
        <w:rPr>
          <w:rFonts w:ascii="Arial" w:hAnsi="Arial" w:cs="Arial"/>
        </w:rPr>
        <w:t xml:space="preserve"> bimodal rainfall (humid </w:t>
      </w:r>
      <w:proofErr w:type="spellStart"/>
      <w:r w:rsidRPr="00DD284E">
        <w:rPr>
          <w:rFonts w:ascii="Arial" w:hAnsi="Arial" w:cs="Arial"/>
        </w:rPr>
        <w:t>Sudanian</w:t>
      </w:r>
      <w:proofErr w:type="spellEnd"/>
      <w:r w:rsidRPr="00DD284E">
        <w:rPr>
          <w:rFonts w:ascii="Arial" w:hAnsi="Arial" w:cs="Arial"/>
        </w:rPr>
        <w:t xml:space="preserve"> savanna). The soil is moderately desaturated </w:t>
      </w:r>
      <w:proofErr w:type="spellStart"/>
      <w:r w:rsidRPr="00DD284E">
        <w:rPr>
          <w:rFonts w:ascii="Arial" w:hAnsi="Arial" w:cs="Arial"/>
        </w:rPr>
        <w:t>ferralitic</w:t>
      </w:r>
      <w:proofErr w:type="spellEnd"/>
      <w:r w:rsidRPr="00DD284E">
        <w:rPr>
          <w:rFonts w:ascii="Arial" w:hAnsi="Arial" w:cs="Arial"/>
        </w:rPr>
        <w:t>, conducive to optimal expression of genetic potential.</w:t>
      </w:r>
    </w:p>
    <w:p w14:paraId="6CF475C3" w14:textId="77777777" w:rsidR="00790ADA" w:rsidRDefault="00DD284E" w:rsidP="0029352D">
      <w:pPr>
        <w:pStyle w:val="Body"/>
        <w:spacing w:line="360" w:lineRule="auto"/>
        <w:rPr>
          <w:rFonts w:ascii="Arial" w:hAnsi="Arial" w:cs="Arial"/>
        </w:rPr>
      </w:pPr>
      <w:r>
        <w:rPr>
          <w:rFonts w:ascii="Arial" w:hAnsi="Arial" w:cs="Arial"/>
        </w:rPr>
        <w:t>•</w:t>
      </w:r>
      <w:r w:rsidR="003101CE">
        <w:rPr>
          <w:rFonts w:ascii="Arial" w:hAnsi="Arial" w:cs="Arial"/>
          <w:b/>
        </w:rPr>
        <w:t xml:space="preserve"> </w:t>
      </w:r>
      <w:proofErr w:type="spellStart"/>
      <w:r w:rsidRPr="00DD284E">
        <w:rPr>
          <w:rFonts w:ascii="Arial" w:hAnsi="Arial" w:cs="Arial"/>
          <w:b/>
        </w:rPr>
        <w:t>Boundiali</w:t>
      </w:r>
      <w:proofErr w:type="spellEnd"/>
      <w:r w:rsidRPr="00DD284E">
        <w:rPr>
          <w:rFonts w:ascii="Arial" w:hAnsi="Arial" w:cs="Arial"/>
          <w:b/>
        </w:rPr>
        <w:t>:</w:t>
      </w:r>
      <w:r w:rsidRPr="00DD284E">
        <w:rPr>
          <w:rFonts w:ascii="Arial" w:hAnsi="Arial" w:cs="Arial"/>
        </w:rPr>
        <w:t xml:space="preserve"> </w:t>
      </w:r>
      <w:proofErr w:type="spellStart"/>
      <w:r w:rsidRPr="00DD284E">
        <w:rPr>
          <w:rFonts w:ascii="Arial" w:hAnsi="Arial" w:cs="Arial"/>
        </w:rPr>
        <w:t>Characterised</w:t>
      </w:r>
      <w:proofErr w:type="spellEnd"/>
      <w:r w:rsidRPr="00DD284E">
        <w:rPr>
          <w:rFonts w:ascii="Arial" w:hAnsi="Arial" w:cs="Arial"/>
        </w:rPr>
        <w:t xml:space="preserve"> by more irregular rainfall. During the trial, this site experienced severe water deficit coinciding with the grain-filling phase, thus constituting the 'stress' environment.</w:t>
      </w:r>
    </w:p>
    <w:p w14:paraId="79569852" w14:textId="77777777" w:rsidR="00DD284E" w:rsidRDefault="00DD284E" w:rsidP="0029352D">
      <w:pPr>
        <w:pStyle w:val="AbstHead"/>
        <w:spacing w:after="0" w:line="360" w:lineRule="auto"/>
        <w:jc w:val="both"/>
        <w:rPr>
          <w:rFonts w:ascii="Arial" w:hAnsi="Arial" w:cs="Arial"/>
        </w:rPr>
      </w:pPr>
      <w:r>
        <w:rPr>
          <w:bCs/>
        </w:rPr>
        <w:t xml:space="preserve">2.2. </w:t>
      </w:r>
      <w:r w:rsidR="000E2984" w:rsidRPr="00442F1F">
        <w:rPr>
          <w:bCs/>
          <w:caps w:val="0"/>
        </w:rPr>
        <w:t>Plant Material</w:t>
      </w:r>
    </w:p>
    <w:p w14:paraId="0A1E83F1" w14:textId="77777777" w:rsidR="00DD284E" w:rsidRPr="00DD284E" w:rsidRDefault="00DD284E" w:rsidP="0029352D">
      <w:pPr>
        <w:pStyle w:val="Body"/>
        <w:spacing w:line="360" w:lineRule="auto"/>
        <w:rPr>
          <w:rFonts w:ascii="Arial" w:hAnsi="Arial" w:cs="Arial"/>
        </w:rPr>
      </w:pPr>
      <w:r w:rsidRPr="00DD284E">
        <w:rPr>
          <w:rFonts w:ascii="Arial" w:hAnsi="Arial" w:cs="Arial"/>
        </w:rPr>
        <w:t>The plant material consisted of seven (7) maize genotypes:</w:t>
      </w:r>
    </w:p>
    <w:p w14:paraId="4FB87BA8" w14:textId="77777777" w:rsidR="00DD284E" w:rsidRPr="00DD284E" w:rsidRDefault="00DD284E" w:rsidP="0029352D">
      <w:pPr>
        <w:pStyle w:val="Body"/>
        <w:spacing w:line="360" w:lineRule="auto"/>
        <w:rPr>
          <w:rFonts w:ascii="Arial" w:hAnsi="Arial" w:cs="Arial"/>
        </w:rPr>
      </w:pPr>
      <w:r w:rsidRPr="00DD284E">
        <w:rPr>
          <w:rFonts w:ascii="Arial" w:hAnsi="Arial" w:cs="Arial"/>
        </w:rPr>
        <w:t>•</w:t>
      </w:r>
      <w:r>
        <w:rPr>
          <w:rFonts w:ascii="Arial" w:hAnsi="Arial" w:cs="Arial"/>
        </w:rPr>
        <w:t xml:space="preserve"> </w:t>
      </w:r>
      <w:r w:rsidRPr="00DD284E">
        <w:rPr>
          <w:rFonts w:ascii="Arial" w:hAnsi="Arial" w:cs="Arial"/>
          <w:b/>
        </w:rPr>
        <w:t>Five (5) experimental hybrids under evaluation:</w:t>
      </w:r>
      <w:r w:rsidRPr="00DD284E">
        <w:rPr>
          <w:rFonts w:ascii="Arial" w:hAnsi="Arial" w:cs="Arial"/>
        </w:rPr>
        <w:t xml:space="preserve"> A1909-9, A2106-19, EWH-118, M1627-8 and LW2202.</w:t>
      </w:r>
    </w:p>
    <w:p w14:paraId="736CC454" w14:textId="77777777" w:rsidR="00502516" w:rsidRDefault="00DD284E" w:rsidP="0029352D">
      <w:pPr>
        <w:pStyle w:val="Body"/>
        <w:spacing w:line="360" w:lineRule="auto"/>
        <w:rPr>
          <w:rFonts w:ascii="Arial" w:hAnsi="Arial" w:cs="Arial"/>
        </w:rPr>
      </w:pPr>
      <w:r w:rsidRPr="00DD284E">
        <w:rPr>
          <w:rFonts w:ascii="Arial" w:hAnsi="Arial" w:cs="Arial"/>
        </w:rPr>
        <w:t>•</w:t>
      </w:r>
      <w:r>
        <w:rPr>
          <w:rFonts w:ascii="Arial" w:hAnsi="Arial" w:cs="Arial"/>
        </w:rPr>
        <w:t xml:space="preserve"> </w:t>
      </w:r>
      <w:r w:rsidRPr="00DD284E">
        <w:rPr>
          <w:rFonts w:ascii="Arial" w:hAnsi="Arial" w:cs="Arial"/>
          <w:b/>
        </w:rPr>
        <w:t>Two (2) checks</w:t>
      </w:r>
      <w:r w:rsidRPr="00DD284E">
        <w:rPr>
          <w:rFonts w:ascii="Arial" w:hAnsi="Arial" w:cs="Arial"/>
        </w:rPr>
        <w:t>: FMB (widely used local check) and EV 87-28 (improved reference variety).</w:t>
      </w:r>
    </w:p>
    <w:p w14:paraId="2EB4C4BA" w14:textId="77777777" w:rsidR="002E0D56" w:rsidRDefault="00DD284E" w:rsidP="0029352D">
      <w:pPr>
        <w:pStyle w:val="AbstHead"/>
        <w:spacing w:after="0" w:line="360" w:lineRule="auto"/>
        <w:jc w:val="both"/>
        <w:rPr>
          <w:rFonts w:ascii="Arial" w:hAnsi="Arial" w:cs="Arial"/>
        </w:rPr>
      </w:pPr>
      <w:r>
        <w:rPr>
          <w:bCs/>
        </w:rPr>
        <w:lastRenderedPageBreak/>
        <w:t xml:space="preserve">3. </w:t>
      </w:r>
      <w:r w:rsidR="000E2984">
        <w:rPr>
          <w:bCs/>
          <w:caps w:val="0"/>
        </w:rPr>
        <w:t>E</w:t>
      </w:r>
      <w:r w:rsidR="000E2984" w:rsidRPr="00DD284E">
        <w:rPr>
          <w:bCs/>
          <w:caps w:val="0"/>
        </w:rPr>
        <w:t>xperimental design and trial management</w:t>
      </w:r>
    </w:p>
    <w:p w14:paraId="67EBD0EF" w14:textId="77777777" w:rsidR="00790ADA" w:rsidRDefault="00DD284E" w:rsidP="0029352D">
      <w:pPr>
        <w:pStyle w:val="Body"/>
        <w:spacing w:line="360" w:lineRule="auto"/>
        <w:rPr>
          <w:rFonts w:ascii="Arial" w:hAnsi="Arial" w:cs="Arial"/>
        </w:rPr>
      </w:pPr>
      <w:r w:rsidRPr="00DD284E">
        <w:rPr>
          <w:rFonts w:ascii="Arial" w:hAnsi="Arial" w:cs="Arial"/>
        </w:rPr>
        <w:t xml:space="preserve">The experimental design was a </w:t>
      </w:r>
      <w:proofErr w:type="spellStart"/>
      <w:r w:rsidRPr="00DD284E">
        <w:rPr>
          <w:rFonts w:ascii="Arial" w:hAnsi="Arial" w:cs="Arial"/>
        </w:rPr>
        <w:t>randomised</w:t>
      </w:r>
      <w:proofErr w:type="spellEnd"/>
      <w:r w:rsidRPr="00DD284E">
        <w:rPr>
          <w:rFonts w:ascii="Arial" w:hAnsi="Arial" w:cs="Arial"/>
        </w:rPr>
        <w:t xml:space="preserve"> complete block design (RCBD) with three replications per site. Each elementary plot consisted of four rows, each 5 </w:t>
      </w:r>
      <w:proofErr w:type="spellStart"/>
      <w:r w:rsidRPr="00DD284E">
        <w:rPr>
          <w:rFonts w:ascii="Arial" w:hAnsi="Arial" w:cs="Arial"/>
        </w:rPr>
        <w:t>metres</w:t>
      </w:r>
      <w:proofErr w:type="spellEnd"/>
      <w:r w:rsidRPr="00DD284E">
        <w:rPr>
          <w:rFonts w:ascii="Arial" w:hAnsi="Arial" w:cs="Arial"/>
        </w:rPr>
        <w:t xml:space="preserve"> long. Sowing was carried out at a density of 53,333 plants/ha (0.75 m × 0.25 m). </w:t>
      </w:r>
      <w:proofErr w:type="spellStart"/>
      <w:r w:rsidRPr="00DD284E">
        <w:rPr>
          <w:rFonts w:ascii="Arial" w:hAnsi="Arial" w:cs="Arial"/>
        </w:rPr>
        <w:t>Fertiliser</w:t>
      </w:r>
      <w:proofErr w:type="spellEnd"/>
      <w:r w:rsidRPr="00DD284E">
        <w:rPr>
          <w:rFonts w:ascii="Arial" w:hAnsi="Arial" w:cs="Arial"/>
        </w:rPr>
        <w:t xml:space="preserve"> was applied as NPK (15-15-15) at 15 days after sowing (DAS) and urea at 45 DAS (8-10 leaf stage).</w:t>
      </w:r>
    </w:p>
    <w:p w14:paraId="5CBB57F5" w14:textId="77777777" w:rsidR="00DD284E" w:rsidRPr="00502516" w:rsidRDefault="00DD284E" w:rsidP="0029352D">
      <w:pPr>
        <w:pStyle w:val="AbstHead"/>
        <w:spacing w:after="0" w:line="360" w:lineRule="auto"/>
        <w:jc w:val="both"/>
        <w:rPr>
          <w:rFonts w:ascii="Arial" w:hAnsi="Arial" w:cs="Arial"/>
        </w:rPr>
      </w:pPr>
      <w:r>
        <w:rPr>
          <w:bCs/>
        </w:rPr>
        <w:t xml:space="preserve">4. </w:t>
      </w:r>
      <w:r w:rsidR="000E2984">
        <w:rPr>
          <w:bCs/>
          <w:caps w:val="0"/>
        </w:rPr>
        <w:t>Measured v</w:t>
      </w:r>
      <w:r w:rsidR="000E2984" w:rsidRPr="00DD284E">
        <w:rPr>
          <w:bCs/>
          <w:caps w:val="0"/>
        </w:rPr>
        <w:t>ariables</w:t>
      </w:r>
    </w:p>
    <w:p w14:paraId="1A2A4ADE" w14:textId="77777777" w:rsidR="00DD284E" w:rsidRPr="00DD284E" w:rsidRDefault="00DD284E" w:rsidP="0029352D">
      <w:pPr>
        <w:pStyle w:val="Body"/>
        <w:spacing w:line="360" w:lineRule="auto"/>
        <w:rPr>
          <w:rFonts w:ascii="Arial" w:hAnsi="Arial" w:cs="Arial"/>
        </w:rPr>
      </w:pPr>
      <w:r w:rsidRPr="00DD284E">
        <w:rPr>
          <w:rFonts w:ascii="Arial" w:hAnsi="Arial" w:cs="Arial"/>
        </w:rPr>
        <w:t>Eight agronomic parameters were collected in accordance with maize descriptors:</w:t>
      </w:r>
    </w:p>
    <w:p w14:paraId="6386D999" w14:textId="77777777" w:rsidR="00DD284E" w:rsidRPr="00DD284E" w:rsidRDefault="00DD284E" w:rsidP="0029352D">
      <w:pPr>
        <w:pStyle w:val="Body"/>
        <w:spacing w:line="360" w:lineRule="auto"/>
        <w:rPr>
          <w:rFonts w:ascii="Arial" w:hAnsi="Arial" w:cs="Arial"/>
        </w:rPr>
      </w:pPr>
      <w:proofErr w:type="spellStart"/>
      <w:r w:rsidRPr="00DD284E">
        <w:rPr>
          <w:rFonts w:ascii="Arial" w:hAnsi="Arial" w:cs="Arial"/>
          <w:b/>
        </w:rPr>
        <w:t>Phénologie</w:t>
      </w:r>
      <w:proofErr w:type="spellEnd"/>
      <w:r w:rsidRPr="00DD284E">
        <w:rPr>
          <w:rFonts w:ascii="Arial" w:hAnsi="Arial" w:cs="Arial"/>
          <w:b/>
        </w:rPr>
        <w:t>:</w:t>
      </w:r>
      <w:r w:rsidRPr="00DD284E">
        <w:rPr>
          <w:rFonts w:ascii="Arial" w:hAnsi="Arial" w:cs="Arial"/>
        </w:rPr>
        <w:t xml:space="preserve"> Dates of 50% male flowering (MF) and female flowering (FF), enabling calculation of the male-female flowering interval (MFFI/ASI).</w:t>
      </w:r>
    </w:p>
    <w:p w14:paraId="4756B034" w14:textId="77777777" w:rsidR="00DD284E" w:rsidRPr="00DD284E" w:rsidRDefault="00DD284E" w:rsidP="0029352D">
      <w:pPr>
        <w:pStyle w:val="Body"/>
        <w:spacing w:line="360" w:lineRule="auto"/>
        <w:rPr>
          <w:rFonts w:ascii="Arial" w:hAnsi="Arial" w:cs="Arial"/>
        </w:rPr>
      </w:pPr>
      <w:proofErr w:type="spellStart"/>
      <w:r w:rsidRPr="00DD284E">
        <w:rPr>
          <w:rFonts w:ascii="Arial" w:hAnsi="Arial" w:cs="Arial"/>
          <w:b/>
        </w:rPr>
        <w:t>Morphologie</w:t>
      </w:r>
      <w:proofErr w:type="spellEnd"/>
      <w:r w:rsidRPr="00DD284E">
        <w:rPr>
          <w:rFonts w:ascii="Arial" w:hAnsi="Arial" w:cs="Arial"/>
          <w:b/>
        </w:rPr>
        <w:t>:</w:t>
      </w:r>
      <w:r w:rsidRPr="00DD284E">
        <w:rPr>
          <w:rFonts w:ascii="Arial" w:hAnsi="Arial" w:cs="Arial"/>
        </w:rPr>
        <w:t xml:space="preserve"> Plant height (PHT) and ear insertion height (EIH) measured in </w:t>
      </w:r>
      <w:proofErr w:type="spellStart"/>
      <w:r w:rsidRPr="00DD284E">
        <w:rPr>
          <w:rFonts w:ascii="Arial" w:hAnsi="Arial" w:cs="Arial"/>
        </w:rPr>
        <w:t>centimètres</w:t>
      </w:r>
      <w:proofErr w:type="spellEnd"/>
      <w:r w:rsidRPr="00DD284E">
        <w:rPr>
          <w:rFonts w:ascii="Arial" w:hAnsi="Arial" w:cs="Arial"/>
        </w:rPr>
        <w:t>.</w:t>
      </w:r>
    </w:p>
    <w:p w14:paraId="63B28AC3" w14:textId="77777777" w:rsidR="00DD284E" w:rsidRPr="00DD284E" w:rsidRDefault="00DD284E" w:rsidP="0029352D">
      <w:pPr>
        <w:pStyle w:val="Body"/>
        <w:spacing w:line="360" w:lineRule="auto"/>
        <w:rPr>
          <w:rFonts w:ascii="Arial" w:hAnsi="Arial" w:cs="Arial"/>
        </w:rPr>
      </w:pPr>
      <w:r w:rsidRPr="00DD284E">
        <w:rPr>
          <w:rFonts w:ascii="Arial" w:hAnsi="Arial" w:cs="Arial"/>
          <w:b/>
        </w:rPr>
        <w:t>Yield components:</w:t>
      </w:r>
      <w:r w:rsidRPr="00DD284E">
        <w:rPr>
          <w:rFonts w:ascii="Arial" w:hAnsi="Arial" w:cs="Arial"/>
        </w:rPr>
        <w:t xml:space="preserve"> Ear length (EL) and ear diameter (ED).</w:t>
      </w:r>
    </w:p>
    <w:p w14:paraId="53824CCE" w14:textId="77777777" w:rsidR="00A03B96" w:rsidRDefault="00DD284E" w:rsidP="0029352D">
      <w:pPr>
        <w:pStyle w:val="Body"/>
        <w:spacing w:line="360" w:lineRule="auto"/>
        <w:rPr>
          <w:rFonts w:ascii="Arial" w:hAnsi="Arial" w:cs="Arial"/>
        </w:rPr>
      </w:pPr>
      <w:r w:rsidRPr="00DD284E">
        <w:rPr>
          <w:rFonts w:ascii="Arial" w:hAnsi="Arial" w:cs="Arial"/>
          <w:b/>
        </w:rPr>
        <w:t>Production:</w:t>
      </w:r>
      <w:r w:rsidRPr="00DD284E">
        <w:rPr>
          <w:rFonts w:ascii="Arial" w:hAnsi="Arial" w:cs="Arial"/>
        </w:rPr>
        <w:t xml:space="preserve"> Grain yield (GY) expressed in </w:t>
      </w:r>
      <w:proofErr w:type="spellStart"/>
      <w:r w:rsidRPr="00DD284E">
        <w:rPr>
          <w:rFonts w:ascii="Arial" w:hAnsi="Arial" w:cs="Arial"/>
        </w:rPr>
        <w:t>tonnes</w:t>
      </w:r>
      <w:proofErr w:type="spellEnd"/>
      <w:r w:rsidRPr="00DD284E">
        <w:rPr>
          <w:rFonts w:ascii="Arial" w:hAnsi="Arial" w:cs="Arial"/>
        </w:rPr>
        <w:t xml:space="preserve"> per hectare (t/ha), adjusted to 15% moisture.</w:t>
      </w:r>
    </w:p>
    <w:p w14:paraId="48C95F3D" w14:textId="77777777" w:rsidR="00A03B96" w:rsidRDefault="00DD284E" w:rsidP="0029352D">
      <w:pPr>
        <w:pStyle w:val="AbstHead"/>
        <w:spacing w:after="0" w:line="360" w:lineRule="auto"/>
        <w:jc w:val="both"/>
        <w:rPr>
          <w:bCs/>
        </w:rPr>
      </w:pPr>
      <w:r>
        <w:rPr>
          <w:bCs/>
        </w:rPr>
        <w:t xml:space="preserve">5. </w:t>
      </w:r>
      <w:r w:rsidR="000E2984">
        <w:rPr>
          <w:bCs/>
          <w:caps w:val="0"/>
        </w:rPr>
        <w:t>Statistical a</w:t>
      </w:r>
      <w:r w:rsidR="000E2984" w:rsidRPr="00DD284E">
        <w:rPr>
          <w:bCs/>
          <w:caps w:val="0"/>
        </w:rPr>
        <w:t>nalyses</w:t>
      </w:r>
    </w:p>
    <w:p w14:paraId="70579048" w14:textId="77777777" w:rsidR="00DD284E" w:rsidRPr="00DD284E" w:rsidRDefault="00DD284E" w:rsidP="0029352D">
      <w:pPr>
        <w:spacing w:before="120" w:after="120" w:line="360" w:lineRule="auto"/>
        <w:jc w:val="both"/>
        <w:rPr>
          <w:rFonts w:ascii="Arial" w:hAnsi="Arial" w:cs="Arial"/>
        </w:rPr>
      </w:pPr>
      <w:r w:rsidRPr="00DD284E">
        <w:rPr>
          <w:rFonts w:ascii="Arial" w:hAnsi="Arial" w:cs="Arial"/>
        </w:rPr>
        <w:t>The data were subjected to a combined ANOVA to evaluate genotype, environment, and G×E interaction effects.</w:t>
      </w:r>
    </w:p>
    <w:p w14:paraId="6A47144A" w14:textId="77777777" w:rsidR="00DD284E" w:rsidRPr="00DD284E" w:rsidRDefault="00DD284E" w:rsidP="0029352D">
      <w:pPr>
        <w:numPr>
          <w:ilvl w:val="0"/>
          <w:numId w:val="31"/>
        </w:numPr>
        <w:spacing w:before="120" w:after="120" w:line="360" w:lineRule="auto"/>
        <w:jc w:val="both"/>
        <w:rPr>
          <w:rFonts w:ascii="Arial" w:hAnsi="Arial" w:cs="Arial"/>
        </w:rPr>
      </w:pPr>
      <w:r w:rsidRPr="00DD284E">
        <w:rPr>
          <w:rFonts w:ascii="Arial" w:hAnsi="Arial" w:cs="Arial"/>
          <w:b/>
        </w:rPr>
        <w:t xml:space="preserve">GGE Biplot </w:t>
      </w:r>
      <w:proofErr w:type="gramStart"/>
      <w:r w:rsidR="003101CE">
        <w:rPr>
          <w:rFonts w:ascii="Arial" w:hAnsi="Arial" w:cs="Arial"/>
          <w:b/>
        </w:rPr>
        <w:t xml:space="preserve">Model </w:t>
      </w:r>
      <w:r w:rsidRPr="00DD284E">
        <w:rPr>
          <w:rFonts w:ascii="Arial" w:hAnsi="Arial" w:cs="Arial"/>
          <w:b/>
        </w:rPr>
        <w:t>:</w:t>
      </w:r>
      <w:proofErr w:type="gramEnd"/>
      <w:r w:rsidRPr="00DD284E">
        <w:rPr>
          <w:rFonts w:ascii="Arial" w:hAnsi="Arial" w:cs="Arial"/>
        </w:rPr>
        <w:t xml:space="preserve"> Employed to </w:t>
      </w:r>
      <w:proofErr w:type="spellStart"/>
      <w:r w:rsidRPr="00DD284E">
        <w:rPr>
          <w:rFonts w:ascii="Arial" w:hAnsi="Arial" w:cs="Arial"/>
        </w:rPr>
        <w:t>visualise</w:t>
      </w:r>
      <w:proofErr w:type="spellEnd"/>
      <w:r w:rsidRPr="00DD284E">
        <w:rPr>
          <w:rFonts w:ascii="Arial" w:hAnsi="Arial" w:cs="Arial"/>
        </w:rPr>
        <w:t xml:space="preserve"> the relationships between genotypes and environments. The model was </w:t>
      </w:r>
      <w:proofErr w:type="spellStart"/>
      <w:r w:rsidRPr="00DD284E">
        <w:rPr>
          <w:rFonts w:ascii="Arial" w:hAnsi="Arial" w:cs="Arial"/>
        </w:rPr>
        <w:t>parameterised</w:t>
      </w:r>
      <w:proofErr w:type="spellEnd"/>
      <w:r w:rsidRPr="00DD284E">
        <w:rPr>
          <w:rFonts w:ascii="Arial" w:hAnsi="Arial" w:cs="Arial"/>
        </w:rPr>
        <w:t xml:space="preserve"> using the 'Symmetric Scaling' method to balance the representations of genotypes and environments.</w:t>
      </w:r>
    </w:p>
    <w:p w14:paraId="43E237B8" w14:textId="77777777" w:rsidR="00790ADA" w:rsidRPr="00E70812" w:rsidRDefault="00DD284E" w:rsidP="00805B52">
      <w:pPr>
        <w:numPr>
          <w:ilvl w:val="0"/>
          <w:numId w:val="31"/>
        </w:numPr>
        <w:spacing w:before="120" w:after="120" w:line="360" w:lineRule="auto"/>
        <w:jc w:val="both"/>
        <w:rPr>
          <w:rFonts w:ascii="Arial" w:hAnsi="Arial" w:cs="Arial"/>
        </w:rPr>
      </w:pPr>
      <w:proofErr w:type="gramStart"/>
      <w:r w:rsidRPr="00DD284E">
        <w:rPr>
          <w:rFonts w:ascii="Arial" w:hAnsi="Arial" w:cs="Arial"/>
          <w:b/>
        </w:rPr>
        <w:t>Stability</w:t>
      </w:r>
      <w:r w:rsidR="003101CE">
        <w:rPr>
          <w:rFonts w:ascii="Arial" w:hAnsi="Arial" w:cs="Arial"/>
          <w:b/>
        </w:rPr>
        <w:t xml:space="preserve"> </w:t>
      </w:r>
      <w:r w:rsidRPr="00DD284E">
        <w:rPr>
          <w:rFonts w:ascii="Arial" w:hAnsi="Arial" w:cs="Arial"/>
          <w:b/>
        </w:rPr>
        <w:t>:</w:t>
      </w:r>
      <w:proofErr w:type="gramEnd"/>
      <w:r w:rsidRPr="00DD284E">
        <w:rPr>
          <w:rFonts w:ascii="Arial" w:hAnsi="Arial" w:cs="Arial"/>
        </w:rPr>
        <w:t xml:space="preserve"> The Finlay-Wilkinson model was applied to calculate regression coefficients (β</w:t>
      </w:r>
      <w:proofErr w:type="spellStart"/>
      <w:r w:rsidRPr="00DD284E">
        <w:rPr>
          <w:rFonts w:ascii="Arial" w:hAnsi="Arial" w:cs="Arial"/>
        </w:rPr>
        <w:t>i</w:t>
      </w:r>
      <w:proofErr w:type="spellEnd"/>
      <w:r w:rsidRPr="00DD284E">
        <w:rPr>
          <w:rFonts w:ascii="Arial" w:hAnsi="Arial" w:cs="Arial"/>
        </w:rPr>
        <w:t>), thereby identifying genotypes with general adaptation (β</w:t>
      </w:r>
      <w:proofErr w:type="spellStart"/>
      <w:r w:rsidRPr="00DD284E">
        <w:rPr>
          <w:rFonts w:ascii="Arial" w:hAnsi="Arial" w:cs="Arial"/>
        </w:rPr>
        <w:t>i</w:t>
      </w:r>
      <w:proofErr w:type="spellEnd"/>
      <w:r w:rsidRPr="00DD284E">
        <w:rPr>
          <w:rFonts w:ascii="Arial" w:hAnsi="Arial" w:cs="Arial"/>
        </w:rPr>
        <w:t xml:space="preserve"> = 1) or specific adaptation (β</w:t>
      </w:r>
      <w:proofErr w:type="spellStart"/>
      <w:r w:rsidRPr="00DD284E">
        <w:rPr>
          <w:rFonts w:ascii="Arial" w:hAnsi="Arial" w:cs="Arial"/>
        </w:rPr>
        <w:t>i</w:t>
      </w:r>
      <w:proofErr w:type="spellEnd"/>
      <w:r w:rsidRPr="00DD284E">
        <w:rPr>
          <w:rFonts w:ascii="Arial" w:hAnsi="Arial" w:cs="Arial"/>
        </w:rPr>
        <w:t xml:space="preserve"> &gt; 1). Analyses were performed using XLSTAT 2019 software</w:t>
      </w:r>
    </w:p>
    <w:p w14:paraId="588069B4" w14:textId="77777777" w:rsidR="00790ADA" w:rsidRPr="00FB3A86" w:rsidRDefault="00E70812" w:rsidP="0029352D">
      <w:pPr>
        <w:pStyle w:val="Head1"/>
        <w:spacing w:after="0" w:line="360" w:lineRule="auto"/>
        <w:jc w:val="both"/>
        <w:rPr>
          <w:rFonts w:ascii="Arial" w:hAnsi="Arial" w:cs="Arial"/>
        </w:rPr>
      </w:pPr>
      <w:r>
        <w:rPr>
          <w:rFonts w:ascii="Arial" w:hAnsi="Arial" w:cs="Arial"/>
        </w:rPr>
        <w:t>6</w:t>
      </w:r>
      <w:r w:rsidR="00902823">
        <w:rPr>
          <w:rFonts w:ascii="Arial" w:hAnsi="Arial" w:cs="Arial"/>
        </w:rPr>
        <w:t xml:space="preserve">. </w:t>
      </w:r>
      <w:r w:rsidR="004D21FD">
        <w:rPr>
          <w:rFonts w:ascii="Arial" w:hAnsi="Arial" w:cs="Arial"/>
          <w:caps w:val="0"/>
        </w:rPr>
        <w:t>Results and Discussion</w:t>
      </w:r>
    </w:p>
    <w:p w14:paraId="516412C1" w14:textId="77777777" w:rsidR="00690C37" w:rsidRPr="00690C37" w:rsidRDefault="00690C37" w:rsidP="0029352D">
      <w:pPr>
        <w:pStyle w:val="Body"/>
        <w:spacing w:line="360" w:lineRule="auto"/>
        <w:rPr>
          <w:rFonts w:ascii="Arial" w:hAnsi="Arial" w:cs="Arial"/>
          <w:b/>
        </w:rPr>
      </w:pPr>
      <w:r w:rsidRPr="00690C37">
        <w:rPr>
          <w:rFonts w:ascii="Arial" w:hAnsi="Arial" w:cs="Arial"/>
          <w:b/>
        </w:rPr>
        <w:t>1. Contrasts in Agronomic Performance between Environments</w:t>
      </w:r>
    </w:p>
    <w:p w14:paraId="07305354" w14:textId="77777777" w:rsidR="00690C37" w:rsidRPr="00690C37" w:rsidRDefault="00690C37" w:rsidP="0029352D">
      <w:pPr>
        <w:pStyle w:val="Body"/>
        <w:spacing w:line="360" w:lineRule="auto"/>
        <w:rPr>
          <w:rFonts w:ascii="Arial" w:hAnsi="Arial" w:cs="Arial"/>
        </w:rPr>
      </w:pPr>
      <w:r w:rsidRPr="00690C37">
        <w:rPr>
          <w:rFonts w:ascii="Arial" w:hAnsi="Arial" w:cs="Arial"/>
        </w:rPr>
        <w:t xml:space="preserve">Analysis of mean performance revealed a significant disparity between the two study sites, illustrating the severe impact of water stress recorded at </w:t>
      </w:r>
      <w:proofErr w:type="spellStart"/>
      <w:r w:rsidRPr="00690C37">
        <w:rPr>
          <w:rFonts w:ascii="Arial" w:hAnsi="Arial" w:cs="Arial"/>
        </w:rPr>
        <w:t>Boundiali</w:t>
      </w:r>
      <w:proofErr w:type="spellEnd"/>
      <w:r w:rsidRPr="00690C37">
        <w:rPr>
          <w:rFonts w:ascii="Arial" w:hAnsi="Arial" w:cs="Arial"/>
        </w:rPr>
        <w:t xml:space="preserve"> compared to the optimal conditions at </w:t>
      </w:r>
      <w:proofErr w:type="spellStart"/>
      <w:r w:rsidRPr="00690C37">
        <w:rPr>
          <w:rFonts w:ascii="Arial" w:hAnsi="Arial" w:cs="Arial"/>
        </w:rPr>
        <w:t>Ferké</w:t>
      </w:r>
      <w:proofErr w:type="spellEnd"/>
      <w:r w:rsidRPr="00690C37">
        <w:rPr>
          <w:rFonts w:ascii="Arial" w:hAnsi="Arial" w:cs="Arial"/>
        </w:rPr>
        <w:t xml:space="preserve"> (Tables 1A and 1B).</w:t>
      </w:r>
    </w:p>
    <w:p w14:paraId="63F96F7E" w14:textId="77777777" w:rsidR="00690C37" w:rsidRPr="00690C37" w:rsidRDefault="00690C37" w:rsidP="0029352D">
      <w:pPr>
        <w:pStyle w:val="Body"/>
        <w:spacing w:line="360" w:lineRule="auto"/>
        <w:rPr>
          <w:rFonts w:ascii="Arial" w:hAnsi="Arial" w:cs="Arial"/>
          <w:b/>
        </w:rPr>
      </w:pPr>
      <w:r w:rsidRPr="00690C37">
        <w:rPr>
          <w:rFonts w:ascii="Arial" w:hAnsi="Arial" w:cs="Arial"/>
          <w:b/>
        </w:rPr>
        <w:t>1.1. Morphological and Architectural Response</w:t>
      </w:r>
    </w:p>
    <w:p w14:paraId="73371487" w14:textId="77777777" w:rsidR="00790ADA" w:rsidRPr="00502516" w:rsidRDefault="00690C37" w:rsidP="00FC2659">
      <w:pPr>
        <w:pStyle w:val="Body"/>
        <w:spacing w:line="360" w:lineRule="auto"/>
        <w:rPr>
          <w:rFonts w:ascii="Arial" w:hAnsi="Arial" w:cs="Arial"/>
        </w:rPr>
      </w:pPr>
      <w:r w:rsidRPr="00690C37">
        <w:rPr>
          <w:rFonts w:ascii="Arial" w:hAnsi="Arial" w:cs="Arial"/>
        </w:rPr>
        <w:lastRenderedPageBreak/>
        <w:t xml:space="preserve">At </w:t>
      </w:r>
      <w:proofErr w:type="spellStart"/>
      <w:r w:rsidRPr="00690C37">
        <w:rPr>
          <w:rFonts w:ascii="Arial" w:hAnsi="Arial" w:cs="Arial"/>
        </w:rPr>
        <w:t>Ferké</w:t>
      </w:r>
      <w:proofErr w:type="spellEnd"/>
      <w:r w:rsidRPr="00690C37">
        <w:rPr>
          <w:rFonts w:ascii="Arial" w:hAnsi="Arial" w:cs="Arial"/>
        </w:rPr>
        <w:t xml:space="preserve">, the hybrids exhibited vigorous development with a mean plant height (PHT) of 182.5 cm, reaching a maximum of 196.7 cm for LW2202. In contrast, water stress at </w:t>
      </w:r>
      <w:proofErr w:type="spellStart"/>
      <w:r w:rsidRPr="00690C37">
        <w:rPr>
          <w:rFonts w:ascii="Arial" w:hAnsi="Arial" w:cs="Arial"/>
        </w:rPr>
        <w:t>Boundiali</w:t>
      </w:r>
      <w:proofErr w:type="spellEnd"/>
      <w:r w:rsidRPr="00690C37">
        <w:rPr>
          <w:rFonts w:ascii="Arial" w:hAnsi="Arial" w:cs="Arial"/>
        </w:rPr>
        <w:t xml:space="preserve"> induced an approximate 30% reduction in mean stature (127.4 cm). This trend was also observed for ear insertion height (EIH), which decreased from 93.1 cm at </w:t>
      </w:r>
      <w:proofErr w:type="spellStart"/>
      <w:r w:rsidRPr="00690C37">
        <w:rPr>
          <w:rFonts w:ascii="Arial" w:hAnsi="Arial" w:cs="Arial"/>
        </w:rPr>
        <w:t>Ferké</w:t>
      </w:r>
      <w:proofErr w:type="spellEnd"/>
      <w:r w:rsidRPr="00690C37">
        <w:rPr>
          <w:rFonts w:ascii="Arial" w:hAnsi="Arial" w:cs="Arial"/>
        </w:rPr>
        <w:t xml:space="preserve"> to 70.1 cm at </w:t>
      </w:r>
      <w:proofErr w:type="spellStart"/>
      <w:r w:rsidRPr="00690C37">
        <w:rPr>
          <w:rFonts w:ascii="Arial" w:hAnsi="Arial" w:cs="Arial"/>
        </w:rPr>
        <w:t>Boundiali</w:t>
      </w:r>
      <w:proofErr w:type="spellEnd"/>
      <w:r w:rsidRPr="00690C37">
        <w:rPr>
          <w:rFonts w:ascii="Arial" w:hAnsi="Arial" w:cs="Arial"/>
        </w:rPr>
        <w:t>, reflecting inhibition of internode elongation under water deficit.</w:t>
      </w:r>
    </w:p>
    <w:p w14:paraId="231B847E" w14:textId="77777777" w:rsidR="00690C37" w:rsidRDefault="00690C37" w:rsidP="00441B6F">
      <w:pPr>
        <w:pStyle w:val="Body"/>
        <w:spacing w:after="0"/>
        <w:rPr>
          <w:rFonts w:ascii="Arial" w:hAnsi="Arial" w:cs="Arial"/>
          <w:b/>
        </w:rPr>
      </w:pPr>
      <w:r w:rsidRPr="00690C37">
        <w:rPr>
          <w:rFonts w:ascii="Arial" w:hAnsi="Arial" w:cs="Arial"/>
          <w:b/>
        </w:rPr>
        <w:t xml:space="preserve">Table 1A. Mean agronomic performances (± standard deviation and CV %) of maize hybrid varieties in the </w:t>
      </w:r>
      <w:proofErr w:type="spellStart"/>
      <w:r w:rsidRPr="00690C37">
        <w:rPr>
          <w:rFonts w:ascii="Arial" w:hAnsi="Arial" w:cs="Arial"/>
          <w:b/>
        </w:rPr>
        <w:t>Ferké</w:t>
      </w:r>
      <w:proofErr w:type="spellEnd"/>
      <w:r w:rsidRPr="00690C37">
        <w:rPr>
          <w:rFonts w:ascii="Arial" w:hAnsi="Arial" w:cs="Arial"/>
          <w:b/>
        </w:rPr>
        <w:t xml:space="preserve"> zone (high relative yield potential)</w:t>
      </w:r>
    </w:p>
    <w:tbl>
      <w:tblPr>
        <w:tblW w:w="8664" w:type="dxa"/>
        <w:tblCellSpacing w:w="15" w:type="dxa"/>
        <w:tblCellMar>
          <w:top w:w="15" w:type="dxa"/>
          <w:left w:w="15" w:type="dxa"/>
          <w:bottom w:w="15" w:type="dxa"/>
          <w:right w:w="15" w:type="dxa"/>
        </w:tblCellMar>
        <w:tblLook w:val="04A0" w:firstRow="1" w:lastRow="0" w:firstColumn="1" w:lastColumn="0" w:noHBand="0" w:noVBand="1"/>
      </w:tblPr>
      <w:tblGrid>
        <w:gridCol w:w="837"/>
        <w:gridCol w:w="1035"/>
        <w:gridCol w:w="626"/>
        <w:gridCol w:w="936"/>
        <w:gridCol w:w="626"/>
        <w:gridCol w:w="839"/>
        <w:gridCol w:w="626"/>
        <w:gridCol w:w="936"/>
        <w:gridCol w:w="626"/>
        <w:gridCol w:w="936"/>
        <w:gridCol w:w="641"/>
      </w:tblGrid>
      <w:tr w:rsidR="00690C37" w:rsidRPr="00690C37" w14:paraId="1EE33D9B" w14:textId="77777777" w:rsidTr="00FC2659">
        <w:trPr>
          <w:trHeight w:val="535"/>
          <w:tblHeader/>
          <w:tblCellSpacing w:w="15" w:type="dxa"/>
        </w:trPr>
        <w:tc>
          <w:tcPr>
            <w:tcW w:w="0" w:type="auto"/>
            <w:tcBorders>
              <w:top w:val="single" w:sz="4" w:space="0" w:color="auto"/>
              <w:bottom w:val="single" w:sz="4" w:space="0" w:color="auto"/>
            </w:tcBorders>
            <w:vAlign w:val="center"/>
            <w:hideMark/>
          </w:tcPr>
          <w:p w14:paraId="71B69C94" w14:textId="77777777" w:rsidR="00690C37" w:rsidRPr="00690C37" w:rsidRDefault="00690C37" w:rsidP="001657FE">
            <w:pPr>
              <w:rPr>
                <w:rFonts w:ascii="Arial" w:hAnsi="Arial" w:cs="Arial"/>
                <w:b/>
                <w:bCs/>
                <w:sz w:val="16"/>
                <w:lang w:eastAsia="fr-FR"/>
              </w:rPr>
            </w:pPr>
            <w:r w:rsidRPr="00690C37">
              <w:rPr>
                <w:rFonts w:ascii="Arial" w:hAnsi="Arial" w:cs="Arial"/>
                <w:b/>
                <w:bCs/>
                <w:sz w:val="16"/>
                <w:lang w:eastAsia="fr-FR"/>
              </w:rPr>
              <w:t>Variety</w:t>
            </w:r>
          </w:p>
        </w:tc>
        <w:tc>
          <w:tcPr>
            <w:tcW w:w="0" w:type="auto"/>
            <w:tcBorders>
              <w:top w:val="single" w:sz="4" w:space="0" w:color="auto"/>
              <w:bottom w:val="single" w:sz="4" w:space="0" w:color="auto"/>
            </w:tcBorders>
            <w:vAlign w:val="center"/>
            <w:hideMark/>
          </w:tcPr>
          <w:p w14:paraId="05A1CC8F"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PHT (cm)</w:t>
            </w:r>
          </w:p>
        </w:tc>
        <w:tc>
          <w:tcPr>
            <w:tcW w:w="0" w:type="auto"/>
            <w:tcBorders>
              <w:top w:val="single" w:sz="4" w:space="0" w:color="auto"/>
              <w:bottom w:val="single" w:sz="4" w:space="0" w:color="auto"/>
            </w:tcBorders>
            <w:vAlign w:val="center"/>
            <w:hideMark/>
          </w:tcPr>
          <w:p w14:paraId="2B3147EB"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c>
          <w:tcPr>
            <w:tcW w:w="0" w:type="auto"/>
            <w:tcBorders>
              <w:top w:val="single" w:sz="4" w:space="0" w:color="auto"/>
              <w:bottom w:val="single" w:sz="4" w:space="0" w:color="auto"/>
            </w:tcBorders>
            <w:vAlign w:val="center"/>
            <w:hideMark/>
          </w:tcPr>
          <w:p w14:paraId="1CA0BE2B"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EIH (cm)</w:t>
            </w:r>
          </w:p>
        </w:tc>
        <w:tc>
          <w:tcPr>
            <w:tcW w:w="0" w:type="auto"/>
            <w:tcBorders>
              <w:top w:val="single" w:sz="4" w:space="0" w:color="auto"/>
              <w:bottom w:val="single" w:sz="4" w:space="0" w:color="auto"/>
            </w:tcBorders>
            <w:vAlign w:val="center"/>
            <w:hideMark/>
          </w:tcPr>
          <w:p w14:paraId="5DAC2926"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c>
          <w:tcPr>
            <w:tcW w:w="0" w:type="auto"/>
            <w:tcBorders>
              <w:top w:val="single" w:sz="4" w:space="0" w:color="auto"/>
              <w:bottom w:val="single" w:sz="4" w:space="0" w:color="auto"/>
            </w:tcBorders>
            <w:vAlign w:val="center"/>
            <w:hideMark/>
          </w:tcPr>
          <w:p w14:paraId="30B3731E"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EL (cm)</w:t>
            </w:r>
          </w:p>
        </w:tc>
        <w:tc>
          <w:tcPr>
            <w:tcW w:w="0" w:type="auto"/>
            <w:tcBorders>
              <w:top w:val="single" w:sz="4" w:space="0" w:color="auto"/>
              <w:bottom w:val="single" w:sz="4" w:space="0" w:color="auto"/>
            </w:tcBorders>
            <w:vAlign w:val="center"/>
            <w:hideMark/>
          </w:tcPr>
          <w:p w14:paraId="6F541758"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c>
          <w:tcPr>
            <w:tcW w:w="0" w:type="auto"/>
            <w:tcBorders>
              <w:top w:val="single" w:sz="4" w:space="0" w:color="auto"/>
              <w:bottom w:val="single" w:sz="4" w:space="0" w:color="auto"/>
            </w:tcBorders>
            <w:vAlign w:val="center"/>
            <w:hideMark/>
          </w:tcPr>
          <w:p w14:paraId="081075D2"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ED (cm)</w:t>
            </w:r>
          </w:p>
        </w:tc>
        <w:tc>
          <w:tcPr>
            <w:tcW w:w="0" w:type="auto"/>
            <w:tcBorders>
              <w:top w:val="single" w:sz="4" w:space="0" w:color="auto"/>
              <w:bottom w:val="single" w:sz="4" w:space="0" w:color="auto"/>
            </w:tcBorders>
            <w:vAlign w:val="center"/>
            <w:hideMark/>
          </w:tcPr>
          <w:p w14:paraId="7A84ADA9"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c>
          <w:tcPr>
            <w:tcW w:w="0" w:type="auto"/>
            <w:tcBorders>
              <w:top w:val="single" w:sz="4" w:space="0" w:color="auto"/>
              <w:bottom w:val="single" w:sz="4" w:space="0" w:color="auto"/>
            </w:tcBorders>
            <w:vAlign w:val="center"/>
            <w:hideMark/>
          </w:tcPr>
          <w:p w14:paraId="4F072B53"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GY (t/ha)</w:t>
            </w:r>
          </w:p>
        </w:tc>
        <w:tc>
          <w:tcPr>
            <w:tcW w:w="0" w:type="auto"/>
            <w:tcBorders>
              <w:top w:val="single" w:sz="4" w:space="0" w:color="auto"/>
              <w:bottom w:val="single" w:sz="4" w:space="0" w:color="auto"/>
            </w:tcBorders>
            <w:vAlign w:val="center"/>
            <w:hideMark/>
          </w:tcPr>
          <w:p w14:paraId="6115DD9A"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r>
      <w:tr w:rsidR="00690C37" w:rsidRPr="00690C37" w14:paraId="10556ECD" w14:textId="77777777" w:rsidTr="00FC2659">
        <w:trPr>
          <w:trHeight w:val="535"/>
          <w:tblCellSpacing w:w="15" w:type="dxa"/>
        </w:trPr>
        <w:tc>
          <w:tcPr>
            <w:tcW w:w="0" w:type="auto"/>
            <w:vAlign w:val="center"/>
            <w:hideMark/>
          </w:tcPr>
          <w:p w14:paraId="0EBF22ED"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A1909-9</w:t>
            </w:r>
          </w:p>
        </w:tc>
        <w:tc>
          <w:tcPr>
            <w:tcW w:w="0" w:type="auto"/>
            <w:vAlign w:val="center"/>
            <w:hideMark/>
          </w:tcPr>
          <w:p w14:paraId="55AB99B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173.2 ± 30.7</w:t>
            </w:r>
          </w:p>
        </w:tc>
        <w:tc>
          <w:tcPr>
            <w:tcW w:w="0" w:type="auto"/>
            <w:vAlign w:val="center"/>
            <w:hideMark/>
          </w:tcPr>
          <w:p w14:paraId="3335D7FB"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17.7</w:t>
            </w:r>
          </w:p>
        </w:tc>
        <w:tc>
          <w:tcPr>
            <w:tcW w:w="0" w:type="auto"/>
            <w:vAlign w:val="center"/>
            <w:hideMark/>
          </w:tcPr>
          <w:p w14:paraId="33AB766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87.6 ± 17.9</w:t>
            </w:r>
          </w:p>
        </w:tc>
        <w:tc>
          <w:tcPr>
            <w:tcW w:w="0" w:type="auto"/>
            <w:vAlign w:val="center"/>
            <w:hideMark/>
          </w:tcPr>
          <w:p w14:paraId="53E9119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20.4</w:t>
            </w:r>
          </w:p>
        </w:tc>
        <w:tc>
          <w:tcPr>
            <w:tcW w:w="0" w:type="auto"/>
            <w:vAlign w:val="center"/>
            <w:hideMark/>
          </w:tcPr>
          <w:p w14:paraId="2F53FFE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14.6 ± 1.4</w:t>
            </w:r>
          </w:p>
        </w:tc>
        <w:tc>
          <w:tcPr>
            <w:tcW w:w="0" w:type="auto"/>
            <w:vAlign w:val="center"/>
            <w:hideMark/>
          </w:tcPr>
          <w:p w14:paraId="448E2AE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9.6</w:t>
            </w:r>
          </w:p>
        </w:tc>
        <w:tc>
          <w:tcPr>
            <w:tcW w:w="0" w:type="auto"/>
            <w:vAlign w:val="center"/>
            <w:hideMark/>
          </w:tcPr>
          <w:p w14:paraId="1D10807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4.27 ± 0.49</w:t>
            </w:r>
          </w:p>
        </w:tc>
        <w:tc>
          <w:tcPr>
            <w:tcW w:w="0" w:type="auto"/>
            <w:vAlign w:val="center"/>
            <w:hideMark/>
          </w:tcPr>
          <w:p w14:paraId="1D1C1C1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11.5</w:t>
            </w:r>
          </w:p>
        </w:tc>
        <w:tc>
          <w:tcPr>
            <w:tcW w:w="0" w:type="auto"/>
            <w:vAlign w:val="center"/>
            <w:hideMark/>
          </w:tcPr>
          <w:p w14:paraId="5A6E31D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4.81 ± 3.16</w:t>
            </w:r>
          </w:p>
        </w:tc>
        <w:tc>
          <w:tcPr>
            <w:tcW w:w="0" w:type="auto"/>
            <w:vAlign w:val="center"/>
            <w:hideMark/>
          </w:tcPr>
          <w:p w14:paraId="507AC14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65.7</w:t>
            </w:r>
          </w:p>
        </w:tc>
      </w:tr>
      <w:tr w:rsidR="00690C37" w:rsidRPr="00690C37" w14:paraId="299CEF81" w14:textId="77777777" w:rsidTr="00FC2659">
        <w:trPr>
          <w:trHeight w:val="518"/>
          <w:tblCellSpacing w:w="15" w:type="dxa"/>
        </w:trPr>
        <w:tc>
          <w:tcPr>
            <w:tcW w:w="0" w:type="auto"/>
            <w:vAlign w:val="center"/>
            <w:hideMark/>
          </w:tcPr>
          <w:p w14:paraId="3888762E"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LW2202</w:t>
            </w:r>
          </w:p>
        </w:tc>
        <w:tc>
          <w:tcPr>
            <w:tcW w:w="0" w:type="auto"/>
            <w:vAlign w:val="center"/>
            <w:hideMark/>
          </w:tcPr>
          <w:p w14:paraId="662A960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196.7 ± 49.6</w:t>
            </w:r>
          </w:p>
        </w:tc>
        <w:tc>
          <w:tcPr>
            <w:tcW w:w="0" w:type="auto"/>
            <w:vAlign w:val="center"/>
            <w:hideMark/>
          </w:tcPr>
          <w:p w14:paraId="0ACA8A2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25.2</w:t>
            </w:r>
          </w:p>
        </w:tc>
        <w:tc>
          <w:tcPr>
            <w:tcW w:w="0" w:type="auto"/>
            <w:vAlign w:val="center"/>
            <w:hideMark/>
          </w:tcPr>
          <w:p w14:paraId="1722941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98.6 ± 14.6</w:t>
            </w:r>
          </w:p>
        </w:tc>
        <w:tc>
          <w:tcPr>
            <w:tcW w:w="0" w:type="auto"/>
            <w:vAlign w:val="center"/>
            <w:hideMark/>
          </w:tcPr>
          <w:p w14:paraId="249830B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14.8</w:t>
            </w:r>
          </w:p>
        </w:tc>
        <w:tc>
          <w:tcPr>
            <w:tcW w:w="0" w:type="auto"/>
            <w:vAlign w:val="center"/>
            <w:hideMark/>
          </w:tcPr>
          <w:p w14:paraId="7D91A7B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14.6 ± 1.0</w:t>
            </w:r>
          </w:p>
        </w:tc>
        <w:tc>
          <w:tcPr>
            <w:tcW w:w="0" w:type="auto"/>
            <w:vAlign w:val="center"/>
            <w:hideMark/>
          </w:tcPr>
          <w:p w14:paraId="57DBB2A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6.8</w:t>
            </w:r>
          </w:p>
        </w:tc>
        <w:tc>
          <w:tcPr>
            <w:tcW w:w="0" w:type="auto"/>
            <w:vAlign w:val="center"/>
            <w:hideMark/>
          </w:tcPr>
          <w:p w14:paraId="226294A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4.25 ± 0.09</w:t>
            </w:r>
          </w:p>
        </w:tc>
        <w:tc>
          <w:tcPr>
            <w:tcW w:w="0" w:type="auto"/>
            <w:vAlign w:val="center"/>
            <w:hideMark/>
          </w:tcPr>
          <w:p w14:paraId="3AEDA38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2.1</w:t>
            </w:r>
          </w:p>
        </w:tc>
        <w:tc>
          <w:tcPr>
            <w:tcW w:w="0" w:type="auto"/>
            <w:vAlign w:val="center"/>
            <w:hideMark/>
          </w:tcPr>
          <w:p w14:paraId="49A7829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6.27 ± 2.13</w:t>
            </w:r>
          </w:p>
        </w:tc>
        <w:tc>
          <w:tcPr>
            <w:tcW w:w="0" w:type="auto"/>
            <w:vAlign w:val="center"/>
            <w:hideMark/>
          </w:tcPr>
          <w:p w14:paraId="3A49505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34.0</w:t>
            </w:r>
          </w:p>
        </w:tc>
      </w:tr>
      <w:tr w:rsidR="00690C37" w:rsidRPr="00690C37" w14:paraId="1F51A922" w14:textId="77777777" w:rsidTr="00FC2659">
        <w:trPr>
          <w:trHeight w:val="535"/>
          <w:tblCellSpacing w:w="15" w:type="dxa"/>
        </w:trPr>
        <w:tc>
          <w:tcPr>
            <w:tcW w:w="0" w:type="auto"/>
            <w:vAlign w:val="center"/>
            <w:hideMark/>
          </w:tcPr>
          <w:p w14:paraId="049CFB0A"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FMB</w:t>
            </w:r>
          </w:p>
        </w:tc>
        <w:tc>
          <w:tcPr>
            <w:tcW w:w="0" w:type="auto"/>
            <w:vAlign w:val="center"/>
            <w:hideMark/>
          </w:tcPr>
          <w:p w14:paraId="15575393"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160.6 ± 19.2</w:t>
            </w:r>
          </w:p>
        </w:tc>
        <w:tc>
          <w:tcPr>
            <w:tcW w:w="0" w:type="auto"/>
            <w:vAlign w:val="center"/>
            <w:hideMark/>
          </w:tcPr>
          <w:p w14:paraId="522DF6E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12.0</w:t>
            </w:r>
          </w:p>
        </w:tc>
        <w:tc>
          <w:tcPr>
            <w:tcW w:w="0" w:type="auto"/>
            <w:vAlign w:val="center"/>
            <w:hideMark/>
          </w:tcPr>
          <w:p w14:paraId="4867021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80.0 ± 5.9</w:t>
            </w:r>
          </w:p>
        </w:tc>
        <w:tc>
          <w:tcPr>
            <w:tcW w:w="0" w:type="auto"/>
            <w:vAlign w:val="center"/>
            <w:hideMark/>
          </w:tcPr>
          <w:p w14:paraId="32C73ED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7.4</w:t>
            </w:r>
          </w:p>
        </w:tc>
        <w:tc>
          <w:tcPr>
            <w:tcW w:w="0" w:type="auto"/>
            <w:vAlign w:val="center"/>
            <w:hideMark/>
          </w:tcPr>
          <w:p w14:paraId="20C175F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13.9 ± 1.0</w:t>
            </w:r>
          </w:p>
        </w:tc>
        <w:tc>
          <w:tcPr>
            <w:tcW w:w="0" w:type="auto"/>
            <w:vAlign w:val="center"/>
            <w:hideMark/>
          </w:tcPr>
          <w:p w14:paraId="38D7A51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7.2</w:t>
            </w:r>
          </w:p>
        </w:tc>
        <w:tc>
          <w:tcPr>
            <w:tcW w:w="0" w:type="auto"/>
            <w:vAlign w:val="center"/>
            <w:hideMark/>
          </w:tcPr>
          <w:p w14:paraId="43E4BF0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4.00 ± 0.35</w:t>
            </w:r>
          </w:p>
        </w:tc>
        <w:tc>
          <w:tcPr>
            <w:tcW w:w="0" w:type="auto"/>
            <w:vAlign w:val="center"/>
            <w:hideMark/>
          </w:tcPr>
          <w:p w14:paraId="3980D29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8.8</w:t>
            </w:r>
          </w:p>
        </w:tc>
        <w:tc>
          <w:tcPr>
            <w:tcW w:w="0" w:type="auto"/>
            <w:vAlign w:val="center"/>
            <w:hideMark/>
          </w:tcPr>
          <w:p w14:paraId="1E1CF34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3.16 ± 0.79</w:t>
            </w:r>
          </w:p>
        </w:tc>
        <w:tc>
          <w:tcPr>
            <w:tcW w:w="0" w:type="auto"/>
            <w:vAlign w:val="center"/>
            <w:hideMark/>
          </w:tcPr>
          <w:p w14:paraId="57ACE81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25.0</w:t>
            </w:r>
          </w:p>
        </w:tc>
      </w:tr>
      <w:tr w:rsidR="00690C37" w:rsidRPr="00690C37" w14:paraId="00F7BF6A" w14:textId="77777777" w:rsidTr="00FC2659">
        <w:trPr>
          <w:trHeight w:val="535"/>
          <w:tblCellSpacing w:w="15" w:type="dxa"/>
        </w:trPr>
        <w:tc>
          <w:tcPr>
            <w:tcW w:w="0" w:type="auto"/>
            <w:vAlign w:val="center"/>
            <w:hideMark/>
          </w:tcPr>
          <w:p w14:paraId="1AD235DA"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A2106-19</w:t>
            </w:r>
          </w:p>
        </w:tc>
        <w:tc>
          <w:tcPr>
            <w:tcW w:w="0" w:type="auto"/>
            <w:vAlign w:val="center"/>
            <w:hideMark/>
          </w:tcPr>
          <w:p w14:paraId="0D689E0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192.0 ± 7.1</w:t>
            </w:r>
          </w:p>
        </w:tc>
        <w:tc>
          <w:tcPr>
            <w:tcW w:w="0" w:type="auto"/>
            <w:vAlign w:val="center"/>
            <w:hideMark/>
          </w:tcPr>
          <w:p w14:paraId="01831E01"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3.7</w:t>
            </w:r>
          </w:p>
        </w:tc>
        <w:tc>
          <w:tcPr>
            <w:tcW w:w="0" w:type="auto"/>
            <w:vAlign w:val="center"/>
            <w:hideMark/>
          </w:tcPr>
          <w:p w14:paraId="1E22CD5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102.3 ± 6.7</w:t>
            </w:r>
          </w:p>
        </w:tc>
        <w:tc>
          <w:tcPr>
            <w:tcW w:w="0" w:type="auto"/>
            <w:vAlign w:val="center"/>
            <w:hideMark/>
          </w:tcPr>
          <w:p w14:paraId="382BD58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6.6</w:t>
            </w:r>
          </w:p>
        </w:tc>
        <w:tc>
          <w:tcPr>
            <w:tcW w:w="0" w:type="auto"/>
            <w:vAlign w:val="center"/>
            <w:hideMark/>
          </w:tcPr>
          <w:p w14:paraId="04AA678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15.9 ± 1.4</w:t>
            </w:r>
          </w:p>
        </w:tc>
        <w:tc>
          <w:tcPr>
            <w:tcW w:w="0" w:type="auto"/>
            <w:vAlign w:val="center"/>
            <w:hideMark/>
          </w:tcPr>
          <w:p w14:paraId="1851937C"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8.8</w:t>
            </w:r>
          </w:p>
        </w:tc>
        <w:tc>
          <w:tcPr>
            <w:tcW w:w="0" w:type="auto"/>
            <w:vAlign w:val="center"/>
            <w:hideMark/>
          </w:tcPr>
          <w:p w14:paraId="0C93CAC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4.32 ± 0.11</w:t>
            </w:r>
          </w:p>
        </w:tc>
        <w:tc>
          <w:tcPr>
            <w:tcW w:w="0" w:type="auto"/>
            <w:vAlign w:val="center"/>
            <w:hideMark/>
          </w:tcPr>
          <w:p w14:paraId="1CD7CA4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2.5</w:t>
            </w:r>
          </w:p>
        </w:tc>
        <w:tc>
          <w:tcPr>
            <w:tcW w:w="0" w:type="auto"/>
            <w:vAlign w:val="center"/>
            <w:hideMark/>
          </w:tcPr>
          <w:p w14:paraId="1D77DB4A"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7.68 ± 4.12</w:t>
            </w:r>
          </w:p>
        </w:tc>
        <w:tc>
          <w:tcPr>
            <w:tcW w:w="0" w:type="auto"/>
            <w:vAlign w:val="center"/>
            <w:hideMark/>
          </w:tcPr>
          <w:p w14:paraId="1A24630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53.6</w:t>
            </w:r>
          </w:p>
        </w:tc>
      </w:tr>
      <w:tr w:rsidR="00690C37" w:rsidRPr="00690C37" w14:paraId="5AE3AE27" w14:textId="77777777" w:rsidTr="00FC2659">
        <w:trPr>
          <w:trHeight w:val="518"/>
          <w:tblCellSpacing w:w="15" w:type="dxa"/>
        </w:trPr>
        <w:tc>
          <w:tcPr>
            <w:tcW w:w="0" w:type="auto"/>
            <w:vAlign w:val="center"/>
            <w:hideMark/>
          </w:tcPr>
          <w:p w14:paraId="3B76FE01"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M1627-8</w:t>
            </w:r>
          </w:p>
        </w:tc>
        <w:tc>
          <w:tcPr>
            <w:tcW w:w="0" w:type="auto"/>
            <w:vAlign w:val="center"/>
            <w:hideMark/>
          </w:tcPr>
          <w:p w14:paraId="5EFB448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184.2 ± 7.7</w:t>
            </w:r>
          </w:p>
        </w:tc>
        <w:tc>
          <w:tcPr>
            <w:tcW w:w="0" w:type="auto"/>
            <w:vAlign w:val="center"/>
            <w:hideMark/>
          </w:tcPr>
          <w:p w14:paraId="6881D8D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4.2</w:t>
            </w:r>
          </w:p>
        </w:tc>
        <w:tc>
          <w:tcPr>
            <w:tcW w:w="0" w:type="auto"/>
            <w:vAlign w:val="center"/>
            <w:hideMark/>
          </w:tcPr>
          <w:p w14:paraId="5869C25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92.7 ± 10.0</w:t>
            </w:r>
          </w:p>
        </w:tc>
        <w:tc>
          <w:tcPr>
            <w:tcW w:w="0" w:type="auto"/>
            <w:vAlign w:val="center"/>
            <w:hideMark/>
          </w:tcPr>
          <w:p w14:paraId="6C509F6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10.8</w:t>
            </w:r>
          </w:p>
        </w:tc>
        <w:tc>
          <w:tcPr>
            <w:tcW w:w="0" w:type="auto"/>
            <w:vAlign w:val="center"/>
            <w:hideMark/>
          </w:tcPr>
          <w:p w14:paraId="6C00F80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14.9 ± 0.7</w:t>
            </w:r>
          </w:p>
        </w:tc>
        <w:tc>
          <w:tcPr>
            <w:tcW w:w="0" w:type="auto"/>
            <w:vAlign w:val="center"/>
            <w:hideMark/>
          </w:tcPr>
          <w:p w14:paraId="7C391AC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4.7</w:t>
            </w:r>
          </w:p>
        </w:tc>
        <w:tc>
          <w:tcPr>
            <w:tcW w:w="0" w:type="auto"/>
            <w:vAlign w:val="center"/>
            <w:hideMark/>
          </w:tcPr>
          <w:p w14:paraId="35C65C6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4.47 ± 0.26</w:t>
            </w:r>
          </w:p>
        </w:tc>
        <w:tc>
          <w:tcPr>
            <w:tcW w:w="0" w:type="auto"/>
            <w:vAlign w:val="center"/>
            <w:hideMark/>
          </w:tcPr>
          <w:p w14:paraId="15D4AABA"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5.8</w:t>
            </w:r>
          </w:p>
        </w:tc>
        <w:tc>
          <w:tcPr>
            <w:tcW w:w="0" w:type="auto"/>
            <w:vAlign w:val="center"/>
            <w:hideMark/>
          </w:tcPr>
          <w:p w14:paraId="1AA64EFB"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8.01 ± 3.87</w:t>
            </w:r>
          </w:p>
        </w:tc>
        <w:tc>
          <w:tcPr>
            <w:tcW w:w="0" w:type="auto"/>
            <w:vAlign w:val="center"/>
            <w:hideMark/>
          </w:tcPr>
          <w:p w14:paraId="7930A981"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48.3</w:t>
            </w:r>
          </w:p>
        </w:tc>
      </w:tr>
      <w:tr w:rsidR="00690C37" w:rsidRPr="00690C37" w14:paraId="2E7A5976" w14:textId="77777777" w:rsidTr="00FC2659">
        <w:trPr>
          <w:trHeight w:val="535"/>
          <w:tblCellSpacing w:w="15" w:type="dxa"/>
        </w:trPr>
        <w:tc>
          <w:tcPr>
            <w:tcW w:w="0" w:type="auto"/>
            <w:vAlign w:val="center"/>
            <w:hideMark/>
          </w:tcPr>
          <w:p w14:paraId="6B9CE468"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EV 8728</w:t>
            </w:r>
          </w:p>
        </w:tc>
        <w:tc>
          <w:tcPr>
            <w:tcW w:w="0" w:type="auto"/>
            <w:vAlign w:val="center"/>
            <w:hideMark/>
          </w:tcPr>
          <w:p w14:paraId="7CF36C9A"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185.4 ± 10.9</w:t>
            </w:r>
          </w:p>
        </w:tc>
        <w:tc>
          <w:tcPr>
            <w:tcW w:w="0" w:type="auto"/>
            <w:vAlign w:val="center"/>
            <w:hideMark/>
          </w:tcPr>
          <w:p w14:paraId="219A55D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5.9</w:t>
            </w:r>
          </w:p>
        </w:tc>
        <w:tc>
          <w:tcPr>
            <w:tcW w:w="0" w:type="auto"/>
            <w:vAlign w:val="center"/>
            <w:hideMark/>
          </w:tcPr>
          <w:p w14:paraId="38DC09B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97.2 ± 4.7</w:t>
            </w:r>
          </w:p>
        </w:tc>
        <w:tc>
          <w:tcPr>
            <w:tcW w:w="0" w:type="auto"/>
            <w:vAlign w:val="center"/>
            <w:hideMark/>
          </w:tcPr>
          <w:p w14:paraId="6C6DD845"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w:t>
            </w:r>
          </w:p>
        </w:tc>
        <w:tc>
          <w:tcPr>
            <w:tcW w:w="0" w:type="auto"/>
            <w:vAlign w:val="center"/>
            <w:hideMark/>
          </w:tcPr>
          <w:p w14:paraId="4D0EB5A5"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16.1 ± 1.4</w:t>
            </w:r>
          </w:p>
        </w:tc>
        <w:tc>
          <w:tcPr>
            <w:tcW w:w="0" w:type="auto"/>
            <w:vAlign w:val="center"/>
            <w:hideMark/>
          </w:tcPr>
          <w:p w14:paraId="485B480B"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8.7</w:t>
            </w:r>
          </w:p>
        </w:tc>
        <w:tc>
          <w:tcPr>
            <w:tcW w:w="0" w:type="auto"/>
            <w:vAlign w:val="center"/>
            <w:hideMark/>
          </w:tcPr>
          <w:p w14:paraId="70E7A45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3.95 ± 0.19</w:t>
            </w:r>
          </w:p>
        </w:tc>
        <w:tc>
          <w:tcPr>
            <w:tcW w:w="0" w:type="auto"/>
            <w:vAlign w:val="center"/>
            <w:hideMark/>
          </w:tcPr>
          <w:p w14:paraId="0197747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w:t>
            </w:r>
          </w:p>
        </w:tc>
        <w:tc>
          <w:tcPr>
            <w:tcW w:w="0" w:type="auto"/>
            <w:vAlign w:val="center"/>
            <w:hideMark/>
          </w:tcPr>
          <w:p w14:paraId="2A5CE11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3.82 ± 0.85</w:t>
            </w:r>
          </w:p>
        </w:tc>
        <w:tc>
          <w:tcPr>
            <w:tcW w:w="0" w:type="auto"/>
            <w:vAlign w:val="center"/>
            <w:hideMark/>
          </w:tcPr>
          <w:p w14:paraId="4834D91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22.3</w:t>
            </w:r>
          </w:p>
        </w:tc>
      </w:tr>
      <w:tr w:rsidR="00690C37" w:rsidRPr="00690C37" w14:paraId="1F9264CE" w14:textId="77777777" w:rsidTr="00FC2659">
        <w:trPr>
          <w:trHeight w:val="535"/>
          <w:tblCellSpacing w:w="15" w:type="dxa"/>
        </w:trPr>
        <w:tc>
          <w:tcPr>
            <w:tcW w:w="0" w:type="auto"/>
            <w:vAlign w:val="center"/>
            <w:hideMark/>
          </w:tcPr>
          <w:p w14:paraId="26C6C1E9"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EWH-118</w:t>
            </w:r>
          </w:p>
        </w:tc>
        <w:tc>
          <w:tcPr>
            <w:tcW w:w="0" w:type="auto"/>
            <w:vAlign w:val="center"/>
            <w:hideMark/>
          </w:tcPr>
          <w:p w14:paraId="3209CA6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185.6 ± 14.8</w:t>
            </w:r>
          </w:p>
        </w:tc>
        <w:tc>
          <w:tcPr>
            <w:tcW w:w="0" w:type="auto"/>
            <w:vAlign w:val="center"/>
            <w:hideMark/>
          </w:tcPr>
          <w:p w14:paraId="3CA6CB8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8.0</w:t>
            </w:r>
          </w:p>
        </w:tc>
        <w:tc>
          <w:tcPr>
            <w:tcW w:w="0" w:type="auto"/>
            <w:vAlign w:val="center"/>
            <w:hideMark/>
          </w:tcPr>
          <w:p w14:paraId="65DBBCE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93.0 ± 11.1</w:t>
            </w:r>
          </w:p>
        </w:tc>
        <w:tc>
          <w:tcPr>
            <w:tcW w:w="0" w:type="auto"/>
            <w:vAlign w:val="center"/>
            <w:hideMark/>
          </w:tcPr>
          <w:p w14:paraId="39EB049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11.9</w:t>
            </w:r>
          </w:p>
        </w:tc>
        <w:tc>
          <w:tcPr>
            <w:tcW w:w="0" w:type="auto"/>
            <w:vAlign w:val="center"/>
            <w:hideMark/>
          </w:tcPr>
          <w:p w14:paraId="081B2B4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14.6 ± 0.7</w:t>
            </w:r>
          </w:p>
        </w:tc>
        <w:tc>
          <w:tcPr>
            <w:tcW w:w="0" w:type="auto"/>
            <w:vAlign w:val="center"/>
            <w:hideMark/>
          </w:tcPr>
          <w:p w14:paraId="1558459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w:t>
            </w:r>
          </w:p>
        </w:tc>
        <w:tc>
          <w:tcPr>
            <w:tcW w:w="0" w:type="auto"/>
            <w:vAlign w:val="center"/>
            <w:hideMark/>
          </w:tcPr>
          <w:p w14:paraId="76739DC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3.52 ± 0.17</w:t>
            </w:r>
          </w:p>
        </w:tc>
        <w:tc>
          <w:tcPr>
            <w:tcW w:w="0" w:type="auto"/>
            <w:vAlign w:val="center"/>
            <w:hideMark/>
          </w:tcPr>
          <w:p w14:paraId="4C78E443"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w:t>
            </w:r>
          </w:p>
        </w:tc>
        <w:tc>
          <w:tcPr>
            <w:tcW w:w="0" w:type="auto"/>
            <w:vAlign w:val="center"/>
            <w:hideMark/>
          </w:tcPr>
          <w:p w14:paraId="54D9B9A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6.75 ± 2.78</w:t>
            </w:r>
          </w:p>
        </w:tc>
        <w:tc>
          <w:tcPr>
            <w:tcW w:w="0" w:type="auto"/>
            <w:vAlign w:val="center"/>
            <w:hideMark/>
          </w:tcPr>
          <w:p w14:paraId="3FB50BCC"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41.2</w:t>
            </w:r>
          </w:p>
        </w:tc>
      </w:tr>
      <w:tr w:rsidR="00690C37" w:rsidRPr="00690C37" w14:paraId="44558A9A" w14:textId="77777777" w:rsidTr="00FC2659">
        <w:trPr>
          <w:trHeight w:val="259"/>
          <w:tblCellSpacing w:w="15" w:type="dxa"/>
        </w:trPr>
        <w:tc>
          <w:tcPr>
            <w:tcW w:w="0" w:type="auto"/>
            <w:tcBorders>
              <w:top w:val="single" w:sz="4" w:space="0" w:color="auto"/>
              <w:bottom w:val="single" w:sz="4" w:space="0" w:color="auto"/>
            </w:tcBorders>
            <w:vAlign w:val="center"/>
            <w:hideMark/>
          </w:tcPr>
          <w:p w14:paraId="4E32088E" w14:textId="77777777" w:rsidR="00690C37" w:rsidRPr="00690C37" w:rsidRDefault="00690C37" w:rsidP="001657FE">
            <w:pPr>
              <w:rPr>
                <w:rFonts w:ascii="Arial" w:hAnsi="Arial" w:cs="Arial"/>
                <w:sz w:val="16"/>
                <w:lang w:eastAsia="fr-FR"/>
              </w:rPr>
            </w:pPr>
            <w:r w:rsidRPr="00690C37">
              <w:rPr>
                <w:rFonts w:ascii="Arial" w:hAnsi="Arial" w:cs="Arial"/>
                <w:b/>
                <w:bCs/>
                <w:sz w:val="16"/>
                <w:lang w:eastAsia="fr-FR"/>
              </w:rPr>
              <w:t>Mean</w:t>
            </w:r>
          </w:p>
        </w:tc>
        <w:tc>
          <w:tcPr>
            <w:tcW w:w="0" w:type="auto"/>
            <w:tcBorders>
              <w:top w:val="single" w:sz="4" w:space="0" w:color="auto"/>
              <w:bottom w:val="single" w:sz="4" w:space="0" w:color="auto"/>
            </w:tcBorders>
            <w:vAlign w:val="center"/>
            <w:hideMark/>
          </w:tcPr>
          <w:p w14:paraId="707F01A1"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182.5</w:t>
            </w:r>
          </w:p>
        </w:tc>
        <w:tc>
          <w:tcPr>
            <w:tcW w:w="0" w:type="auto"/>
            <w:tcBorders>
              <w:top w:val="single" w:sz="4" w:space="0" w:color="auto"/>
              <w:bottom w:val="single" w:sz="4" w:space="0" w:color="auto"/>
            </w:tcBorders>
            <w:vAlign w:val="center"/>
            <w:hideMark/>
          </w:tcPr>
          <w:p w14:paraId="536E79B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c>
          <w:tcPr>
            <w:tcW w:w="0" w:type="auto"/>
            <w:tcBorders>
              <w:top w:val="single" w:sz="4" w:space="0" w:color="auto"/>
              <w:bottom w:val="single" w:sz="4" w:space="0" w:color="auto"/>
            </w:tcBorders>
            <w:vAlign w:val="center"/>
            <w:hideMark/>
          </w:tcPr>
          <w:p w14:paraId="504067FA"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93.1</w:t>
            </w:r>
          </w:p>
        </w:tc>
        <w:tc>
          <w:tcPr>
            <w:tcW w:w="0" w:type="auto"/>
            <w:tcBorders>
              <w:top w:val="single" w:sz="4" w:space="0" w:color="auto"/>
              <w:bottom w:val="single" w:sz="4" w:space="0" w:color="auto"/>
            </w:tcBorders>
            <w:vAlign w:val="center"/>
            <w:hideMark/>
          </w:tcPr>
          <w:p w14:paraId="51E1BD6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c>
          <w:tcPr>
            <w:tcW w:w="0" w:type="auto"/>
            <w:tcBorders>
              <w:top w:val="single" w:sz="4" w:space="0" w:color="auto"/>
              <w:bottom w:val="single" w:sz="4" w:space="0" w:color="auto"/>
            </w:tcBorders>
            <w:vAlign w:val="center"/>
            <w:hideMark/>
          </w:tcPr>
          <w:p w14:paraId="5C2B3117"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15.0</w:t>
            </w:r>
          </w:p>
        </w:tc>
        <w:tc>
          <w:tcPr>
            <w:tcW w:w="0" w:type="auto"/>
            <w:tcBorders>
              <w:top w:val="single" w:sz="4" w:space="0" w:color="auto"/>
              <w:bottom w:val="single" w:sz="4" w:space="0" w:color="auto"/>
            </w:tcBorders>
            <w:vAlign w:val="center"/>
            <w:hideMark/>
          </w:tcPr>
          <w:p w14:paraId="00072D0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c>
          <w:tcPr>
            <w:tcW w:w="0" w:type="auto"/>
            <w:tcBorders>
              <w:top w:val="single" w:sz="4" w:space="0" w:color="auto"/>
              <w:bottom w:val="single" w:sz="4" w:space="0" w:color="auto"/>
            </w:tcBorders>
            <w:vAlign w:val="center"/>
            <w:hideMark/>
          </w:tcPr>
          <w:p w14:paraId="2E582291"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4.11</w:t>
            </w:r>
          </w:p>
        </w:tc>
        <w:tc>
          <w:tcPr>
            <w:tcW w:w="0" w:type="auto"/>
            <w:tcBorders>
              <w:top w:val="single" w:sz="4" w:space="0" w:color="auto"/>
              <w:bottom w:val="single" w:sz="4" w:space="0" w:color="auto"/>
            </w:tcBorders>
            <w:vAlign w:val="center"/>
            <w:hideMark/>
          </w:tcPr>
          <w:p w14:paraId="0632DC2A"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c>
          <w:tcPr>
            <w:tcW w:w="0" w:type="auto"/>
            <w:tcBorders>
              <w:top w:val="single" w:sz="4" w:space="0" w:color="auto"/>
              <w:bottom w:val="single" w:sz="4" w:space="0" w:color="auto"/>
            </w:tcBorders>
            <w:vAlign w:val="center"/>
            <w:hideMark/>
          </w:tcPr>
          <w:p w14:paraId="6834DCF2"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5.79</w:t>
            </w:r>
          </w:p>
        </w:tc>
        <w:tc>
          <w:tcPr>
            <w:tcW w:w="0" w:type="auto"/>
            <w:tcBorders>
              <w:top w:val="single" w:sz="4" w:space="0" w:color="auto"/>
              <w:bottom w:val="single" w:sz="4" w:space="0" w:color="auto"/>
            </w:tcBorders>
            <w:vAlign w:val="center"/>
            <w:hideMark/>
          </w:tcPr>
          <w:p w14:paraId="4F0D17C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r>
    </w:tbl>
    <w:p w14:paraId="20B30BF7" w14:textId="77777777" w:rsidR="00690C37" w:rsidRDefault="00690C37" w:rsidP="00441B6F">
      <w:pPr>
        <w:pStyle w:val="Body"/>
        <w:spacing w:after="0"/>
        <w:rPr>
          <w:rFonts w:ascii="Arial" w:hAnsi="Arial" w:cs="Arial"/>
          <w:sz w:val="18"/>
        </w:rPr>
      </w:pPr>
      <w:r w:rsidRPr="00690C37">
        <w:rPr>
          <w:rFonts w:ascii="Arial" w:hAnsi="Arial" w:cs="Arial"/>
          <w:sz w:val="18"/>
        </w:rPr>
        <w:t>PHT = plant height; EIH = ear insertion height; EL = ear length; ED = ear diameter; GY = grain yield (t/ha at 14–15% moisture). CV (%) = coefficient of variation = (standard deviation / mean) × 100, calculated across the three replications per variety.</w:t>
      </w:r>
    </w:p>
    <w:p w14:paraId="0FDECA4A" w14:textId="77777777" w:rsidR="00427824" w:rsidRPr="00427824" w:rsidRDefault="00427824" w:rsidP="00427824">
      <w:pPr>
        <w:pStyle w:val="NormalWeb"/>
        <w:spacing w:after="0" w:afterAutospacing="0"/>
        <w:jc w:val="both"/>
        <w:rPr>
          <w:rFonts w:ascii="Arial" w:hAnsi="Arial" w:cs="Arial"/>
          <w:b/>
          <w:sz w:val="20"/>
          <w:szCs w:val="20"/>
          <w:lang w:val="en-US" w:eastAsia="en-US"/>
        </w:rPr>
      </w:pPr>
      <w:r w:rsidRPr="00427824">
        <w:rPr>
          <w:rFonts w:ascii="Arial" w:hAnsi="Arial" w:cs="Arial"/>
          <w:b/>
          <w:sz w:val="20"/>
          <w:szCs w:val="20"/>
          <w:lang w:val="en-US" w:eastAsia="en-US"/>
        </w:rPr>
        <w:t xml:space="preserve">Table 1B. Mean agronomic performances (± standard deviation and CV %) of maize hybrid varieties in the </w:t>
      </w:r>
      <w:proofErr w:type="spellStart"/>
      <w:r w:rsidRPr="00427824">
        <w:rPr>
          <w:rFonts w:ascii="Arial" w:hAnsi="Arial" w:cs="Arial"/>
          <w:b/>
          <w:sz w:val="20"/>
          <w:szCs w:val="20"/>
          <w:lang w:val="en-US" w:eastAsia="en-US"/>
        </w:rPr>
        <w:t>Boundiali</w:t>
      </w:r>
      <w:proofErr w:type="spellEnd"/>
      <w:r w:rsidRPr="00427824">
        <w:rPr>
          <w:rFonts w:ascii="Arial" w:hAnsi="Arial" w:cs="Arial"/>
          <w:b/>
          <w:sz w:val="20"/>
          <w:szCs w:val="20"/>
          <w:lang w:val="en-US" w:eastAsia="en-US"/>
        </w:rPr>
        <w:t xml:space="preserve"> zone (marked water stress)</w:t>
      </w:r>
    </w:p>
    <w:tbl>
      <w:tblPr>
        <w:tblW w:w="8255" w:type="dxa"/>
        <w:tblCellSpacing w:w="15" w:type="dxa"/>
        <w:tblCellMar>
          <w:top w:w="15" w:type="dxa"/>
          <w:left w:w="15" w:type="dxa"/>
          <w:bottom w:w="15" w:type="dxa"/>
          <w:right w:w="15" w:type="dxa"/>
        </w:tblCellMar>
        <w:tblLook w:val="04A0" w:firstRow="1" w:lastRow="0" w:firstColumn="1" w:lastColumn="0" w:noHBand="0" w:noVBand="1"/>
      </w:tblPr>
      <w:tblGrid>
        <w:gridCol w:w="796"/>
        <w:gridCol w:w="984"/>
        <w:gridCol w:w="597"/>
        <w:gridCol w:w="892"/>
        <w:gridCol w:w="597"/>
        <w:gridCol w:w="799"/>
        <w:gridCol w:w="597"/>
        <w:gridCol w:w="892"/>
        <w:gridCol w:w="597"/>
        <w:gridCol w:w="892"/>
        <w:gridCol w:w="612"/>
      </w:tblGrid>
      <w:tr w:rsidR="00FC2659" w:rsidRPr="00727A39" w14:paraId="3D7D16B7" w14:textId="77777777" w:rsidTr="00FC2659">
        <w:trPr>
          <w:trHeight w:val="449"/>
          <w:tblHeader/>
          <w:tblCellSpacing w:w="15" w:type="dxa"/>
        </w:trPr>
        <w:tc>
          <w:tcPr>
            <w:tcW w:w="0" w:type="auto"/>
            <w:tcBorders>
              <w:top w:val="single" w:sz="4" w:space="0" w:color="auto"/>
              <w:bottom w:val="single" w:sz="4" w:space="0" w:color="auto"/>
            </w:tcBorders>
            <w:vAlign w:val="center"/>
            <w:hideMark/>
          </w:tcPr>
          <w:p w14:paraId="71033E44"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Variety</w:t>
            </w:r>
          </w:p>
        </w:tc>
        <w:tc>
          <w:tcPr>
            <w:tcW w:w="0" w:type="auto"/>
            <w:tcBorders>
              <w:top w:val="single" w:sz="4" w:space="0" w:color="auto"/>
              <w:bottom w:val="single" w:sz="4" w:space="0" w:color="auto"/>
            </w:tcBorders>
            <w:vAlign w:val="center"/>
            <w:hideMark/>
          </w:tcPr>
          <w:p w14:paraId="24789830"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PHT (cm)</w:t>
            </w:r>
          </w:p>
        </w:tc>
        <w:tc>
          <w:tcPr>
            <w:tcW w:w="0" w:type="auto"/>
            <w:tcBorders>
              <w:top w:val="single" w:sz="4" w:space="0" w:color="auto"/>
              <w:bottom w:val="single" w:sz="4" w:space="0" w:color="auto"/>
            </w:tcBorders>
            <w:vAlign w:val="center"/>
            <w:hideMark/>
          </w:tcPr>
          <w:p w14:paraId="4173290D"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c>
          <w:tcPr>
            <w:tcW w:w="0" w:type="auto"/>
            <w:tcBorders>
              <w:top w:val="single" w:sz="4" w:space="0" w:color="auto"/>
              <w:bottom w:val="single" w:sz="4" w:space="0" w:color="auto"/>
            </w:tcBorders>
            <w:vAlign w:val="center"/>
            <w:hideMark/>
          </w:tcPr>
          <w:p w14:paraId="79FAB9BA"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EIH (cm)</w:t>
            </w:r>
          </w:p>
        </w:tc>
        <w:tc>
          <w:tcPr>
            <w:tcW w:w="0" w:type="auto"/>
            <w:tcBorders>
              <w:top w:val="single" w:sz="4" w:space="0" w:color="auto"/>
              <w:bottom w:val="single" w:sz="4" w:space="0" w:color="auto"/>
            </w:tcBorders>
            <w:vAlign w:val="center"/>
            <w:hideMark/>
          </w:tcPr>
          <w:p w14:paraId="22B404E4"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c>
          <w:tcPr>
            <w:tcW w:w="0" w:type="auto"/>
            <w:tcBorders>
              <w:top w:val="single" w:sz="4" w:space="0" w:color="auto"/>
              <w:bottom w:val="single" w:sz="4" w:space="0" w:color="auto"/>
            </w:tcBorders>
            <w:vAlign w:val="center"/>
            <w:hideMark/>
          </w:tcPr>
          <w:p w14:paraId="6F2C5D17"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EL (cm)</w:t>
            </w:r>
          </w:p>
        </w:tc>
        <w:tc>
          <w:tcPr>
            <w:tcW w:w="0" w:type="auto"/>
            <w:tcBorders>
              <w:top w:val="single" w:sz="4" w:space="0" w:color="auto"/>
              <w:bottom w:val="single" w:sz="4" w:space="0" w:color="auto"/>
            </w:tcBorders>
            <w:vAlign w:val="center"/>
            <w:hideMark/>
          </w:tcPr>
          <w:p w14:paraId="13FC3963"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c>
          <w:tcPr>
            <w:tcW w:w="0" w:type="auto"/>
            <w:tcBorders>
              <w:top w:val="single" w:sz="4" w:space="0" w:color="auto"/>
              <w:bottom w:val="single" w:sz="4" w:space="0" w:color="auto"/>
            </w:tcBorders>
            <w:vAlign w:val="center"/>
            <w:hideMark/>
          </w:tcPr>
          <w:p w14:paraId="4E325285"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ED (cm)</w:t>
            </w:r>
          </w:p>
        </w:tc>
        <w:tc>
          <w:tcPr>
            <w:tcW w:w="0" w:type="auto"/>
            <w:tcBorders>
              <w:top w:val="single" w:sz="4" w:space="0" w:color="auto"/>
              <w:bottom w:val="single" w:sz="4" w:space="0" w:color="auto"/>
            </w:tcBorders>
            <w:vAlign w:val="center"/>
            <w:hideMark/>
          </w:tcPr>
          <w:p w14:paraId="7B94A40F"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c>
          <w:tcPr>
            <w:tcW w:w="0" w:type="auto"/>
            <w:tcBorders>
              <w:top w:val="single" w:sz="4" w:space="0" w:color="auto"/>
              <w:bottom w:val="single" w:sz="4" w:space="0" w:color="auto"/>
            </w:tcBorders>
            <w:vAlign w:val="center"/>
            <w:hideMark/>
          </w:tcPr>
          <w:p w14:paraId="1066DB4C"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GY (t/ha)</w:t>
            </w:r>
          </w:p>
        </w:tc>
        <w:tc>
          <w:tcPr>
            <w:tcW w:w="0" w:type="auto"/>
            <w:tcBorders>
              <w:top w:val="single" w:sz="4" w:space="0" w:color="auto"/>
              <w:bottom w:val="single" w:sz="4" w:space="0" w:color="auto"/>
            </w:tcBorders>
            <w:vAlign w:val="center"/>
            <w:hideMark/>
          </w:tcPr>
          <w:p w14:paraId="54F7B239"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r>
      <w:tr w:rsidR="00FC2659" w:rsidRPr="00727A39" w14:paraId="5ABEB9A8" w14:textId="77777777" w:rsidTr="00FC2659">
        <w:trPr>
          <w:trHeight w:val="415"/>
          <w:tblCellSpacing w:w="15" w:type="dxa"/>
        </w:trPr>
        <w:tc>
          <w:tcPr>
            <w:tcW w:w="0" w:type="auto"/>
            <w:vAlign w:val="center"/>
            <w:hideMark/>
          </w:tcPr>
          <w:p w14:paraId="02DD3470"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A1909-9</w:t>
            </w:r>
          </w:p>
        </w:tc>
        <w:tc>
          <w:tcPr>
            <w:tcW w:w="0" w:type="auto"/>
            <w:vAlign w:val="center"/>
            <w:hideMark/>
          </w:tcPr>
          <w:p w14:paraId="7B316AE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117.8 ± 29.8</w:t>
            </w:r>
          </w:p>
        </w:tc>
        <w:tc>
          <w:tcPr>
            <w:tcW w:w="0" w:type="auto"/>
            <w:vAlign w:val="center"/>
            <w:hideMark/>
          </w:tcPr>
          <w:p w14:paraId="31DE0A71"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25.3</w:t>
            </w:r>
          </w:p>
        </w:tc>
        <w:tc>
          <w:tcPr>
            <w:tcW w:w="0" w:type="auto"/>
            <w:vAlign w:val="center"/>
            <w:hideMark/>
          </w:tcPr>
          <w:p w14:paraId="2E434D3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65.9 ± 10.0</w:t>
            </w:r>
          </w:p>
        </w:tc>
        <w:tc>
          <w:tcPr>
            <w:tcW w:w="0" w:type="auto"/>
            <w:vAlign w:val="center"/>
            <w:hideMark/>
          </w:tcPr>
          <w:p w14:paraId="66F631B6"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15.2</w:t>
            </w:r>
          </w:p>
        </w:tc>
        <w:tc>
          <w:tcPr>
            <w:tcW w:w="0" w:type="auto"/>
            <w:vAlign w:val="center"/>
            <w:hideMark/>
          </w:tcPr>
          <w:p w14:paraId="0DDE0131"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10.5 ± 2.8</w:t>
            </w:r>
          </w:p>
        </w:tc>
        <w:tc>
          <w:tcPr>
            <w:tcW w:w="0" w:type="auto"/>
            <w:vAlign w:val="center"/>
            <w:hideMark/>
          </w:tcPr>
          <w:p w14:paraId="18E061C3"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26.7</w:t>
            </w:r>
          </w:p>
        </w:tc>
        <w:tc>
          <w:tcPr>
            <w:tcW w:w="0" w:type="auto"/>
            <w:vAlign w:val="center"/>
            <w:hideMark/>
          </w:tcPr>
          <w:p w14:paraId="731328B7"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3.76 ± 0.78</w:t>
            </w:r>
          </w:p>
        </w:tc>
        <w:tc>
          <w:tcPr>
            <w:tcW w:w="0" w:type="auto"/>
            <w:vAlign w:val="center"/>
            <w:hideMark/>
          </w:tcPr>
          <w:p w14:paraId="410DDB2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20.7</w:t>
            </w:r>
          </w:p>
        </w:tc>
        <w:tc>
          <w:tcPr>
            <w:tcW w:w="0" w:type="auto"/>
            <w:vAlign w:val="center"/>
            <w:hideMark/>
          </w:tcPr>
          <w:p w14:paraId="4B9C7B7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2.85 ± 0.31</w:t>
            </w:r>
          </w:p>
        </w:tc>
        <w:tc>
          <w:tcPr>
            <w:tcW w:w="0" w:type="auto"/>
            <w:vAlign w:val="center"/>
            <w:hideMark/>
          </w:tcPr>
          <w:p w14:paraId="4D3A904D"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10.9</w:t>
            </w:r>
          </w:p>
        </w:tc>
      </w:tr>
      <w:tr w:rsidR="00FC2659" w:rsidRPr="00727A39" w14:paraId="6B584F90" w14:textId="77777777" w:rsidTr="00FC2659">
        <w:trPr>
          <w:trHeight w:val="415"/>
          <w:tblCellSpacing w:w="15" w:type="dxa"/>
        </w:trPr>
        <w:tc>
          <w:tcPr>
            <w:tcW w:w="0" w:type="auto"/>
            <w:vAlign w:val="center"/>
            <w:hideMark/>
          </w:tcPr>
          <w:p w14:paraId="61E53A25"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LW2202</w:t>
            </w:r>
          </w:p>
        </w:tc>
        <w:tc>
          <w:tcPr>
            <w:tcW w:w="0" w:type="auto"/>
            <w:vAlign w:val="center"/>
            <w:hideMark/>
          </w:tcPr>
          <w:p w14:paraId="31F48EA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130.1 ± 21.6</w:t>
            </w:r>
          </w:p>
        </w:tc>
        <w:tc>
          <w:tcPr>
            <w:tcW w:w="0" w:type="auto"/>
            <w:vAlign w:val="center"/>
            <w:hideMark/>
          </w:tcPr>
          <w:p w14:paraId="0E11AE7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16.6</w:t>
            </w:r>
          </w:p>
        </w:tc>
        <w:tc>
          <w:tcPr>
            <w:tcW w:w="0" w:type="auto"/>
            <w:vAlign w:val="center"/>
            <w:hideMark/>
          </w:tcPr>
          <w:p w14:paraId="575F6A4A"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74.9 ± 6.4</w:t>
            </w:r>
          </w:p>
        </w:tc>
        <w:tc>
          <w:tcPr>
            <w:tcW w:w="0" w:type="auto"/>
            <w:vAlign w:val="center"/>
            <w:hideMark/>
          </w:tcPr>
          <w:p w14:paraId="027D8F46"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8.5</w:t>
            </w:r>
          </w:p>
        </w:tc>
        <w:tc>
          <w:tcPr>
            <w:tcW w:w="0" w:type="auto"/>
            <w:vAlign w:val="center"/>
            <w:hideMark/>
          </w:tcPr>
          <w:p w14:paraId="25EE239C"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10.4 ± 1.3</w:t>
            </w:r>
          </w:p>
        </w:tc>
        <w:tc>
          <w:tcPr>
            <w:tcW w:w="0" w:type="auto"/>
            <w:vAlign w:val="center"/>
            <w:hideMark/>
          </w:tcPr>
          <w:p w14:paraId="3BD8CD7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12.5</w:t>
            </w:r>
          </w:p>
        </w:tc>
        <w:tc>
          <w:tcPr>
            <w:tcW w:w="0" w:type="auto"/>
            <w:vAlign w:val="center"/>
            <w:hideMark/>
          </w:tcPr>
          <w:p w14:paraId="074F757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3.56 ± 0.27</w:t>
            </w:r>
          </w:p>
        </w:tc>
        <w:tc>
          <w:tcPr>
            <w:tcW w:w="0" w:type="auto"/>
            <w:vAlign w:val="center"/>
            <w:hideMark/>
          </w:tcPr>
          <w:p w14:paraId="0E5A669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7.6</w:t>
            </w:r>
          </w:p>
        </w:tc>
        <w:tc>
          <w:tcPr>
            <w:tcW w:w="0" w:type="auto"/>
            <w:vAlign w:val="center"/>
            <w:hideMark/>
          </w:tcPr>
          <w:p w14:paraId="3D1F961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2.22 ± 0.22</w:t>
            </w:r>
          </w:p>
        </w:tc>
        <w:tc>
          <w:tcPr>
            <w:tcW w:w="0" w:type="auto"/>
            <w:vAlign w:val="center"/>
            <w:hideMark/>
          </w:tcPr>
          <w:p w14:paraId="7FCCB56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9.9</w:t>
            </w:r>
          </w:p>
        </w:tc>
      </w:tr>
      <w:tr w:rsidR="00FC2659" w:rsidRPr="00727A39" w14:paraId="556BC11A" w14:textId="77777777" w:rsidTr="00FC2659">
        <w:trPr>
          <w:trHeight w:val="415"/>
          <w:tblCellSpacing w:w="15" w:type="dxa"/>
        </w:trPr>
        <w:tc>
          <w:tcPr>
            <w:tcW w:w="0" w:type="auto"/>
            <w:vAlign w:val="center"/>
            <w:hideMark/>
          </w:tcPr>
          <w:p w14:paraId="35F14006"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FMB</w:t>
            </w:r>
          </w:p>
        </w:tc>
        <w:tc>
          <w:tcPr>
            <w:tcW w:w="0" w:type="auto"/>
            <w:vAlign w:val="center"/>
            <w:hideMark/>
          </w:tcPr>
          <w:p w14:paraId="0331F1A3"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131.6 ± 14.5</w:t>
            </w:r>
          </w:p>
        </w:tc>
        <w:tc>
          <w:tcPr>
            <w:tcW w:w="0" w:type="auto"/>
            <w:vAlign w:val="center"/>
            <w:hideMark/>
          </w:tcPr>
          <w:p w14:paraId="2E0FAA5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11.0</w:t>
            </w:r>
          </w:p>
        </w:tc>
        <w:tc>
          <w:tcPr>
            <w:tcW w:w="0" w:type="auto"/>
            <w:vAlign w:val="center"/>
            <w:hideMark/>
          </w:tcPr>
          <w:p w14:paraId="2A05D6CC"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61.9 ± 3.6</w:t>
            </w:r>
          </w:p>
        </w:tc>
        <w:tc>
          <w:tcPr>
            <w:tcW w:w="0" w:type="auto"/>
            <w:vAlign w:val="center"/>
            <w:hideMark/>
          </w:tcPr>
          <w:p w14:paraId="3D0E13C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5.8</w:t>
            </w:r>
          </w:p>
        </w:tc>
        <w:tc>
          <w:tcPr>
            <w:tcW w:w="0" w:type="auto"/>
            <w:vAlign w:val="center"/>
            <w:hideMark/>
          </w:tcPr>
          <w:p w14:paraId="6019473A"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10.5 ± 1.4</w:t>
            </w:r>
          </w:p>
        </w:tc>
        <w:tc>
          <w:tcPr>
            <w:tcW w:w="0" w:type="auto"/>
            <w:vAlign w:val="center"/>
            <w:hideMark/>
          </w:tcPr>
          <w:p w14:paraId="44CE740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13.3</w:t>
            </w:r>
          </w:p>
        </w:tc>
        <w:tc>
          <w:tcPr>
            <w:tcW w:w="0" w:type="auto"/>
            <w:vAlign w:val="center"/>
            <w:hideMark/>
          </w:tcPr>
          <w:p w14:paraId="3F462954"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3.56 ± 0.18</w:t>
            </w:r>
          </w:p>
        </w:tc>
        <w:tc>
          <w:tcPr>
            <w:tcW w:w="0" w:type="auto"/>
            <w:vAlign w:val="center"/>
            <w:hideMark/>
          </w:tcPr>
          <w:p w14:paraId="01AC4DDE"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5.1</w:t>
            </w:r>
          </w:p>
        </w:tc>
        <w:tc>
          <w:tcPr>
            <w:tcW w:w="0" w:type="auto"/>
            <w:vAlign w:val="center"/>
            <w:hideMark/>
          </w:tcPr>
          <w:p w14:paraId="4A33E2AA"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2.11 ± 0.88</w:t>
            </w:r>
          </w:p>
        </w:tc>
        <w:tc>
          <w:tcPr>
            <w:tcW w:w="0" w:type="auto"/>
            <w:vAlign w:val="center"/>
            <w:hideMark/>
          </w:tcPr>
          <w:p w14:paraId="438B634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41.7</w:t>
            </w:r>
          </w:p>
        </w:tc>
      </w:tr>
      <w:tr w:rsidR="00FC2659" w:rsidRPr="00727A39" w14:paraId="3BEAF980" w14:textId="77777777" w:rsidTr="00FC2659">
        <w:trPr>
          <w:trHeight w:val="449"/>
          <w:tblCellSpacing w:w="15" w:type="dxa"/>
        </w:trPr>
        <w:tc>
          <w:tcPr>
            <w:tcW w:w="0" w:type="auto"/>
            <w:vAlign w:val="center"/>
            <w:hideMark/>
          </w:tcPr>
          <w:p w14:paraId="21DBF264"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A2106-19</w:t>
            </w:r>
          </w:p>
        </w:tc>
        <w:tc>
          <w:tcPr>
            <w:tcW w:w="0" w:type="auto"/>
            <w:vAlign w:val="center"/>
            <w:hideMark/>
          </w:tcPr>
          <w:p w14:paraId="0DEEA80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132.5 ± 9.1</w:t>
            </w:r>
          </w:p>
        </w:tc>
        <w:tc>
          <w:tcPr>
            <w:tcW w:w="0" w:type="auto"/>
            <w:vAlign w:val="center"/>
            <w:hideMark/>
          </w:tcPr>
          <w:p w14:paraId="17B16CF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6.9</w:t>
            </w:r>
          </w:p>
        </w:tc>
        <w:tc>
          <w:tcPr>
            <w:tcW w:w="0" w:type="auto"/>
            <w:vAlign w:val="center"/>
            <w:hideMark/>
          </w:tcPr>
          <w:p w14:paraId="0CACFCD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76.8 ± 0.8</w:t>
            </w:r>
          </w:p>
        </w:tc>
        <w:tc>
          <w:tcPr>
            <w:tcW w:w="0" w:type="auto"/>
            <w:vAlign w:val="center"/>
            <w:hideMark/>
          </w:tcPr>
          <w:p w14:paraId="636CB326"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w:t>
            </w:r>
          </w:p>
        </w:tc>
        <w:tc>
          <w:tcPr>
            <w:tcW w:w="0" w:type="auto"/>
            <w:vAlign w:val="center"/>
            <w:hideMark/>
          </w:tcPr>
          <w:p w14:paraId="5C2199FC"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10.6 ± 2.3</w:t>
            </w:r>
          </w:p>
        </w:tc>
        <w:tc>
          <w:tcPr>
            <w:tcW w:w="0" w:type="auto"/>
            <w:vAlign w:val="center"/>
            <w:hideMark/>
          </w:tcPr>
          <w:p w14:paraId="101D48F1"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21.7</w:t>
            </w:r>
          </w:p>
        </w:tc>
        <w:tc>
          <w:tcPr>
            <w:tcW w:w="0" w:type="auto"/>
            <w:vAlign w:val="center"/>
            <w:hideMark/>
          </w:tcPr>
          <w:p w14:paraId="4E840AB6"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3.70 ± 0.04</w:t>
            </w:r>
          </w:p>
        </w:tc>
        <w:tc>
          <w:tcPr>
            <w:tcW w:w="0" w:type="auto"/>
            <w:vAlign w:val="center"/>
            <w:hideMark/>
          </w:tcPr>
          <w:p w14:paraId="3A9BB4B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w:t>
            </w:r>
          </w:p>
        </w:tc>
        <w:tc>
          <w:tcPr>
            <w:tcW w:w="0" w:type="auto"/>
            <w:vAlign w:val="center"/>
            <w:hideMark/>
          </w:tcPr>
          <w:p w14:paraId="026FDC9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2.49 ± 0.40</w:t>
            </w:r>
          </w:p>
        </w:tc>
        <w:tc>
          <w:tcPr>
            <w:tcW w:w="0" w:type="auto"/>
            <w:vAlign w:val="center"/>
            <w:hideMark/>
          </w:tcPr>
          <w:p w14:paraId="186D809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16.1</w:t>
            </w:r>
          </w:p>
        </w:tc>
      </w:tr>
      <w:tr w:rsidR="00FC2659" w:rsidRPr="00727A39" w14:paraId="7186ED93" w14:textId="77777777" w:rsidTr="00FC2659">
        <w:trPr>
          <w:trHeight w:val="415"/>
          <w:tblCellSpacing w:w="15" w:type="dxa"/>
        </w:trPr>
        <w:tc>
          <w:tcPr>
            <w:tcW w:w="0" w:type="auto"/>
            <w:vAlign w:val="center"/>
            <w:hideMark/>
          </w:tcPr>
          <w:p w14:paraId="40726969"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M1627-8</w:t>
            </w:r>
          </w:p>
        </w:tc>
        <w:tc>
          <w:tcPr>
            <w:tcW w:w="0" w:type="auto"/>
            <w:vAlign w:val="center"/>
            <w:hideMark/>
          </w:tcPr>
          <w:p w14:paraId="0042A6A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117.5 ± 14.8</w:t>
            </w:r>
          </w:p>
        </w:tc>
        <w:tc>
          <w:tcPr>
            <w:tcW w:w="0" w:type="auto"/>
            <w:vAlign w:val="center"/>
            <w:hideMark/>
          </w:tcPr>
          <w:p w14:paraId="18012A4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12.6</w:t>
            </w:r>
          </w:p>
        </w:tc>
        <w:tc>
          <w:tcPr>
            <w:tcW w:w="0" w:type="auto"/>
            <w:vAlign w:val="center"/>
            <w:hideMark/>
          </w:tcPr>
          <w:p w14:paraId="7FBF505D"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65.9 ± 7.1</w:t>
            </w:r>
          </w:p>
        </w:tc>
        <w:tc>
          <w:tcPr>
            <w:tcW w:w="0" w:type="auto"/>
            <w:vAlign w:val="center"/>
            <w:hideMark/>
          </w:tcPr>
          <w:p w14:paraId="697AE9F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10.8</w:t>
            </w:r>
          </w:p>
        </w:tc>
        <w:tc>
          <w:tcPr>
            <w:tcW w:w="0" w:type="auto"/>
            <w:vAlign w:val="center"/>
            <w:hideMark/>
          </w:tcPr>
          <w:p w14:paraId="2B6D8CA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10.9 ± 1.1</w:t>
            </w:r>
          </w:p>
        </w:tc>
        <w:tc>
          <w:tcPr>
            <w:tcW w:w="0" w:type="auto"/>
            <w:vAlign w:val="center"/>
            <w:hideMark/>
          </w:tcPr>
          <w:p w14:paraId="24B9D52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10.1</w:t>
            </w:r>
          </w:p>
        </w:tc>
        <w:tc>
          <w:tcPr>
            <w:tcW w:w="0" w:type="auto"/>
            <w:vAlign w:val="center"/>
            <w:hideMark/>
          </w:tcPr>
          <w:p w14:paraId="08334E5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3.73 ± 0.11</w:t>
            </w:r>
          </w:p>
        </w:tc>
        <w:tc>
          <w:tcPr>
            <w:tcW w:w="0" w:type="auto"/>
            <w:vAlign w:val="center"/>
            <w:hideMark/>
          </w:tcPr>
          <w:p w14:paraId="33519EF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3.0</w:t>
            </w:r>
          </w:p>
        </w:tc>
        <w:tc>
          <w:tcPr>
            <w:tcW w:w="0" w:type="auto"/>
            <w:vAlign w:val="center"/>
            <w:hideMark/>
          </w:tcPr>
          <w:p w14:paraId="5D4C8CD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2.22 ± 4.07</w:t>
            </w:r>
          </w:p>
        </w:tc>
        <w:tc>
          <w:tcPr>
            <w:tcW w:w="0" w:type="auto"/>
            <w:vAlign w:val="center"/>
            <w:hideMark/>
          </w:tcPr>
          <w:p w14:paraId="5CC44B3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183.3</w:t>
            </w:r>
          </w:p>
        </w:tc>
      </w:tr>
      <w:tr w:rsidR="00FC2659" w:rsidRPr="00727A39" w14:paraId="4685C486" w14:textId="77777777" w:rsidTr="00FC2659">
        <w:trPr>
          <w:trHeight w:val="415"/>
          <w:tblCellSpacing w:w="15" w:type="dxa"/>
        </w:trPr>
        <w:tc>
          <w:tcPr>
            <w:tcW w:w="0" w:type="auto"/>
            <w:vAlign w:val="center"/>
            <w:hideMark/>
          </w:tcPr>
          <w:p w14:paraId="605503C1"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EV 8728</w:t>
            </w:r>
          </w:p>
        </w:tc>
        <w:tc>
          <w:tcPr>
            <w:tcW w:w="0" w:type="auto"/>
            <w:vAlign w:val="center"/>
            <w:hideMark/>
          </w:tcPr>
          <w:p w14:paraId="387DFDEC"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133.6 ± 25.0</w:t>
            </w:r>
          </w:p>
        </w:tc>
        <w:tc>
          <w:tcPr>
            <w:tcW w:w="0" w:type="auto"/>
            <w:vAlign w:val="center"/>
            <w:hideMark/>
          </w:tcPr>
          <w:p w14:paraId="5483156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18.7</w:t>
            </w:r>
          </w:p>
        </w:tc>
        <w:tc>
          <w:tcPr>
            <w:tcW w:w="0" w:type="auto"/>
            <w:vAlign w:val="center"/>
            <w:hideMark/>
          </w:tcPr>
          <w:p w14:paraId="43D92C5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75.5 ± 2.5</w:t>
            </w:r>
          </w:p>
        </w:tc>
        <w:tc>
          <w:tcPr>
            <w:tcW w:w="0" w:type="auto"/>
            <w:vAlign w:val="center"/>
            <w:hideMark/>
          </w:tcPr>
          <w:p w14:paraId="7D870594"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3.3</w:t>
            </w:r>
          </w:p>
        </w:tc>
        <w:tc>
          <w:tcPr>
            <w:tcW w:w="0" w:type="auto"/>
            <w:vAlign w:val="center"/>
            <w:hideMark/>
          </w:tcPr>
          <w:p w14:paraId="3FEE084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10.6 ± 1.0</w:t>
            </w:r>
          </w:p>
        </w:tc>
        <w:tc>
          <w:tcPr>
            <w:tcW w:w="0" w:type="auto"/>
            <w:vAlign w:val="center"/>
            <w:hideMark/>
          </w:tcPr>
          <w:p w14:paraId="29BFB1CE"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9.4</w:t>
            </w:r>
          </w:p>
        </w:tc>
        <w:tc>
          <w:tcPr>
            <w:tcW w:w="0" w:type="auto"/>
            <w:vAlign w:val="center"/>
            <w:hideMark/>
          </w:tcPr>
          <w:p w14:paraId="3A14FFE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3.61 ± 0.39</w:t>
            </w:r>
          </w:p>
        </w:tc>
        <w:tc>
          <w:tcPr>
            <w:tcW w:w="0" w:type="auto"/>
            <w:vAlign w:val="center"/>
            <w:hideMark/>
          </w:tcPr>
          <w:p w14:paraId="52AA397A"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10.8</w:t>
            </w:r>
          </w:p>
        </w:tc>
        <w:tc>
          <w:tcPr>
            <w:tcW w:w="0" w:type="auto"/>
            <w:vAlign w:val="center"/>
            <w:hideMark/>
          </w:tcPr>
          <w:p w14:paraId="676BE11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2.15 ± 2.93</w:t>
            </w:r>
          </w:p>
        </w:tc>
        <w:tc>
          <w:tcPr>
            <w:tcW w:w="0" w:type="auto"/>
            <w:vAlign w:val="center"/>
            <w:hideMark/>
          </w:tcPr>
          <w:p w14:paraId="30A8605E"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136.3</w:t>
            </w:r>
          </w:p>
        </w:tc>
      </w:tr>
      <w:tr w:rsidR="00FC2659" w:rsidRPr="00727A39" w14:paraId="39DB3CF1" w14:textId="77777777" w:rsidTr="00FC2659">
        <w:trPr>
          <w:trHeight w:val="415"/>
          <w:tblCellSpacing w:w="15" w:type="dxa"/>
        </w:trPr>
        <w:tc>
          <w:tcPr>
            <w:tcW w:w="0" w:type="auto"/>
            <w:vAlign w:val="center"/>
            <w:hideMark/>
          </w:tcPr>
          <w:p w14:paraId="14D1225F"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lastRenderedPageBreak/>
              <w:t>EWH-118</w:t>
            </w:r>
          </w:p>
        </w:tc>
        <w:tc>
          <w:tcPr>
            <w:tcW w:w="0" w:type="auto"/>
            <w:vAlign w:val="center"/>
            <w:hideMark/>
          </w:tcPr>
          <w:p w14:paraId="36205A3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128.6 ± 23.8</w:t>
            </w:r>
          </w:p>
        </w:tc>
        <w:tc>
          <w:tcPr>
            <w:tcW w:w="0" w:type="auto"/>
            <w:vAlign w:val="center"/>
            <w:hideMark/>
          </w:tcPr>
          <w:p w14:paraId="1233048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18.5</w:t>
            </w:r>
          </w:p>
        </w:tc>
        <w:tc>
          <w:tcPr>
            <w:tcW w:w="0" w:type="auto"/>
            <w:vAlign w:val="center"/>
            <w:hideMark/>
          </w:tcPr>
          <w:p w14:paraId="4A412FC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69.9 ± 7.9</w:t>
            </w:r>
          </w:p>
        </w:tc>
        <w:tc>
          <w:tcPr>
            <w:tcW w:w="0" w:type="auto"/>
            <w:vAlign w:val="center"/>
            <w:hideMark/>
          </w:tcPr>
          <w:p w14:paraId="41D3518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11.3</w:t>
            </w:r>
          </w:p>
        </w:tc>
        <w:tc>
          <w:tcPr>
            <w:tcW w:w="0" w:type="auto"/>
            <w:vAlign w:val="center"/>
            <w:hideMark/>
          </w:tcPr>
          <w:p w14:paraId="62EC105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10.4 ± 0.1</w:t>
            </w:r>
          </w:p>
        </w:tc>
        <w:tc>
          <w:tcPr>
            <w:tcW w:w="0" w:type="auto"/>
            <w:vAlign w:val="center"/>
            <w:hideMark/>
          </w:tcPr>
          <w:p w14:paraId="153AF6EE"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w:t>
            </w:r>
          </w:p>
        </w:tc>
        <w:tc>
          <w:tcPr>
            <w:tcW w:w="0" w:type="auto"/>
            <w:vAlign w:val="center"/>
            <w:hideMark/>
          </w:tcPr>
          <w:p w14:paraId="121FB37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3.25 ± 0.14</w:t>
            </w:r>
          </w:p>
        </w:tc>
        <w:tc>
          <w:tcPr>
            <w:tcW w:w="0" w:type="auto"/>
            <w:vAlign w:val="center"/>
            <w:hideMark/>
          </w:tcPr>
          <w:p w14:paraId="6534E67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4.3</w:t>
            </w:r>
          </w:p>
        </w:tc>
        <w:tc>
          <w:tcPr>
            <w:tcW w:w="0" w:type="auto"/>
            <w:vAlign w:val="center"/>
            <w:hideMark/>
          </w:tcPr>
          <w:p w14:paraId="397A8EA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4.35 ± 1.60</w:t>
            </w:r>
          </w:p>
        </w:tc>
        <w:tc>
          <w:tcPr>
            <w:tcW w:w="0" w:type="auto"/>
            <w:vAlign w:val="center"/>
            <w:hideMark/>
          </w:tcPr>
          <w:p w14:paraId="2DC0006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36.8</w:t>
            </w:r>
          </w:p>
        </w:tc>
      </w:tr>
      <w:tr w:rsidR="00FC2659" w:rsidRPr="00727A39" w14:paraId="7C9F4072" w14:textId="77777777" w:rsidTr="00FC2659">
        <w:trPr>
          <w:trHeight w:val="449"/>
          <w:tblCellSpacing w:w="15" w:type="dxa"/>
        </w:trPr>
        <w:tc>
          <w:tcPr>
            <w:tcW w:w="0" w:type="auto"/>
            <w:tcBorders>
              <w:top w:val="single" w:sz="4" w:space="0" w:color="auto"/>
              <w:bottom w:val="single" w:sz="4" w:space="0" w:color="auto"/>
            </w:tcBorders>
            <w:vAlign w:val="center"/>
            <w:hideMark/>
          </w:tcPr>
          <w:p w14:paraId="2ABDA9C4"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Mean</w:t>
            </w:r>
          </w:p>
        </w:tc>
        <w:tc>
          <w:tcPr>
            <w:tcW w:w="0" w:type="auto"/>
            <w:tcBorders>
              <w:top w:val="single" w:sz="4" w:space="0" w:color="auto"/>
              <w:bottom w:val="single" w:sz="4" w:space="0" w:color="auto"/>
            </w:tcBorders>
            <w:vAlign w:val="center"/>
            <w:hideMark/>
          </w:tcPr>
          <w:p w14:paraId="4926913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127.4</w:t>
            </w:r>
          </w:p>
        </w:tc>
        <w:tc>
          <w:tcPr>
            <w:tcW w:w="0" w:type="auto"/>
            <w:tcBorders>
              <w:top w:val="single" w:sz="4" w:space="0" w:color="auto"/>
              <w:bottom w:val="single" w:sz="4" w:space="0" w:color="auto"/>
            </w:tcBorders>
            <w:vAlign w:val="center"/>
            <w:hideMark/>
          </w:tcPr>
          <w:p w14:paraId="679E53C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c>
          <w:tcPr>
            <w:tcW w:w="0" w:type="auto"/>
            <w:tcBorders>
              <w:top w:val="single" w:sz="4" w:space="0" w:color="auto"/>
              <w:bottom w:val="single" w:sz="4" w:space="0" w:color="auto"/>
            </w:tcBorders>
            <w:vAlign w:val="center"/>
            <w:hideMark/>
          </w:tcPr>
          <w:p w14:paraId="4001073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70.1</w:t>
            </w:r>
          </w:p>
        </w:tc>
        <w:tc>
          <w:tcPr>
            <w:tcW w:w="0" w:type="auto"/>
            <w:tcBorders>
              <w:top w:val="single" w:sz="4" w:space="0" w:color="auto"/>
              <w:bottom w:val="single" w:sz="4" w:space="0" w:color="auto"/>
            </w:tcBorders>
            <w:vAlign w:val="center"/>
            <w:hideMark/>
          </w:tcPr>
          <w:p w14:paraId="027E572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c>
          <w:tcPr>
            <w:tcW w:w="0" w:type="auto"/>
            <w:tcBorders>
              <w:top w:val="single" w:sz="4" w:space="0" w:color="auto"/>
              <w:bottom w:val="single" w:sz="4" w:space="0" w:color="auto"/>
            </w:tcBorders>
            <w:vAlign w:val="center"/>
            <w:hideMark/>
          </w:tcPr>
          <w:p w14:paraId="43E1E69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10.6</w:t>
            </w:r>
          </w:p>
        </w:tc>
        <w:tc>
          <w:tcPr>
            <w:tcW w:w="0" w:type="auto"/>
            <w:tcBorders>
              <w:top w:val="single" w:sz="4" w:space="0" w:color="auto"/>
              <w:bottom w:val="single" w:sz="4" w:space="0" w:color="auto"/>
            </w:tcBorders>
            <w:vAlign w:val="center"/>
            <w:hideMark/>
          </w:tcPr>
          <w:p w14:paraId="4C57A83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c>
          <w:tcPr>
            <w:tcW w:w="0" w:type="auto"/>
            <w:tcBorders>
              <w:top w:val="single" w:sz="4" w:space="0" w:color="auto"/>
              <w:bottom w:val="single" w:sz="4" w:space="0" w:color="auto"/>
            </w:tcBorders>
            <w:vAlign w:val="center"/>
            <w:hideMark/>
          </w:tcPr>
          <w:p w14:paraId="59DC23E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3.60</w:t>
            </w:r>
          </w:p>
        </w:tc>
        <w:tc>
          <w:tcPr>
            <w:tcW w:w="0" w:type="auto"/>
            <w:tcBorders>
              <w:top w:val="single" w:sz="4" w:space="0" w:color="auto"/>
              <w:bottom w:val="single" w:sz="4" w:space="0" w:color="auto"/>
            </w:tcBorders>
            <w:vAlign w:val="center"/>
            <w:hideMark/>
          </w:tcPr>
          <w:p w14:paraId="6D5A7FC1"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c>
          <w:tcPr>
            <w:tcW w:w="0" w:type="auto"/>
            <w:tcBorders>
              <w:top w:val="single" w:sz="4" w:space="0" w:color="auto"/>
              <w:bottom w:val="single" w:sz="4" w:space="0" w:color="auto"/>
            </w:tcBorders>
            <w:vAlign w:val="center"/>
            <w:hideMark/>
          </w:tcPr>
          <w:p w14:paraId="43E3EE5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2.63</w:t>
            </w:r>
          </w:p>
        </w:tc>
        <w:tc>
          <w:tcPr>
            <w:tcW w:w="0" w:type="auto"/>
            <w:tcBorders>
              <w:top w:val="single" w:sz="4" w:space="0" w:color="auto"/>
              <w:bottom w:val="single" w:sz="4" w:space="0" w:color="auto"/>
            </w:tcBorders>
            <w:vAlign w:val="center"/>
            <w:hideMark/>
          </w:tcPr>
          <w:p w14:paraId="1A3BA114"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r>
    </w:tbl>
    <w:p w14:paraId="047860DC" w14:textId="77777777" w:rsidR="00427824" w:rsidRPr="00427824" w:rsidRDefault="00427824" w:rsidP="00427824">
      <w:pPr>
        <w:spacing w:after="120"/>
        <w:jc w:val="both"/>
        <w:rPr>
          <w:rFonts w:ascii="Arial" w:hAnsi="Arial" w:cs="Arial"/>
          <w:sz w:val="18"/>
        </w:rPr>
      </w:pPr>
      <w:r w:rsidRPr="00427824">
        <w:rPr>
          <w:rFonts w:ascii="Arial" w:hAnsi="Arial" w:cs="Arial"/>
          <w:sz w:val="18"/>
        </w:rPr>
        <w:t>PHT = plant height; EIH = ear insertion height; EL = ear length; ED = ear diameter; GY = grain yield (t/ha at 14% moisture). CV (%) = coefficient of variation = (standard deviation / mean) × 100, calculated across the three replications per variety</w:t>
      </w:r>
      <w:r w:rsidR="001657FE">
        <w:rPr>
          <w:rFonts w:ascii="Arial" w:hAnsi="Arial" w:cs="Arial"/>
          <w:sz w:val="18"/>
        </w:rPr>
        <w:t>.</w:t>
      </w:r>
    </w:p>
    <w:p w14:paraId="19288CC0" w14:textId="77777777" w:rsidR="00427824" w:rsidRPr="00DA64C0" w:rsidRDefault="00DA64C0" w:rsidP="00805B52">
      <w:pPr>
        <w:pStyle w:val="Body"/>
        <w:spacing w:before="240" w:line="360" w:lineRule="auto"/>
        <w:rPr>
          <w:rFonts w:ascii="Arial" w:hAnsi="Arial" w:cs="Arial"/>
        </w:rPr>
      </w:pPr>
      <w:r w:rsidRPr="00DA64C0">
        <w:rPr>
          <w:rFonts w:ascii="Arial" w:hAnsi="Arial" w:cs="Arial"/>
        </w:rPr>
        <w:t>In summary, while morphological traits were affected in a relatively linear manner, grain yield displayed a non-linear and highly genotype-dependent response, confirming the necessity of selection strategies focused on stability (G×E interaction).</w:t>
      </w:r>
    </w:p>
    <w:p w14:paraId="43AC5766" w14:textId="77777777" w:rsidR="00690C37" w:rsidRDefault="004D21FD" w:rsidP="004D21FD">
      <w:pPr>
        <w:pStyle w:val="Body"/>
        <w:spacing w:after="0" w:line="360" w:lineRule="auto"/>
        <w:rPr>
          <w:rFonts w:ascii="Arial" w:hAnsi="Arial" w:cs="Arial"/>
          <w:b/>
        </w:rPr>
      </w:pPr>
      <w:r>
        <w:rPr>
          <w:rFonts w:ascii="Arial" w:hAnsi="Arial" w:cs="Arial"/>
          <w:b/>
        </w:rPr>
        <w:t>2</w:t>
      </w:r>
      <w:r w:rsidRPr="00690C37">
        <w:rPr>
          <w:rFonts w:ascii="Arial" w:hAnsi="Arial" w:cs="Arial"/>
          <w:b/>
        </w:rPr>
        <w:t xml:space="preserve">. </w:t>
      </w:r>
      <w:r w:rsidRPr="004D21FD">
        <w:rPr>
          <w:rFonts w:ascii="Arial" w:hAnsi="Arial" w:cs="Arial"/>
          <w:b/>
        </w:rPr>
        <w:t>Impact of Agroecological Zone on Grain Yield (ANOVA)</w:t>
      </w:r>
    </w:p>
    <w:p w14:paraId="45A1BFFE" w14:textId="77777777" w:rsidR="004D21FD" w:rsidRPr="004D21FD" w:rsidRDefault="004D21FD" w:rsidP="004D21FD">
      <w:pPr>
        <w:spacing w:after="120" w:line="360" w:lineRule="auto"/>
        <w:jc w:val="both"/>
        <w:rPr>
          <w:rFonts w:ascii="Arial" w:hAnsi="Arial" w:cs="Arial"/>
          <w:b/>
        </w:rPr>
      </w:pPr>
      <w:r w:rsidRPr="004D21FD">
        <w:rPr>
          <w:rFonts w:ascii="Arial" w:hAnsi="Arial" w:cs="Arial"/>
          <w:b/>
        </w:rPr>
        <w:t xml:space="preserve">2.1. ANOVA for the </w:t>
      </w:r>
      <w:proofErr w:type="spellStart"/>
      <w:r w:rsidRPr="004D21FD">
        <w:rPr>
          <w:rFonts w:ascii="Arial" w:hAnsi="Arial" w:cs="Arial"/>
          <w:b/>
        </w:rPr>
        <w:t>Ferké</w:t>
      </w:r>
      <w:proofErr w:type="spellEnd"/>
      <w:r w:rsidRPr="004D21FD">
        <w:rPr>
          <w:rFonts w:ascii="Arial" w:hAnsi="Arial" w:cs="Arial"/>
          <w:b/>
        </w:rPr>
        <w:t xml:space="preserve"> Site </w:t>
      </w:r>
    </w:p>
    <w:p w14:paraId="694F483D" w14:textId="77777777" w:rsidR="004D21FD" w:rsidRDefault="004D21FD" w:rsidP="004D21FD">
      <w:pPr>
        <w:spacing w:before="120" w:after="120" w:line="360" w:lineRule="auto"/>
        <w:jc w:val="both"/>
        <w:rPr>
          <w:rFonts w:ascii="Arial" w:hAnsi="Arial" w:cs="Arial"/>
        </w:rPr>
      </w:pPr>
      <w:r w:rsidRPr="004D21FD">
        <w:rPr>
          <w:rFonts w:ascii="Arial" w:hAnsi="Arial" w:cs="Arial"/>
        </w:rPr>
        <w:t xml:space="preserve">Analysis of variance revealed a highly significant “Variety” effect (P = 0.0056) on grain yield at </w:t>
      </w:r>
      <w:proofErr w:type="spellStart"/>
      <w:r w:rsidRPr="004D21FD">
        <w:rPr>
          <w:rFonts w:ascii="Arial" w:hAnsi="Arial" w:cs="Arial"/>
        </w:rPr>
        <w:t>Ferké</w:t>
      </w:r>
      <w:proofErr w:type="spellEnd"/>
      <w:r w:rsidRPr="004D21FD">
        <w:rPr>
          <w:rFonts w:ascii="Arial" w:hAnsi="Arial" w:cs="Arial"/>
        </w:rPr>
        <w:t xml:space="preserve">. The calculated F-value (3.45) exceeded the critical threshold, leading to rejection of the null hypothesis of equality of means. This statistical significance demonstrates that the seven tested genotypes expressed distinct yield potentials under </w:t>
      </w:r>
      <w:proofErr w:type="spellStart"/>
      <w:r w:rsidRPr="004D21FD">
        <w:rPr>
          <w:rFonts w:ascii="Arial" w:hAnsi="Arial" w:cs="Arial"/>
        </w:rPr>
        <w:t>favourable</w:t>
      </w:r>
      <w:proofErr w:type="spellEnd"/>
      <w:r w:rsidRPr="004D21FD">
        <w:rPr>
          <w:rFonts w:ascii="Arial" w:hAnsi="Arial" w:cs="Arial"/>
        </w:rPr>
        <w:t xml:space="preserve"> growing conditions. The high mean square for the “Variety” source (19.87) compared to the residual mean square (5.76) indicates that the observed variability was predominantly of genetic origin. These results confirm that the </w:t>
      </w:r>
      <w:proofErr w:type="spellStart"/>
      <w:r w:rsidRPr="004D21FD">
        <w:rPr>
          <w:rFonts w:ascii="Arial" w:hAnsi="Arial" w:cs="Arial"/>
        </w:rPr>
        <w:t>Ferké</w:t>
      </w:r>
      <w:proofErr w:type="spellEnd"/>
      <w:r w:rsidRPr="004D21FD">
        <w:rPr>
          <w:rFonts w:ascii="Arial" w:hAnsi="Arial" w:cs="Arial"/>
        </w:rPr>
        <w:t xml:space="preserve"> site represents a highly discriminating environment, enabling effective differentiation of hybrids based on their maximum productive potential (Table 2).</w:t>
      </w:r>
    </w:p>
    <w:p w14:paraId="21934B9E" w14:textId="77777777" w:rsidR="002B1374" w:rsidRDefault="002B1374" w:rsidP="004D21FD">
      <w:pPr>
        <w:spacing w:before="120" w:after="120" w:line="360" w:lineRule="auto"/>
        <w:jc w:val="both"/>
        <w:rPr>
          <w:rFonts w:ascii="Arial" w:hAnsi="Arial" w:cs="Arial"/>
        </w:rPr>
      </w:pPr>
    </w:p>
    <w:p w14:paraId="2AC89EC0" w14:textId="77777777" w:rsidR="00FF0647" w:rsidRDefault="00FF0647" w:rsidP="004D21FD">
      <w:pPr>
        <w:spacing w:before="120" w:after="120" w:line="360" w:lineRule="auto"/>
        <w:jc w:val="both"/>
        <w:rPr>
          <w:rFonts w:ascii="Arial" w:hAnsi="Arial" w:cs="Arial"/>
        </w:rPr>
      </w:pPr>
    </w:p>
    <w:p w14:paraId="6D7F07FC" w14:textId="77777777" w:rsidR="00FF0647" w:rsidRPr="004D21FD" w:rsidRDefault="00FF0647" w:rsidP="004D21FD">
      <w:pPr>
        <w:spacing w:before="120" w:after="120" w:line="360" w:lineRule="auto"/>
        <w:jc w:val="both"/>
        <w:rPr>
          <w:rFonts w:ascii="Arial" w:hAnsi="Arial" w:cs="Arial"/>
        </w:rPr>
      </w:pPr>
    </w:p>
    <w:p w14:paraId="3D623F64" w14:textId="77777777" w:rsidR="002B1374" w:rsidRDefault="002B1374" w:rsidP="002B1374">
      <w:pPr>
        <w:pStyle w:val="NormalWeb"/>
        <w:spacing w:after="0" w:afterAutospacing="0"/>
        <w:jc w:val="center"/>
      </w:pPr>
      <w:r w:rsidRPr="002B1374">
        <w:rPr>
          <w:rFonts w:ascii="Arial" w:hAnsi="Arial" w:cs="Arial"/>
          <w:b/>
          <w:sz w:val="20"/>
          <w:szCs w:val="20"/>
          <w:lang w:val="en-US" w:eastAsia="en-US"/>
        </w:rPr>
        <w:t xml:space="preserve">Table 2. Analysis of variance (ANOVA) for grain yield of maize varieties at </w:t>
      </w:r>
      <w:proofErr w:type="spellStart"/>
      <w:r w:rsidRPr="002B1374">
        <w:rPr>
          <w:rFonts w:ascii="Arial" w:hAnsi="Arial" w:cs="Arial"/>
          <w:b/>
          <w:sz w:val="20"/>
          <w:szCs w:val="20"/>
          <w:lang w:val="en-US" w:eastAsia="en-US"/>
        </w:rPr>
        <w:t>Ferké</w:t>
      </w:r>
      <w:proofErr w:type="spellEnd"/>
    </w:p>
    <w:tbl>
      <w:tblPr>
        <w:tblW w:w="8597" w:type="dxa"/>
        <w:tblCellSpacing w:w="15" w:type="dxa"/>
        <w:tblCellMar>
          <w:top w:w="15" w:type="dxa"/>
          <w:left w:w="15" w:type="dxa"/>
          <w:bottom w:w="15" w:type="dxa"/>
          <w:right w:w="15" w:type="dxa"/>
        </w:tblCellMar>
        <w:tblLook w:val="04A0" w:firstRow="1" w:lastRow="0" w:firstColumn="1" w:lastColumn="0" w:noHBand="0" w:noVBand="1"/>
      </w:tblPr>
      <w:tblGrid>
        <w:gridCol w:w="1604"/>
        <w:gridCol w:w="1674"/>
        <w:gridCol w:w="1894"/>
        <w:gridCol w:w="1468"/>
        <w:gridCol w:w="1199"/>
        <w:gridCol w:w="758"/>
      </w:tblGrid>
      <w:tr w:rsidR="002B1374" w:rsidRPr="002B1374" w14:paraId="1DB86CC0" w14:textId="77777777" w:rsidTr="002B1374">
        <w:trPr>
          <w:trHeight w:val="735"/>
          <w:tblHeader/>
          <w:tblCellSpacing w:w="15" w:type="dxa"/>
        </w:trPr>
        <w:tc>
          <w:tcPr>
            <w:tcW w:w="0" w:type="auto"/>
            <w:tcBorders>
              <w:top w:val="single" w:sz="4" w:space="0" w:color="auto"/>
              <w:bottom w:val="single" w:sz="4" w:space="0" w:color="auto"/>
            </w:tcBorders>
            <w:vAlign w:val="center"/>
            <w:hideMark/>
          </w:tcPr>
          <w:p w14:paraId="7D26A815" w14:textId="77777777" w:rsidR="002B1374" w:rsidRPr="002B1374" w:rsidRDefault="002B1374" w:rsidP="002B1374">
            <w:pPr>
              <w:spacing w:line="360" w:lineRule="auto"/>
              <w:rPr>
                <w:rFonts w:ascii="Arial" w:hAnsi="Arial" w:cs="Arial"/>
                <w:b/>
                <w:bCs/>
                <w:lang w:eastAsia="fr-FR"/>
              </w:rPr>
            </w:pPr>
            <w:r w:rsidRPr="002B1374">
              <w:rPr>
                <w:rFonts w:ascii="Arial" w:hAnsi="Arial" w:cs="Arial"/>
                <w:b/>
                <w:bCs/>
                <w:lang w:eastAsia="fr-FR"/>
              </w:rPr>
              <w:t>Source of variation</w:t>
            </w:r>
          </w:p>
        </w:tc>
        <w:tc>
          <w:tcPr>
            <w:tcW w:w="0" w:type="auto"/>
            <w:tcBorders>
              <w:top w:val="single" w:sz="4" w:space="0" w:color="auto"/>
              <w:bottom w:val="single" w:sz="4" w:space="0" w:color="auto"/>
            </w:tcBorders>
            <w:vAlign w:val="center"/>
            <w:hideMark/>
          </w:tcPr>
          <w:p w14:paraId="4F0B15C7"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lang w:eastAsia="fr-FR"/>
              </w:rPr>
              <w:t>Sum of squares (SS)</w:t>
            </w:r>
          </w:p>
        </w:tc>
        <w:tc>
          <w:tcPr>
            <w:tcW w:w="0" w:type="auto"/>
            <w:tcBorders>
              <w:top w:val="single" w:sz="4" w:space="0" w:color="auto"/>
              <w:bottom w:val="single" w:sz="4" w:space="0" w:color="auto"/>
            </w:tcBorders>
            <w:vAlign w:val="center"/>
            <w:hideMark/>
          </w:tcPr>
          <w:p w14:paraId="774F5FB6"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lang w:eastAsia="fr-FR"/>
              </w:rPr>
              <w:t>Degrees of freedom (df)</w:t>
            </w:r>
          </w:p>
        </w:tc>
        <w:tc>
          <w:tcPr>
            <w:tcW w:w="0" w:type="auto"/>
            <w:tcBorders>
              <w:top w:val="single" w:sz="4" w:space="0" w:color="auto"/>
              <w:bottom w:val="single" w:sz="4" w:space="0" w:color="auto"/>
            </w:tcBorders>
            <w:vAlign w:val="center"/>
            <w:hideMark/>
          </w:tcPr>
          <w:p w14:paraId="3B17C2F4"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lang w:eastAsia="fr-FR"/>
              </w:rPr>
              <w:t>Mean square (MS)</w:t>
            </w:r>
          </w:p>
        </w:tc>
        <w:tc>
          <w:tcPr>
            <w:tcW w:w="0" w:type="auto"/>
            <w:tcBorders>
              <w:top w:val="single" w:sz="4" w:space="0" w:color="auto"/>
              <w:bottom w:val="single" w:sz="4" w:space="0" w:color="auto"/>
            </w:tcBorders>
            <w:vAlign w:val="center"/>
            <w:hideMark/>
          </w:tcPr>
          <w:p w14:paraId="199ECB9B"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lang w:eastAsia="fr-FR"/>
              </w:rPr>
              <w:t xml:space="preserve">Calculated </w:t>
            </w:r>
            <w:r w:rsidRPr="002B1374">
              <w:rPr>
                <w:rFonts w:ascii="Arial" w:hAnsi="Arial" w:cs="Arial"/>
                <w:b/>
                <w:bCs/>
                <w:i/>
                <w:iCs/>
                <w:lang w:eastAsia="fr-FR"/>
              </w:rPr>
              <w:t>F</w:t>
            </w:r>
          </w:p>
        </w:tc>
        <w:tc>
          <w:tcPr>
            <w:tcW w:w="0" w:type="auto"/>
            <w:tcBorders>
              <w:top w:val="single" w:sz="4" w:space="0" w:color="auto"/>
              <w:bottom w:val="single" w:sz="4" w:space="0" w:color="auto"/>
            </w:tcBorders>
            <w:vAlign w:val="center"/>
            <w:hideMark/>
          </w:tcPr>
          <w:p w14:paraId="7BF5BF4A"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i/>
                <w:iCs/>
                <w:lang w:eastAsia="fr-FR"/>
              </w:rPr>
              <w:t>P-</w:t>
            </w:r>
            <w:r w:rsidRPr="002B1374">
              <w:rPr>
                <w:rFonts w:ascii="Arial" w:hAnsi="Arial" w:cs="Arial"/>
                <w:b/>
                <w:bCs/>
                <w:lang w:eastAsia="fr-FR"/>
              </w:rPr>
              <w:t>value</w:t>
            </w:r>
          </w:p>
        </w:tc>
      </w:tr>
      <w:tr w:rsidR="002B1374" w:rsidRPr="002B1374" w14:paraId="12ED7F0E" w14:textId="77777777" w:rsidTr="002B1374">
        <w:trPr>
          <w:trHeight w:val="367"/>
          <w:tblCellSpacing w:w="15" w:type="dxa"/>
        </w:trPr>
        <w:tc>
          <w:tcPr>
            <w:tcW w:w="0" w:type="auto"/>
            <w:vAlign w:val="center"/>
            <w:hideMark/>
          </w:tcPr>
          <w:p w14:paraId="4730C6C2" w14:textId="77777777" w:rsidR="002B1374" w:rsidRPr="002B1374" w:rsidRDefault="002B1374" w:rsidP="002B1374">
            <w:pPr>
              <w:spacing w:line="360" w:lineRule="auto"/>
              <w:rPr>
                <w:rFonts w:ascii="Arial" w:hAnsi="Arial" w:cs="Arial"/>
                <w:lang w:eastAsia="fr-FR"/>
              </w:rPr>
            </w:pPr>
            <w:r w:rsidRPr="002B1374">
              <w:rPr>
                <w:rFonts w:ascii="Arial" w:hAnsi="Arial" w:cs="Arial"/>
                <w:lang w:eastAsia="fr-FR"/>
              </w:rPr>
              <w:t>Variety</w:t>
            </w:r>
          </w:p>
        </w:tc>
        <w:tc>
          <w:tcPr>
            <w:tcW w:w="0" w:type="auto"/>
            <w:vAlign w:val="center"/>
            <w:hideMark/>
          </w:tcPr>
          <w:p w14:paraId="3545E57B"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119.2</w:t>
            </w:r>
          </w:p>
        </w:tc>
        <w:tc>
          <w:tcPr>
            <w:tcW w:w="0" w:type="auto"/>
            <w:vAlign w:val="center"/>
            <w:hideMark/>
          </w:tcPr>
          <w:p w14:paraId="558173D4"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6</w:t>
            </w:r>
          </w:p>
        </w:tc>
        <w:tc>
          <w:tcPr>
            <w:tcW w:w="0" w:type="auto"/>
            <w:vAlign w:val="center"/>
            <w:hideMark/>
          </w:tcPr>
          <w:p w14:paraId="6245652E"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19.87</w:t>
            </w:r>
          </w:p>
        </w:tc>
        <w:tc>
          <w:tcPr>
            <w:tcW w:w="0" w:type="auto"/>
            <w:vAlign w:val="center"/>
            <w:hideMark/>
          </w:tcPr>
          <w:p w14:paraId="1B477566"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3.45</w:t>
            </w:r>
          </w:p>
        </w:tc>
        <w:tc>
          <w:tcPr>
            <w:tcW w:w="0" w:type="auto"/>
            <w:vAlign w:val="center"/>
            <w:hideMark/>
          </w:tcPr>
          <w:p w14:paraId="1F6F7BCF"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0.0056</w:t>
            </w:r>
          </w:p>
        </w:tc>
      </w:tr>
      <w:tr w:rsidR="002B1374" w:rsidRPr="002B1374" w14:paraId="3102D19B" w14:textId="77777777" w:rsidTr="002B1374">
        <w:trPr>
          <w:trHeight w:val="367"/>
          <w:tblCellSpacing w:w="15" w:type="dxa"/>
        </w:trPr>
        <w:tc>
          <w:tcPr>
            <w:tcW w:w="0" w:type="auto"/>
            <w:vAlign w:val="center"/>
            <w:hideMark/>
          </w:tcPr>
          <w:p w14:paraId="3C30012C" w14:textId="77777777" w:rsidR="002B1374" w:rsidRPr="002B1374" w:rsidRDefault="002B1374" w:rsidP="002B1374">
            <w:pPr>
              <w:spacing w:line="360" w:lineRule="auto"/>
              <w:rPr>
                <w:rFonts w:ascii="Arial" w:hAnsi="Arial" w:cs="Arial"/>
                <w:lang w:eastAsia="fr-FR"/>
              </w:rPr>
            </w:pPr>
            <w:r w:rsidRPr="002B1374">
              <w:rPr>
                <w:rFonts w:ascii="Arial" w:hAnsi="Arial" w:cs="Arial"/>
                <w:lang w:eastAsia="fr-FR"/>
              </w:rPr>
              <w:t>Residual</w:t>
            </w:r>
          </w:p>
        </w:tc>
        <w:tc>
          <w:tcPr>
            <w:tcW w:w="0" w:type="auto"/>
            <w:vAlign w:val="center"/>
            <w:hideMark/>
          </w:tcPr>
          <w:p w14:paraId="18A9BA98"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322.5</w:t>
            </w:r>
          </w:p>
        </w:tc>
        <w:tc>
          <w:tcPr>
            <w:tcW w:w="0" w:type="auto"/>
            <w:vAlign w:val="center"/>
            <w:hideMark/>
          </w:tcPr>
          <w:p w14:paraId="4268293E"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56</w:t>
            </w:r>
          </w:p>
        </w:tc>
        <w:tc>
          <w:tcPr>
            <w:tcW w:w="0" w:type="auto"/>
            <w:vAlign w:val="center"/>
            <w:hideMark/>
          </w:tcPr>
          <w:p w14:paraId="31030910"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5.76</w:t>
            </w:r>
          </w:p>
        </w:tc>
        <w:tc>
          <w:tcPr>
            <w:tcW w:w="0" w:type="auto"/>
            <w:vAlign w:val="center"/>
            <w:hideMark/>
          </w:tcPr>
          <w:p w14:paraId="5C7F86F9"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c>
          <w:tcPr>
            <w:tcW w:w="0" w:type="auto"/>
            <w:vAlign w:val="center"/>
            <w:hideMark/>
          </w:tcPr>
          <w:p w14:paraId="2369E855"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r>
      <w:tr w:rsidR="002B1374" w:rsidRPr="002B1374" w14:paraId="4630051B" w14:textId="77777777" w:rsidTr="002B1374">
        <w:trPr>
          <w:trHeight w:val="383"/>
          <w:tblCellSpacing w:w="15" w:type="dxa"/>
        </w:trPr>
        <w:tc>
          <w:tcPr>
            <w:tcW w:w="0" w:type="auto"/>
            <w:tcBorders>
              <w:top w:val="single" w:sz="4" w:space="0" w:color="auto"/>
              <w:bottom w:val="single" w:sz="4" w:space="0" w:color="auto"/>
            </w:tcBorders>
            <w:vAlign w:val="center"/>
            <w:hideMark/>
          </w:tcPr>
          <w:p w14:paraId="54300126" w14:textId="77777777" w:rsidR="002B1374" w:rsidRPr="002B1374" w:rsidRDefault="002B1374" w:rsidP="002B1374">
            <w:pPr>
              <w:spacing w:line="360" w:lineRule="auto"/>
              <w:rPr>
                <w:rFonts w:ascii="Arial" w:hAnsi="Arial" w:cs="Arial"/>
                <w:lang w:eastAsia="fr-FR"/>
              </w:rPr>
            </w:pPr>
            <w:r w:rsidRPr="002B1374">
              <w:rPr>
                <w:rFonts w:ascii="Arial" w:hAnsi="Arial" w:cs="Arial"/>
                <w:b/>
                <w:bCs/>
                <w:lang w:eastAsia="fr-FR"/>
              </w:rPr>
              <w:t>Total</w:t>
            </w:r>
          </w:p>
        </w:tc>
        <w:tc>
          <w:tcPr>
            <w:tcW w:w="0" w:type="auto"/>
            <w:tcBorders>
              <w:top w:val="single" w:sz="4" w:space="0" w:color="auto"/>
              <w:bottom w:val="single" w:sz="4" w:space="0" w:color="auto"/>
            </w:tcBorders>
            <w:vAlign w:val="center"/>
            <w:hideMark/>
          </w:tcPr>
          <w:p w14:paraId="50A8E07A"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b/>
                <w:bCs/>
                <w:lang w:eastAsia="fr-FR"/>
              </w:rPr>
              <w:t>441.7</w:t>
            </w:r>
          </w:p>
        </w:tc>
        <w:tc>
          <w:tcPr>
            <w:tcW w:w="0" w:type="auto"/>
            <w:tcBorders>
              <w:top w:val="single" w:sz="4" w:space="0" w:color="auto"/>
              <w:bottom w:val="single" w:sz="4" w:space="0" w:color="auto"/>
            </w:tcBorders>
            <w:vAlign w:val="center"/>
            <w:hideMark/>
          </w:tcPr>
          <w:p w14:paraId="79B881B5"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b/>
                <w:bCs/>
                <w:lang w:eastAsia="fr-FR"/>
              </w:rPr>
              <w:t>62</w:t>
            </w:r>
          </w:p>
        </w:tc>
        <w:tc>
          <w:tcPr>
            <w:tcW w:w="0" w:type="auto"/>
            <w:tcBorders>
              <w:top w:val="single" w:sz="4" w:space="0" w:color="auto"/>
              <w:bottom w:val="single" w:sz="4" w:space="0" w:color="auto"/>
            </w:tcBorders>
            <w:vAlign w:val="center"/>
            <w:hideMark/>
          </w:tcPr>
          <w:p w14:paraId="3654F158"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c>
          <w:tcPr>
            <w:tcW w:w="0" w:type="auto"/>
            <w:tcBorders>
              <w:top w:val="single" w:sz="4" w:space="0" w:color="auto"/>
              <w:bottom w:val="single" w:sz="4" w:space="0" w:color="auto"/>
            </w:tcBorders>
            <w:vAlign w:val="center"/>
            <w:hideMark/>
          </w:tcPr>
          <w:p w14:paraId="73BB88B8"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c>
          <w:tcPr>
            <w:tcW w:w="0" w:type="auto"/>
            <w:tcBorders>
              <w:top w:val="single" w:sz="4" w:space="0" w:color="auto"/>
              <w:bottom w:val="single" w:sz="4" w:space="0" w:color="auto"/>
            </w:tcBorders>
            <w:vAlign w:val="center"/>
            <w:hideMark/>
          </w:tcPr>
          <w:p w14:paraId="7C78ED2E"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r>
    </w:tbl>
    <w:p w14:paraId="3B40BF57" w14:textId="77777777" w:rsidR="00072582" w:rsidRDefault="00072582" w:rsidP="00FF0647">
      <w:pPr>
        <w:spacing w:before="120" w:after="120" w:line="360" w:lineRule="auto"/>
        <w:jc w:val="both"/>
        <w:rPr>
          <w:rFonts w:ascii="Arial" w:hAnsi="Arial" w:cs="Arial"/>
          <w:b/>
        </w:rPr>
      </w:pPr>
    </w:p>
    <w:p w14:paraId="3DF940FA" w14:textId="77777777" w:rsidR="00FF0647" w:rsidRPr="00FF0647" w:rsidRDefault="00FF0647" w:rsidP="00FF0647">
      <w:pPr>
        <w:spacing w:before="120" w:after="120" w:line="360" w:lineRule="auto"/>
        <w:jc w:val="both"/>
        <w:rPr>
          <w:rFonts w:ascii="Arial" w:hAnsi="Arial" w:cs="Arial"/>
          <w:b/>
        </w:rPr>
      </w:pPr>
      <w:r w:rsidRPr="00FF0647">
        <w:rPr>
          <w:rFonts w:ascii="Arial" w:hAnsi="Arial" w:cs="Arial"/>
          <w:b/>
        </w:rPr>
        <w:lastRenderedPageBreak/>
        <w:t xml:space="preserve">2.2. ANOVA for the </w:t>
      </w:r>
      <w:proofErr w:type="spellStart"/>
      <w:r w:rsidRPr="00FF0647">
        <w:rPr>
          <w:rFonts w:ascii="Arial" w:hAnsi="Arial" w:cs="Arial"/>
          <w:b/>
        </w:rPr>
        <w:t>Boundiali</w:t>
      </w:r>
      <w:proofErr w:type="spellEnd"/>
      <w:r w:rsidRPr="00FF0647">
        <w:rPr>
          <w:rFonts w:ascii="Arial" w:hAnsi="Arial" w:cs="Arial"/>
          <w:b/>
        </w:rPr>
        <w:t xml:space="preserve"> </w:t>
      </w:r>
    </w:p>
    <w:p w14:paraId="1E3E7E87" w14:textId="77777777" w:rsidR="00FF0647" w:rsidRDefault="00FF0647" w:rsidP="00FF0647">
      <w:pPr>
        <w:spacing w:before="120" w:after="120" w:line="360" w:lineRule="auto"/>
        <w:jc w:val="both"/>
        <w:rPr>
          <w:rFonts w:ascii="Arial" w:hAnsi="Arial" w:cs="Arial"/>
        </w:rPr>
      </w:pPr>
      <w:r w:rsidRPr="00FF0647">
        <w:rPr>
          <w:rFonts w:ascii="Arial" w:hAnsi="Arial" w:cs="Arial"/>
        </w:rPr>
        <w:t xml:space="preserve">Site Analysis of variance for the </w:t>
      </w:r>
      <w:proofErr w:type="spellStart"/>
      <w:r w:rsidRPr="00FF0647">
        <w:rPr>
          <w:rFonts w:ascii="Arial" w:hAnsi="Arial" w:cs="Arial"/>
        </w:rPr>
        <w:t>Boundiali</w:t>
      </w:r>
      <w:proofErr w:type="spellEnd"/>
      <w:r w:rsidRPr="00FF0647">
        <w:rPr>
          <w:rFonts w:ascii="Arial" w:hAnsi="Arial" w:cs="Arial"/>
        </w:rPr>
        <w:t xml:space="preserve"> site revealed a non-significant “Variety” effect (P = 0.364) on grain yield. The calculated F-value (1.12) fell below the critical threshold, indicating that, at this specific site, the observed differences in yield among the seven genotypes could not be statistically distinguished from experimental error (Table 3). The mean square for the “Variety” source dropped sharply to 4.05 (compared with 19.87 at </w:t>
      </w:r>
      <w:proofErr w:type="spellStart"/>
      <w:r w:rsidRPr="00FF0647">
        <w:rPr>
          <w:rFonts w:ascii="Arial" w:hAnsi="Arial" w:cs="Arial"/>
        </w:rPr>
        <w:t>Ferké</w:t>
      </w:r>
      <w:proofErr w:type="spellEnd"/>
      <w:r w:rsidRPr="00FF0647">
        <w:rPr>
          <w:rFonts w:ascii="Arial" w:hAnsi="Arial" w:cs="Arial"/>
        </w:rPr>
        <w:t xml:space="preserve">), reflecting a </w:t>
      </w:r>
      <w:proofErr w:type="spellStart"/>
      <w:r w:rsidRPr="00FF0647">
        <w:rPr>
          <w:rFonts w:ascii="Arial" w:hAnsi="Arial" w:cs="Arial"/>
        </w:rPr>
        <w:t>generalised</w:t>
      </w:r>
      <w:proofErr w:type="spellEnd"/>
      <w:r w:rsidRPr="00FF0647">
        <w:rPr>
          <w:rFonts w:ascii="Arial" w:hAnsi="Arial" w:cs="Arial"/>
        </w:rPr>
        <w:t xml:space="preserve"> levelling of performance towards lower values. This lack of statistical significance suggests that the severe intensity of water stress at </w:t>
      </w:r>
      <w:proofErr w:type="spellStart"/>
      <w:r w:rsidRPr="00FF0647">
        <w:rPr>
          <w:rFonts w:ascii="Arial" w:hAnsi="Arial" w:cs="Arial"/>
        </w:rPr>
        <w:t>Boundiali</w:t>
      </w:r>
      <w:proofErr w:type="spellEnd"/>
      <w:r w:rsidRPr="00FF0647">
        <w:rPr>
          <w:rFonts w:ascii="Arial" w:hAnsi="Arial" w:cs="Arial"/>
        </w:rPr>
        <w:t xml:space="preserve"> acted as a major limiting factor, “masking” or suppressing the expression of genetic yield potential across the hybrids. In this constraining environment, the residual variability (3.62) was nearly as high as the genotypic variability, demonstrating a strong </w:t>
      </w:r>
      <w:proofErr w:type="spellStart"/>
      <w:r w:rsidRPr="00FF0647">
        <w:rPr>
          <w:rFonts w:ascii="Arial" w:hAnsi="Arial" w:cs="Arial"/>
        </w:rPr>
        <w:t>homogenisation</w:t>
      </w:r>
      <w:proofErr w:type="spellEnd"/>
      <w:r w:rsidRPr="00FF0647">
        <w:rPr>
          <w:rFonts w:ascii="Arial" w:hAnsi="Arial" w:cs="Arial"/>
        </w:rPr>
        <w:t xml:space="preserve"> of yields under the dominant influence of the environmental stress.</w:t>
      </w:r>
    </w:p>
    <w:p w14:paraId="5E88D45D" w14:textId="77777777" w:rsidR="00FF0647" w:rsidRPr="00FF0647" w:rsidRDefault="00FF0647" w:rsidP="00FF0647">
      <w:pPr>
        <w:pStyle w:val="NormalWeb"/>
        <w:spacing w:after="0" w:afterAutospacing="0"/>
        <w:jc w:val="both"/>
        <w:rPr>
          <w:rFonts w:ascii="Arial" w:hAnsi="Arial" w:cs="Arial"/>
          <w:b/>
          <w:sz w:val="20"/>
          <w:szCs w:val="20"/>
          <w:lang w:val="en-US" w:eastAsia="en-US"/>
        </w:rPr>
      </w:pPr>
      <w:r w:rsidRPr="00FF0647">
        <w:rPr>
          <w:rFonts w:ascii="Arial" w:hAnsi="Arial" w:cs="Arial"/>
          <w:b/>
          <w:sz w:val="20"/>
          <w:szCs w:val="20"/>
          <w:lang w:val="en-US" w:eastAsia="en-US"/>
        </w:rPr>
        <w:t xml:space="preserve">Table 3. Analysis of variance (ANOVA) for grain yield of maize varieties at </w:t>
      </w:r>
      <w:proofErr w:type="spellStart"/>
      <w:r w:rsidRPr="00FF0647">
        <w:rPr>
          <w:rFonts w:ascii="Arial" w:hAnsi="Arial" w:cs="Arial"/>
          <w:b/>
          <w:sz w:val="20"/>
          <w:szCs w:val="20"/>
          <w:lang w:val="en-US" w:eastAsia="en-US"/>
        </w:rPr>
        <w:t>Boundiali</w:t>
      </w:r>
      <w:proofErr w:type="spellEnd"/>
    </w:p>
    <w:tbl>
      <w:tblPr>
        <w:tblW w:w="9176" w:type="dxa"/>
        <w:jc w:val="center"/>
        <w:tblCellSpacing w:w="15" w:type="dxa"/>
        <w:tblCellMar>
          <w:top w:w="15" w:type="dxa"/>
          <w:left w:w="15" w:type="dxa"/>
          <w:bottom w:w="15" w:type="dxa"/>
          <w:right w:w="15" w:type="dxa"/>
        </w:tblCellMar>
        <w:tblLook w:val="04A0" w:firstRow="1" w:lastRow="0" w:firstColumn="1" w:lastColumn="0" w:noHBand="0" w:noVBand="1"/>
      </w:tblPr>
      <w:tblGrid>
        <w:gridCol w:w="1724"/>
        <w:gridCol w:w="1816"/>
        <w:gridCol w:w="2069"/>
        <w:gridCol w:w="1594"/>
        <w:gridCol w:w="1220"/>
        <w:gridCol w:w="753"/>
      </w:tblGrid>
      <w:tr w:rsidR="00FF0647" w:rsidRPr="00072582" w14:paraId="77621BC8" w14:textId="77777777" w:rsidTr="00072582">
        <w:trPr>
          <w:trHeight w:val="176"/>
          <w:tblHeader/>
          <w:tblCellSpacing w:w="15" w:type="dxa"/>
          <w:jc w:val="center"/>
        </w:trPr>
        <w:tc>
          <w:tcPr>
            <w:tcW w:w="0" w:type="auto"/>
            <w:tcBorders>
              <w:top w:val="single" w:sz="4" w:space="0" w:color="auto"/>
              <w:bottom w:val="single" w:sz="4" w:space="0" w:color="auto"/>
            </w:tcBorders>
            <w:vAlign w:val="center"/>
            <w:hideMark/>
          </w:tcPr>
          <w:p w14:paraId="4247CD06" w14:textId="77777777" w:rsidR="00FF0647" w:rsidRPr="00072582" w:rsidRDefault="00FF0647" w:rsidP="00072582">
            <w:pPr>
              <w:spacing w:line="360" w:lineRule="auto"/>
              <w:rPr>
                <w:rFonts w:ascii="Arial" w:hAnsi="Arial" w:cs="Arial"/>
                <w:b/>
                <w:bCs/>
                <w:szCs w:val="24"/>
                <w:lang w:eastAsia="fr-FR"/>
              </w:rPr>
            </w:pPr>
            <w:r w:rsidRPr="00072582">
              <w:rPr>
                <w:rFonts w:ascii="Arial" w:hAnsi="Arial" w:cs="Arial"/>
                <w:b/>
                <w:bCs/>
                <w:szCs w:val="24"/>
                <w:lang w:eastAsia="fr-FR"/>
              </w:rPr>
              <w:t>Source of variation</w:t>
            </w:r>
          </w:p>
        </w:tc>
        <w:tc>
          <w:tcPr>
            <w:tcW w:w="0" w:type="auto"/>
            <w:tcBorders>
              <w:top w:val="single" w:sz="4" w:space="0" w:color="auto"/>
              <w:bottom w:val="single" w:sz="4" w:space="0" w:color="auto"/>
            </w:tcBorders>
            <w:vAlign w:val="center"/>
            <w:hideMark/>
          </w:tcPr>
          <w:p w14:paraId="579145D5"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Sum of squares (SS)</w:t>
            </w:r>
          </w:p>
        </w:tc>
        <w:tc>
          <w:tcPr>
            <w:tcW w:w="0" w:type="auto"/>
            <w:tcBorders>
              <w:top w:val="single" w:sz="4" w:space="0" w:color="auto"/>
              <w:bottom w:val="single" w:sz="4" w:space="0" w:color="auto"/>
            </w:tcBorders>
            <w:vAlign w:val="center"/>
            <w:hideMark/>
          </w:tcPr>
          <w:p w14:paraId="7B30D05F"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Degrees of freedom (df)</w:t>
            </w:r>
          </w:p>
        </w:tc>
        <w:tc>
          <w:tcPr>
            <w:tcW w:w="0" w:type="auto"/>
            <w:tcBorders>
              <w:top w:val="single" w:sz="4" w:space="0" w:color="auto"/>
              <w:bottom w:val="single" w:sz="4" w:space="0" w:color="auto"/>
            </w:tcBorders>
            <w:vAlign w:val="center"/>
            <w:hideMark/>
          </w:tcPr>
          <w:p w14:paraId="1AB6BE1B"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Mean square (MS)</w:t>
            </w:r>
          </w:p>
        </w:tc>
        <w:tc>
          <w:tcPr>
            <w:tcW w:w="0" w:type="auto"/>
            <w:tcBorders>
              <w:top w:val="single" w:sz="4" w:space="0" w:color="auto"/>
              <w:bottom w:val="single" w:sz="4" w:space="0" w:color="auto"/>
            </w:tcBorders>
            <w:vAlign w:val="center"/>
            <w:hideMark/>
          </w:tcPr>
          <w:p w14:paraId="6FA7D35E"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Calculated F</w:t>
            </w:r>
          </w:p>
        </w:tc>
        <w:tc>
          <w:tcPr>
            <w:tcW w:w="0" w:type="auto"/>
            <w:tcBorders>
              <w:top w:val="single" w:sz="4" w:space="0" w:color="auto"/>
              <w:bottom w:val="single" w:sz="4" w:space="0" w:color="auto"/>
            </w:tcBorders>
            <w:vAlign w:val="center"/>
            <w:hideMark/>
          </w:tcPr>
          <w:p w14:paraId="1464BAE2"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P-value</w:t>
            </w:r>
          </w:p>
        </w:tc>
      </w:tr>
      <w:tr w:rsidR="00FF0647" w:rsidRPr="00072582" w14:paraId="7E660A5A" w14:textId="77777777" w:rsidTr="00072582">
        <w:trPr>
          <w:trHeight w:val="657"/>
          <w:tblCellSpacing w:w="15" w:type="dxa"/>
          <w:jc w:val="center"/>
        </w:trPr>
        <w:tc>
          <w:tcPr>
            <w:tcW w:w="0" w:type="auto"/>
            <w:vAlign w:val="center"/>
            <w:hideMark/>
          </w:tcPr>
          <w:p w14:paraId="09D0C3E4" w14:textId="77777777" w:rsidR="00FF0647" w:rsidRPr="00072582" w:rsidRDefault="00FF0647" w:rsidP="00072582">
            <w:pPr>
              <w:spacing w:before="120" w:after="120" w:line="360" w:lineRule="auto"/>
              <w:rPr>
                <w:rFonts w:ascii="Arial" w:hAnsi="Arial" w:cs="Arial"/>
                <w:szCs w:val="24"/>
                <w:lang w:eastAsia="fr-FR"/>
              </w:rPr>
            </w:pPr>
            <w:r w:rsidRPr="00072582">
              <w:rPr>
                <w:rFonts w:ascii="Arial" w:hAnsi="Arial" w:cs="Arial"/>
                <w:szCs w:val="24"/>
                <w:lang w:eastAsia="fr-FR"/>
              </w:rPr>
              <w:t>Variety</w:t>
            </w:r>
          </w:p>
        </w:tc>
        <w:tc>
          <w:tcPr>
            <w:tcW w:w="0" w:type="auto"/>
            <w:vAlign w:val="center"/>
            <w:hideMark/>
          </w:tcPr>
          <w:p w14:paraId="28F7BB99"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24.3</w:t>
            </w:r>
          </w:p>
        </w:tc>
        <w:tc>
          <w:tcPr>
            <w:tcW w:w="0" w:type="auto"/>
            <w:vAlign w:val="center"/>
            <w:hideMark/>
          </w:tcPr>
          <w:p w14:paraId="42E4B825"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6</w:t>
            </w:r>
          </w:p>
        </w:tc>
        <w:tc>
          <w:tcPr>
            <w:tcW w:w="0" w:type="auto"/>
            <w:vAlign w:val="center"/>
            <w:hideMark/>
          </w:tcPr>
          <w:p w14:paraId="5B793BEE"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4.05</w:t>
            </w:r>
          </w:p>
        </w:tc>
        <w:tc>
          <w:tcPr>
            <w:tcW w:w="0" w:type="auto"/>
            <w:vAlign w:val="center"/>
            <w:hideMark/>
          </w:tcPr>
          <w:p w14:paraId="54FD0728"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1.12</w:t>
            </w:r>
          </w:p>
        </w:tc>
        <w:tc>
          <w:tcPr>
            <w:tcW w:w="0" w:type="auto"/>
            <w:vAlign w:val="center"/>
            <w:hideMark/>
          </w:tcPr>
          <w:p w14:paraId="0A086060"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0.364</w:t>
            </w:r>
          </w:p>
        </w:tc>
      </w:tr>
      <w:tr w:rsidR="00FF0647" w:rsidRPr="00072582" w14:paraId="5812C62A" w14:textId="77777777" w:rsidTr="00072582">
        <w:trPr>
          <w:trHeight w:val="657"/>
          <w:tblCellSpacing w:w="15" w:type="dxa"/>
          <w:jc w:val="center"/>
        </w:trPr>
        <w:tc>
          <w:tcPr>
            <w:tcW w:w="0" w:type="auto"/>
            <w:vAlign w:val="center"/>
            <w:hideMark/>
          </w:tcPr>
          <w:p w14:paraId="2BA829D7" w14:textId="77777777" w:rsidR="00FF0647" w:rsidRPr="00072582" w:rsidRDefault="00FF0647" w:rsidP="00072582">
            <w:pPr>
              <w:spacing w:before="120" w:after="120" w:line="360" w:lineRule="auto"/>
              <w:rPr>
                <w:rFonts w:ascii="Arial" w:hAnsi="Arial" w:cs="Arial"/>
                <w:szCs w:val="24"/>
                <w:lang w:eastAsia="fr-FR"/>
              </w:rPr>
            </w:pPr>
            <w:r w:rsidRPr="00072582">
              <w:rPr>
                <w:rFonts w:ascii="Arial" w:hAnsi="Arial" w:cs="Arial"/>
                <w:szCs w:val="24"/>
                <w:lang w:eastAsia="fr-FR"/>
              </w:rPr>
              <w:t>Residual</w:t>
            </w:r>
          </w:p>
        </w:tc>
        <w:tc>
          <w:tcPr>
            <w:tcW w:w="0" w:type="auto"/>
            <w:vAlign w:val="center"/>
            <w:hideMark/>
          </w:tcPr>
          <w:p w14:paraId="6D59DC6B"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170.1</w:t>
            </w:r>
          </w:p>
        </w:tc>
        <w:tc>
          <w:tcPr>
            <w:tcW w:w="0" w:type="auto"/>
            <w:vAlign w:val="center"/>
            <w:hideMark/>
          </w:tcPr>
          <w:p w14:paraId="2B69E15E"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47</w:t>
            </w:r>
          </w:p>
        </w:tc>
        <w:tc>
          <w:tcPr>
            <w:tcW w:w="0" w:type="auto"/>
            <w:vAlign w:val="center"/>
            <w:hideMark/>
          </w:tcPr>
          <w:p w14:paraId="17F7AD97"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3.62</w:t>
            </w:r>
          </w:p>
        </w:tc>
        <w:tc>
          <w:tcPr>
            <w:tcW w:w="0" w:type="auto"/>
            <w:vAlign w:val="center"/>
            <w:hideMark/>
          </w:tcPr>
          <w:p w14:paraId="13CB368D"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c>
          <w:tcPr>
            <w:tcW w:w="0" w:type="auto"/>
            <w:vAlign w:val="center"/>
            <w:hideMark/>
          </w:tcPr>
          <w:p w14:paraId="75F877A4"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r>
      <w:tr w:rsidR="00FF0647" w:rsidRPr="00072582" w14:paraId="15402DA8" w14:textId="77777777" w:rsidTr="00072582">
        <w:trPr>
          <w:trHeight w:val="50"/>
          <w:tblCellSpacing w:w="15" w:type="dxa"/>
          <w:jc w:val="center"/>
        </w:trPr>
        <w:tc>
          <w:tcPr>
            <w:tcW w:w="0" w:type="auto"/>
            <w:tcBorders>
              <w:bottom w:val="single" w:sz="4" w:space="0" w:color="auto"/>
            </w:tcBorders>
            <w:vAlign w:val="center"/>
            <w:hideMark/>
          </w:tcPr>
          <w:p w14:paraId="63490F33" w14:textId="77777777" w:rsidR="00FF0647" w:rsidRPr="00072582" w:rsidRDefault="00FF0647" w:rsidP="00072582">
            <w:pPr>
              <w:spacing w:before="120" w:after="120" w:line="360" w:lineRule="auto"/>
              <w:rPr>
                <w:rFonts w:ascii="Arial" w:hAnsi="Arial" w:cs="Arial"/>
                <w:szCs w:val="24"/>
                <w:lang w:eastAsia="fr-FR"/>
              </w:rPr>
            </w:pPr>
            <w:r w:rsidRPr="00072582">
              <w:rPr>
                <w:rFonts w:ascii="Arial" w:hAnsi="Arial" w:cs="Arial"/>
                <w:b/>
                <w:bCs/>
                <w:szCs w:val="24"/>
                <w:lang w:eastAsia="fr-FR"/>
              </w:rPr>
              <w:t>Total</w:t>
            </w:r>
          </w:p>
        </w:tc>
        <w:tc>
          <w:tcPr>
            <w:tcW w:w="0" w:type="auto"/>
            <w:tcBorders>
              <w:bottom w:val="single" w:sz="4" w:space="0" w:color="auto"/>
            </w:tcBorders>
            <w:vAlign w:val="center"/>
            <w:hideMark/>
          </w:tcPr>
          <w:p w14:paraId="04D8FE7C"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b/>
                <w:bCs/>
                <w:szCs w:val="24"/>
                <w:lang w:eastAsia="fr-FR"/>
              </w:rPr>
              <w:t>194.4</w:t>
            </w:r>
          </w:p>
        </w:tc>
        <w:tc>
          <w:tcPr>
            <w:tcW w:w="0" w:type="auto"/>
            <w:tcBorders>
              <w:bottom w:val="single" w:sz="4" w:space="0" w:color="auto"/>
            </w:tcBorders>
            <w:vAlign w:val="center"/>
            <w:hideMark/>
          </w:tcPr>
          <w:p w14:paraId="13A77E31"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b/>
                <w:bCs/>
                <w:szCs w:val="24"/>
                <w:lang w:eastAsia="fr-FR"/>
              </w:rPr>
              <w:t>53</w:t>
            </w:r>
          </w:p>
        </w:tc>
        <w:tc>
          <w:tcPr>
            <w:tcW w:w="0" w:type="auto"/>
            <w:tcBorders>
              <w:bottom w:val="single" w:sz="4" w:space="0" w:color="auto"/>
            </w:tcBorders>
            <w:vAlign w:val="center"/>
            <w:hideMark/>
          </w:tcPr>
          <w:p w14:paraId="1BA0D88C"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c>
          <w:tcPr>
            <w:tcW w:w="0" w:type="auto"/>
            <w:tcBorders>
              <w:bottom w:val="single" w:sz="4" w:space="0" w:color="auto"/>
            </w:tcBorders>
            <w:vAlign w:val="center"/>
            <w:hideMark/>
          </w:tcPr>
          <w:p w14:paraId="04A035ED"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c>
          <w:tcPr>
            <w:tcW w:w="0" w:type="auto"/>
            <w:tcBorders>
              <w:bottom w:val="single" w:sz="4" w:space="0" w:color="auto"/>
            </w:tcBorders>
            <w:vAlign w:val="center"/>
            <w:hideMark/>
          </w:tcPr>
          <w:p w14:paraId="11416804"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r>
    </w:tbl>
    <w:p w14:paraId="5A245574" w14:textId="77777777" w:rsidR="00FF0647" w:rsidRDefault="00FF0647" w:rsidP="004D21FD">
      <w:pPr>
        <w:pStyle w:val="Body"/>
        <w:spacing w:line="360" w:lineRule="auto"/>
        <w:rPr>
          <w:rFonts w:ascii="Arial" w:hAnsi="Arial" w:cs="Arial"/>
        </w:rPr>
      </w:pPr>
    </w:p>
    <w:p w14:paraId="3EEF31A9" w14:textId="77777777" w:rsidR="00072582" w:rsidRPr="00FF0647" w:rsidRDefault="00072582" w:rsidP="00072582">
      <w:pPr>
        <w:spacing w:before="120" w:after="120" w:line="360" w:lineRule="auto"/>
        <w:jc w:val="both"/>
        <w:rPr>
          <w:rFonts w:ascii="Arial" w:hAnsi="Arial" w:cs="Arial"/>
          <w:b/>
        </w:rPr>
      </w:pPr>
      <w:r>
        <w:rPr>
          <w:rFonts w:ascii="Arial" w:hAnsi="Arial" w:cs="Arial"/>
          <w:b/>
        </w:rPr>
        <w:t>2.3</w:t>
      </w:r>
      <w:r w:rsidRPr="00FF0647">
        <w:rPr>
          <w:rFonts w:ascii="Arial" w:hAnsi="Arial" w:cs="Arial"/>
          <w:b/>
        </w:rPr>
        <w:t xml:space="preserve">. </w:t>
      </w:r>
      <w:r w:rsidRPr="00072582">
        <w:rPr>
          <w:rFonts w:ascii="Arial" w:hAnsi="Arial" w:cs="Arial"/>
          <w:b/>
        </w:rPr>
        <w:t xml:space="preserve">Combined Analysis of Variance </w:t>
      </w:r>
    </w:p>
    <w:p w14:paraId="7950F729" w14:textId="77777777" w:rsidR="00072582" w:rsidRPr="00072582" w:rsidRDefault="00072582" w:rsidP="00072582">
      <w:pPr>
        <w:pStyle w:val="Body"/>
        <w:spacing w:line="360" w:lineRule="auto"/>
        <w:rPr>
          <w:rFonts w:ascii="Arial" w:hAnsi="Arial" w:cs="Arial"/>
        </w:rPr>
      </w:pPr>
      <w:r w:rsidRPr="00072582">
        <w:rPr>
          <w:rFonts w:ascii="Arial" w:hAnsi="Arial" w:cs="Arial"/>
        </w:rPr>
        <w:t xml:space="preserve">To assess the joint influence of environment and genotype on grain yield, a combined analysis of variance was performed across all yield data from both sites (Table 4). This analysis highlights the predominance of environmental factors in the expression of grain yield. Indeed, the “Zone” effect was massive (F = 42.15; P &lt; 0.0001), confirming that pedoclimatic disparities between </w:t>
      </w:r>
      <w:proofErr w:type="spellStart"/>
      <w:r w:rsidRPr="00072582">
        <w:rPr>
          <w:rFonts w:ascii="Arial" w:hAnsi="Arial" w:cs="Arial"/>
        </w:rPr>
        <w:t>Ferké</w:t>
      </w:r>
      <w:proofErr w:type="spellEnd"/>
      <w:r w:rsidRPr="00072582">
        <w:rPr>
          <w:rFonts w:ascii="Arial" w:hAnsi="Arial" w:cs="Arial"/>
        </w:rPr>
        <w:t xml:space="preserve"> and </w:t>
      </w:r>
      <w:proofErr w:type="spellStart"/>
      <w:r w:rsidRPr="00072582">
        <w:rPr>
          <w:rFonts w:ascii="Arial" w:hAnsi="Arial" w:cs="Arial"/>
        </w:rPr>
        <w:t>Boundiali</w:t>
      </w:r>
      <w:proofErr w:type="spellEnd"/>
      <w:r w:rsidRPr="00072582">
        <w:rPr>
          <w:rFonts w:ascii="Arial" w:hAnsi="Arial" w:cs="Arial"/>
        </w:rPr>
        <w:t>—particularly differences in rainfall regime and the intensity of water stress—represent the primary determinants of productivity.</w:t>
      </w:r>
    </w:p>
    <w:p w14:paraId="3226C6C6" w14:textId="77777777" w:rsidR="00072582" w:rsidRPr="00072582" w:rsidRDefault="00072582" w:rsidP="00072582">
      <w:pPr>
        <w:pStyle w:val="Body"/>
        <w:spacing w:line="360" w:lineRule="auto"/>
        <w:rPr>
          <w:rFonts w:ascii="Arial" w:hAnsi="Arial" w:cs="Arial"/>
        </w:rPr>
      </w:pPr>
      <w:r w:rsidRPr="00072582">
        <w:rPr>
          <w:rFonts w:ascii="Arial" w:hAnsi="Arial" w:cs="Arial"/>
        </w:rPr>
        <w:t>Concurrently, the highly significant “Variety” effect (P = 0.0014) demonstrates substantial genetic diversity within the tested plant material, thereby offering concrete prospects for the selection of high-performing hybrid varieties.</w:t>
      </w:r>
    </w:p>
    <w:p w14:paraId="14A45C8B" w14:textId="77777777" w:rsidR="00072582" w:rsidRPr="00072582" w:rsidRDefault="00072582" w:rsidP="00072582">
      <w:pPr>
        <w:pStyle w:val="Body"/>
        <w:spacing w:line="360" w:lineRule="auto"/>
        <w:rPr>
          <w:rFonts w:ascii="Arial" w:hAnsi="Arial" w:cs="Arial"/>
        </w:rPr>
      </w:pPr>
      <w:r w:rsidRPr="00072582">
        <w:rPr>
          <w:rFonts w:ascii="Arial" w:hAnsi="Arial" w:cs="Arial"/>
        </w:rPr>
        <w:lastRenderedPageBreak/>
        <w:t xml:space="preserve">Although the Zone × Variety interaction was statistically at the borderline of the conventional significance threshold (P = 0.0648), its biological and agronomic importance remains considerable. This P-value indicates a relative instability in the ranking of hybrids across environments, suggesting differential genotypic responses to the specific constraints of each zone. The contrasting performance of hybrids observed in the present study aligns with the findings of </w:t>
      </w:r>
      <w:proofErr w:type="spellStart"/>
      <w:r w:rsidRPr="00072582">
        <w:rPr>
          <w:rFonts w:ascii="Arial" w:hAnsi="Arial" w:cs="Arial"/>
        </w:rPr>
        <w:t>Magorokosho</w:t>
      </w:r>
      <w:proofErr w:type="spellEnd"/>
      <w:r w:rsidRPr="00072582">
        <w:rPr>
          <w:rFonts w:ascii="Arial" w:hAnsi="Arial" w:cs="Arial"/>
        </w:rPr>
        <w:t xml:space="preserve"> et al. (2021) regarding the critical role of G×E interactions in tropical environments.</w:t>
      </w:r>
    </w:p>
    <w:p w14:paraId="007F0655" w14:textId="77777777" w:rsidR="00072582" w:rsidRDefault="00072582" w:rsidP="00072582">
      <w:pPr>
        <w:pStyle w:val="Body"/>
        <w:spacing w:line="360" w:lineRule="auto"/>
        <w:rPr>
          <w:rFonts w:ascii="Arial" w:hAnsi="Arial" w:cs="Arial"/>
        </w:rPr>
      </w:pPr>
      <w:r w:rsidRPr="00072582">
        <w:rPr>
          <w:rFonts w:ascii="Arial" w:hAnsi="Arial" w:cs="Arial"/>
        </w:rPr>
        <w:t xml:space="preserve">Such a pattern fully justifies the use of the GGE biplot model. This approach goes beyond simple mean comparisons by enabling the identification, on the one hand, of varieties exhibiting specific adaptation to the optimal conditions at </w:t>
      </w:r>
      <w:proofErr w:type="spellStart"/>
      <w:r w:rsidRPr="00072582">
        <w:rPr>
          <w:rFonts w:ascii="Arial" w:hAnsi="Arial" w:cs="Arial"/>
        </w:rPr>
        <w:t>Ferké</w:t>
      </w:r>
      <w:proofErr w:type="spellEnd"/>
      <w:r w:rsidRPr="00072582">
        <w:rPr>
          <w:rFonts w:ascii="Arial" w:hAnsi="Arial" w:cs="Arial"/>
        </w:rPr>
        <w:t xml:space="preserve"> and, on the other hand, of those displaying general stability in the face of climatic variability at </w:t>
      </w:r>
      <w:proofErr w:type="spellStart"/>
      <w:r w:rsidRPr="00072582">
        <w:rPr>
          <w:rFonts w:ascii="Arial" w:hAnsi="Arial" w:cs="Arial"/>
        </w:rPr>
        <w:t>Boundiali</w:t>
      </w:r>
      <w:proofErr w:type="spellEnd"/>
      <w:r w:rsidRPr="00072582">
        <w:rPr>
          <w:rFonts w:ascii="Arial" w:hAnsi="Arial" w:cs="Arial"/>
        </w:rPr>
        <w:t>.</w:t>
      </w:r>
    </w:p>
    <w:p w14:paraId="2422A972" w14:textId="77777777" w:rsidR="002A64C1" w:rsidRPr="002A64C1" w:rsidRDefault="002A64C1" w:rsidP="002A64C1">
      <w:pPr>
        <w:spacing w:line="360" w:lineRule="auto"/>
        <w:jc w:val="both"/>
        <w:rPr>
          <w:rFonts w:ascii="Arial" w:hAnsi="Arial" w:cs="Arial"/>
          <w:b/>
          <w:highlight w:val="yellow"/>
        </w:rPr>
      </w:pPr>
      <w:r w:rsidRPr="00912D32">
        <w:rPr>
          <w:rFonts w:ascii="Arial" w:hAnsi="Arial" w:cs="Arial"/>
          <w:b/>
        </w:rPr>
        <w:t xml:space="preserve">Tableau 4: </w:t>
      </w:r>
      <w:r w:rsidR="00912D32" w:rsidRPr="00912D32">
        <w:rPr>
          <w:rFonts w:ascii="Arial" w:hAnsi="Arial" w:cs="Arial"/>
          <w:b/>
        </w:rPr>
        <w:t xml:space="preserve">Analysis of the combined variance in grain yield by region and </w:t>
      </w:r>
      <w:proofErr w:type="spellStart"/>
      <w:r w:rsidR="00912D32" w:rsidRPr="00912D32">
        <w:rPr>
          <w:rFonts w:ascii="Arial" w:hAnsi="Arial" w:cs="Arial"/>
          <w:b/>
        </w:rPr>
        <w:t>v</w:t>
      </w:r>
      <w:r w:rsidR="00912D32">
        <w:rPr>
          <w:rFonts w:ascii="Arial" w:hAnsi="Arial" w:cs="Arial"/>
          <w:b/>
        </w:rPr>
        <w:t>ariet</w:t>
      </w:r>
      <w:proofErr w:type="spellEnd"/>
    </w:p>
    <w:tbl>
      <w:tblPr>
        <w:tblStyle w:val="TableGrid"/>
        <w:tblpPr w:leftFromText="141" w:rightFromText="141" w:vertAnchor="text" w:horzAnchor="page" w:tblpX="1976"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703"/>
        <w:gridCol w:w="1683"/>
        <w:gridCol w:w="986"/>
        <w:gridCol w:w="3424"/>
      </w:tblGrid>
      <w:tr w:rsidR="002A64C1" w:rsidRPr="00912D32" w14:paraId="003BD13D" w14:textId="77777777" w:rsidTr="00D54952">
        <w:tc>
          <w:tcPr>
            <w:tcW w:w="1418" w:type="dxa"/>
            <w:tcBorders>
              <w:top w:val="single" w:sz="4" w:space="0" w:color="auto"/>
              <w:bottom w:val="single" w:sz="4" w:space="0" w:color="auto"/>
            </w:tcBorders>
            <w:hideMark/>
          </w:tcPr>
          <w:p w14:paraId="60CB4797" w14:textId="77777777" w:rsidR="002A64C1" w:rsidRPr="00912D32" w:rsidRDefault="002A64C1" w:rsidP="002A64C1">
            <w:pPr>
              <w:spacing w:after="120" w:line="360" w:lineRule="auto"/>
              <w:jc w:val="both"/>
              <w:rPr>
                <w:rFonts w:ascii="Arial" w:hAnsi="Arial" w:cs="Arial"/>
                <w:b/>
                <w:bCs/>
                <w:sz w:val="20"/>
                <w:szCs w:val="24"/>
              </w:rPr>
            </w:pPr>
            <w:r w:rsidRPr="00912D32">
              <w:rPr>
                <w:rFonts w:ascii="Arial" w:hAnsi="Arial" w:cs="Arial"/>
                <w:b/>
                <w:bCs/>
                <w:sz w:val="20"/>
                <w:szCs w:val="24"/>
              </w:rPr>
              <w:t>Source</w:t>
            </w:r>
          </w:p>
        </w:tc>
        <w:tc>
          <w:tcPr>
            <w:tcW w:w="709" w:type="dxa"/>
            <w:tcBorders>
              <w:top w:val="single" w:sz="4" w:space="0" w:color="auto"/>
              <w:bottom w:val="single" w:sz="4" w:space="0" w:color="auto"/>
            </w:tcBorders>
            <w:hideMark/>
          </w:tcPr>
          <w:p w14:paraId="718654A4" w14:textId="77777777" w:rsidR="002A64C1" w:rsidRPr="00912D32" w:rsidRDefault="002A64C1" w:rsidP="002A64C1">
            <w:pPr>
              <w:spacing w:after="120" w:line="360" w:lineRule="auto"/>
              <w:jc w:val="both"/>
              <w:rPr>
                <w:rFonts w:ascii="Arial" w:hAnsi="Arial" w:cs="Arial"/>
                <w:b/>
                <w:bCs/>
                <w:sz w:val="20"/>
                <w:szCs w:val="24"/>
              </w:rPr>
            </w:pPr>
            <w:r w:rsidRPr="00912D32">
              <w:rPr>
                <w:rFonts w:ascii="Arial" w:hAnsi="Arial" w:cs="Arial"/>
                <w:b/>
                <w:bCs/>
                <w:sz w:val="20"/>
                <w:szCs w:val="24"/>
              </w:rPr>
              <w:t>df</w:t>
            </w:r>
          </w:p>
        </w:tc>
        <w:tc>
          <w:tcPr>
            <w:tcW w:w="1701" w:type="dxa"/>
            <w:tcBorders>
              <w:top w:val="single" w:sz="4" w:space="0" w:color="auto"/>
              <w:bottom w:val="single" w:sz="4" w:space="0" w:color="auto"/>
            </w:tcBorders>
            <w:hideMark/>
          </w:tcPr>
          <w:p w14:paraId="496A0593" w14:textId="77777777" w:rsidR="002A64C1" w:rsidRPr="00912D32" w:rsidRDefault="002A64C1" w:rsidP="002A64C1">
            <w:pPr>
              <w:spacing w:after="120" w:line="360" w:lineRule="auto"/>
              <w:jc w:val="both"/>
              <w:rPr>
                <w:rFonts w:ascii="Arial" w:hAnsi="Arial" w:cs="Arial"/>
                <w:b/>
                <w:bCs/>
                <w:sz w:val="20"/>
                <w:szCs w:val="24"/>
              </w:rPr>
            </w:pPr>
            <w:r w:rsidRPr="00912D32">
              <w:rPr>
                <w:rFonts w:ascii="Arial" w:hAnsi="Arial" w:cs="Arial"/>
                <w:b/>
                <w:bCs/>
                <w:sz w:val="20"/>
                <w:szCs w:val="24"/>
              </w:rPr>
              <w:t xml:space="preserve">Sum </w:t>
            </w:r>
            <w:proofErr w:type="spellStart"/>
            <w:r w:rsidRPr="00912D32">
              <w:rPr>
                <w:rFonts w:ascii="Arial" w:hAnsi="Arial" w:cs="Arial"/>
                <w:b/>
                <w:bCs/>
                <w:sz w:val="20"/>
                <w:szCs w:val="24"/>
              </w:rPr>
              <w:t>Sq</w:t>
            </w:r>
            <w:proofErr w:type="spellEnd"/>
          </w:p>
        </w:tc>
        <w:tc>
          <w:tcPr>
            <w:tcW w:w="992" w:type="dxa"/>
            <w:tcBorders>
              <w:top w:val="single" w:sz="4" w:space="0" w:color="auto"/>
              <w:bottom w:val="single" w:sz="4" w:space="0" w:color="auto"/>
            </w:tcBorders>
            <w:hideMark/>
          </w:tcPr>
          <w:p w14:paraId="0364A4C2" w14:textId="77777777" w:rsidR="002A64C1" w:rsidRPr="00912D32" w:rsidRDefault="002A64C1" w:rsidP="002A64C1">
            <w:pPr>
              <w:spacing w:after="120" w:line="360" w:lineRule="auto"/>
              <w:jc w:val="both"/>
              <w:rPr>
                <w:rFonts w:ascii="Arial" w:hAnsi="Arial" w:cs="Arial"/>
                <w:b/>
                <w:bCs/>
                <w:sz w:val="20"/>
                <w:szCs w:val="24"/>
              </w:rPr>
            </w:pPr>
            <w:r w:rsidRPr="00912D32">
              <w:rPr>
                <w:rFonts w:ascii="Arial" w:hAnsi="Arial" w:cs="Arial"/>
                <w:b/>
                <w:bCs/>
                <w:sz w:val="20"/>
                <w:szCs w:val="24"/>
              </w:rPr>
              <w:t>F</w:t>
            </w:r>
          </w:p>
        </w:tc>
        <w:tc>
          <w:tcPr>
            <w:tcW w:w="3478" w:type="dxa"/>
            <w:tcBorders>
              <w:top w:val="single" w:sz="4" w:space="0" w:color="auto"/>
              <w:bottom w:val="single" w:sz="4" w:space="0" w:color="auto"/>
            </w:tcBorders>
            <w:hideMark/>
          </w:tcPr>
          <w:p w14:paraId="47115D79" w14:textId="77777777" w:rsidR="002A64C1" w:rsidRPr="00912D32" w:rsidRDefault="002A64C1" w:rsidP="002A64C1">
            <w:pPr>
              <w:spacing w:after="120" w:line="360" w:lineRule="auto"/>
              <w:jc w:val="both"/>
              <w:rPr>
                <w:rFonts w:ascii="Arial" w:hAnsi="Arial" w:cs="Arial"/>
                <w:b/>
                <w:bCs/>
                <w:sz w:val="20"/>
                <w:szCs w:val="24"/>
              </w:rPr>
            </w:pPr>
            <w:proofErr w:type="spellStart"/>
            <w:r w:rsidRPr="00912D32">
              <w:rPr>
                <w:rFonts w:ascii="Arial" w:hAnsi="Arial" w:cs="Arial"/>
                <w:b/>
                <w:bCs/>
                <w:i/>
                <w:iCs/>
                <w:sz w:val="20"/>
                <w:szCs w:val="24"/>
              </w:rPr>
              <w:t>Pr</w:t>
            </w:r>
            <w:proofErr w:type="spellEnd"/>
            <w:r w:rsidRPr="00912D32">
              <w:rPr>
                <w:rFonts w:ascii="Arial" w:hAnsi="Arial" w:cs="Arial"/>
                <w:b/>
                <w:bCs/>
                <w:sz w:val="20"/>
                <w:szCs w:val="24"/>
              </w:rPr>
              <w:t>(&gt;</w:t>
            </w:r>
            <w:r w:rsidRPr="00912D32">
              <w:rPr>
                <w:rFonts w:ascii="Arial" w:hAnsi="Arial" w:cs="Arial"/>
                <w:b/>
                <w:bCs/>
                <w:i/>
                <w:iCs/>
                <w:sz w:val="20"/>
                <w:szCs w:val="24"/>
              </w:rPr>
              <w:t>F</w:t>
            </w:r>
            <w:r w:rsidRPr="00912D32">
              <w:rPr>
                <w:rFonts w:ascii="Arial" w:hAnsi="Arial" w:cs="Arial"/>
                <w:b/>
                <w:bCs/>
                <w:sz w:val="20"/>
                <w:szCs w:val="24"/>
              </w:rPr>
              <w:t>)</w:t>
            </w:r>
          </w:p>
        </w:tc>
      </w:tr>
      <w:tr w:rsidR="002A64C1" w:rsidRPr="00912D32" w14:paraId="414390EC" w14:textId="77777777" w:rsidTr="00D54952">
        <w:tc>
          <w:tcPr>
            <w:tcW w:w="1418" w:type="dxa"/>
            <w:tcBorders>
              <w:top w:val="single" w:sz="4" w:space="0" w:color="auto"/>
            </w:tcBorders>
            <w:hideMark/>
          </w:tcPr>
          <w:p w14:paraId="11D6C251" w14:textId="77777777" w:rsidR="002A64C1" w:rsidRPr="00912D32" w:rsidRDefault="00912D32" w:rsidP="00912D32">
            <w:pPr>
              <w:pStyle w:val="NormalWeb"/>
            </w:pPr>
            <w:r w:rsidRPr="00912D32">
              <w:t>Areas</w:t>
            </w:r>
          </w:p>
        </w:tc>
        <w:tc>
          <w:tcPr>
            <w:tcW w:w="709" w:type="dxa"/>
            <w:tcBorders>
              <w:top w:val="single" w:sz="4" w:space="0" w:color="auto"/>
            </w:tcBorders>
            <w:hideMark/>
          </w:tcPr>
          <w:p w14:paraId="76E956E5"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1</w:t>
            </w:r>
          </w:p>
        </w:tc>
        <w:tc>
          <w:tcPr>
            <w:tcW w:w="1701" w:type="dxa"/>
            <w:tcBorders>
              <w:top w:val="single" w:sz="4" w:space="0" w:color="auto"/>
            </w:tcBorders>
            <w:hideMark/>
          </w:tcPr>
          <w:p w14:paraId="70B7839C"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251.64</w:t>
            </w:r>
          </w:p>
        </w:tc>
        <w:tc>
          <w:tcPr>
            <w:tcW w:w="992" w:type="dxa"/>
            <w:tcBorders>
              <w:top w:val="single" w:sz="4" w:space="0" w:color="auto"/>
            </w:tcBorders>
            <w:hideMark/>
          </w:tcPr>
          <w:p w14:paraId="4B40E3CB"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42.15</w:t>
            </w:r>
          </w:p>
        </w:tc>
        <w:tc>
          <w:tcPr>
            <w:tcW w:w="3478" w:type="dxa"/>
            <w:tcBorders>
              <w:top w:val="single" w:sz="4" w:space="0" w:color="auto"/>
            </w:tcBorders>
            <w:hideMark/>
          </w:tcPr>
          <w:p w14:paraId="136FC0C9"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&lt; 0.0001 ***</w:t>
            </w:r>
          </w:p>
        </w:tc>
      </w:tr>
      <w:tr w:rsidR="002A64C1" w:rsidRPr="00912D32" w14:paraId="29BAC368" w14:textId="77777777" w:rsidTr="00D54952">
        <w:tc>
          <w:tcPr>
            <w:tcW w:w="1418" w:type="dxa"/>
            <w:hideMark/>
          </w:tcPr>
          <w:p w14:paraId="581B8686" w14:textId="77777777" w:rsidR="002A64C1" w:rsidRPr="00912D32" w:rsidRDefault="00912D32" w:rsidP="00912D32">
            <w:pPr>
              <w:pStyle w:val="NormalWeb"/>
            </w:pPr>
            <w:proofErr w:type="spellStart"/>
            <w:r w:rsidRPr="00912D32">
              <w:t>Varieties</w:t>
            </w:r>
            <w:proofErr w:type="spellEnd"/>
          </w:p>
        </w:tc>
        <w:tc>
          <w:tcPr>
            <w:tcW w:w="709" w:type="dxa"/>
            <w:hideMark/>
          </w:tcPr>
          <w:p w14:paraId="3304A5E3"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6</w:t>
            </w:r>
          </w:p>
        </w:tc>
        <w:tc>
          <w:tcPr>
            <w:tcW w:w="1701" w:type="dxa"/>
            <w:hideMark/>
          </w:tcPr>
          <w:p w14:paraId="545CBBD2"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141.95</w:t>
            </w:r>
          </w:p>
        </w:tc>
        <w:tc>
          <w:tcPr>
            <w:tcW w:w="992" w:type="dxa"/>
            <w:hideMark/>
          </w:tcPr>
          <w:p w14:paraId="049E56A3"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3.96</w:t>
            </w:r>
          </w:p>
        </w:tc>
        <w:tc>
          <w:tcPr>
            <w:tcW w:w="3478" w:type="dxa"/>
            <w:hideMark/>
          </w:tcPr>
          <w:p w14:paraId="496E5B8B"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0.0014 **</w:t>
            </w:r>
          </w:p>
        </w:tc>
      </w:tr>
      <w:tr w:rsidR="002A64C1" w:rsidRPr="00912D32" w14:paraId="56BCD28F" w14:textId="77777777" w:rsidTr="00D54952">
        <w:tc>
          <w:tcPr>
            <w:tcW w:w="1418" w:type="dxa"/>
            <w:hideMark/>
          </w:tcPr>
          <w:p w14:paraId="7CE7336F" w14:textId="77777777" w:rsidR="002A64C1" w:rsidRPr="00912D32" w:rsidRDefault="00912D32" w:rsidP="002A64C1">
            <w:pPr>
              <w:spacing w:after="120" w:line="360" w:lineRule="auto"/>
              <w:jc w:val="both"/>
              <w:rPr>
                <w:rFonts w:ascii="Arial" w:hAnsi="Arial" w:cs="Arial"/>
                <w:sz w:val="20"/>
                <w:szCs w:val="24"/>
              </w:rPr>
            </w:pPr>
            <w:r w:rsidRPr="00912D32">
              <w:rPr>
                <w:rFonts w:ascii="Arial" w:hAnsi="Arial" w:cs="Arial"/>
                <w:sz w:val="20"/>
                <w:szCs w:val="24"/>
              </w:rPr>
              <w:t>Areas</w:t>
            </w:r>
            <w:r w:rsidR="002A64C1" w:rsidRPr="00912D32">
              <w:rPr>
                <w:rFonts w:ascii="Arial" w:hAnsi="Arial" w:cs="Arial"/>
                <w:sz w:val="20"/>
                <w:szCs w:val="24"/>
              </w:rPr>
              <w:t xml:space="preserve"> × Vari</w:t>
            </w:r>
            <w:r w:rsidRPr="00912D32">
              <w:rPr>
                <w:rFonts w:ascii="Arial" w:hAnsi="Arial" w:cs="Arial"/>
                <w:sz w:val="20"/>
                <w:szCs w:val="24"/>
              </w:rPr>
              <w:t>eties</w:t>
            </w:r>
          </w:p>
        </w:tc>
        <w:tc>
          <w:tcPr>
            <w:tcW w:w="709" w:type="dxa"/>
            <w:hideMark/>
          </w:tcPr>
          <w:p w14:paraId="4CAD348A"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6</w:t>
            </w:r>
          </w:p>
        </w:tc>
        <w:tc>
          <w:tcPr>
            <w:tcW w:w="1701" w:type="dxa"/>
            <w:hideMark/>
          </w:tcPr>
          <w:p w14:paraId="2BC57EDB"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74.02</w:t>
            </w:r>
          </w:p>
        </w:tc>
        <w:tc>
          <w:tcPr>
            <w:tcW w:w="992" w:type="dxa"/>
            <w:hideMark/>
          </w:tcPr>
          <w:p w14:paraId="52A0608A"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2.07</w:t>
            </w:r>
          </w:p>
        </w:tc>
        <w:tc>
          <w:tcPr>
            <w:tcW w:w="3478" w:type="dxa"/>
            <w:hideMark/>
          </w:tcPr>
          <w:p w14:paraId="6DA464D3"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0.0648</w:t>
            </w:r>
          </w:p>
        </w:tc>
      </w:tr>
      <w:tr w:rsidR="002A64C1" w:rsidRPr="002A64C1" w14:paraId="21702D10" w14:textId="77777777" w:rsidTr="00D54952">
        <w:tc>
          <w:tcPr>
            <w:tcW w:w="1418" w:type="dxa"/>
            <w:tcBorders>
              <w:bottom w:val="single" w:sz="4" w:space="0" w:color="auto"/>
            </w:tcBorders>
            <w:hideMark/>
          </w:tcPr>
          <w:p w14:paraId="24E6A4F9"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Residual</w:t>
            </w:r>
          </w:p>
        </w:tc>
        <w:tc>
          <w:tcPr>
            <w:tcW w:w="709" w:type="dxa"/>
            <w:tcBorders>
              <w:bottom w:val="single" w:sz="4" w:space="0" w:color="auto"/>
            </w:tcBorders>
            <w:hideMark/>
          </w:tcPr>
          <w:p w14:paraId="3F53A2F3"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91</w:t>
            </w:r>
          </w:p>
        </w:tc>
        <w:tc>
          <w:tcPr>
            <w:tcW w:w="1701" w:type="dxa"/>
            <w:tcBorders>
              <w:bottom w:val="single" w:sz="4" w:space="0" w:color="auto"/>
            </w:tcBorders>
            <w:hideMark/>
          </w:tcPr>
          <w:p w14:paraId="069F0A7D"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543.29</w:t>
            </w:r>
          </w:p>
        </w:tc>
        <w:tc>
          <w:tcPr>
            <w:tcW w:w="992" w:type="dxa"/>
            <w:tcBorders>
              <w:bottom w:val="single" w:sz="4" w:space="0" w:color="auto"/>
            </w:tcBorders>
            <w:hideMark/>
          </w:tcPr>
          <w:p w14:paraId="1E621875"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w:t>
            </w:r>
          </w:p>
        </w:tc>
        <w:tc>
          <w:tcPr>
            <w:tcW w:w="3478" w:type="dxa"/>
            <w:tcBorders>
              <w:bottom w:val="single" w:sz="4" w:space="0" w:color="auto"/>
            </w:tcBorders>
            <w:hideMark/>
          </w:tcPr>
          <w:p w14:paraId="3450F913" w14:textId="77777777" w:rsidR="002A64C1" w:rsidRPr="002A64C1" w:rsidRDefault="002A64C1" w:rsidP="002A64C1">
            <w:pPr>
              <w:spacing w:after="120" w:line="360" w:lineRule="auto"/>
              <w:jc w:val="both"/>
              <w:rPr>
                <w:rFonts w:ascii="Arial" w:hAnsi="Arial" w:cs="Arial"/>
                <w:sz w:val="20"/>
                <w:szCs w:val="24"/>
              </w:rPr>
            </w:pPr>
            <w:r w:rsidRPr="00912D32">
              <w:rPr>
                <w:rFonts w:ascii="Arial" w:hAnsi="Arial" w:cs="Arial"/>
                <w:sz w:val="20"/>
                <w:szCs w:val="24"/>
              </w:rPr>
              <w:t>—</w:t>
            </w:r>
          </w:p>
        </w:tc>
      </w:tr>
    </w:tbl>
    <w:p w14:paraId="677D8C83" w14:textId="77777777" w:rsidR="002A64C1" w:rsidRDefault="002A64C1" w:rsidP="00072582">
      <w:pPr>
        <w:pStyle w:val="Body"/>
        <w:spacing w:line="360" w:lineRule="auto"/>
        <w:rPr>
          <w:rFonts w:ascii="Arial" w:hAnsi="Arial" w:cs="Arial"/>
        </w:rPr>
      </w:pPr>
    </w:p>
    <w:p w14:paraId="5684654A" w14:textId="77777777" w:rsidR="002A64C1" w:rsidRPr="00FF0647" w:rsidRDefault="002A64C1" w:rsidP="002A64C1">
      <w:pPr>
        <w:spacing w:before="120" w:after="120" w:line="360" w:lineRule="auto"/>
        <w:jc w:val="both"/>
        <w:rPr>
          <w:rFonts w:ascii="Arial" w:hAnsi="Arial" w:cs="Arial"/>
          <w:b/>
        </w:rPr>
      </w:pPr>
      <w:r>
        <w:rPr>
          <w:rFonts w:ascii="Arial" w:hAnsi="Arial" w:cs="Arial"/>
          <w:b/>
        </w:rPr>
        <w:t>3</w:t>
      </w:r>
      <w:r w:rsidRPr="00FF0647">
        <w:rPr>
          <w:rFonts w:ascii="Arial" w:hAnsi="Arial" w:cs="Arial"/>
          <w:b/>
        </w:rPr>
        <w:t xml:space="preserve">. </w:t>
      </w:r>
      <w:r w:rsidRPr="002A64C1">
        <w:rPr>
          <w:rFonts w:ascii="Arial" w:hAnsi="Arial" w:cs="Arial"/>
          <w:b/>
        </w:rPr>
        <w:t>Means and Standard Deviations of Grain Yields by Variety and Site</w:t>
      </w:r>
    </w:p>
    <w:p w14:paraId="302EB0B5" w14:textId="77777777" w:rsidR="002A64C1" w:rsidRPr="002A64C1" w:rsidRDefault="002A64C1" w:rsidP="002A64C1">
      <w:pPr>
        <w:pStyle w:val="Body"/>
        <w:spacing w:line="360" w:lineRule="auto"/>
        <w:rPr>
          <w:rFonts w:ascii="Arial" w:hAnsi="Arial" w:cs="Arial"/>
        </w:rPr>
      </w:pPr>
      <w:r w:rsidRPr="002A64C1">
        <w:rPr>
          <w:rFonts w:ascii="Arial" w:hAnsi="Arial" w:cs="Arial"/>
        </w:rPr>
        <w:t xml:space="preserve">In the </w:t>
      </w:r>
      <w:proofErr w:type="spellStart"/>
      <w:r w:rsidRPr="002A64C1">
        <w:rPr>
          <w:rFonts w:ascii="Arial" w:hAnsi="Arial" w:cs="Arial"/>
        </w:rPr>
        <w:t>Ferké</w:t>
      </w:r>
      <w:proofErr w:type="spellEnd"/>
      <w:r w:rsidRPr="002A64C1">
        <w:rPr>
          <w:rFonts w:ascii="Arial" w:hAnsi="Arial" w:cs="Arial"/>
        </w:rPr>
        <w:t xml:space="preserve"> zone, the genotypes exhibited high productivity, dominated by A2106-19 (7.98 ± 2.52 t/ha) and M1627-8 (7.37 ± 2.88 t/ha). These two hybrids were clearly distinguished from local checks such as FMB, which reached only 2.95 t/ha. The high intra-site variability (elevated standard deviations) at </w:t>
      </w:r>
      <w:proofErr w:type="spellStart"/>
      <w:r w:rsidRPr="002A64C1">
        <w:rPr>
          <w:rFonts w:ascii="Arial" w:hAnsi="Arial" w:cs="Arial"/>
        </w:rPr>
        <w:t>Ferké</w:t>
      </w:r>
      <w:proofErr w:type="spellEnd"/>
      <w:r w:rsidRPr="002A64C1">
        <w:rPr>
          <w:rFonts w:ascii="Arial" w:hAnsi="Arial" w:cs="Arial"/>
        </w:rPr>
        <w:t xml:space="preserve"> suggests that, even under </w:t>
      </w:r>
      <w:proofErr w:type="spellStart"/>
      <w:r w:rsidRPr="002A64C1">
        <w:rPr>
          <w:rFonts w:ascii="Arial" w:hAnsi="Arial" w:cs="Arial"/>
        </w:rPr>
        <w:t>favourable</w:t>
      </w:r>
      <w:proofErr w:type="spellEnd"/>
      <w:r w:rsidRPr="002A64C1">
        <w:rPr>
          <w:rFonts w:ascii="Arial" w:hAnsi="Arial" w:cs="Arial"/>
        </w:rPr>
        <w:t xml:space="preserve"> conditions, micro-variations in soil fertility or crop management strongly influence high-potential genotypes.</w:t>
      </w:r>
    </w:p>
    <w:p w14:paraId="0A3DEE04" w14:textId="77777777" w:rsidR="002A64C1" w:rsidRPr="002A64C1" w:rsidRDefault="002A64C1" w:rsidP="002A64C1">
      <w:pPr>
        <w:pStyle w:val="Body"/>
        <w:spacing w:line="360" w:lineRule="auto"/>
        <w:rPr>
          <w:rFonts w:ascii="Arial" w:hAnsi="Arial" w:cs="Arial"/>
        </w:rPr>
      </w:pPr>
      <w:r w:rsidRPr="002A64C1">
        <w:rPr>
          <w:rFonts w:ascii="Arial" w:hAnsi="Arial" w:cs="Arial"/>
        </w:rPr>
        <w:t xml:space="preserve">The shift to the </w:t>
      </w:r>
      <w:proofErr w:type="spellStart"/>
      <w:r w:rsidRPr="002A64C1">
        <w:rPr>
          <w:rFonts w:ascii="Arial" w:hAnsi="Arial" w:cs="Arial"/>
        </w:rPr>
        <w:t>Boundiali</w:t>
      </w:r>
      <w:proofErr w:type="spellEnd"/>
      <w:r w:rsidRPr="002A64C1">
        <w:rPr>
          <w:rFonts w:ascii="Arial" w:hAnsi="Arial" w:cs="Arial"/>
        </w:rPr>
        <w:t xml:space="preserve"> zone induced a drastic decline in yields for the majority of varieties. The hybrid A2106-19, the leader at </w:t>
      </w:r>
      <w:proofErr w:type="spellStart"/>
      <w:r w:rsidRPr="002A64C1">
        <w:rPr>
          <w:rFonts w:ascii="Arial" w:hAnsi="Arial" w:cs="Arial"/>
        </w:rPr>
        <w:t>Ferké</w:t>
      </w:r>
      <w:proofErr w:type="spellEnd"/>
      <w:r w:rsidRPr="002A64C1">
        <w:rPr>
          <w:rFonts w:ascii="Arial" w:hAnsi="Arial" w:cs="Arial"/>
        </w:rPr>
        <w:t xml:space="preserve">, saw its performance reduced by a factor of three (to 2.49 t/ha), illustrating poor tolerance to water deficit. In contrast, the hybrid EWH-118 </w:t>
      </w:r>
      <w:r w:rsidRPr="002A64C1">
        <w:rPr>
          <w:rFonts w:ascii="Arial" w:hAnsi="Arial" w:cs="Arial"/>
        </w:rPr>
        <w:lastRenderedPageBreak/>
        <w:t>emerged as the most performing under constraining conditions, with a grain yield of 4.35 ± 2.03 t/ha, representing the highest mean recorded under stress.</w:t>
      </w:r>
    </w:p>
    <w:p w14:paraId="04E0D644" w14:textId="77777777" w:rsidR="002A64C1" w:rsidRDefault="002A64C1" w:rsidP="002A64C1">
      <w:pPr>
        <w:pStyle w:val="Body"/>
        <w:spacing w:line="360" w:lineRule="auto"/>
        <w:rPr>
          <w:rFonts w:ascii="Arial" w:hAnsi="Arial" w:cs="Arial"/>
        </w:rPr>
      </w:pPr>
      <w:r w:rsidRPr="002A64C1">
        <w:rPr>
          <w:rFonts w:ascii="Arial" w:hAnsi="Arial" w:cs="Arial"/>
        </w:rPr>
        <w:t>A notable observat</w:t>
      </w:r>
      <w:r>
        <w:rPr>
          <w:rFonts w:ascii="Arial" w:hAnsi="Arial" w:cs="Arial"/>
        </w:rPr>
        <w:t>ion concerns the hybrid A1909-9</w:t>
      </w:r>
      <w:r w:rsidRPr="002A64C1">
        <w:rPr>
          <w:rFonts w:ascii="Arial" w:hAnsi="Arial" w:cs="Arial"/>
        </w:rPr>
        <w:t xml:space="preserve">: although its yield at </w:t>
      </w:r>
      <w:proofErr w:type="spellStart"/>
      <w:r w:rsidRPr="002A64C1">
        <w:rPr>
          <w:rFonts w:ascii="Arial" w:hAnsi="Arial" w:cs="Arial"/>
        </w:rPr>
        <w:t>Ferké</w:t>
      </w:r>
      <w:proofErr w:type="spellEnd"/>
      <w:r w:rsidRPr="002A64C1">
        <w:rPr>
          <w:rFonts w:ascii="Arial" w:hAnsi="Arial" w:cs="Arial"/>
        </w:rPr>
        <w:t xml:space="preserve"> was moderate (4.85 t/ha), it displayed a markedly less severe reduction in productivity at </w:t>
      </w:r>
      <w:proofErr w:type="spellStart"/>
      <w:r w:rsidRPr="002A64C1">
        <w:rPr>
          <w:rFonts w:ascii="Arial" w:hAnsi="Arial" w:cs="Arial"/>
        </w:rPr>
        <w:t>Boundiali</w:t>
      </w:r>
      <w:proofErr w:type="spellEnd"/>
      <w:r w:rsidRPr="002A64C1">
        <w:rPr>
          <w:rFonts w:ascii="Arial" w:hAnsi="Arial" w:cs="Arial"/>
        </w:rPr>
        <w:t xml:space="preserve"> compared to 'elite' types. This relative stability corroborates its central position on the GGE biplot. Finally, the checks (FMB and EV 8728) maintained low but consistent yields across both sites, confirming their adaptation to low-input production systems but their inability to </w:t>
      </w:r>
      <w:proofErr w:type="spellStart"/>
      <w:r w:rsidRPr="002A64C1">
        <w:rPr>
          <w:rFonts w:ascii="Arial" w:hAnsi="Arial" w:cs="Arial"/>
        </w:rPr>
        <w:t>capitalise</w:t>
      </w:r>
      <w:proofErr w:type="spellEnd"/>
      <w:r w:rsidRPr="002A64C1">
        <w:rPr>
          <w:rFonts w:ascii="Arial" w:hAnsi="Arial" w:cs="Arial"/>
        </w:rPr>
        <w:t xml:space="preserve"> on </w:t>
      </w:r>
      <w:proofErr w:type="spellStart"/>
      <w:r w:rsidRPr="002A64C1">
        <w:rPr>
          <w:rFonts w:ascii="Arial" w:hAnsi="Arial" w:cs="Arial"/>
        </w:rPr>
        <w:t>favourable</w:t>
      </w:r>
      <w:proofErr w:type="spellEnd"/>
      <w:r w:rsidRPr="002A64C1">
        <w:rPr>
          <w:rFonts w:ascii="Arial" w:hAnsi="Arial" w:cs="Arial"/>
        </w:rPr>
        <w:t xml:space="preserve"> environments.</w:t>
      </w:r>
    </w:p>
    <w:p w14:paraId="408894C4" w14:textId="77777777" w:rsidR="002A64C1" w:rsidRDefault="0070522B" w:rsidP="0070522B">
      <w:pPr>
        <w:pStyle w:val="Body"/>
        <w:spacing w:after="0" w:line="360" w:lineRule="auto"/>
        <w:rPr>
          <w:rFonts w:ascii="Arial" w:hAnsi="Arial" w:cs="Arial"/>
          <w:b/>
        </w:rPr>
      </w:pPr>
      <w:r w:rsidRPr="0070522B">
        <w:rPr>
          <w:rFonts w:ascii="Arial" w:hAnsi="Arial" w:cs="Arial"/>
          <w:b/>
        </w:rPr>
        <w:t>Table 5. Means and standard deviations of grain yields (GY in t/ha) by variety and site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78"/>
        <w:gridCol w:w="2223"/>
        <w:gridCol w:w="30"/>
        <w:gridCol w:w="3700"/>
      </w:tblGrid>
      <w:tr w:rsidR="0070522B" w:rsidRPr="0070522B" w14:paraId="536AA134" w14:textId="77777777" w:rsidTr="0070522B">
        <w:trPr>
          <w:trHeight w:val="399"/>
          <w:tblHeader/>
          <w:tblCellSpacing w:w="15" w:type="dxa"/>
          <w:jc w:val="center"/>
        </w:trPr>
        <w:tc>
          <w:tcPr>
            <w:tcW w:w="2133" w:type="dxa"/>
            <w:tcBorders>
              <w:top w:val="single" w:sz="4" w:space="0" w:color="auto"/>
              <w:bottom w:val="single" w:sz="4" w:space="0" w:color="auto"/>
            </w:tcBorders>
            <w:vAlign w:val="center"/>
            <w:hideMark/>
          </w:tcPr>
          <w:p w14:paraId="52C00788" w14:textId="77777777" w:rsidR="0070522B" w:rsidRPr="0070522B" w:rsidRDefault="0070522B" w:rsidP="0070522B">
            <w:pPr>
              <w:spacing w:before="120" w:line="360" w:lineRule="auto"/>
              <w:rPr>
                <w:rFonts w:ascii="Arial" w:hAnsi="Arial" w:cs="Arial"/>
                <w:b/>
                <w:bCs/>
                <w:szCs w:val="24"/>
              </w:rPr>
            </w:pPr>
            <w:r w:rsidRPr="0070522B">
              <w:rPr>
                <w:rFonts w:ascii="Arial" w:hAnsi="Arial" w:cs="Arial"/>
                <w:b/>
                <w:bCs/>
                <w:szCs w:val="24"/>
              </w:rPr>
              <w:t>Variety</w:t>
            </w:r>
          </w:p>
        </w:tc>
        <w:tc>
          <w:tcPr>
            <w:tcW w:w="2193" w:type="dxa"/>
            <w:tcBorders>
              <w:top w:val="single" w:sz="4" w:space="0" w:color="auto"/>
              <w:bottom w:val="single" w:sz="4" w:space="0" w:color="auto"/>
            </w:tcBorders>
            <w:vAlign w:val="center"/>
            <w:hideMark/>
          </w:tcPr>
          <w:p w14:paraId="2BEDCE90" w14:textId="77777777" w:rsidR="0070522B" w:rsidRPr="0070522B" w:rsidRDefault="0070522B" w:rsidP="00D54952">
            <w:pPr>
              <w:spacing w:before="120" w:line="360" w:lineRule="auto"/>
              <w:jc w:val="center"/>
              <w:rPr>
                <w:rFonts w:ascii="Arial" w:hAnsi="Arial" w:cs="Arial"/>
                <w:b/>
                <w:bCs/>
                <w:szCs w:val="24"/>
              </w:rPr>
            </w:pPr>
            <w:proofErr w:type="spellStart"/>
            <w:r w:rsidRPr="0070522B">
              <w:rPr>
                <w:rFonts w:ascii="Arial" w:hAnsi="Arial" w:cs="Arial"/>
                <w:b/>
                <w:bCs/>
                <w:szCs w:val="24"/>
              </w:rPr>
              <w:t>Ferké</w:t>
            </w:r>
            <w:proofErr w:type="spellEnd"/>
            <w:r w:rsidRPr="0070522B">
              <w:rPr>
                <w:rFonts w:ascii="Arial" w:hAnsi="Arial" w:cs="Arial"/>
                <w:b/>
                <w:bCs/>
                <w:szCs w:val="24"/>
              </w:rPr>
              <w:t xml:space="preserve"> (mean ± SD)</w:t>
            </w:r>
          </w:p>
        </w:tc>
        <w:tc>
          <w:tcPr>
            <w:tcW w:w="3685" w:type="dxa"/>
            <w:gridSpan w:val="2"/>
            <w:tcBorders>
              <w:top w:val="single" w:sz="4" w:space="0" w:color="auto"/>
              <w:bottom w:val="single" w:sz="4" w:space="0" w:color="auto"/>
            </w:tcBorders>
            <w:vAlign w:val="center"/>
            <w:hideMark/>
          </w:tcPr>
          <w:p w14:paraId="5D1A4234" w14:textId="77777777" w:rsidR="0070522B" w:rsidRPr="0070522B" w:rsidRDefault="0070522B" w:rsidP="00D54952">
            <w:pPr>
              <w:spacing w:before="120" w:line="360" w:lineRule="auto"/>
              <w:jc w:val="center"/>
              <w:rPr>
                <w:rFonts w:ascii="Arial" w:hAnsi="Arial" w:cs="Arial"/>
                <w:b/>
                <w:bCs/>
                <w:szCs w:val="24"/>
              </w:rPr>
            </w:pPr>
            <w:proofErr w:type="spellStart"/>
            <w:r w:rsidRPr="0070522B">
              <w:rPr>
                <w:rFonts w:ascii="Arial" w:hAnsi="Arial" w:cs="Arial"/>
                <w:b/>
                <w:bCs/>
                <w:szCs w:val="24"/>
              </w:rPr>
              <w:t>Boundiali</w:t>
            </w:r>
            <w:proofErr w:type="spellEnd"/>
            <w:r w:rsidRPr="0070522B">
              <w:rPr>
                <w:rFonts w:ascii="Arial" w:hAnsi="Arial" w:cs="Arial"/>
                <w:b/>
                <w:bCs/>
                <w:szCs w:val="24"/>
              </w:rPr>
              <w:t xml:space="preserve"> (mean ± SD)</w:t>
            </w:r>
          </w:p>
        </w:tc>
      </w:tr>
      <w:tr w:rsidR="0070522B" w:rsidRPr="0070522B" w14:paraId="37D8E58B" w14:textId="77777777" w:rsidTr="0070522B">
        <w:trPr>
          <w:trHeight w:val="399"/>
          <w:tblCellSpacing w:w="15" w:type="dxa"/>
          <w:jc w:val="center"/>
        </w:trPr>
        <w:tc>
          <w:tcPr>
            <w:tcW w:w="2133" w:type="dxa"/>
            <w:vAlign w:val="center"/>
            <w:hideMark/>
          </w:tcPr>
          <w:p w14:paraId="3CB71957"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A1909-9</w:t>
            </w:r>
          </w:p>
        </w:tc>
        <w:tc>
          <w:tcPr>
            <w:tcW w:w="2223" w:type="dxa"/>
            <w:gridSpan w:val="2"/>
            <w:vAlign w:val="center"/>
            <w:hideMark/>
          </w:tcPr>
          <w:p w14:paraId="5753E317"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4.85 ± 2.86</w:t>
            </w:r>
          </w:p>
        </w:tc>
        <w:tc>
          <w:tcPr>
            <w:tcW w:w="3655" w:type="dxa"/>
            <w:vAlign w:val="center"/>
            <w:hideMark/>
          </w:tcPr>
          <w:p w14:paraId="483BC3F2"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2.85 ± 2.02</w:t>
            </w:r>
          </w:p>
        </w:tc>
      </w:tr>
      <w:tr w:rsidR="0070522B" w:rsidRPr="0070522B" w14:paraId="5202FF5B" w14:textId="77777777" w:rsidTr="0070522B">
        <w:trPr>
          <w:trHeight w:val="399"/>
          <w:tblCellSpacing w:w="15" w:type="dxa"/>
          <w:jc w:val="center"/>
        </w:trPr>
        <w:tc>
          <w:tcPr>
            <w:tcW w:w="2133" w:type="dxa"/>
            <w:vAlign w:val="center"/>
            <w:hideMark/>
          </w:tcPr>
          <w:p w14:paraId="16EADC0B"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LW2202</w:t>
            </w:r>
          </w:p>
        </w:tc>
        <w:tc>
          <w:tcPr>
            <w:tcW w:w="2223" w:type="dxa"/>
            <w:gridSpan w:val="2"/>
            <w:vAlign w:val="center"/>
            <w:hideMark/>
          </w:tcPr>
          <w:p w14:paraId="4B083D9B"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6.17 ± 2.93</w:t>
            </w:r>
          </w:p>
        </w:tc>
        <w:tc>
          <w:tcPr>
            <w:tcW w:w="3655" w:type="dxa"/>
            <w:vAlign w:val="center"/>
            <w:hideMark/>
          </w:tcPr>
          <w:p w14:paraId="16303236"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1.88 ± 2.13</w:t>
            </w:r>
          </w:p>
        </w:tc>
      </w:tr>
      <w:tr w:rsidR="0070522B" w:rsidRPr="0070522B" w14:paraId="406E50D8" w14:textId="77777777" w:rsidTr="0070522B">
        <w:trPr>
          <w:trHeight w:val="399"/>
          <w:tblCellSpacing w:w="15" w:type="dxa"/>
          <w:jc w:val="center"/>
        </w:trPr>
        <w:tc>
          <w:tcPr>
            <w:tcW w:w="2133" w:type="dxa"/>
            <w:vAlign w:val="center"/>
            <w:hideMark/>
          </w:tcPr>
          <w:p w14:paraId="580B39AC"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FMB</w:t>
            </w:r>
          </w:p>
        </w:tc>
        <w:tc>
          <w:tcPr>
            <w:tcW w:w="2223" w:type="dxa"/>
            <w:gridSpan w:val="2"/>
            <w:vAlign w:val="center"/>
            <w:hideMark/>
          </w:tcPr>
          <w:p w14:paraId="41B05FBD"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2.95 ± 0.95</w:t>
            </w:r>
          </w:p>
        </w:tc>
        <w:tc>
          <w:tcPr>
            <w:tcW w:w="3655" w:type="dxa"/>
            <w:vAlign w:val="center"/>
            <w:hideMark/>
          </w:tcPr>
          <w:p w14:paraId="2655B0DA"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2.13 ± 0.90</w:t>
            </w:r>
          </w:p>
        </w:tc>
      </w:tr>
      <w:tr w:rsidR="0070522B" w:rsidRPr="0070522B" w14:paraId="27C222D3" w14:textId="77777777" w:rsidTr="0070522B">
        <w:trPr>
          <w:trHeight w:val="399"/>
          <w:tblCellSpacing w:w="15" w:type="dxa"/>
          <w:jc w:val="center"/>
        </w:trPr>
        <w:tc>
          <w:tcPr>
            <w:tcW w:w="2133" w:type="dxa"/>
            <w:vAlign w:val="center"/>
            <w:hideMark/>
          </w:tcPr>
          <w:p w14:paraId="63204A67"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A2106-19</w:t>
            </w:r>
          </w:p>
        </w:tc>
        <w:tc>
          <w:tcPr>
            <w:tcW w:w="2223" w:type="dxa"/>
            <w:gridSpan w:val="2"/>
            <w:vAlign w:val="center"/>
            <w:hideMark/>
          </w:tcPr>
          <w:p w14:paraId="68D34CBF"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7.98 ± 2.52</w:t>
            </w:r>
          </w:p>
        </w:tc>
        <w:tc>
          <w:tcPr>
            <w:tcW w:w="3655" w:type="dxa"/>
            <w:vAlign w:val="center"/>
            <w:hideMark/>
          </w:tcPr>
          <w:p w14:paraId="0D343AD8"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2.49 ± 2.26</w:t>
            </w:r>
          </w:p>
        </w:tc>
      </w:tr>
      <w:tr w:rsidR="0070522B" w:rsidRPr="0070522B" w14:paraId="761D66CE" w14:textId="77777777" w:rsidTr="0070522B">
        <w:trPr>
          <w:trHeight w:val="399"/>
          <w:tblCellSpacing w:w="15" w:type="dxa"/>
          <w:jc w:val="center"/>
        </w:trPr>
        <w:tc>
          <w:tcPr>
            <w:tcW w:w="2133" w:type="dxa"/>
            <w:vAlign w:val="center"/>
            <w:hideMark/>
          </w:tcPr>
          <w:p w14:paraId="5DBEAE86"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M1627-8</w:t>
            </w:r>
          </w:p>
        </w:tc>
        <w:tc>
          <w:tcPr>
            <w:tcW w:w="2223" w:type="dxa"/>
            <w:gridSpan w:val="2"/>
            <w:vAlign w:val="center"/>
            <w:hideMark/>
          </w:tcPr>
          <w:p w14:paraId="773A3B85"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7.37 ± 2.88</w:t>
            </w:r>
          </w:p>
        </w:tc>
        <w:tc>
          <w:tcPr>
            <w:tcW w:w="3655" w:type="dxa"/>
            <w:vAlign w:val="center"/>
            <w:hideMark/>
          </w:tcPr>
          <w:p w14:paraId="100A4C4A"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2.30 ± 2.22</w:t>
            </w:r>
          </w:p>
        </w:tc>
      </w:tr>
      <w:tr w:rsidR="0070522B" w:rsidRPr="0070522B" w14:paraId="23C8F006" w14:textId="77777777" w:rsidTr="0070522B">
        <w:trPr>
          <w:trHeight w:val="399"/>
          <w:tblCellSpacing w:w="15" w:type="dxa"/>
          <w:jc w:val="center"/>
        </w:trPr>
        <w:tc>
          <w:tcPr>
            <w:tcW w:w="2133" w:type="dxa"/>
            <w:vAlign w:val="center"/>
            <w:hideMark/>
          </w:tcPr>
          <w:p w14:paraId="60FDE851"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EV 8728</w:t>
            </w:r>
          </w:p>
        </w:tc>
        <w:tc>
          <w:tcPr>
            <w:tcW w:w="2223" w:type="dxa"/>
            <w:gridSpan w:val="2"/>
            <w:vAlign w:val="center"/>
            <w:hideMark/>
          </w:tcPr>
          <w:p w14:paraId="07C65275"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3.72 ± 1.46</w:t>
            </w:r>
          </w:p>
        </w:tc>
        <w:tc>
          <w:tcPr>
            <w:tcW w:w="3655" w:type="dxa"/>
            <w:vAlign w:val="center"/>
            <w:hideMark/>
          </w:tcPr>
          <w:p w14:paraId="5E55FC9D"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2.51 ± 1.60</w:t>
            </w:r>
          </w:p>
        </w:tc>
      </w:tr>
      <w:tr w:rsidR="0070522B" w:rsidRPr="0070522B" w14:paraId="51120704" w14:textId="77777777" w:rsidTr="0070522B">
        <w:trPr>
          <w:trHeight w:val="412"/>
          <w:tblCellSpacing w:w="15" w:type="dxa"/>
          <w:jc w:val="center"/>
        </w:trPr>
        <w:tc>
          <w:tcPr>
            <w:tcW w:w="2133" w:type="dxa"/>
            <w:tcBorders>
              <w:bottom w:val="single" w:sz="4" w:space="0" w:color="auto"/>
            </w:tcBorders>
            <w:vAlign w:val="center"/>
            <w:hideMark/>
          </w:tcPr>
          <w:p w14:paraId="6EACD99D"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EWH-118</w:t>
            </w:r>
          </w:p>
        </w:tc>
        <w:tc>
          <w:tcPr>
            <w:tcW w:w="2223" w:type="dxa"/>
            <w:gridSpan w:val="2"/>
            <w:tcBorders>
              <w:bottom w:val="single" w:sz="4" w:space="0" w:color="auto"/>
            </w:tcBorders>
            <w:vAlign w:val="center"/>
            <w:hideMark/>
          </w:tcPr>
          <w:p w14:paraId="78254827"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6.31 ± 2.97</w:t>
            </w:r>
          </w:p>
        </w:tc>
        <w:tc>
          <w:tcPr>
            <w:tcW w:w="3655" w:type="dxa"/>
            <w:tcBorders>
              <w:bottom w:val="single" w:sz="4" w:space="0" w:color="auto"/>
            </w:tcBorders>
            <w:vAlign w:val="center"/>
            <w:hideMark/>
          </w:tcPr>
          <w:p w14:paraId="494E0491"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4.35 ± 2.03</w:t>
            </w:r>
          </w:p>
        </w:tc>
      </w:tr>
    </w:tbl>
    <w:p w14:paraId="3BA40436" w14:textId="77777777" w:rsidR="0070522B" w:rsidRDefault="0070522B" w:rsidP="002A64C1">
      <w:pPr>
        <w:pStyle w:val="Body"/>
        <w:spacing w:line="360" w:lineRule="auto"/>
        <w:rPr>
          <w:rFonts w:ascii="Arial" w:hAnsi="Arial" w:cs="Arial"/>
          <w:b/>
        </w:rPr>
      </w:pPr>
    </w:p>
    <w:p w14:paraId="1E426AB4" w14:textId="77777777" w:rsidR="00AF7169" w:rsidRDefault="00AF7169" w:rsidP="002A64C1">
      <w:pPr>
        <w:pStyle w:val="Body"/>
        <w:spacing w:line="360" w:lineRule="auto"/>
        <w:rPr>
          <w:rFonts w:ascii="Arial" w:hAnsi="Arial" w:cs="Arial"/>
        </w:rPr>
      </w:pPr>
      <w:r w:rsidRPr="00AF7169">
        <w:rPr>
          <w:rFonts w:ascii="Arial" w:hAnsi="Arial" w:cs="Arial"/>
          <w:b/>
        </w:rPr>
        <w:t xml:space="preserve">4. GGE Biplot Analysis </w:t>
      </w:r>
      <w:r w:rsidRPr="00AF7169">
        <w:rPr>
          <w:rFonts w:ascii="Arial" w:hAnsi="Arial" w:cs="Arial"/>
        </w:rPr>
        <w:t>The interpretation of the GGE biplot (Genotype main effect + Genotype × Environment interaction), based on the methodology of Yan et al. (2000, 2007), enables a visual decomposition of hybrid performance.</w:t>
      </w:r>
    </w:p>
    <w:p w14:paraId="7504421F" w14:textId="77777777" w:rsidR="00AF7169" w:rsidRPr="00AF7169" w:rsidRDefault="00AF7169" w:rsidP="00AF7169">
      <w:pPr>
        <w:spacing w:before="120" w:after="240" w:line="360" w:lineRule="auto"/>
        <w:jc w:val="both"/>
        <w:rPr>
          <w:rFonts w:ascii="Arial" w:hAnsi="Arial" w:cs="Arial"/>
        </w:rPr>
      </w:pPr>
      <w:r w:rsidRPr="00AF7169">
        <w:rPr>
          <w:rFonts w:ascii="Arial" w:hAnsi="Arial" w:cs="Arial"/>
          <w:b/>
        </w:rPr>
        <w:t>4.1. General Structure of the Biplot</w:t>
      </w:r>
      <w:r w:rsidRPr="00AF7169">
        <w:rPr>
          <w:rFonts w:ascii="Arial" w:hAnsi="Arial" w:cs="Arial"/>
        </w:rPr>
        <w:t xml:space="preserve"> </w:t>
      </w:r>
      <w:proofErr w:type="gramStart"/>
      <w:r w:rsidRPr="00AF7169">
        <w:rPr>
          <w:rFonts w:ascii="Arial" w:hAnsi="Arial" w:cs="Arial"/>
        </w:rPr>
        <w:t>The</w:t>
      </w:r>
      <w:proofErr w:type="gramEnd"/>
      <w:r w:rsidRPr="00AF7169">
        <w:rPr>
          <w:rFonts w:ascii="Arial" w:hAnsi="Arial" w:cs="Arial"/>
        </w:rPr>
        <w:t xml:space="preserve"> model accounts for a substantial portion of the total variation (G + G×E), with the first principal component (PC1) capturing 87.2% of the variance and the second principal component (PC2) capturing 5.7%. The strong representation on the first axis indicates that differences in mean yield among genotypes constitute the dominant factor driving the G×E interaction.</w:t>
      </w:r>
    </w:p>
    <w:p w14:paraId="3F698B15" w14:textId="77777777" w:rsidR="00AF7169" w:rsidRPr="00AF7169" w:rsidRDefault="00AF7169" w:rsidP="00AF7169">
      <w:pPr>
        <w:pStyle w:val="Body"/>
        <w:spacing w:line="360" w:lineRule="auto"/>
        <w:rPr>
          <w:rFonts w:ascii="Arial" w:hAnsi="Arial" w:cs="Arial"/>
          <w:b/>
        </w:rPr>
      </w:pPr>
      <w:r w:rsidRPr="00AF7169">
        <w:rPr>
          <w:rFonts w:ascii="Arial" w:hAnsi="Arial" w:cs="Arial"/>
          <w:b/>
        </w:rPr>
        <w:t xml:space="preserve">4.2. Performance and Stability (Average Environment Coordinate – AEC) </w:t>
      </w:r>
      <w:r w:rsidRPr="00AF7169">
        <w:rPr>
          <w:rFonts w:ascii="Arial" w:hAnsi="Arial" w:cs="Arial"/>
        </w:rPr>
        <w:t>Examination of the biplot reveals marked contrasts in performance and stability:</w:t>
      </w:r>
    </w:p>
    <w:p w14:paraId="4F098D27" w14:textId="77777777" w:rsidR="00AF7169" w:rsidRPr="00AF7169" w:rsidRDefault="00AF7169" w:rsidP="00AF7169">
      <w:pPr>
        <w:pStyle w:val="Body"/>
        <w:spacing w:line="360" w:lineRule="auto"/>
        <w:rPr>
          <w:rFonts w:ascii="Arial" w:hAnsi="Arial" w:cs="Arial"/>
          <w:b/>
        </w:rPr>
      </w:pPr>
      <w:r>
        <w:rPr>
          <w:rFonts w:ascii="Arial" w:hAnsi="Arial" w:cs="Arial"/>
          <w:b/>
        </w:rPr>
        <w:lastRenderedPageBreak/>
        <w:t xml:space="preserve">• </w:t>
      </w:r>
      <w:r w:rsidRPr="00AF7169">
        <w:rPr>
          <w:rFonts w:ascii="Arial" w:hAnsi="Arial" w:cs="Arial"/>
          <w:b/>
        </w:rPr>
        <w:t xml:space="preserve">A1909-9: </w:t>
      </w:r>
      <w:r w:rsidRPr="00AF7169">
        <w:rPr>
          <w:rFonts w:ascii="Arial" w:hAnsi="Arial" w:cs="Arial"/>
        </w:rPr>
        <w:t xml:space="preserve">The ideal genotype. Positioned at the extreme left of the PC1 axis, this hybrid exhibits the highest overall performance in the trial. Its remarkable proximity to the horizontal line (PC2 close to zero) demonstrates exceptional stability. It is the genotype that consistently maintains its yield, whether under optimal conditions at </w:t>
      </w:r>
      <w:proofErr w:type="spellStart"/>
      <w:r w:rsidRPr="00AF7169">
        <w:rPr>
          <w:rFonts w:ascii="Arial" w:hAnsi="Arial" w:cs="Arial"/>
        </w:rPr>
        <w:t>Ferké</w:t>
      </w:r>
      <w:proofErr w:type="spellEnd"/>
      <w:r w:rsidRPr="00AF7169">
        <w:rPr>
          <w:rFonts w:ascii="Arial" w:hAnsi="Arial" w:cs="Arial"/>
        </w:rPr>
        <w:t xml:space="preserve"> or under water stress at </w:t>
      </w:r>
      <w:proofErr w:type="spellStart"/>
      <w:r w:rsidRPr="00AF7169">
        <w:rPr>
          <w:rFonts w:ascii="Arial" w:hAnsi="Arial" w:cs="Arial"/>
        </w:rPr>
        <w:t>Boundiali</w:t>
      </w:r>
      <w:proofErr w:type="spellEnd"/>
      <w:r w:rsidRPr="00AF7169">
        <w:rPr>
          <w:rFonts w:ascii="Arial" w:hAnsi="Arial" w:cs="Arial"/>
        </w:rPr>
        <w:t>.</w:t>
      </w:r>
    </w:p>
    <w:p w14:paraId="3C78F9EB" w14:textId="77777777" w:rsidR="00AF7169" w:rsidRPr="00AF7169" w:rsidRDefault="00AF7169" w:rsidP="00AF7169">
      <w:pPr>
        <w:pStyle w:val="Body"/>
        <w:spacing w:line="360" w:lineRule="auto"/>
        <w:rPr>
          <w:rFonts w:ascii="Arial" w:hAnsi="Arial" w:cs="Arial"/>
          <w:b/>
        </w:rPr>
      </w:pPr>
      <w:r>
        <w:rPr>
          <w:rFonts w:ascii="Arial" w:hAnsi="Arial" w:cs="Arial"/>
          <w:b/>
        </w:rPr>
        <w:t xml:space="preserve">• </w:t>
      </w:r>
      <w:r w:rsidRPr="00AF7169">
        <w:rPr>
          <w:rFonts w:ascii="Arial" w:hAnsi="Arial" w:cs="Arial"/>
          <w:b/>
        </w:rPr>
        <w:t xml:space="preserve">Local Checks: </w:t>
      </w:r>
      <w:r w:rsidRPr="00AF7169">
        <w:rPr>
          <w:rFonts w:ascii="Arial" w:hAnsi="Arial" w:cs="Arial"/>
        </w:rPr>
        <w:t>In contrast, the checks are located at the extreme right of the PC1 axis, confirming their low productive potential across both environments tested.</w:t>
      </w:r>
    </w:p>
    <w:p w14:paraId="081883AB" w14:textId="77777777" w:rsidR="00AF7169" w:rsidRDefault="00AF7169" w:rsidP="00AF7169">
      <w:pPr>
        <w:pStyle w:val="Body"/>
        <w:spacing w:line="360" w:lineRule="auto"/>
        <w:rPr>
          <w:rFonts w:ascii="Arial" w:hAnsi="Arial" w:cs="Arial"/>
        </w:rPr>
      </w:pPr>
      <w:r>
        <w:rPr>
          <w:rFonts w:ascii="Arial" w:hAnsi="Arial" w:cs="Arial"/>
          <w:b/>
        </w:rPr>
        <w:t xml:space="preserve">• </w:t>
      </w:r>
      <w:r w:rsidRPr="00AF7169">
        <w:rPr>
          <w:rFonts w:ascii="Arial" w:hAnsi="Arial" w:cs="Arial"/>
          <w:b/>
        </w:rPr>
        <w:t xml:space="preserve">Interaction Variability: </w:t>
      </w:r>
      <w:r w:rsidRPr="00AF7169">
        <w:rPr>
          <w:rFonts w:ascii="Arial" w:hAnsi="Arial" w:cs="Arial"/>
        </w:rPr>
        <w:t xml:space="preserve">The environmental vectors (green for </w:t>
      </w:r>
      <w:proofErr w:type="spellStart"/>
      <w:r w:rsidRPr="00AF7169">
        <w:rPr>
          <w:rFonts w:ascii="Arial" w:hAnsi="Arial" w:cs="Arial"/>
        </w:rPr>
        <w:t>Ferké</w:t>
      </w:r>
      <w:proofErr w:type="spellEnd"/>
      <w:r w:rsidRPr="00AF7169">
        <w:rPr>
          <w:rFonts w:ascii="Arial" w:hAnsi="Arial" w:cs="Arial"/>
        </w:rPr>
        <w:t xml:space="preserve"> and red for </w:t>
      </w:r>
      <w:proofErr w:type="spellStart"/>
      <w:r w:rsidRPr="00AF7169">
        <w:rPr>
          <w:rFonts w:ascii="Arial" w:hAnsi="Arial" w:cs="Arial"/>
        </w:rPr>
        <w:t>Boundiali</w:t>
      </w:r>
      <w:proofErr w:type="spellEnd"/>
      <w:r w:rsidRPr="00AF7169">
        <w:rPr>
          <w:rFonts w:ascii="Arial" w:hAnsi="Arial" w:cs="Arial"/>
        </w:rPr>
        <w:t xml:space="preserve">) display divergent angles, confirming that the two zones impose distinct selection pressures on the genotypes. The </w:t>
      </w:r>
      <w:proofErr w:type="spellStart"/>
      <w:r w:rsidRPr="00AF7169">
        <w:rPr>
          <w:rFonts w:ascii="Arial" w:hAnsi="Arial" w:cs="Arial"/>
        </w:rPr>
        <w:t>Boundiali</w:t>
      </w:r>
      <w:proofErr w:type="spellEnd"/>
      <w:r w:rsidRPr="00AF7169">
        <w:rPr>
          <w:rFonts w:ascii="Arial" w:hAnsi="Arial" w:cs="Arial"/>
        </w:rPr>
        <w:t xml:space="preserve"> vectors (red) exert a more homogeneous constraint on the top-performing group (A1909-9, A1926-1).</w:t>
      </w:r>
    </w:p>
    <w:p w14:paraId="2F7FDBB0" w14:textId="77777777" w:rsidR="005D6AE0" w:rsidRPr="005D6AE0" w:rsidRDefault="005D6AE0" w:rsidP="005D6AE0">
      <w:pPr>
        <w:pStyle w:val="Body"/>
        <w:spacing w:line="360" w:lineRule="auto"/>
        <w:rPr>
          <w:rFonts w:ascii="Arial" w:hAnsi="Arial" w:cs="Arial"/>
          <w:b/>
        </w:rPr>
      </w:pPr>
      <w:r w:rsidRPr="005D6AE0">
        <w:rPr>
          <w:rFonts w:ascii="Arial" w:hAnsi="Arial" w:cs="Arial"/>
          <w:b/>
        </w:rPr>
        <w:t xml:space="preserve">4.3. Performance Sectors (Which-Won-Where) </w:t>
      </w:r>
    </w:p>
    <w:p w14:paraId="571BBAFD" w14:textId="77777777" w:rsidR="00AF7169" w:rsidRDefault="005D6AE0" w:rsidP="005D6AE0">
      <w:pPr>
        <w:pStyle w:val="Body"/>
        <w:spacing w:line="360" w:lineRule="auto"/>
        <w:rPr>
          <w:rFonts w:ascii="Arial" w:hAnsi="Arial" w:cs="Arial"/>
        </w:rPr>
      </w:pPr>
      <w:r w:rsidRPr="005D6AE0">
        <w:rPr>
          <w:rFonts w:ascii="Arial" w:hAnsi="Arial" w:cs="Arial"/>
        </w:rPr>
        <w:t xml:space="preserve">The performance polygon clearly identifies A1909-9 as the vertex dominating the sector that encompasses virtually all </w:t>
      </w:r>
      <w:proofErr w:type="spellStart"/>
      <w:r w:rsidRPr="005D6AE0">
        <w:rPr>
          <w:rFonts w:ascii="Arial" w:hAnsi="Arial" w:cs="Arial"/>
        </w:rPr>
        <w:t>Boundiali</w:t>
      </w:r>
      <w:proofErr w:type="spellEnd"/>
      <w:r w:rsidRPr="005D6AE0">
        <w:rPr>
          <w:rFonts w:ascii="Arial" w:hAnsi="Arial" w:cs="Arial"/>
        </w:rPr>
        <w:t xml:space="preserve"> environments (Boundiali_1, 2 and 3) and part of </w:t>
      </w:r>
      <w:proofErr w:type="spellStart"/>
      <w:r w:rsidRPr="005D6AE0">
        <w:rPr>
          <w:rFonts w:ascii="Arial" w:hAnsi="Arial" w:cs="Arial"/>
        </w:rPr>
        <w:t>Ferké</w:t>
      </w:r>
      <w:proofErr w:type="spellEnd"/>
      <w:r w:rsidRPr="005D6AE0">
        <w:rPr>
          <w:rFonts w:ascii="Arial" w:hAnsi="Arial" w:cs="Arial"/>
        </w:rPr>
        <w:t xml:space="preserve"> (Ferké_3). This mathematically confirms its resilience: not only is it high-performing, but it systematically “wins” in stress environments.</w:t>
      </w:r>
    </w:p>
    <w:p w14:paraId="5DE163C2" w14:textId="77777777" w:rsidR="00AF7169" w:rsidRDefault="005D6AE0" w:rsidP="005D6AE0">
      <w:pPr>
        <w:pStyle w:val="Body"/>
        <w:spacing w:line="360" w:lineRule="auto"/>
        <w:jc w:val="center"/>
        <w:rPr>
          <w:rFonts w:ascii="Arial" w:hAnsi="Arial" w:cs="Arial"/>
          <w:b/>
        </w:rPr>
      </w:pPr>
      <w:r>
        <w:rPr>
          <w:rFonts w:ascii="Times New Roman" w:hAnsi="Times New Roman"/>
          <w:noProof/>
          <w:sz w:val="24"/>
          <w:szCs w:val="24"/>
          <w:lang w:eastAsia="fr-FR"/>
        </w:rPr>
        <w:drawing>
          <wp:inline distT="0" distB="0" distL="0" distR="0" wp14:anchorId="1526EA6D" wp14:editId="10FC0502">
            <wp:extent cx="4310380" cy="3230880"/>
            <wp:effectExtent l="0" t="0" r="0" b="7620"/>
            <wp:docPr id="18889390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0380" cy="3230880"/>
                    </a:xfrm>
                    <a:prstGeom prst="rect">
                      <a:avLst/>
                    </a:prstGeom>
                    <a:noFill/>
                  </pic:spPr>
                </pic:pic>
              </a:graphicData>
            </a:graphic>
          </wp:inline>
        </w:drawing>
      </w:r>
    </w:p>
    <w:p w14:paraId="2ABD003D" w14:textId="77777777" w:rsidR="005D6AE0" w:rsidRPr="005D6AE0" w:rsidRDefault="005D6AE0" w:rsidP="00912D32">
      <w:pPr>
        <w:pStyle w:val="Body"/>
        <w:rPr>
          <w:rFonts w:ascii="Arial" w:hAnsi="Arial" w:cs="Arial"/>
        </w:rPr>
      </w:pPr>
      <w:r w:rsidRPr="005D6AE0">
        <w:rPr>
          <w:rFonts w:ascii="Arial" w:hAnsi="Arial" w:cs="Arial"/>
          <w:b/>
        </w:rPr>
        <w:lastRenderedPageBreak/>
        <w:t xml:space="preserve">Figure 1. </w:t>
      </w:r>
      <w:r w:rsidRPr="005D6AE0">
        <w:rPr>
          <w:rFonts w:ascii="Arial" w:hAnsi="Arial" w:cs="Arial"/>
        </w:rPr>
        <w:t xml:space="preserve">GGE biplot of grain yield stability and performance for maize hybrids across two contrasting environments in northern Côte d'Ivoire. (Environments: green vectors = </w:t>
      </w:r>
      <w:proofErr w:type="spellStart"/>
      <w:r w:rsidRPr="005D6AE0">
        <w:rPr>
          <w:rFonts w:ascii="Arial" w:hAnsi="Arial" w:cs="Arial"/>
        </w:rPr>
        <w:t>Ferké</w:t>
      </w:r>
      <w:proofErr w:type="spellEnd"/>
      <w:r w:rsidRPr="005D6AE0">
        <w:rPr>
          <w:rFonts w:ascii="Arial" w:hAnsi="Arial" w:cs="Arial"/>
        </w:rPr>
        <w:t xml:space="preserve"> (</w:t>
      </w:r>
      <w:r w:rsidR="006C5A0D">
        <w:rPr>
          <w:rFonts w:ascii="Arial" w:hAnsi="Arial" w:cs="Arial"/>
        </w:rPr>
        <w:t>optimal/</w:t>
      </w:r>
      <w:proofErr w:type="spellStart"/>
      <w:r w:rsidR="006C5A0D">
        <w:rPr>
          <w:rFonts w:ascii="Arial" w:hAnsi="Arial" w:cs="Arial"/>
        </w:rPr>
        <w:t>favourable</w:t>
      </w:r>
      <w:proofErr w:type="spellEnd"/>
      <w:proofErr w:type="gramStart"/>
      <w:r w:rsidR="006C5A0D">
        <w:rPr>
          <w:rFonts w:ascii="Arial" w:hAnsi="Arial" w:cs="Arial"/>
        </w:rPr>
        <w:t xml:space="preserve">) </w:t>
      </w:r>
      <w:r w:rsidRPr="005D6AE0">
        <w:rPr>
          <w:rFonts w:ascii="Arial" w:hAnsi="Arial" w:cs="Arial"/>
        </w:rPr>
        <w:t>;</w:t>
      </w:r>
      <w:proofErr w:type="gramEnd"/>
      <w:r w:rsidRPr="005D6AE0">
        <w:rPr>
          <w:rFonts w:ascii="Arial" w:hAnsi="Arial" w:cs="Arial"/>
        </w:rPr>
        <w:t xml:space="preserve"> red vectors = </w:t>
      </w:r>
      <w:proofErr w:type="spellStart"/>
      <w:r w:rsidRPr="005D6AE0">
        <w:rPr>
          <w:rFonts w:ascii="Arial" w:hAnsi="Arial" w:cs="Arial"/>
        </w:rPr>
        <w:t>Boundiali</w:t>
      </w:r>
      <w:proofErr w:type="spellEnd"/>
      <w:r w:rsidRPr="005D6AE0">
        <w:rPr>
          <w:rFonts w:ascii="Arial" w:hAnsi="Arial" w:cs="Arial"/>
        </w:rPr>
        <w:t xml:space="preserve"> (stress/water deficit). Genotypes are shown as blue points. The polygon connects the vertex genotypes; the “which-won-where” sectors indicate mega-environments and winning genotypes.</w:t>
      </w:r>
    </w:p>
    <w:p w14:paraId="2FBEFA2E" w14:textId="77777777" w:rsidR="005D6AE0" w:rsidRPr="005D6AE0" w:rsidRDefault="005D6AE0" w:rsidP="005D6AE0">
      <w:pPr>
        <w:spacing w:before="120" w:line="360" w:lineRule="auto"/>
        <w:jc w:val="both"/>
        <w:rPr>
          <w:rFonts w:ascii="Arial" w:hAnsi="Arial" w:cs="Arial"/>
          <w:b/>
          <w:caps/>
          <w:sz w:val="22"/>
        </w:rPr>
      </w:pPr>
      <w:r w:rsidRPr="005D6AE0">
        <w:rPr>
          <w:rFonts w:ascii="Arial" w:hAnsi="Arial" w:cs="Arial"/>
          <w:b/>
          <w:caps/>
          <w:sz w:val="22"/>
        </w:rPr>
        <w:t>DISCUSSION</w:t>
      </w:r>
    </w:p>
    <w:p w14:paraId="4C907E44" w14:textId="77777777" w:rsidR="00E053D0" w:rsidRDefault="00532194" w:rsidP="00912D32">
      <w:pPr>
        <w:pStyle w:val="Body"/>
        <w:spacing w:after="0" w:line="360" w:lineRule="auto"/>
        <w:rPr>
          <w:rFonts w:ascii="Arial" w:hAnsi="Arial" w:cs="Arial"/>
        </w:rPr>
      </w:pPr>
      <w:r w:rsidRPr="00532194">
        <w:rPr>
          <w:rFonts w:ascii="Arial" w:hAnsi="Arial" w:cs="Arial"/>
        </w:rPr>
        <w:t xml:space="preserve">The comparison of the </w:t>
      </w:r>
      <w:proofErr w:type="spellStart"/>
      <w:r w:rsidRPr="00532194">
        <w:rPr>
          <w:rFonts w:ascii="Arial" w:hAnsi="Arial" w:cs="Arial"/>
        </w:rPr>
        <w:t>Ferké</w:t>
      </w:r>
      <w:proofErr w:type="spellEnd"/>
      <w:r w:rsidRPr="00532194">
        <w:rPr>
          <w:rFonts w:ascii="Arial" w:hAnsi="Arial" w:cs="Arial"/>
        </w:rPr>
        <w:t xml:space="preserve"> and </w:t>
      </w:r>
      <w:proofErr w:type="spellStart"/>
      <w:r w:rsidRPr="00532194">
        <w:rPr>
          <w:rFonts w:ascii="Arial" w:hAnsi="Arial" w:cs="Arial"/>
        </w:rPr>
        <w:t>Boundiali</w:t>
      </w:r>
      <w:proofErr w:type="spellEnd"/>
      <w:r w:rsidRPr="00532194">
        <w:rPr>
          <w:rFonts w:ascii="Arial" w:hAnsi="Arial" w:cs="Arial"/>
        </w:rPr>
        <w:t xml:space="preserve"> sites highlights </w:t>
      </w:r>
      <w:r>
        <w:rPr>
          <w:rFonts w:ascii="Arial" w:hAnsi="Arial" w:cs="Arial"/>
        </w:rPr>
        <w:t>a fundamental agronomic reality</w:t>
      </w:r>
      <w:r w:rsidRPr="00532194">
        <w:rPr>
          <w:rFonts w:ascii="Arial" w:hAnsi="Arial" w:cs="Arial"/>
        </w:rPr>
        <w:t xml:space="preserve">: the expression of genetic potential is inseparable from environmental conditions. With an average yield reduction of 55% (5.79 t/ha at </w:t>
      </w:r>
      <w:proofErr w:type="spellStart"/>
      <w:r w:rsidRPr="00532194">
        <w:rPr>
          <w:rFonts w:ascii="Arial" w:hAnsi="Arial" w:cs="Arial"/>
        </w:rPr>
        <w:t>Ferké</w:t>
      </w:r>
      <w:proofErr w:type="spellEnd"/>
      <w:r w:rsidRPr="00532194">
        <w:rPr>
          <w:rFonts w:ascii="Arial" w:hAnsi="Arial" w:cs="Arial"/>
        </w:rPr>
        <w:t xml:space="preserve"> versus 2.63 t/ha at </w:t>
      </w:r>
      <w:proofErr w:type="spellStart"/>
      <w:r w:rsidRPr="00532194">
        <w:rPr>
          <w:rFonts w:ascii="Arial" w:hAnsi="Arial" w:cs="Arial"/>
        </w:rPr>
        <w:t>Boundiali</w:t>
      </w:r>
      <w:proofErr w:type="spellEnd"/>
      <w:r w:rsidRPr="00532194">
        <w:rPr>
          <w:rFonts w:ascii="Arial" w:hAnsi="Arial" w:cs="Arial"/>
        </w:rPr>
        <w:t>), our results confirm the major impact of post-flowering water stress on maize productivity in tropical zones. This performance decline is accompanied by si</w:t>
      </w:r>
      <w:r>
        <w:rPr>
          <w:rFonts w:ascii="Arial" w:hAnsi="Arial" w:cs="Arial"/>
        </w:rPr>
        <w:t>gnificant morphological changes</w:t>
      </w:r>
      <w:r w:rsidRPr="00532194">
        <w:rPr>
          <w:rFonts w:ascii="Arial" w:hAnsi="Arial" w:cs="Arial"/>
        </w:rPr>
        <w:t xml:space="preserve">: plant height decreases by 30%, while ear length and diameter contract by 29% and 12%, respectively. These observations corroborate the work of </w:t>
      </w:r>
      <w:proofErr w:type="spellStart"/>
      <w:r w:rsidRPr="00532194">
        <w:rPr>
          <w:rFonts w:ascii="Arial" w:hAnsi="Arial" w:cs="Arial"/>
        </w:rPr>
        <w:t>Asseng</w:t>
      </w:r>
      <w:proofErr w:type="spellEnd"/>
      <w:r w:rsidRPr="00532194">
        <w:rPr>
          <w:rFonts w:ascii="Arial" w:hAnsi="Arial" w:cs="Arial"/>
        </w:rPr>
        <w:t xml:space="preserve"> et al. (2021), who demonstrated that water deficit during the grain-filling phase profoundly alters the translocation of assimilates to reproductive organs. The reduction in ear insertion height (EIH), from 93.1 cm at </w:t>
      </w:r>
      <w:proofErr w:type="spellStart"/>
      <w:r w:rsidRPr="00532194">
        <w:rPr>
          <w:rFonts w:ascii="Arial" w:hAnsi="Arial" w:cs="Arial"/>
        </w:rPr>
        <w:t>Ferké</w:t>
      </w:r>
      <w:proofErr w:type="spellEnd"/>
      <w:r w:rsidRPr="00532194">
        <w:rPr>
          <w:rFonts w:ascii="Arial" w:hAnsi="Arial" w:cs="Arial"/>
        </w:rPr>
        <w:t xml:space="preserve"> to 70.1 cm at </w:t>
      </w:r>
      <w:proofErr w:type="spellStart"/>
      <w:r w:rsidRPr="00532194">
        <w:rPr>
          <w:rFonts w:ascii="Arial" w:hAnsi="Arial" w:cs="Arial"/>
        </w:rPr>
        <w:t>Boundiali</w:t>
      </w:r>
      <w:proofErr w:type="spellEnd"/>
      <w:r w:rsidRPr="00532194">
        <w:rPr>
          <w:rFonts w:ascii="Arial" w:hAnsi="Arial" w:cs="Arial"/>
        </w:rPr>
        <w:t xml:space="preserve">, reflects an inhibition of internode elongation characteristic of early stress. The combined analysis of variance reveals the predominance of the environmental effect (F = 42.15; P &lt; 0.0001), confirming that pedo-climatic conditions constitute the primary determinant of productivity. However, the highly significant variety effect (P = 0.0014) attests to exploitable genetic diversity, while the Zone × Variety interaction (P = 0.0648), although not reaching the conventional significance threshold, suggests differential genotypic responses according to the environment. This interaction is most strikingly illustrated by the contrasting </w:t>
      </w:r>
      <w:proofErr w:type="spellStart"/>
      <w:r w:rsidRPr="00532194">
        <w:rPr>
          <w:rFonts w:ascii="Arial" w:hAnsi="Arial" w:cs="Arial"/>
        </w:rPr>
        <w:t>behaviour</w:t>
      </w:r>
      <w:proofErr w:type="spellEnd"/>
      <w:r w:rsidRPr="00532194">
        <w:rPr>
          <w:rFonts w:ascii="Arial" w:hAnsi="Arial" w:cs="Arial"/>
        </w:rPr>
        <w:t xml:space="preserve"> of the hybrids. M1627-8 embodies the 'elite' type adapted to optimal </w:t>
      </w:r>
      <w:proofErr w:type="gramStart"/>
      <w:r w:rsidRPr="00532194">
        <w:rPr>
          <w:rFonts w:ascii="Arial" w:hAnsi="Arial" w:cs="Arial"/>
        </w:rPr>
        <w:t>conditions :</w:t>
      </w:r>
      <w:proofErr w:type="gramEnd"/>
      <w:r w:rsidRPr="00532194">
        <w:rPr>
          <w:rFonts w:ascii="Arial" w:hAnsi="Arial" w:cs="Arial"/>
        </w:rPr>
        <w:t xml:space="preserve"> with 8.01 t/ha at </w:t>
      </w:r>
      <w:proofErr w:type="spellStart"/>
      <w:r w:rsidRPr="00532194">
        <w:rPr>
          <w:rFonts w:ascii="Arial" w:hAnsi="Arial" w:cs="Arial"/>
        </w:rPr>
        <w:t>Ferké</w:t>
      </w:r>
      <w:proofErr w:type="spellEnd"/>
      <w:r w:rsidRPr="00532194">
        <w:rPr>
          <w:rFonts w:ascii="Arial" w:hAnsi="Arial" w:cs="Arial"/>
        </w:rPr>
        <w:t xml:space="preserve">, it dominates the ranking in </w:t>
      </w:r>
      <w:proofErr w:type="spellStart"/>
      <w:r w:rsidRPr="00532194">
        <w:rPr>
          <w:rFonts w:ascii="Arial" w:hAnsi="Arial" w:cs="Arial"/>
        </w:rPr>
        <w:t>favourable</w:t>
      </w:r>
      <w:proofErr w:type="spellEnd"/>
      <w:r w:rsidRPr="00532194">
        <w:rPr>
          <w:rFonts w:ascii="Arial" w:hAnsi="Arial" w:cs="Arial"/>
        </w:rPr>
        <w:t xml:space="preserve"> environments, but its coefficient of variation reaches 183% at </w:t>
      </w:r>
      <w:proofErr w:type="spellStart"/>
      <w:r w:rsidRPr="00532194">
        <w:rPr>
          <w:rFonts w:ascii="Arial" w:hAnsi="Arial" w:cs="Arial"/>
        </w:rPr>
        <w:t>Boundiali</w:t>
      </w:r>
      <w:proofErr w:type="spellEnd"/>
      <w:r w:rsidRPr="00532194">
        <w:rPr>
          <w:rFonts w:ascii="Arial" w:hAnsi="Arial" w:cs="Arial"/>
        </w:rPr>
        <w:t xml:space="preserve">, revealing marked vulnerability to water stress. This result aligns with the observations of Zhang et al. (2023) on the sensitivity of high-potential varieties to abiotic constraints. In contrast, EWH-118 distinguishes itself by its performance under stress conditions (4.35 t/ha at </w:t>
      </w:r>
      <w:proofErr w:type="spellStart"/>
      <w:r w:rsidRPr="00532194">
        <w:rPr>
          <w:rFonts w:ascii="Arial" w:hAnsi="Arial" w:cs="Arial"/>
        </w:rPr>
        <w:t>Boundiali</w:t>
      </w:r>
      <w:proofErr w:type="spellEnd"/>
      <w:r w:rsidRPr="00532194">
        <w:rPr>
          <w:rFonts w:ascii="Arial" w:hAnsi="Arial" w:cs="Arial"/>
        </w:rPr>
        <w:t>), representing the highest mean recorded at this site. This relative tolerance could be attributed to a reduced anthesis-</w:t>
      </w:r>
      <w:proofErr w:type="spellStart"/>
      <w:r w:rsidRPr="00532194">
        <w:rPr>
          <w:rFonts w:ascii="Arial" w:hAnsi="Arial" w:cs="Arial"/>
        </w:rPr>
        <w:t>silking</w:t>
      </w:r>
      <w:proofErr w:type="spellEnd"/>
      <w:r w:rsidRPr="00532194">
        <w:rPr>
          <w:rFonts w:ascii="Arial" w:hAnsi="Arial" w:cs="Arial"/>
        </w:rPr>
        <w:t xml:space="preserve"> interval (ASI), in line with the work of </w:t>
      </w:r>
      <w:proofErr w:type="spellStart"/>
      <w:r w:rsidRPr="00532194">
        <w:rPr>
          <w:rFonts w:ascii="Arial" w:hAnsi="Arial" w:cs="Arial"/>
        </w:rPr>
        <w:t>Teboh</w:t>
      </w:r>
      <w:proofErr w:type="spellEnd"/>
      <w:r w:rsidRPr="00532194">
        <w:rPr>
          <w:rFonts w:ascii="Arial" w:hAnsi="Arial" w:cs="Arial"/>
        </w:rPr>
        <w:t xml:space="preserve"> et al. (2020), who identify this parameter as a reliable indicator of the ability to maintain effective pollination under water deficit. The case of A1909-9 warrants particular attention. With a moderate yield at </w:t>
      </w:r>
      <w:proofErr w:type="spellStart"/>
      <w:r w:rsidRPr="00532194">
        <w:rPr>
          <w:rFonts w:ascii="Arial" w:hAnsi="Arial" w:cs="Arial"/>
        </w:rPr>
        <w:t>Ferké</w:t>
      </w:r>
      <w:proofErr w:type="spellEnd"/>
      <w:r w:rsidRPr="00532194">
        <w:rPr>
          <w:rFonts w:ascii="Arial" w:hAnsi="Arial" w:cs="Arial"/>
        </w:rPr>
        <w:t xml:space="preserve"> (4.85 t/ha) but remarkable stability (CV = 65.7%) and </w:t>
      </w:r>
      <w:proofErr w:type="spellStart"/>
      <w:r w:rsidRPr="00532194">
        <w:rPr>
          <w:rFonts w:ascii="Arial" w:hAnsi="Arial" w:cs="Arial"/>
        </w:rPr>
        <w:t>honourable</w:t>
      </w:r>
      <w:proofErr w:type="spellEnd"/>
      <w:r w:rsidRPr="00532194">
        <w:rPr>
          <w:rFonts w:ascii="Arial" w:hAnsi="Arial" w:cs="Arial"/>
        </w:rPr>
        <w:t xml:space="preserve"> performance at </w:t>
      </w:r>
      <w:proofErr w:type="spellStart"/>
      <w:r w:rsidRPr="00532194">
        <w:rPr>
          <w:rFonts w:ascii="Arial" w:hAnsi="Arial" w:cs="Arial"/>
        </w:rPr>
        <w:t>Boundiali</w:t>
      </w:r>
      <w:proofErr w:type="spellEnd"/>
      <w:r w:rsidRPr="00532194">
        <w:rPr>
          <w:rFonts w:ascii="Arial" w:hAnsi="Arial" w:cs="Arial"/>
        </w:rPr>
        <w:t xml:space="preserve"> (2.85 t/ha), this hybrid presents the most balanced adaptability profile. Its central position on the GGE biplot mathematically confirms this stability, in accordance with Yan's (2019) model for identifying ideal genotypes. The local checks FMB and EV 8728 display low but consistent yields across both sites (2.95 and 3.72 t/ha at </w:t>
      </w:r>
      <w:proofErr w:type="spellStart"/>
      <w:r w:rsidRPr="00532194">
        <w:rPr>
          <w:rFonts w:ascii="Arial" w:hAnsi="Arial" w:cs="Arial"/>
        </w:rPr>
        <w:t>Ferké</w:t>
      </w:r>
      <w:proofErr w:type="spellEnd"/>
      <w:r w:rsidRPr="00532194">
        <w:rPr>
          <w:rFonts w:ascii="Arial" w:hAnsi="Arial" w:cs="Arial"/>
        </w:rPr>
        <w:t xml:space="preserve">; 2.13 and 2.51 t/ha at </w:t>
      </w:r>
      <w:proofErr w:type="spellStart"/>
      <w:r w:rsidRPr="00532194">
        <w:rPr>
          <w:rFonts w:ascii="Arial" w:hAnsi="Arial" w:cs="Arial"/>
        </w:rPr>
        <w:t>Boundiali</w:t>
      </w:r>
      <w:proofErr w:type="spellEnd"/>
      <w:r w:rsidRPr="00532194">
        <w:rPr>
          <w:rFonts w:ascii="Arial" w:hAnsi="Arial" w:cs="Arial"/>
        </w:rPr>
        <w:t xml:space="preserve">, respectively). This stability, characteristic of traditional </w:t>
      </w:r>
      <w:r w:rsidRPr="00532194">
        <w:rPr>
          <w:rFonts w:ascii="Arial" w:hAnsi="Arial" w:cs="Arial"/>
        </w:rPr>
        <w:lastRenderedPageBreak/>
        <w:t>varieties, reflects adaptation to low-input cropping systems rather than true tolerance to water stress. Ultimately, these results underscore the need for a differentiated approach a</w:t>
      </w:r>
      <w:r>
        <w:rPr>
          <w:rFonts w:ascii="Arial" w:hAnsi="Arial" w:cs="Arial"/>
        </w:rPr>
        <w:t>ccording to breeding objectives</w:t>
      </w:r>
      <w:r w:rsidRPr="00532194">
        <w:rPr>
          <w:rFonts w:ascii="Arial" w:hAnsi="Arial" w:cs="Arial"/>
        </w:rPr>
        <w:t>: for areas with secure rainfall, exploiting the potential of M1627-</w:t>
      </w:r>
      <w:r>
        <w:rPr>
          <w:rFonts w:ascii="Arial" w:hAnsi="Arial" w:cs="Arial"/>
        </w:rPr>
        <w:t>8 or A2106-19 appears pertinent</w:t>
      </w:r>
      <w:r w:rsidRPr="00532194">
        <w:rPr>
          <w:rFonts w:ascii="Arial" w:hAnsi="Arial" w:cs="Arial"/>
        </w:rPr>
        <w:t>; for environments subject to climatic variability, deploying stable hybrids like A1909-9 or tolerant ones like EWH-118 constitutes a more appropriate strategy.</w:t>
      </w:r>
    </w:p>
    <w:p w14:paraId="5E48E273" w14:textId="77777777" w:rsidR="00790ADA" w:rsidRPr="00FB3A86" w:rsidRDefault="00790ADA" w:rsidP="00441B6F">
      <w:pPr>
        <w:pStyle w:val="Body"/>
        <w:spacing w:after="0"/>
        <w:rPr>
          <w:rFonts w:ascii="Arial" w:hAnsi="Arial" w:cs="Arial"/>
        </w:rPr>
      </w:pPr>
    </w:p>
    <w:p w14:paraId="2D243743" w14:textId="77777777" w:rsidR="00790ADA" w:rsidRPr="00FB3A86" w:rsidRDefault="00000F8F" w:rsidP="00EB1919">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6168C4E1" w14:textId="77777777" w:rsidR="00532194" w:rsidRPr="00532194" w:rsidRDefault="00532194" w:rsidP="00912D32">
      <w:pPr>
        <w:pStyle w:val="Body"/>
        <w:spacing w:line="360" w:lineRule="auto"/>
        <w:rPr>
          <w:rFonts w:ascii="Arial" w:hAnsi="Arial" w:cs="Arial"/>
        </w:rPr>
      </w:pPr>
      <w:r w:rsidRPr="00532194">
        <w:rPr>
          <w:rFonts w:ascii="Arial" w:hAnsi="Arial" w:cs="Arial"/>
        </w:rPr>
        <w:t xml:space="preserve">The ambition of this study was to shed light on the resilience capacity of new maize hybrids in the face of agroecological contrasts in Côte d'Ivoire. At the conclusion of this analysis, it is clear that the duality between </w:t>
      </w:r>
      <w:proofErr w:type="spellStart"/>
      <w:r w:rsidRPr="00532194">
        <w:rPr>
          <w:rFonts w:ascii="Arial" w:hAnsi="Arial" w:cs="Arial"/>
        </w:rPr>
        <w:t>Ferké</w:t>
      </w:r>
      <w:proofErr w:type="spellEnd"/>
      <w:r w:rsidRPr="00532194">
        <w:rPr>
          <w:rFonts w:ascii="Arial" w:hAnsi="Arial" w:cs="Arial"/>
        </w:rPr>
        <w:t xml:space="preserve"> and </w:t>
      </w:r>
      <w:proofErr w:type="spellStart"/>
      <w:r w:rsidRPr="00532194">
        <w:rPr>
          <w:rFonts w:ascii="Arial" w:hAnsi="Arial" w:cs="Arial"/>
        </w:rPr>
        <w:t>Boundiali</w:t>
      </w:r>
      <w:proofErr w:type="spellEnd"/>
      <w:r w:rsidRPr="00532194">
        <w:rPr>
          <w:rFonts w:ascii="Arial" w:hAnsi="Arial" w:cs="Arial"/>
        </w:rPr>
        <w:t xml:space="preserve"> is not merely a geographical difference but constitutes a true physiological survival test for the plant material. The analysis of variance revealed two distinct biological realities: while the optimal conditions at </w:t>
      </w:r>
      <w:proofErr w:type="spellStart"/>
      <w:r w:rsidRPr="00532194">
        <w:rPr>
          <w:rFonts w:ascii="Arial" w:hAnsi="Arial" w:cs="Arial"/>
        </w:rPr>
        <w:t>Ferké</w:t>
      </w:r>
      <w:proofErr w:type="spellEnd"/>
      <w:r w:rsidRPr="00532194">
        <w:rPr>
          <w:rFonts w:ascii="Arial" w:hAnsi="Arial" w:cs="Arial"/>
        </w:rPr>
        <w:t xml:space="preserve"> allow for a brilliant expression of genetic potential, the severe water stress at </w:t>
      </w:r>
      <w:proofErr w:type="spellStart"/>
      <w:r w:rsidRPr="00532194">
        <w:rPr>
          <w:rFonts w:ascii="Arial" w:hAnsi="Arial" w:cs="Arial"/>
        </w:rPr>
        <w:t>Boundiali</w:t>
      </w:r>
      <w:proofErr w:type="spellEnd"/>
      <w:r w:rsidRPr="00532194">
        <w:rPr>
          <w:rFonts w:ascii="Arial" w:hAnsi="Arial" w:cs="Arial"/>
        </w:rPr>
        <w:t xml:space="preserve"> acts as a powerful </w:t>
      </w:r>
      <w:proofErr w:type="spellStart"/>
      <w:r w:rsidRPr="00532194">
        <w:rPr>
          <w:rFonts w:ascii="Arial" w:hAnsi="Arial" w:cs="Arial"/>
        </w:rPr>
        <w:t>leveller</w:t>
      </w:r>
      <w:proofErr w:type="spellEnd"/>
      <w:r w:rsidRPr="00532194">
        <w:rPr>
          <w:rFonts w:ascii="Arial" w:hAnsi="Arial" w:cs="Arial"/>
        </w:rPr>
        <w:t xml:space="preserve">. In this constraining environment, the classical hierarchy fades, and yield gaps narrow, masking differences between varieties in </w:t>
      </w:r>
      <w:proofErr w:type="spellStart"/>
      <w:r w:rsidRPr="00532194">
        <w:rPr>
          <w:rFonts w:ascii="Arial" w:hAnsi="Arial" w:cs="Arial"/>
        </w:rPr>
        <w:t>favour</w:t>
      </w:r>
      <w:proofErr w:type="spellEnd"/>
      <w:r w:rsidRPr="00532194">
        <w:rPr>
          <w:rFonts w:ascii="Arial" w:hAnsi="Arial" w:cs="Arial"/>
        </w:rPr>
        <w:t xml:space="preserve"> of a common struggle to maintain vital functions. Yet, amid this levelling, certain genotypes have managed to stand out. The hybrid EWH-118 has established itself as the champion of raw performance in hostile environments, securing the highest yield despite the </w:t>
      </w:r>
      <w:proofErr w:type="spellStart"/>
      <w:r w:rsidRPr="00532194">
        <w:rPr>
          <w:rFonts w:ascii="Arial" w:hAnsi="Arial" w:cs="Arial"/>
        </w:rPr>
        <w:t>rigours</w:t>
      </w:r>
      <w:proofErr w:type="spellEnd"/>
      <w:r w:rsidRPr="00532194">
        <w:rPr>
          <w:rFonts w:ascii="Arial" w:hAnsi="Arial" w:cs="Arial"/>
        </w:rPr>
        <w:t xml:space="preserve"> of the climate. Concurrently, the GGE biplot model has highlighted the figure of the 'ideal hybrid' through A1909-9. Although more discreet in </w:t>
      </w:r>
      <w:proofErr w:type="spellStart"/>
      <w:r w:rsidRPr="00532194">
        <w:rPr>
          <w:rFonts w:ascii="Arial" w:hAnsi="Arial" w:cs="Arial"/>
        </w:rPr>
        <w:t>favourable</w:t>
      </w:r>
      <w:proofErr w:type="spellEnd"/>
      <w:r w:rsidRPr="00532194">
        <w:rPr>
          <w:rFonts w:ascii="Arial" w:hAnsi="Arial" w:cs="Arial"/>
        </w:rPr>
        <w:t xml:space="preserve"> zones, the latter has demonstrated exemplary stability, emerging as the most reliable bulwark against climatic uncertainty.</w:t>
      </w:r>
    </w:p>
    <w:p w14:paraId="0B55C6C8" w14:textId="77777777" w:rsidR="00790ADA" w:rsidRPr="00FB3A86" w:rsidRDefault="00532194" w:rsidP="00594824">
      <w:pPr>
        <w:pStyle w:val="Body"/>
        <w:spacing w:line="360" w:lineRule="auto"/>
        <w:rPr>
          <w:rFonts w:ascii="Arial" w:hAnsi="Arial" w:cs="Arial"/>
        </w:rPr>
      </w:pPr>
      <w:r w:rsidRPr="00532194">
        <w:rPr>
          <w:rFonts w:ascii="Arial" w:hAnsi="Arial" w:cs="Arial"/>
        </w:rPr>
        <w:t xml:space="preserve">In conclusion, food security in the </w:t>
      </w:r>
      <w:proofErr w:type="spellStart"/>
      <w:r w:rsidRPr="00532194">
        <w:rPr>
          <w:rFonts w:ascii="Arial" w:hAnsi="Arial" w:cs="Arial"/>
        </w:rPr>
        <w:t>Sudanian</w:t>
      </w:r>
      <w:proofErr w:type="spellEnd"/>
      <w:r w:rsidRPr="00532194">
        <w:rPr>
          <w:rFonts w:ascii="Arial" w:hAnsi="Arial" w:cs="Arial"/>
        </w:rPr>
        <w:t xml:space="preserve"> savanna zone cannot dispense with rigorous selection based on stability. For areas with secure rainfall, exploiting the high potential of A2106-19 remains a viable strategy. However, from a resilience perspective in the face of climate change, the registration of EWH-118 and the dissemination of A1909-9 appear as the recommendations most likely to sustainably secure the income of smallholder farmers. The future of breeding must now rely on these stability indicators, such as the anthesis-</w:t>
      </w:r>
      <w:proofErr w:type="spellStart"/>
      <w:r w:rsidRPr="00532194">
        <w:rPr>
          <w:rFonts w:ascii="Arial" w:hAnsi="Arial" w:cs="Arial"/>
        </w:rPr>
        <w:t>silking</w:t>
      </w:r>
      <w:proofErr w:type="spellEnd"/>
      <w:r w:rsidRPr="00532194">
        <w:rPr>
          <w:rFonts w:ascii="Arial" w:hAnsi="Arial" w:cs="Arial"/>
        </w:rPr>
        <w:t xml:space="preserve"> interval, to ensure that genetic progress benefits the most vulnerable environments.</w:t>
      </w:r>
    </w:p>
    <w:p w14:paraId="74B78E5E" w14:textId="77777777" w:rsidR="00B01FCD" w:rsidRDefault="00B01FCD" w:rsidP="00EB1919">
      <w:pPr>
        <w:pStyle w:val="ReferHead"/>
        <w:jc w:val="both"/>
        <w:rPr>
          <w:rFonts w:ascii="Arial" w:hAnsi="Arial" w:cs="Arial"/>
        </w:rPr>
      </w:pPr>
      <w:r w:rsidRPr="00FB3A86">
        <w:rPr>
          <w:rFonts w:ascii="Arial" w:hAnsi="Arial" w:cs="Arial"/>
        </w:rPr>
        <w:t>References</w:t>
      </w:r>
    </w:p>
    <w:p w14:paraId="40DD9054" w14:textId="77777777" w:rsidR="00532194" w:rsidRDefault="00532194" w:rsidP="00594824">
      <w:pPr>
        <w:pStyle w:val="Body"/>
        <w:spacing w:after="0" w:line="360" w:lineRule="auto"/>
        <w:ind w:hanging="284"/>
      </w:pPr>
      <w:r>
        <w:t xml:space="preserve">Adebayo, M.A., </w:t>
      </w:r>
      <w:proofErr w:type="spellStart"/>
      <w:r>
        <w:t>Menkir</w:t>
      </w:r>
      <w:proofErr w:type="spellEnd"/>
      <w:r>
        <w:t xml:space="preserve">, A., </w:t>
      </w:r>
      <w:proofErr w:type="spellStart"/>
      <w:r>
        <w:t>Blay</w:t>
      </w:r>
      <w:proofErr w:type="spellEnd"/>
      <w:r>
        <w:t xml:space="preserve">, E., </w:t>
      </w:r>
      <w:proofErr w:type="spellStart"/>
      <w:r>
        <w:t>Gracen</w:t>
      </w:r>
      <w:proofErr w:type="spellEnd"/>
      <w:r>
        <w:t>, V., &amp; Danquah, E. (2021). Genetic analysis of drought tolerance in maize (</w:t>
      </w:r>
      <w:proofErr w:type="spellStart"/>
      <w:r>
        <w:t>Zea</w:t>
      </w:r>
      <w:proofErr w:type="spellEnd"/>
      <w:r>
        <w:t xml:space="preserve"> mays L.) using GGE biplot and stability indices. Journal of Crop Improvement, 35(3), 321-342.</w:t>
      </w:r>
    </w:p>
    <w:p w14:paraId="0EF6BAD0" w14:textId="77777777" w:rsidR="00532194" w:rsidRDefault="00532194" w:rsidP="00594824">
      <w:pPr>
        <w:pStyle w:val="Body"/>
        <w:spacing w:after="0" w:line="360" w:lineRule="auto"/>
        <w:ind w:hanging="284"/>
      </w:pPr>
      <w:proofErr w:type="spellStart"/>
      <w:r>
        <w:t>Asseng</w:t>
      </w:r>
      <w:proofErr w:type="spellEnd"/>
      <w:r>
        <w:t xml:space="preserve">, S., </w:t>
      </w:r>
      <w:proofErr w:type="spellStart"/>
      <w:r>
        <w:t>Spänkuch</w:t>
      </w:r>
      <w:proofErr w:type="spellEnd"/>
      <w:r>
        <w:t xml:space="preserve">, D., Hernandez-Ochoa, I.M., &amp; </w:t>
      </w:r>
      <w:proofErr w:type="spellStart"/>
      <w:r>
        <w:t>Laporta</w:t>
      </w:r>
      <w:proofErr w:type="spellEnd"/>
      <w:r>
        <w:t>, J. (2021). The upper temperature thresholds of life. The Lancet Planetary Health, 5(6), e378-e385.</w:t>
      </w:r>
    </w:p>
    <w:p w14:paraId="2A697E4D" w14:textId="77777777" w:rsidR="00532194" w:rsidRDefault="00532194" w:rsidP="00594824">
      <w:pPr>
        <w:pStyle w:val="Body"/>
        <w:spacing w:after="0" w:line="360" w:lineRule="auto"/>
        <w:ind w:hanging="284"/>
      </w:pPr>
      <w:r>
        <w:lastRenderedPageBreak/>
        <w:t>Badu-</w:t>
      </w:r>
      <w:proofErr w:type="spellStart"/>
      <w:r>
        <w:t>Apraku</w:t>
      </w:r>
      <w:proofErr w:type="spellEnd"/>
      <w:r>
        <w:t xml:space="preserve">, B., &amp; </w:t>
      </w:r>
      <w:proofErr w:type="spellStart"/>
      <w:r>
        <w:t>Fakorede</w:t>
      </w:r>
      <w:proofErr w:type="spellEnd"/>
      <w:r>
        <w:t>, M.A.B. (2020). Advances in Genetic Enhancement of Early and Extra-Early Maize for Sub-Saharan Africa. Springer International Publishing.</w:t>
      </w:r>
    </w:p>
    <w:p w14:paraId="2C1F276A" w14:textId="77777777" w:rsidR="00532194" w:rsidRDefault="00532194" w:rsidP="00594824">
      <w:pPr>
        <w:pStyle w:val="Body"/>
        <w:spacing w:after="0" w:line="360" w:lineRule="auto"/>
        <w:ind w:hanging="284"/>
      </w:pPr>
      <w:r>
        <w:t xml:space="preserve">Cairns, J.E., Chamberlin, J., </w:t>
      </w:r>
      <w:proofErr w:type="spellStart"/>
      <w:r>
        <w:t>Rutsaert</w:t>
      </w:r>
      <w:proofErr w:type="spellEnd"/>
      <w:r>
        <w:t xml:space="preserve">, P., Voss, R.C., </w:t>
      </w:r>
      <w:proofErr w:type="spellStart"/>
      <w:r>
        <w:t>Ndhlela</w:t>
      </w:r>
      <w:proofErr w:type="spellEnd"/>
      <w:r>
        <w:t xml:space="preserve">, T., &amp; </w:t>
      </w:r>
      <w:proofErr w:type="spellStart"/>
      <w:r>
        <w:t>Magorokosho</w:t>
      </w:r>
      <w:proofErr w:type="spellEnd"/>
      <w:r>
        <w:t>, C. (2022). Challenges for sustainable maize production in drought-prone environments of sub-Saharan Africa. Field Crops Research, 285, 108593.</w:t>
      </w:r>
    </w:p>
    <w:p w14:paraId="4237E65F" w14:textId="77777777" w:rsidR="00532194" w:rsidRDefault="00532194" w:rsidP="00594824">
      <w:pPr>
        <w:pStyle w:val="Body"/>
        <w:spacing w:after="0" w:line="360" w:lineRule="auto"/>
        <w:ind w:hanging="284"/>
      </w:pPr>
      <w:r>
        <w:t xml:space="preserve">Diouf, M., Kane, A., &amp; </w:t>
      </w:r>
      <w:proofErr w:type="spellStart"/>
      <w:r>
        <w:t>Cissé</w:t>
      </w:r>
      <w:proofErr w:type="spellEnd"/>
      <w:r>
        <w:t xml:space="preserve">, N. (2020). </w:t>
      </w:r>
      <w:proofErr w:type="spellStart"/>
      <w:r>
        <w:t>Caractérisation</w:t>
      </w:r>
      <w:proofErr w:type="spellEnd"/>
      <w:r>
        <w:t xml:space="preserve"> </w:t>
      </w:r>
      <w:proofErr w:type="spellStart"/>
      <w:r>
        <w:t>agromorphologique</w:t>
      </w:r>
      <w:proofErr w:type="spellEnd"/>
      <w:r>
        <w:t xml:space="preserve"> et </w:t>
      </w:r>
      <w:proofErr w:type="spellStart"/>
      <w:r>
        <w:t>évaluation</w:t>
      </w:r>
      <w:proofErr w:type="spellEnd"/>
      <w:r>
        <w:t xml:space="preserve"> de la </w:t>
      </w:r>
      <w:proofErr w:type="spellStart"/>
      <w:r>
        <w:t>tolérance</w:t>
      </w:r>
      <w:proofErr w:type="spellEnd"/>
      <w:r>
        <w:t xml:space="preserve"> à la </w:t>
      </w:r>
      <w:proofErr w:type="spellStart"/>
      <w:r>
        <w:t>sécheresse</w:t>
      </w:r>
      <w:proofErr w:type="spellEnd"/>
      <w:r>
        <w:t xml:space="preserve"> de </w:t>
      </w:r>
      <w:proofErr w:type="spellStart"/>
      <w:r>
        <w:t>variétés</w:t>
      </w:r>
      <w:proofErr w:type="spellEnd"/>
      <w:r>
        <w:t xml:space="preserve"> locales de </w:t>
      </w:r>
      <w:proofErr w:type="spellStart"/>
      <w:r>
        <w:t>maïs</w:t>
      </w:r>
      <w:proofErr w:type="spellEnd"/>
      <w:r>
        <w:t xml:space="preserve"> au </w:t>
      </w:r>
      <w:proofErr w:type="spellStart"/>
      <w:r>
        <w:t>Sénégal</w:t>
      </w:r>
      <w:proofErr w:type="spellEnd"/>
      <w:r>
        <w:t>. Afrique Science, 16(2), 45-59.</w:t>
      </w:r>
    </w:p>
    <w:p w14:paraId="758DB4AF" w14:textId="77777777" w:rsidR="00532194" w:rsidRDefault="00532194" w:rsidP="00594824">
      <w:pPr>
        <w:pStyle w:val="Body"/>
        <w:spacing w:after="0" w:line="360" w:lineRule="auto"/>
        <w:ind w:hanging="284"/>
      </w:pPr>
      <w:proofErr w:type="spellStart"/>
      <w:r>
        <w:t>Eze</w:t>
      </w:r>
      <w:proofErr w:type="spellEnd"/>
      <w:r>
        <w:t xml:space="preserve">, C.E., </w:t>
      </w:r>
      <w:proofErr w:type="spellStart"/>
      <w:r>
        <w:t>Akinwale</w:t>
      </w:r>
      <w:proofErr w:type="spellEnd"/>
      <w:r>
        <w:t>, R.O., &amp; Badu-</w:t>
      </w:r>
      <w:proofErr w:type="spellStart"/>
      <w:r>
        <w:t>Apraku</w:t>
      </w:r>
      <w:proofErr w:type="spellEnd"/>
      <w:r>
        <w:t>, B. (2023). Stability analysis of maize genotypes under multiple environments using AMMI and GGE biplot models. Journal of Agricultural Science, 161(1), 78-92.</w:t>
      </w:r>
    </w:p>
    <w:p w14:paraId="5859862C" w14:textId="77777777" w:rsidR="00532194" w:rsidRDefault="00532194" w:rsidP="00594824">
      <w:pPr>
        <w:pStyle w:val="Body"/>
        <w:spacing w:after="0" w:line="360" w:lineRule="auto"/>
        <w:ind w:hanging="284"/>
      </w:pPr>
      <w:proofErr w:type="spellStart"/>
      <w:r>
        <w:t>Kouakou</w:t>
      </w:r>
      <w:proofErr w:type="spellEnd"/>
      <w:r>
        <w:t xml:space="preserve">, C.K., Yao, N.R., &amp; </w:t>
      </w:r>
      <w:proofErr w:type="spellStart"/>
      <w:r>
        <w:t>Soro</w:t>
      </w:r>
      <w:proofErr w:type="spellEnd"/>
      <w:r>
        <w:t xml:space="preserve">, G.E. (2019). </w:t>
      </w:r>
      <w:proofErr w:type="spellStart"/>
      <w:r>
        <w:t>Analyse</w:t>
      </w:r>
      <w:proofErr w:type="spellEnd"/>
      <w:r>
        <w:t xml:space="preserve"> de la </w:t>
      </w:r>
      <w:proofErr w:type="spellStart"/>
      <w:r>
        <w:t>variabilité</w:t>
      </w:r>
      <w:proofErr w:type="spellEnd"/>
      <w:r>
        <w:t xml:space="preserve"> </w:t>
      </w:r>
      <w:proofErr w:type="spellStart"/>
      <w:r>
        <w:t>pluviométrique</w:t>
      </w:r>
      <w:proofErr w:type="spellEnd"/>
      <w:r>
        <w:t xml:space="preserve"> et de </w:t>
      </w:r>
      <w:proofErr w:type="spellStart"/>
      <w:r>
        <w:t>ses</w:t>
      </w:r>
      <w:proofErr w:type="spellEnd"/>
      <w:r>
        <w:t xml:space="preserve"> impacts sur les </w:t>
      </w:r>
      <w:proofErr w:type="spellStart"/>
      <w:r>
        <w:t>systèmes</w:t>
      </w:r>
      <w:proofErr w:type="spellEnd"/>
      <w:r>
        <w:t xml:space="preserve"> de production </w:t>
      </w:r>
      <w:proofErr w:type="spellStart"/>
      <w:r>
        <w:t>agricole</w:t>
      </w:r>
      <w:proofErr w:type="spellEnd"/>
      <w:r>
        <w:t xml:space="preserve"> </w:t>
      </w:r>
      <w:proofErr w:type="spellStart"/>
      <w:r>
        <w:t>en</w:t>
      </w:r>
      <w:proofErr w:type="spellEnd"/>
      <w:r>
        <w:t xml:space="preserve"> zone </w:t>
      </w:r>
      <w:proofErr w:type="spellStart"/>
      <w:r>
        <w:t>soudanaise</w:t>
      </w:r>
      <w:proofErr w:type="spellEnd"/>
      <w:r>
        <w:t xml:space="preserve"> de Côte d'Ivoire. </w:t>
      </w:r>
      <w:proofErr w:type="spellStart"/>
      <w:r>
        <w:t>Sécheresse</w:t>
      </w:r>
      <w:proofErr w:type="spellEnd"/>
      <w:r>
        <w:t>, 22(3), 149-158.</w:t>
      </w:r>
    </w:p>
    <w:p w14:paraId="7D7D35B3" w14:textId="77777777" w:rsidR="00532194" w:rsidRDefault="00532194" w:rsidP="00594824">
      <w:pPr>
        <w:pStyle w:val="Body"/>
        <w:spacing w:after="0" w:line="360" w:lineRule="auto"/>
        <w:ind w:hanging="284"/>
      </w:pPr>
      <w:proofErr w:type="spellStart"/>
      <w:r>
        <w:t>Magorokosho</w:t>
      </w:r>
      <w:proofErr w:type="spellEnd"/>
      <w:r>
        <w:t xml:space="preserve">, C., Vivek, B.S., &amp; </w:t>
      </w:r>
      <w:proofErr w:type="spellStart"/>
      <w:r>
        <w:t>Macrobert</w:t>
      </w:r>
      <w:proofErr w:type="spellEnd"/>
      <w:r>
        <w:t>, J. (2021). Genotype × environment interaction and yield stability in maize hybrids tested in multiple locations of southern Africa. Crop Science, 61(4), 2456-2472.</w:t>
      </w:r>
    </w:p>
    <w:p w14:paraId="47820D90" w14:textId="77777777" w:rsidR="00532194" w:rsidRDefault="00532194" w:rsidP="00594824">
      <w:pPr>
        <w:pStyle w:val="Body"/>
        <w:spacing w:after="0" w:line="360" w:lineRule="auto"/>
        <w:ind w:hanging="284"/>
      </w:pPr>
      <w:proofErr w:type="spellStart"/>
      <w:r>
        <w:t>Ndjiondjop</w:t>
      </w:r>
      <w:proofErr w:type="spellEnd"/>
      <w:r>
        <w:t xml:space="preserve">, M.N., </w:t>
      </w:r>
      <w:proofErr w:type="spellStart"/>
      <w:r>
        <w:t>Wambugu</w:t>
      </w:r>
      <w:proofErr w:type="spellEnd"/>
      <w:r>
        <w:t xml:space="preserve">, P., &amp; </w:t>
      </w:r>
      <w:proofErr w:type="spellStart"/>
      <w:r>
        <w:t>Sangaré</w:t>
      </w:r>
      <w:proofErr w:type="spellEnd"/>
      <w:r>
        <w:t xml:space="preserve">, J.R. (2022). Impact du </w:t>
      </w:r>
      <w:proofErr w:type="spellStart"/>
      <w:r>
        <w:t>changement</w:t>
      </w:r>
      <w:proofErr w:type="spellEnd"/>
      <w:r>
        <w:t xml:space="preserve"> </w:t>
      </w:r>
      <w:proofErr w:type="spellStart"/>
      <w:r>
        <w:t>climatique</w:t>
      </w:r>
      <w:proofErr w:type="spellEnd"/>
      <w:r>
        <w:t xml:space="preserve"> sur la production </w:t>
      </w:r>
      <w:proofErr w:type="spellStart"/>
      <w:r>
        <w:t>céréalière</w:t>
      </w:r>
      <w:proofErr w:type="spellEnd"/>
      <w:r>
        <w:t xml:space="preserve"> </w:t>
      </w:r>
      <w:proofErr w:type="spellStart"/>
      <w:r>
        <w:t>en</w:t>
      </w:r>
      <w:proofErr w:type="spellEnd"/>
      <w:r>
        <w:t xml:space="preserve"> Afrique de </w:t>
      </w:r>
      <w:proofErr w:type="spellStart"/>
      <w:proofErr w:type="gramStart"/>
      <w:r>
        <w:t>l'Ouest</w:t>
      </w:r>
      <w:proofErr w:type="spellEnd"/>
      <w:r>
        <w:t xml:space="preserve"> :</w:t>
      </w:r>
      <w:proofErr w:type="gramEnd"/>
      <w:r>
        <w:t xml:space="preserve"> </w:t>
      </w:r>
      <w:proofErr w:type="spellStart"/>
      <w:r>
        <w:t>stratégies</w:t>
      </w:r>
      <w:proofErr w:type="spellEnd"/>
      <w:r>
        <w:t xml:space="preserve"> </w:t>
      </w:r>
      <w:proofErr w:type="spellStart"/>
      <w:r>
        <w:t>d'adaptation</w:t>
      </w:r>
      <w:proofErr w:type="spellEnd"/>
      <w:r>
        <w:t xml:space="preserve"> </w:t>
      </w:r>
      <w:proofErr w:type="spellStart"/>
      <w:r>
        <w:t>variétale</w:t>
      </w:r>
      <w:proofErr w:type="spellEnd"/>
      <w:r>
        <w:t>. Cahiers Agricultures, 31, 15.</w:t>
      </w:r>
    </w:p>
    <w:p w14:paraId="634F18C3" w14:textId="77777777" w:rsidR="00532194" w:rsidRDefault="00532194" w:rsidP="00594824">
      <w:pPr>
        <w:pStyle w:val="Body"/>
        <w:spacing w:after="0" w:line="360" w:lineRule="auto"/>
        <w:ind w:hanging="284"/>
      </w:pPr>
      <w:proofErr w:type="spellStart"/>
      <w:r>
        <w:t>Ntsomboh-Ntsefong</w:t>
      </w:r>
      <w:proofErr w:type="spellEnd"/>
      <w:r>
        <w:t xml:space="preserve">, G., </w:t>
      </w:r>
      <w:proofErr w:type="spellStart"/>
      <w:r>
        <w:t>Youmbi</w:t>
      </w:r>
      <w:proofErr w:type="spellEnd"/>
      <w:r>
        <w:t xml:space="preserve">, E., &amp; </w:t>
      </w:r>
      <w:proofErr w:type="spellStart"/>
      <w:r>
        <w:t>Tabi</w:t>
      </w:r>
      <w:proofErr w:type="spellEnd"/>
      <w:r>
        <w:t xml:space="preserve">, K.M. (2020). </w:t>
      </w:r>
      <w:proofErr w:type="spellStart"/>
      <w:r>
        <w:t>Évaluation</w:t>
      </w:r>
      <w:proofErr w:type="spellEnd"/>
      <w:r>
        <w:t xml:space="preserve"> de la performance </w:t>
      </w:r>
      <w:proofErr w:type="spellStart"/>
      <w:r>
        <w:t>agronomique</w:t>
      </w:r>
      <w:proofErr w:type="spellEnd"/>
      <w:r>
        <w:t xml:space="preserve"> de nouveaux </w:t>
      </w:r>
      <w:proofErr w:type="spellStart"/>
      <w:r>
        <w:t>hybrides</w:t>
      </w:r>
      <w:proofErr w:type="spellEnd"/>
      <w:r>
        <w:t xml:space="preserve"> de </w:t>
      </w:r>
      <w:proofErr w:type="spellStart"/>
      <w:r>
        <w:t>maïs</w:t>
      </w:r>
      <w:proofErr w:type="spellEnd"/>
      <w:r>
        <w:t xml:space="preserve"> dans les conditions </w:t>
      </w:r>
      <w:proofErr w:type="spellStart"/>
      <w:r>
        <w:t>écologiques</w:t>
      </w:r>
      <w:proofErr w:type="spellEnd"/>
      <w:r>
        <w:t xml:space="preserve"> du Cameroun. International Journal of Biological and Chemical Sciences, 14(4), 1289-1304.</w:t>
      </w:r>
    </w:p>
    <w:p w14:paraId="6C75EDAB" w14:textId="77777777" w:rsidR="00532194" w:rsidRDefault="00532194" w:rsidP="00594824">
      <w:pPr>
        <w:pStyle w:val="Body"/>
        <w:spacing w:after="0" w:line="360" w:lineRule="auto"/>
        <w:ind w:hanging="284"/>
      </w:pPr>
      <w:proofErr w:type="spellStart"/>
      <w:r>
        <w:t>Ogunniyan</w:t>
      </w:r>
      <w:proofErr w:type="spellEnd"/>
      <w:r>
        <w:t xml:space="preserve">, D.J., &amp; </w:t>
      </w:r>
      <w:proofErr w:type="spellStart"/>
      <w:r>
        <w:t>Olakojo</w:t>
      </w:r>
      <w:proofErr w:type="spellEnd"/>
      <w:r>
        <w:t>, S.A. (2023). Genetic variability, heritability and genetic advance in maize genotypes under drought stress conditions. Journal of Plant Breeding and Crop Science, 15(2), 45-58.</w:t>
      </w:r>
    </w:p>
    <w:p w14:paraId="032BAA7E" w14:textId="77777777" w:rsidR="00532194" w:rsidRDefault="00532194" w:rsidP="00594824">
      <w:pPr>
        <w:pStyle w:val="Body"/>
        <w:spacing w:after="0" w:line="360" w:lineRule="auto"/>
        <w:ind w:hanging="284"/>
      </w:pPr>
      <w:proofErr w:type="spellStart"/>
      <w:r>
        <w:t>Teboh</w:t>
      </w:r>
      <w:proofErr w:type="spellEnd"/>
      <w:r>
        <w:t>, J.M., Howe, J.A., &amp; Hatfield, J.L. (2020). Maize phenological responses to drought stress: The role of the anthesis-</w:t>
      </w:r>
      <w:proofErr w:type="spellStart"/>
      <w:r>
        <w:t>silking</w:t>
      </w:r>
      <w:proofErr w:type="spellEnd"/>
      <w:r>
        <w:t xml:space="preserve"> interval. Agronomy Journal, 112(4), 2815-2828.</w:t>
      </w:r>
    </w:p>
    <w:p w14:paraId="3D385082" w14:textId="77777777" w:rsidR="00532194" w:rsidRDefault="00532194" w:rsidP="00594824">
      <w:pPr>
        <w:pStyle w:val="Body"/>
        <w:spacing w:after="0" w:line="360" w:lineRule="auto"/>
        <w:ind w:hanging="284"/>
      </w:pPr>
      <w:proofErr w:type="spellStart"/>
      <w:r>
        <w:t>Traoré</w:t>
      </w:r>
      <w:proofErr w:type="spellEnd"/>
      <w:r>
        <w:t xml:space="preserve">, K., </w:t>
      </w:r>
      <w:proofErr w:type="spellStart"/>
      <w:r>
        <w:t>Sanou</w:t>
      </w:r>
      <w:proofErr w:type="spellEnd"/>
      <w:r>
        <w:t xml:space="preserve">, J., &amp; </w:t>
      </w:r>
      <w:proofErr w:type="spellStart"/>
      <w:r>
        <w:t>Kaboré</w:t>
      </w:r>
      <w:proofErr w:type="spellEnd"/>
      <w:r>
        <w:t xml:space="preserve">, B. (2021). Adaptation des </w:t>
      </w:r>
      <w:proofErr w:type="spellStart"/>
      <w:r>
        <w:t>variétés</w:t>
      </w:r>
      <w:proofErr w:type="spellEnd"/>
      <w:r>
        <w:t xml:space="preserve"> de </w:t>
      </w:r>
      <w:proofErr w:type="spellStart"/>
      <w:r>
        <w:t>maïs</w:t>
      </w:r>
      <w:proofErr w:type="spellEnd"/>
      <w:r>
        <w:t xml:space="preserve"> au stress </w:t>
      </w:r>
      <w:proofErr w:type="spellStart"/>
      <w:r>
        <w:t>hydrique</w:t>
      </w:r>
      <w:proofErr w:type="spellEnd"/>
      <w:r>
        <w:t xml:space="preserve"> </w:t>
      </w:r>
      <w:proofErr w:type="spellStart"/>
      <w:r>
        <w:t>en</w:t>
      </w:r>
      <w:proofErr w:type="spellEnd"/>
      <w:r>
        <w:t xml:space="preserve"> zone </w:t>
      </w:r>
      <w:proofErr w:type="spellStart"/>
      <w:r>
        <w:t>soudano-sahélienne</w:t>
      </w:r>
      <w:proofErr w:type="spellEnd"/>
      <w:r>
        <w:t xml:space="preserve"> du Burkina Faso. Science et Technique, Sciences </w:t>
      </w:r>
      <w:proofErr w:type="spellStart"/>
      <w:r>
        <w:t>Naturelles</w:t>
      </w:r>
      <w:proofErr w:type="spellEnd"/>
      <w:r>
        <w:t xml:space="preserve"> et </w:t>
      </w:r>
      <w:proofErr w:type="spellStart"/>
      <w:r>
        <w:t>Agronomie</w:t>
      </w:r>
      <w:proofErr w:type="spellEnd"/>
      <w:r>
        <w:t>, 40(1), 67-82.</w:t>
      </w:r>
    </w:p>
    <w:p w14:paraId="34754F91" w14:textId="77777777" w:rsidR="00532194" w:rsidRDefault="00532194" w:rsidP="00594824">
      <w:pPr>
        <w:pStyle w:val="Body"/>
        <w:spacing w:after="0" w:line="360" w:lineRule="auto"/>
        <w:ind w:hanging="284"/>
      </w:pPr>
      <w:r>
        <w:t>Yan, W. (2019). GGE Biplot vs. AMMI graphs for genotype-by-environment data analysis. Crop Science, 59(3), 1019-1036.</w:t>
      </w:r>
    </w:p>
    <w:p w14:paraId="137A2AF8" w14:textId="77777777" w:rsidR="00532194" w:rsidRDefault="00532194" w:rsidP="00594824">
      <w:pPr>
        <w:pStyle w:val="Body"/>
        <w:spacing w:after="0" w:line="360" w:lineRule="auto"/>
        <w:ind w:hanging="284"/>
      </w:pPr>
      <w:r>
        <w:t xml:space="preserve">Yan, W., Hunt, L.A., Sheng, Q., &amp; </w:t>
      </w:r>
      <w:proofErr w:type="spellStart"/>
      <w:r>
        <w:t>Szlavnics</w:t>
      </w:r>
      <w:proofErr w:type="spellEnd"/>
      <w:r>
        <w:t>, Z. (2000). Cultivar evaluation and mega-environment investigation based on the GGE biplot. Crop Science, 40(3), 597-605.</w:t>
      </w:r>
    </w:p>
    <w:p w14:paraId="50CF35E6" w14:textId="77777777" w:rsidR="00532194" w:rsidRDefault="00532194" w:rsidP="00594824">
      <w:pPr>
        <w:pStyle w:val="Body"/>
        <w:spacing w:after="0" w:line="360" w:lineRule="auto"/>
        <w:ind w:hanging="284"/>
      </w:pPr>
      <w:r>
        <w:lastRenderedPageBreak/>
        <w:t>Yan, W., &amp; Kang, M.S. (2007). GGE Biplot Analysis: A Graphical Tool for Breeders, Geneticists, and Agronomists. CRC Press.</w:t>
      </w:r>
    </w:p>
    <w:p w14:paraId="38538F2C" w14:textId="77777777" w:rsidR="00532194" w:rsidRDefault="00532194" w:rsidP="00594824">
      <w:pPr>
        <w:pStyle w:val="Body"/>
        <w:spacing w:after="0" w:line="360" w:lineRule="auto"/>
        <w:ind w:hanging="284"/>
      </w:pPr>
      <w:r>
        <w:t>Zhang, X., Liu, Y., &amp; Chen, J. (2023). Breeding for resilience: New perspectives on genotype × environment interaction in the context of climate change. Plant Breeding Reviews, 46, 123-168.</w:t>
      </w:r>
    </w:p>
    <w:p w14:paraId="78A863EC" w14:textId="77777777" w:rsidR="004D4277" w:rsidRPr="00805B52" w:rsidRDefault="00532194" w:rsidP="00805B52">
      <w:pPr>
        <w:pStyle w:val="Body"/>
        <w:spacing w:after="0" w:line="360" w:lineRule="auto"/>
        <w:ind w:hanging="284"/>
        <w:sectPr w:rsidR="004D4277" w:rsidRPr="00805B52" w:rsidSect="00D01EE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t xml:space="preserve">Zhao, J., </w:t>
      </w:r>
      <w:proofErr w:type="spellStart"/>
      <w:r>
        <w:t>Xue</w:t>
      </w:r>
      <w:proofErr w:type="spellEnd"/>
      <w:r>
        <w:t>, Q., &amp; Jessup, K.E. (2022). Drought tolerance mechanisms in maize: From physiology to molecular breeding. Frontiers in Plant Science, 13, 895427.</w:t>
      </w:r>
    </w:p>
    <w:p w14:paraId="6F0E45E0" w14:textId="77777777" w:rsidR="00B01FCD" w:rsidRPr="00FB3A86" w:rsidRDefault="00B01FCD" w:rsidP="00441B6F">
      <w:pPr>
        <w:pStyle w:val="Appendix"/>
        <w:spacing w:after="0"/>
        <w:jc w:val="both"/>
        <w:rPr>
          <w:rFonts w:ascii="Arial" w:hAnsi="Arial" w:cs="Arial"/>
          <w:b w:val="0"/>
        </w:rPr>
      </w:pPr>
    </w:p>
    <w:sectPr w:rsidR="00B01FCD" w:rsidRPr="00FB3A86" w:rsidSect="00D01E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499A0" w14:textId="77777777" w:rsidR="00A562A7" w:rsidRDefault="00A562A7" w:rsidP="00C37E61">
      <w:r>
        <w:separator/>
      </w:r>
    </w:p>
  </w:endnote>
  <w:endnote w:type="continuationSeparator" w:id="0">
    <w:p w14:paraId="6430F160" w14:textId="77777777" w:rsidR="00A562A7" w:rsidRDefault="00A562A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10E0" w14:textId="77777777" w:rsidR="006B3EC1" w:rsidRDefault="006B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BCA2E" w14:textId="77777777" w:rsidR="006B3EC1" w:rsidRDefault="006B3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33AE" w14:textId="06E8B2EC" w:rsidR="00FF0647" w:rsidRPr="000A2F9E" w:rsidRDefault="00FF0647" w:rsidP="000A2F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67E0" w14:textId="77777777" w:rsidR="00FF0647" w:rsidRPr="00C37E61" w:rsidRDefault="00FF064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D3083" w14:textId="77777777" w:rsidR="00A562A7" w:rsidRDefault="00A562A7" w:rsidP="00C37E61">
      <w:r>
        <w:separator/>
      </w:r>
    </w:p>
  </w:footnote>
  <w:footnote w:type="continuationSeparator" w:id="0">
    <w:p w14:paraId="5E18114A" w14:textId="77777777" w:rsidR="00A562A7" w:rsidRDefault="00A562A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DF3F" w14:textId="197B91BB" w:rsidR="006B3EC1" w:rsidRDefault="00A562A7">
    <w:pPr>
      <w:pStyle w:val="Header"/>
    </w:pPr>
    <w:r>
      <w:rPr>
        <w:noProof/>
      </w:rPr>
      <w:pict w14:anchorId="6DC0D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C766" w14:textId="66C82D77" w:rsidR="006B3EC1" w:rsidRDefault="00A562A7">
    <w:pPr>
      <w:pStyle w:val="Header"/>
    </w:pPr>
    <w:r>
      <w:rPr>
        <w:noProof/>
      </w:rPr>
      <w:pict w14:anchorId="6A94B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F76C" w14:textId="4B89BA2A" w:rsidR="00FF0647" w:rsidRPr="00296529" w:rsidRDefault="00A562A7" w:rsidP="00296529">
    <w:pPr>
      <w:ind w:left="2160"/>
      <w:jc w:val="center"/>
      <w:rPr>
        <w:rFonts w:ascii="Times New Roman" w:eastAsia="Calibri" w:hAnsi="Times New Roman"/>
        <w:i/>
        <w:sz w:val="18"/>
        <w:szCs w:val="22"/>
      </w:rPr>
    </w:pPr>
    <w:r>
      <w:rPr>
        <w:noProof/>
      </w:rPr>
      <w:pict w14:anchorId="6E86F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88D0E3" w14:textId="77777777" w:rsidR="00FF0647" w:rsidRPr="00296529" w:rsidRDefault="00FF064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C26877" w14:textId="77777777" w:rsidR="00FF0647" w:rsidRPr="00296529" w:rsidRDefault="00FF064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2E4219" w14:textId="77777777" w:rsidR="00FF0647" w:rsidRPr="00296529" w:rsidRDefault="00FF064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AA7AA5" w14:textId="77777777" w:rsidR="00FF0647" w:rsidRDefault="00FF064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FE350" w14:textId="77777777" w:rsidR="00FF0647" w:rsidRDefault="00FF064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301F99" w14:textId="77777777" w:rsidR="00FF0647" w:rsidRDefault="00FF064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B6B3" w14:textId="729EB26C" w:rsidR="006B3EC1" w:rsidRDefault="00A562A7">
    <w:pPr>
      <w:pStyle w:val="Header"/>
    </w:pPr>
    <w:r>
      <w:rPr>
        <w:noProof/>
      </w:rPr>
      <w:pict w14:anchorId="65907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165D" w14:textId="6AEAC6F6" w:rsidR="006B3EC1" w:rsidRDefault="00A562A7">
    <w:pPr>
      <w:pStyle w:val="Header"/>
    </w:pPr>
    <w:r>
      <w:rPr>
        <w:noProof/>
      </w:rPr>
      <w:pict w14:anchorId="79B33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1540" w14:textId="6756BBB7" w:rsidR="006B3EC1" w:rsidRDefault="00A562A7">
    <w:pPr>
      <w:pStyle w:val="Header"/>
    </w:pPr>
    <w:r>
      <w:rPr>
        <w:noProof/>
      </w:rPr>
      <w:pict w14:anchorId="0545F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957208"/>
    <w:multiLevelType w:val="multilevel"/>
    <w:tmpl w:val="F76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jAwNrQ0MjMxsDRQ0lEKTi0uzszPAykwqgUAVIZVGywAAAA="/>
  </w:docVars>
  <w:rsids>
    <w:rsidRoot w:val="00AA6219"/>
    <w:rsid w:val="00000F8F"/>
    <w:rsid w:val="00030174"/>
    <w:rsid w:val="0004579C"/>
    <w:rsid w:val="00072582"/>
    <w:rsid w:val="000A2F9E"/>
    <w:rsid w:val="000A47FA"/>
    <w:rsid w:val="000A65D3"/>
    <w:rsid w:val="000B1E33"/>
    <w:rsid w:val="000D689F"/>
    <w:rsid w:val="000E2984"/>
    <w:rsid w:val="000E7B7B"/>
    <w:rsid w:val="000E7D62"/>
    <w:rsid w:val="00103357"/>
    <w:rsid w:val="00123C9F"/>
    <w:rsid w:val="00126190"/>
    <w:rsid w:val="00130B76"/>
    <w:rsid w:val="00130F17"/>
    <w:rsid w:val="001320BF"/>
    <w:rsid w:val="00163BC4"/>
    <w:rsid w:val="001657FE"/>
    <w:rsid w:val="00191062"/>
    <w:rsid w:val="00192B72"/>
    <w:rsid w:val="001A29D8"/>
    <w:rsid w:val="001A5CAA"/>
    <w:rsid w:val="001A7E20"/>
    <w:rsid w:val="001B0427"/>
    <w:rsid w:val="001D3A51"/>
    <w:rsid w:val="001E10D2"/>
    <w:rsid w:val="001E25B4"/>
    <w:rsid w:val="001E44FE"/>
    <w:rsid w:val="00200595"/>
    <w:rsid w:val="00204835"/>
    <w:rsid w:val="00231920"/>
    <w:rsid w:val="0023195C"/>
    <w:rsid w:val="0023575A"/>
    <w:rsid w:val="0024282C"/>
    <w:rsid w:val="002460DC"/>
    <w:rsid w:val="00250985"/>
    <w:rsid w:val="002556F6"/>
    <w:rsid w:val="00283105"/>
    <w:rsid w:val="00284C4C"/>
    <w:rsid w:val="00287E68"/>
    <w:rsid w:val="0029352D"/>
    <w:rsid w:val="00296529"/>
    <w:rsid w:val="002A64C1"/>
    <w:rsid w:val="002B1374"/>
    <w:rsid w:val="002B27FB"/>
    <w:rsid w:val="002B685A"/>
    <w:rsid w:val="002C57D2"/>
    <w:rsid w:val="002E0D56"/>
    <w:rsid w:val="003101CE"/>
    <w:rsid w:val="00315186"/>
    <w:rsid w:val="0033343E"/>
    <w:rsid w:val="003512C2"/>
    <w:rsid w:val="00371FB6"/>
    <w:rsid w:val="003763C1"/>
    <w:rsid w:val="00376BBE"/>
    <w:rsid w:val="0039224F"/>
    <w:rsid w:val="003A3AAC"/>
    <w:rsid w:val="003A43A4"/>
    <w:rsid w:val="003A7E18"/>
    <w:rsid w:val="003C4C86"/>
    <w:rsid w:val="003C6258"/>
    <w:rsid w:val="003E2904"/>
    <w:rsid w:val="00401927"/>
    <w:rsid w:val="0041027F"/>
    <w:rsid w:val="00412475"/>
    <w:rsid w:val="0042099D"/>
    <w:rsid w:val="00423789"/>
    <w:rsid w:val="00427824"/>
    <w:rsid w:val="00440F43"/>
    <w:rsid w:val="00441B6F"/>
    <w:rsid w:val="00446221"/>
    <w:rsid w:val="00450E62"/>
    <w:rsid w:val="004539DB"/>
    <w:rsid w:val="00471A80"/>
    <w:rsid w:val="004D21FD"/>
    <w:rsid w:val="004D305E"/>
    <w:rsid w:val="004D4277"/>
    <w:rsid w:val="00502516"/>
    <w:rsid w:val="00505F06"/>
    <w:rsid w:val="00506828"/>
    <w:rsid w:val="0053056E"/>
    <w:rsid w:val="00532194"/>
    <w:rsid w:val="00542801"/>
    <w:rsid w:val="00554FDA"/>
    <w:rsid w:val="00594824"/>
    <w:rsid w:val="005C784C"/>
    <w:rsid w:val="005D17F6"/>
    <w:rsid w:val="005D6AE0"/>
    <w:rsid w:val="005E5539"/>
    <w:rsid w:val="00602BF5"/>
    <w:rsid w:val="00617FDD"/>
    <w:rsid w:val="00633614"/>
    <w:rsid w:val="00633F68"/>
    <w:rsid w:val="00636EB2"/>
    <w:rsid w:val="006375B8"/>
    <w:rsid w:val="0066510A"/>
    <w:rsid w:val="00673F9F"/>
    <w:rsid w:val="00686953"/>
    <w:rsid w:val="00687DEA"/>
    <w:rsid w:val="00687E67"/>
    <w:rsid w:val="00690C37"/>
    <w:rsid w:val="006967F7"/>
    <w:rsid w:val="006A250C"/>
    <w:rsid w:val="006B21D3"/>
    <w:rsid w:val="006B3EC1"/>
    <w:rsid w:val="006B57D0"/>
    <w:rsid w:val="006C5A0D"/>
    <w:rsid w:val="006D30FF"/>
    <w:rsid w:val="006D6940"/>
    <w:rsid w:val="006F11EC"/>
    <w:rsid w:val="0070082C"/>
    <w:rsid w:val="0070522B"/>
    <w:rsid w:val="007369E6"/>
    <w:rsid w:val="00746E59"/>
    <w:rsid w:val="00754C9A"/>
    <w:rsid w:val="0075599A"/>
    <w:rsid w:val="00761D52"/>
    <w:rsid w:val="0077749E"/>
    <w:rsid w:val="00790ADA"/>
    <w:rsid w:val="007D2288"/>
    <w:rsid w:val="007E088F"/>
    <w:rsid w:val="007F7B32"/>
    <w:rsid w:val="00804BC2"/>
    <w:rsid w:val="00805B52"/>
    <w:rsid w:val="0081431A"/>
    <w:rsid w:val="0083216F"/>
    <w:rsid w:val="00860000"/>
    <w:rsid w:val="00863BD3"/>
    <w:rsid w:val="008641ED"/>
    <w:rsid w:val="00866D66"/>
    <w:rsid w:val="008671C6"/>
    <w:rsid w:val="00875803"/>
    <w:rsid w:val="008900D4"/>
    <w:rsid w:val="008B459E"/>
    <w:rsid w:val="008E13AE"/>
    <w:rsid w:val="008E1506"/>
    <w:rsid w:val="008E710C"/>
    <w:rsid w:val="008F69D6"/>
    <w:rsid w:val="00902823"/>
    <w:rsid w:val="00912D3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2A7"/>
    <w:rsid w:val="00A94063"/>
    <w:rsid w:val="00AA6219"/>
    <w:rsid w:val="00AA74E0"/>
    <w:rsid w:val="00AB703F"/>
    <w:rsid w:val="00AC6BB8"/>
    <w:rsid w:val="00AE008F"/>
    <w:rsid w:val="00AF7169"/>
    <w:rsid w:val="00B01FCD"/>
    <w:rsid w:val="00B1776C"/>
    <w:rsid w:val="00B27C37"/>
    <w:rsid w:val="00B52583"/>
    <w:rsid w:val="00B52896"/>
    <w:rsid w:val="00B63A9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1EED"/>
    <w:rsid w:val="00D173F1"/>
    <w:rsid w:val="00D74CB0"/>
    <w:rsid w:val="00D8295D"/>
    <w:rsid w:val="00DA64C0"/>
    <w:rsid w:val="00DC2A65"/>
    <w:rsid w:val="00DD284E"/>
    <w:rsid w:val="00DE15F0"/>
    <w:rsid w:val="00DE5663"/>
    <w:rsid w:val="00DE5ECB"/>
    <w:rsid w:val="00DE78AA"/>
    <w:rsid w:val="00E053D0"/>
    <w:rsid w:val="00E13DF7"/>
    <w:rsid w:val="00E15994"/>
    <w:rsid w:val="00E3114E"/>
    <w:rsid w:val="00E31A70"/>
    <w:rsid w:val="00E35B02"/>
    <w:rsid w:val="00E66496"/>
    <w:rsid w:val="00E66B35"/>
    <w:rsid w:val="00E66E10"/>
    <w:rsid w:val="00E70812"/>
    <w:rsid w:val="00E769F6"/>
    <w:rsid w:val="00E8407C"/>
    <w:rsid w:val="00E84F3C"/>
    <w:rsid w:val="00EA012C"/>
    <w:rsid w:val="00EA0B28"/>
    <w:rsid w:val="00EA6C56"/>
    <w:rsid w:val="00EB1919"/>
    <w:rsid w:val="00EC6A55"/>
    <w:rsid w:val="00ED0288"/>
    <w:rsid w:val="00EE52CB"/>
    <w:rsid w:val="00EF581D"/>
    <w:rsid w:val="00EF7FD8"/>
    <w:rsid w:val="00F06F59"/>
    <w:rsid w:val="00F17988"/>
    <w:rsid w:val="00F37B57"/>
    <w:rsid w:val="00F469F0"/>
    <w:rsid w:val="00F53273"/>
    <w:rsid w:val="00F65B4E"/>
    <w:rsid w:val="00F755E4"/>
    <w:rsid w:val="00F77D02"/>
    <w:rsid w:val="00F80F39"/>
    <w:rsid w:val="00FB3A86"/>
    <w:rsid w:val="00FC2659"/>
    <w:rsid w:val="00FD36C8"/>
    <w:rsid w:val="00FF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6366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4C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E13DF7"/>
    <w:rPr>
      <w:b/>
      <w:bCs/>
    </w:rPr>
  </w:style>
  <w:style w:type="paragraph" w:styleId="NormalWeb">
    <w:name w:val="Normal (Web)"/>
    <w:basedOn w:val="Normal"/>
    <w:uiPriority w:val="99"/>
    <w:unhideWhenUsed/>
    <w:rsid w:val="00427824"/>
    <w:pPr>
      <w:spacing w:before="100" w:beforeAutospacing="1" w:after="100" w:afterAutospacing="1"/>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2740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196696">
      <w:bodyDiv w:val="1"/>
      <w:marLeft w:val="0"/>
      <w:marRight w:val="0"/>
      <w:marTop w:val="0"/>
      <w:marBottom w:val="0"/>
      <w:divBdr>
        <w:top w:val="none" w:sz="0" w:space="0" w:color="auto"/>
        <w:left w:val="none" w:sz="0" w:space="0" w:color="auto"/>
        <w:bottom w:val="none" w:sz="0" w:space="0" w:color="auto"/>
        <w:right w:val="none" w:sz="0" w:space="0" w:color="auto"/>
      </w:divBdr>
    </w:div>
    <w:div w:id="19534365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7B5B2-F95B-4CEC-B5D4-D967F2BE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13</Pages>
  <Words>4094</Words>
  <Characters>23336</Characters>
  <Application>Microsoft Office Word</Application>
  <DocSecurity>0</DocSecurity>
  <Lines>194</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27376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11</cp:revision>
  <cp:lastPrinted>1999-07-06T11:00:00Z</cp:lastPrinted>
  <dcterms:created xsi:type="dcterms:W3CDTF">2026-03-16T10:55:00Z</dcterms:created>
  <dcterms:modified xsi:type="dcterms:W3CDTF">2026-03-17T11:22:00Z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89e10c14-b5fd-4fde-a058-9766d3c303b1</vt:lpwstr>
  </property>
</Properties>
</file>