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8D0EE" w14:textId="61760B01" w:rsidR="005A2514" w:rsidRDefault="0026694A" w:rsidP="00356CAC">
      <w:pPr>
        <w:jc w:val="right"/>
        <w:rPr>
          <w:rFonts w:ascii="Times New Roman" w:hAnsi="Times New Roman" w:cs="Times New Roman"/>
          <w:b/>
          <w:bCs/>
          <w:i/>
          <w:iCs/>
          <w:sz w:val="32"/>
          <w:szCs w:val="32"/>
        </w:rPr>
      </w:pPr>
      <w:r w:rsidRPr="005A5CB8">
        <w:rPr>
          <w:rFonts w:ascii="Times New Roman" w:hAnsi="Times New Roman" w:cs="Times New Roman"/>
          <w:b/>
          <w:bCs/>
          <w:sz w:val="32"/>
          <w:szCs w:val="32"/>
        </w:rPr>
        <w:t xml:space="preserve">Systemic and Developmental Toxicity of Perinatal Lead Exposure in Rats with Associated </w:t>
      </w:r>
      <w:r w:rsidR="00356CAC" w:rsidRPr="005A5CB8">
        <w:rPr>
          <w:rFonts w:ascii="Times New Roman" w:hAnsi="Times New Roman" w:cs="Times New Roman"/>
          <w:b/>
          <w:bCs/>
          <w:sz w:val="32"/>
          <w:szCs w:val="32"/>
        </w:rPr>
        <w:t xml:space="preserve">Haematological </w:t>
      </w:r>
      <w:r w:rsidRPr="005A5CB8">
        <w:rPr>
          <w:rFonts w:ascii="Times New Roman" w:hAnsi="Times New Roman" w:cs="Times New Roman"/>
          <w:b/>
          <w:bCs/>
          <w:sz w:val="32"/>
          <w:szCs w:val="32"/>
        </w:rPr>
        <w:t xml:space="preserve">and Mineral Alterations and Their Amelioration by </w:t>
      </w:r>
      <w:r w:rsidRPr="005A5CB8">
        <w:rPr>
          <w:rFonts w:ascii="Times New Roman" w:hAnsi="Times New Roman" w:cs="Times New Roman"/>
          <w:b/>
          <w:bCs/>
          <w:i/>
          <w:iCs/>
          <w:sz w:val="32"/>
          <w:szCs w:val="32"/>
        </w:rPr>
        <w:t>Moringa oleifera</w:t>
      </w:r>
    </w:p>
    <w:p w14:paraId="344D9C7B" w14:textId="77777777" w:rsidR="003078D9" w:rsidRDefault="003078D9" w:rsidP="0026694A">
      <w:pPr>
        <w:jc w:val="lowKashida"/>
        <w:rPr>
          <w:rFonts w:ascii="Times New Roman" w:hAnsi="Times New Roman" w:cs="Times New Roman"/>
          <w:sz w:val="24"/>
          <w:szCs w:val="24"/>
        </w:rPr>
      </w:pPr>
    </w:p>
    <w:p w14:paraId="72696D8B" w14:textId="73238260" w:rsidR="00356CAC" w:rsidRPr="005A5CB8" w:rsidRDefault="00606048" w:rsidP="0026694A">
      <w:pPr>
        <w:jc w:val="lowKashida"/>
        <w:rPr>
          <w:rFonts w:ascii="Times New Roman" w:hAnsi="Times New Roman" w:cs="Times New Roman"/>
          <w:b/>
          <w:bCs/>
          <w:sz w:val="24"/>
          <w:szCs w:val="24"/>
        </w:rPr>
      </w:pPr>
      <w:r>
        <w:rPr>
          <w:rFonts w:ascii="Times New Roman" w:hAnsi="Times New Roman" w:cs="Times New Roman"/>
          <w:sz w:val="24"/>
          <w:szCs w:val="24"/>
        </w:rPr>
        <w:pict w14:anchorId="519C5259">
          <v:rect id="_x0000_i1025" style="width:0;height:1.5pt" o:hralign="center" o:hrstd="t" o:hr="t" fillcolor="#a0a0a0" stroked="f"/>
        </w:pict>
      </w:r>
    </w:p>
    <w:p w14:paraId="1EF37B01" w14:textId="00D2385C"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Abstract</w:t>
      </w:r>
    </w:p>
    <w:p w14:paraId="1C8F837F" w14:textId="77777777" w:rsidR="00CC02EC" w:rsidRDefault="00CC02EC" w:rsidP="00356CAC">
      <w:pPr>
        <w:jc w:val="lowKashida"/>
        <w:rPr>
          <w:rFonts w:ascii="Times New Roman" w:hAnsi="Times New Roman" w:cs="Times New Roman"/>
          <w:sz w:val="24"/>
          <w:szCs w:val="24"/>
        </w:rPr>
      </w:pPr>
      <w:r w:rsidRPr="00CC02EC">
        <w:rPr>
          <w:rFonts w:ascii="Times New Roman" w:hAnsi="Times New Roman" w:cs="Times New Roman"/>
          <w:sz w:val="24"/>
          <w:szCs w:val="24"/>
        </w:rPr>
        <w:t>Lead is a persistent environmental heavy metal with no physiological role and is known to cause systemic and developmental toxicity, particularly during pregnancy and early life. The present study was undertaken to evaluate the effects of perinatal exposure to lead acetate on maternal body weight gain, offspring growth, litter parameters, haematological indices, blood lead levels, and essential mineral status in Wistar rats, and to assess the protective effect of Moringa oleifera supplementation. Eighteen pregnant rats were divided into three groups: control, lead acetate treated (0.8% in drinking water), and lead acetate with Moringa oleifera supplemented feed (400 mg/kg body weight). Treatments were administered from gestation day 5 to postnatal day 21. Lead exposure resulted in reduced maternal weight gain, decreased pup body weight, litter size, and litter weight, and increased pup mortality. Haematological examination revealed decreases in haemoglobin, total erythrocyte count, and packed cell volume in both dams and pups. Blood lead levels were markedly increased, whereas levels of essential minerals such as calcium, iron, zinc, and copper were reduced. Supplementation with Moringa oleifera improved growth performance, survival of pups, haematological parameters, and mineral levels, and also reduced blood lead concentration compared with the lead-treated group, although values did not completely return to normal levels.</w:t>
      </w:r>
    </w:p>
    <w:p w14:paraId="3CF1A793" w14:textId="097D9120" w:rsidR="00356CAC" w:rsidRPr="005A5CB8" w:rsidRDefault="005A2514" w:rsidP="00356CAC">
      <w:pPr>
        <w:jc w:val="lowKashida"/>
        <w:rPr>
          <w:rFonts w:ascii="Times New Roman" w:hAnsi="Times New Roman" w:cs="Times New Roman"/>
          <w:sz w:val="24"/>
          <w:szCs w:val="24"/>
        </w:rPr>
      </w:pPr>
      <w:r w:rsidRPr="005A5CB8">
        <w:rPr>
          <w:rFonts w:ascii="Times New Roman" w:hAnsi="Times New Roman" w:cs="Times New Roman"/>
          <w:b/>
          <w:bCs/>
          <w:sz w:val="24"/>
          <w:szCs w:val="24"/>
        </w:rPr>
        <w:t>Keywords:</w:t>
      </w:r>
      <w:r w:rsidR="001B6DF0">
        <w:rPr>
          <w:rFonts w:ascii="Times New Roman" w:hAnsi="Times New Roman" w:cs="Times New Roman"/>
          <w:b/>
          <w:bCs/>
          <w:sz w:val="24"/>
          <w:szCs w:val="24"/>
        </w:rPr>
        <w:t xml:space="preserve"> </w:t>
      </w:r>
      <w:r w:rsidR="00CC02EC" w:rsidRPr="00CC02EC">
        <w:rPr>
          <w:rFonts w:ascii="Times New Roman" w:hAnsi="Times New Roman" w:cs="Times New Roman"/>
          <w:sz w:val="24"/>
          <w:szCs w:val="24"/>
        </w:rPr>
        <w:t>Lead toxicity, Moringa oleifera, perinatal exposure, haematology, mineral imbalance.</w:t>
      </w:r>
    </w:p>
    <w:p w14:paraId="12EE0EEF" w14:textId="3E9ACD21" w:rsidR="00356CAC" w:rsidRPr="005A5CB8" w:rsidRDefault="00606048" w:rsidP="00356CAC">
      <w:pPr>
        <w:jc w:val="lowKashida"/>
        <w:rPr>
          <w:rFonts w:ascii="Times New Roman" w:hAnsi="Times New Roman" w:cs="Times New Roman"/>
          <w:sz w:val="24"/>
          <w:szCs w:val="24"/>
        </w:rPr>
      </w:pPr>
      <w:r>
        <w:rPr>
          <w:rFonts w:ascii="Times New Roman" w:hAnsi="Times New Roman" w:cs="Times New Roman"/>
          <w:sz w:val="24"/>
          <w:szCs w:val="24"/>
        </w:rPr>
        <w:pict w14:anchorId="51BF9A99">
          <v:rect id="_x0000_i1026" style="width:0;height:1.5pt" o:hralign="center" o:hrstd="t" o:hr="t" fillcolor="#a0a0a0" stroked="f"/>
        </w:pict>
      </w:r>
    </w:p>
    <w:p w14:paraId="22B2AA8D" w14:textId="6FF8F591" w:rsidR="005A2514" w:rsidRPr="005A5CB8" w:rsidRDefault="005A2514" w:rsidP="00356C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1. Introduction</w:t>
      </w:r>
    </w:p>
    <w:p w14:paraId="182C09AE" w14:textId="4685EB70"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Lead (Pb) is a non-essential heavy metal widely distributed in the environment and recognized as a major toxicant affecting both humans and animals. Its environmental persistence, non-biodegradable nature, and extensive industrial use contribute to continuous exposure through contaminated water, soil, food, and atmospheric emissions (Masih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Once absorbed, lead accumulates in blood, liver, kidneys, bone, and nervous tissue and interferes with multiple biochemical and metabolic pathways (Jaishankar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2014).</w:t>
      </w:r>
    </w:p>
    <w:p w14:paraId="6C7C187F" w14:textId="6C47F8B7"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Among exposed populations, pregnant females and developing offspring represent the most vulnerable groups. Lead readily crosses the placental barrier and is also excreted through milk, resulting in combined prenatal and postnatal exposure. Developmental exposure has been associated with reduced maternal weight gain, </w:t>
      </w:r>
      <w:proofErr w:type="spellStart"/>
      <w:r w:rsidRPr="005A5CB8">
        <w:rPr>
          <w:rFonts w:ascii="Times New Roman" w:hAnsi="Times New Roman" w:cs="Times New Roman"/>
          <w:sz w:val="24"/>
          <w:szCs w:val="24"/>
        </w:rPr>
        <w:t>fetal</w:t>
      </w:r>
      <w:proofErr w:type="spellEnd"/>
      <w:r w:rsidRPr="005A5CB8">
        <w:rPr>
          <w:rFonts w:ascii="Times New Roman" w:hAnsi="Times New Roman" w:cs="Times New Roman"/>
          <w:sz w:val="24"/>
          <w:szCs w:val="24"/>
        </w:rPr>
        <w:t xml:space="preserve"> growth retardation, low birth weight, impaired litter outcomes, and increased neonatal mortality (</w:t>
      </w:r>
      <w:proofErr w:type="spellStart"/>
      <w:r w:rsidRPr="005A5CB8">
        <w:rPr>
          <w:rFonts w:ascii="Times New Roman" w:hAnsi="Times New Roman" w:cs="Times New Roman"/>
          <w:sz w:val="24"/>
          <w:szCs w:val="24"/>
        </w:rPr>
        <w:t>Aprioku</w:t>
      </w:r>
      <w:proofErr w:type="spellEnd"/>
      <w:r w:rsidRPr="005A5CB8">
        <w:rPr>
          <w:rFonts w:ascii="Times New Roman" w:hAnsi="Times New Roman" w:cs="Times New Roman"/>
          <w:sz w:val="24"/>
          <w:szCs w:val="24"/>
        </w:rPr>
        <w:t xml:space="preserve"> and </w:t>
      </w:r>
      <w:proofErr w:type="spellStart"/>
      <w:r w:rsidRPr="005A5CB8">
        <w:rPr>
          <w:rFonts w:ascii="Times New Roman" w:hAnsi="Times New Roman" w:cs="Times New Roman"/>
          <w:sz w:val="24"/>
          <w:szCs w:val="24"/>
        </w:rPr>
        <w:t>Siminialayi</w:t>
      </w:r>
      <w:proofErr w:type="spellEnd"/>
      <w:r w:rsidRPr="005A5CB8">
        <w:rPr>
          <w:rFonts w:ascii="Times New Roman" w:hAnsi="Times New Roman" w:cs="Times New Roman"/>
          <w:sz w:val="24"/>
          <w:szCs w:val="24"/>
        </w:rPr>
        <w:t xml:space="preserve">, 2013; Dhir and Dhand, 2010; Gargouri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These adverse effects are attributed to oxidative stress, metabolic disruption, placental dysfunction, and altered maternal </w:t>
      </w:r>
      <w:proofErr w:type="spellStart"/>
      <w:r w:rsidRPr="005A5CB8">
        <w:rPr>
          <w:rFonts w:ascii="Times New Roman" w:hAnsi="Times New Roman" w:cs="Times New Roman"/>
          <w:sz w:val="24"/>
          <w:szCs w:val="24"/>
        </w:rPr>
        <w:t>behavior</w:t>
      </w:r>
      <w:proofErr w:type="spellEnd"/>
      <w:r w:rsidRPr="005A5CB8">
        <w:rPr>
          <w:rFonts w:ascii="Times New Roman" w:hAnsi="Times New Roman" w:cs="Times New Roman"/>
          <w:sz w:val="24"/>
          <w:szCs w:val="24"/>
        </w:rPr>
        <w:t>.</w:t>
      </w:r>
    </w:p>
    <w:p w14:paraId="6FC4BA7E" w14:textId="244D63CB"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 xml:space="preserve">Lead toxicity also produces marked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disturbances. It inhibits key enzymes of </w:t>
      </w:r>
      <w:proofErr w:type="spellStart"/>
      <w:r w:rsidRPr="005A5CB8">
        <w:rPr>
          <w:rFonts w:ascii="Times New Roman" w:hAnsi="Times New Roman" w:cs="Times New Roman"/>
          <w:sz w:val="24"/>
          <w:szCs w:val="24"/>
        </w:rPr>
        <w:t>heme</w:t>
      </w:r>
      <w:proofErr w:type="spellEnd"/>
      <w:r w:rsidRPr="005A5CB8">
        <w:rPr>
          <w:rFonts w:ascii="Times New Roman" w:hAnsi="Times New Roman" w:cs="Times New Roman"/>
          <w:sz w:val="24"/>
          <w:szCs w:val="24"/>
        </w:rPr>
        <w:t xml:space="preserve"> biosynthesis, including δ-</w:t>
      </w:r>
      <w:proofErr w:type="spellStart"/>
      <w:r w:rsidRPr="005A5CB8">
        <w:rPr>
          <w:rFonts w:ascii="Times New Roman" w:hAnsi="Times New Roman" w:cs="Times New Roman"/>
          <w:sz w:val="24"/>
          <w:szCs w:val="24"/>
        </w:rPr>
        <w:t>aminolevulinic</w:t>
      </w:r>
      <w:proofErr w:type="spellEnd"/>
      <w:r w:rsidRPr="005A5CB8">
        <w:rPr>
          <w:rFonts w:ascii="Times New Roman" w:hAnsi="Times New Roman" w:cs="Times New Roman"/>
          <w:sz w:val="24"/>
          <w:szCs w:val="24"/>
        </w:rPr>
        <w:t xml:space="preserve"> acid dehydratase and </w:t>
      </w:r>
      <w:proofErr w:type="spellStart"/>
      <w:r w:rsidRPr="005A5CB8">
        <w:rPr>
          <w:rFonts w:ascii="Times New Roman" w:hAnsi="Times New Roman" w:cs="Times New Roman"/>
          <w:sz w:val="24"/>
          <w:szCs w:val="24"/>
        </w:rPr>
        <w:t>ferrochelatase</w:t>
      </w:r>
      <w:proofErr w:type="spellEnd"/>
      <w:r w:rsidRPr="005A5CB8">
        <w:rPr>
          <w:rFonts w:ascii="Times New Roman" w:hAnsi="Times New Roman" w:cs="Times New Roman"/>
          <w:sz w:val="24"/>
          <w:szCs w:val="24"/>
        </w:rPr>
        <w:t xml:space="preserve">, disrupts iron utilization, and increases erythrocyte fragility, resulting in </w:t>
      </w:r>
      <w:proofErr w:type="spellStart"/>
      <w:r w:rsidRPr="005A5CB8">
        <w:rPr>
          <w:rFonts w:ascii="Times New Roman" w:hAnsi="Times New Roman" w:cs="Times New Roman"/>
          <w:sz w:val="24"/>
          <w:szCs w:val="24"/>
        </w:rPr>
        <w:t>anemia</w:t>
      </w:r>
      <w:proofErr w:type="spellEnd"/>
      <w:r w:rsidRPr="005A5CB8">
        <w:rPr>
          <w:rFonts w:ascii="Times New Roman" w:hAnsi="Times New Roman" w:cs="Times New Roman"/>
          <w:sz w:val="24"/>
          <w:szCs w:val="24"/>
        </w:rPr>
        <w:t xml:space="preserve"> characterized by reduced </w:t>
      </w:r>
      <w:r w:rsidR="00356CAC" w:rsidRPr="005A5CB8">
        <w:rPr>
          <w:rFonts w:ascii="Times New Roman" w:hAnsi="Times New Roman" w:cs="Times New Roman"/>
          <w:sz w:val="24"/>
          <w:szCs w:val="24"/>
        </w:rPr>
        <w:t>haemoglobin</w:t>
      </w:r>
      <w:r w:rsidRPr="005A5CB8">
        <w:rPr>
          <w:rFonts w:ascii="Times New Roman" w:hAnsi="Times New Roman" w:cs="Times New Roman"/>
          <w:sz w:val="24"/>
          <w:szCs w:val="24"/>
        </w:rPr>
        <w:t xml:space="preserve"> concentration, erythrocyte count, and packed cell volume (Masso-Gonzalez and Antonio-Garcia, 2009; Jassim and Hassan, 2011; </w:t>
      </w:r>
      <w:proofErr w:type="spellStart"/>
      <w:r w:rsidRPr="005A5CB8">
        <w:rPr>
          <w:rFonts w:ascii="Times New Roman" w:hAnsi="Times New Roman" w:cs="Times New Roman"/>
          <w:sz w:val="24"/>
          <w:szCs w:val="24"/>
        </w:rPr>
        <w:t>Aladaileh</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2020).</w:t>
      </w:r>
    </w:p>
    <w:p w14:paraId="69336570" w14:textId="62DC9BBA"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In addition to </w:t>
      </w:r>
      <w:proofErr w:type="spellStart"/>
      <w:r w:rsidRPr="005A5CB8">
        <w:rPr>
          <w:rFonts w:ascii="Times New Roman" w:hAnsi="Times New Roman" w:cs="Times New Roman"/>
          <w:sz w:val="24"/>
          <w:szCs w:val="24"/>
        </w:rPr>
        <w:t>hematotoxicity</w:t>
      </w:r>
      <w:proofErr w:type="spellEnd"/>
      <w:r w:rsidRPr="005A5CB8">
        <w:rPr>
          <w:rFonts w:ascii="Times New Roman" w:hAnsi="Times New Roman" w:cs="Times New Roman"/>
          <w:sz w:val="24"/>
          <w:szCs w:val="24"/>
        </w:rPr>
        <w:t xml:space="preserve">, lead disrupts essential mineral homeostasis by competing with biologically important elements such as calcium, iron, zinc, and copper. This displacement alters enzymatic activity, cellular </w:t>
      </w:r>
      <w:proofErr w:type="spellStart"/>
      <w:r w:rsidRPr="005A5CB8">
        <w:rPr>
          <w:rFonts w:ascii="Times New Roman" w:hAnsi="Times New Roman" w:cs="Times New Roman"/>
          <w:sz w:val="24"/>
          <w:szCs w:val="24"/>
        </w:rPr>
        <w:t>signaling</w:t>
      </w:r>
      <w:proofErr w:type="spellEnd"/>
      <w:r w:rsidRPr="005A5CB8">
        <w:rPr>
          <w:rFonts w:ascii="Times New Roman" w:hAnsi="Times New Roman" w:cs="Times New Roman"/>
          <w:sz w:val="24"/>
          <w:szCs w:val="24"/>
        </w:rPr>
        <w:t xml:space="preserve">, and metabolic balance, thereby amplifying systemic toxicity (Ouyang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2019). Altered mineral status further contributes to </w:t>
      </w:r>
      <w:proofErr w:type="spellStart"/>
      <w:r w:rsidRPr="005A5CB8">
        <w:rPr>
          <w:rFonts w:ascii="Times New Roman" w:hAnsi="Times New Roman" w:cs="Times New Roman"/>
          <w:sz w:val="24"/>
          <w:szCs w:val="24"/>
        </w:rPr>
        <w:t>anemia</w:t>
      </w:r>
      <w:proofErr w:type="spellEnd"/>
      <w:r w:rsidRPr="005A5CB8">
        <w:rPr>
          <w:rFonts w:ascii="Times New Roman" w:hAnsi="Times New Roman" w:cs="Times New Roman"/>
          <w:sz w:val="24"/>
          <w:szCs w:val="24"/>
        </w:rPr>
        <w:t>, impaired growth, and metabolic dysfunction during pregnancy and early development.</w:t>
      </w:r>
    </w:p>
    <w:p w14:paraId="73C768A7" w14:textId="429E549A"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Nutritional and plant-based interventions have gained increasing attention as supportive strategies against heavy metal toxicity.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a widely cultivated medicinal plant, is rich in antioxidants, flavonoids, vitamins, and essential minerals and has demonstrated protective effects against oxidative and heavy metal–induced damage in experimental studies. Its nutritional density and potential metal-binding phytochemicals suggest a possible ameliorative role in systemic lead toxicity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6CC45944" w14:textId="18F2F7B0"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2. </w:t>
      </w:r>
      <w:r w:rsidR="00C4710A" w:rsidRPr="00C4710A">
        <w:rPr>
          <w:rFonts w:ascii="Times New Roman" w:hAnsi="Times New Roman" w:cs="Times New Roman"/>
          <w:b/>
          <w:bCs/>
          <w:sz w:val="24"/>
          <w:szCs w:val="24"/>
        </w:rPr>
        <w:t>Methodology</w:t>
      </w:r>
    </w:p>
    <w:p w14:paraId="4A4D4F02" w14:textId="7777777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2.1 Location and study period</w:t>
      </w:r>
    </w:p>
    <w:p w14:paraId="64E538FA" w14:textId="3AE799F6" w:rsidR="003B6BAC" w:rsidRPr="005A5CB8" w:rsidRDefault="003B6BAC" w:rsidP="003B6BAC">
      <w:pPr>
        <w:jc w:val="lowKashida"/>
        <w:rPr>
          <w:rFonts w:ascii="Times New Roman" w:hAnsi="Times New Roman" w:cs="Times New Roman"/>
          <w:sz w:val="24"/>
          <w:szCs w:val="24"/>
        </w:rPr>
      </w:pPr>
      <w:r w:rsidRPr="005A5CB8">
        <w:rPr>
          <w:rFonts w:ascii="Times New Roman" w:hAnsi="Times New Roman" w:cs="Times New Roman"/>
          <w:sz w:val="24"/>
          <w:szCs w:val="24"/>
        </w:rPr>
        <w:t>The study was conducted in the Department of Veterinary Pathology with animals housed in the Central Laboratory Animal House under controlled environmental conditions. The study duration was six months</w:t>
      </w:r>
    </w:p>
    <w:p w14:paraId="43A1854E" w14:textId="3F87C586"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3B6BAC" w:rsidRPr="005A5CB8">
        <w:rPr>
          <w:rFonts w:ascii="Times New Roman" w:hAnsi="Times New Roman" w:cs="Times New Roman"/>
          <w:b/>
          <w:bCs/>
          <w:sz w:val="24"/>
          <w:szCs w:val="24"/>
        </w:rPr>
        <w:t>2</w:t>
      </w:r>
      <w:r w:rsidRPr="005A5CB8">
        <w:rPr>
          <w:rFonts w:ascii="Times New Roman" w:hAnsi="Times New Roman" w:cs="Times New Roman"/>
          <w:b/>
          <w:bCs/>
          <w:sz w:val="24"/>
          <w:szCs w:val="24"/>
        </w:rPr>
        <w:t xml:space="preserve"> Experimental animals and grouping</w:t>
      </w:r>
    </w:p>
    <w:p w14:paraId="6F65264B" w14:textId="74C2E5DA"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Female Wistar rats (approximately 12 weeks old, 180–200 g) were procured from a certified breeder. After acclimatization, mating was performed in a 1:1 ratio. Pregnancy was confirmed by vaginal plug and smear examination and designated as gestation day 0.</w:t>
      </w:r>
    </w:p>
    <w:p w14:paraId="408029DD" w14:textId="2498D3EA"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2.3 Experimental design</w:t>
      </w:r>
    </w:p>
    <w:p w14:paraId="2683E811" w14:textId="76937CDD" w:rsidR="005A2514" w:rsidRPr="005A5CB8" w:rsidRDefault="00BC4DB5" w:rsidP="005A2514">
      <w:pPr>
        <w:jc w:val="lowKashida"/>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5A2514" w:rsidRPr="005A5CB8">
        <w:rPr>
          <w:rFonts w:ascii="Times New Roman" w:hAnsi="Times New Roman" w:cs="Times New Roman"/>
          <w:sz w:val="24"/>
          <w:szCs w:val="24"/>
        </w:rPr>
        <w:t>Eighteen pregnant Wistar rats (180–200 g) were divided into three groups (n=6)</w:t>
      </w:r>
    </w:p>
    <w:tbl>
      <w:tblPr>
        <w:tblW w:w="8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945"/>
        <w:gridCol w:w="4815"/>
        <w:gridCol w:w="2374"/>
      </w:tblGrid>
      <w:tr w:rsidR="005A2514" w:rsidRPr="005A5CB8" w14:paraId="5323642C" w14:textId="77777777" w:rsidTr="00356CAC">
        <w:trPr>
          <w:trHeight w:val="20"/>
          <w:jc w:val="center"/>
        </w:trPr>
        <w:tc>
          <w:tcPr>
            <w:tcW w:w="945" w:type="dxa"/>
            <w:vAlign w:val="center"/>
          </w:tcPr>
          <w:p w14:paraId="040D096E"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Group</w:t>
            </w:r>
          </w:p>
        </w:tc>
        <w:tc>
          <w:tcPr>
            <w:tcW w:w="4815" w:type="dxa"/>
            <w:vAlign w:val="center"/>
          </w:tcPr>
          <w:p w14:paraId="032F70C5"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Treatment</w:t>
            </w:r>
          </w:p>
        </w:tc>
        <w:tc>
          <w:tcPr>
            <w:tcW w:w="2374" w:type="dxa"/>
            <w:vAlign w:val="center"/>
          </w:tcPr>
          <w:p w14:paraId="4E05E4B2"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Number</w:t>
            </w:r>
            <w:r w:rsidRPr="005A5CB8">
              <w:rPr>
                <w:rFonts w:ascii="Times New Roman" w:hAnsi="Times New Roman" w:cs="Times New Roman"/>
                <w:b/>
                <w:spacing w:val="-1"/>
                <w:sz w:val="24"/>
                <w:szCs w:val="24"/>
              </w:rPr>
              <w:t xml:space="preserve"> </w:t>
            </w:r>
            <w:r w:rsidRPr="005A5CB8">
              <w:rPr>
                <w:rFonts w:ascii="Times New Roman" w:hAnsi="Times New Roman" w:cs="Times New Roman"/>
                <w:b/>
                <w:sz w:val="24"/>
                <w:szCs w:val="24"/>
              </w:rPr>
              <w:t>of</w:t>
            </w:r>
            <w:r w:rsidRPr="005A5CB8">
              <w:rPr>
                <w:rFonts w:ascii="Times New Roman" w:hAnsi="Times New Roman" w:cs="Times New Roman"/>
                <w:b/>
                <w:spacing w:val="-1"/>
                <w:sz w:val="24"/>
                <w:szCs w:val="24"/>
              </w:rPr>
              <w:t xml:space="preserve"> </w:t>
            </w:r>
            <w:r w:rsidRPr="005A5CB8">
              <w:rPr>
                <w:rFonts w:ascii="Times New Roman" w:hAnsi="Times New Roman" w:cs="Times New Roman"/>
                <w:b/>
                <w:sz w:val="24"/>
                <w:szCs w:val="24"/>
              </w:rPr>
              <w:t>animals</w:t>
            </w:r>
          </w:p>
        </w:tc>
      </w:tr>
      <w:tr w:rsidR="005A2514" w:rsidRPr="005A5CB8" w14:paraId="2DCBCDDE" w14:textId="77777777" w:rsidTr="00356CAC">
        <w:trPr>
          <w:trHeight w:val="20"/>
          <w:jc w:val="center"/>
        </w:trPr>
        <w:tc>
          <w:tcPr>
            <w:tcW w:w="945" w:type="dxa"/>
            <w:vAlign w:val="center"/>
          </w:tcPr>
          <w:p w14:paraId="0FC6BEDC"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w:t>
            </w:r>
          </w:p>
        </w:tc>
        <w:tc>
          <w:tcPr>
            <w:tcW w:w="4815" w:type="dxa"/>
            <w:vAlign w:val="center"/>
          </w:tcPr>
          <w:p w14:paraId="5694AD5A" w14:textId="77777777"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sz w:val="24"/>
                <w:szCs w:val="24"/>
              </w:rPr>
              <w:t>Control</w:t>
            </w:r>
          </w:p>
        </w:tc>
        <w:tc>
          <w:tcPr>
            <w:tcW w:w="2374" w:type="dxa"/>
            <w:vAlign w:val="center"/>
          </w:tcPr>
          <w:p w14:paraId="20CB2EB6"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r w:rsidR="005A2514" w:rsidRPr="005A5CB8" w14:paraId="6C1B92BC" w14:textId="77777777" w:rsidTr="00356CAC">
        <w:trPr>
          <w:trHeight w:val="20"/>
          <w:jc w:val="center"/>
        </w:trPr>
        <w:tc>
          <w:tcPr>
            <w:tcW w:w="945" w:type="dxa"/>
            <w:vAlign w:val="center"/>
          </w:tcPr>
          <w:p w14:paraId="7EA577A4"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II</w:t>
            </w:r>
          </w:p>
        </w:tc>
        <w:tc>
          <w:tcPr>
            <w:tcW w:w="4815" w:type="dxa"/>
            <w:vAlign w:val="center"/>
          </w:tcPr>
          <w:p w14:paraId="2CEBBF0C" w14:textId="77777777"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color w:val="000000" w:themeColor="text1"/>
                <w:spacing w:val="-2"/>
                <w:sz w:val="24"/>
                <w:szCs w:val="24"/>
              </w:rPr>
              <w:t>Lead acetate @ of</w:t>
            </w:r>
            <w:r w:rsidRPr="005A5CB8">
              <w:rPr>
                <w:rFonts w:ascii="Times New Roman" w:hAnsi="Times New Roman" w:cs="Times New Roman"/>
                <w:color w:val="000000" w:themeColor="text1"/>
                <w:sz w:val="24"/>
                <w:szCs w:val="24"/>
              </w:rPr>
              <w:t xml:space="preserve"> 0.8% in drinking water</w:t>
            </w:r>
          </w:p>
        </w:tc>
        <w:tc>
          <w:tcPr>
            <w:tcW w:w="2374" w:type="dxa"/>
            <w:vAlign w:val="center"/>
          </w:tcPr>
          <w:p w14:paraId="6B0CFB8F"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r w:rsidR="005A2514" w:rsidRPr="005A5CB8" w14:paraId="346EA602" w14:textId="77777777" w:rsidTr="00356CAC">
        <w:trPr>
          <w:trHeight w:val="20"/>
          <w:jc w:val="center"/>
        </w:trPr>
        <w:tc>
          <w:tcPr>
            <w:tcW w:w="945" w:type="dxa"/>
            <w:vAlign w:val="center"/>
          </w:tcPr>
          <w:p w14:paraId="78D924D0"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III</w:t>
            </w:r>
          </w:p>
        </w:tc>
        <w:tc>
          <w:tcPr>
            <w:tcW w:w="4815" w:type="dxa"/>
            <w:vAlign w:val="center"/>
          </w:tcPr>
          <w:p w14:paraId="3D663CC5" w14:textId="08B2027B"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color w:val="000000" w:themeColor="text1"/>
                <w:sz w:val="24"/>
                <w:szCs w:val="24"/>
              </w:rPr>
              <w:t xml:space="preserve">Lead acetate at the dose rate of 0.8% in drinking water </w:t>
            </w:r>
            <w:proofErr w:type="gramStart"/>
            <w:r w:rsidRPr="005A5CB8">
              <w:rPr>
                <w:rFonts w:ascii="Times New Roman" w:hAnsi="Times New Roman" w:cs="Times New Roman"/>
                <w:color w:val="000000" w:themeColor="text1"/>
                <w:sz w:val="24"/>
                <w:szCs w:val="24"/>
              </w:rPr>
              <w:t xml:space="preserve">+ </w:t>
            </w:r>
            <w:r w:rsidRPr="005A5CB8">
              <w:rPr>
                <w:rFonts w:ascii="Times New Roman" w:hAnsi="Times New Roman" w:cs="Times New Roman"/>
                <w:i/>
                <w:iCs/>
                <w:color w:val="000000" w:themeColor="text1"/>
                <w:sz w:val="24"/>
                <w:szCs w:val="24"/>
              </w:rPr>
              <w:t xml:space="preserve"> </w:t>
            </w:r>
            <w:r w:rsidR="00C4710A" w:rsidRPr="00C4710A">
              <w:rPr>
                <w:rFonts w:ascii="Times New Roman" w:hAnsi="Times New Roman" w:cs="Times New Roman"/>
                <w:i/>
                <w:iCs/>
                <w:color w:val="000000" w:themeColor="text1"/>
                <w:sz w:val="24"/>
                <w:szCs w:val="24"/>
              </w:rPr>
              <w:t>Moringa</w:t>
            </w:r>
            <w:proofErr w:type="gramEnd"/>
            <w:r w:rsidR="00C4710A" w:rsidRPr="00C4710A">
              <w:rPr>
                <w:rFonts w:ascii="Times New Roman" w:hAnsi="Times New Roman" w:cs="Times New Roman"/>
                <w:i/>
                <w:iCs/>
                <w:color w:val="000000" w:themeColor="text1"/>
                <w:sz w:val="24"/>
                <w:szCs w:val="24"/>
              </w:rPr>
              <w:t xml:space="preserve"> oleifera</w:t>
            </w:r>
            <w:r w:rsidRPr="005A5CB8">
              <w:rPr>
                <w:rFonts w:ascii="Times New Roman" w:hAnsi="Times New Roman" w:cs="Times New Roman"/>
                <w:i/>
                <w:iCs/>
                <w:color w:val="000000" w:themeColor="text1"/>
                <w:sz w:val="24"/>
                <w:szCs w:val="24"/>
              </w:rPr>
              <w:t xml:space="preserve"> </w:t>
            </w:r>
            <w:r w:rsidRPr="005A5CB8">
              <w:rPr>
                <w:rFonts w:ascii="Times New Roman" w:hAnsi="Times New Roman" w:cs="Times New Roman"/>
                <w:color w:val="000000" w:themeColor="text1"/>
                <w:sz w:val="24"/>
                <w:szCs w:val="24"/>
              </w:rPr>
              <w:t>@ of 400 mg/kg</w:t>
            </w:r>
          </w:p>
        </w:tc>
        <w:tc>
          <w:tcPr>
            <w:tcW w:w="2374" w:type="dxa"/>
            <w:vAlign w:val="center"/>
          </w:tcPr>
          <w:p w14:paraId="16361920"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bl>
    <w:p w14:paraId="6B0E0166" w14:textId="77777777" w:rsidR="005A2514" w:rsidRPr="005A5CB8" w:rsidRDefault="005A2514" w:rsidP="005A2514">
      <w:pPr>
        <w:jc w:val="lowKashida"/>
        <w:rPr>
          <w:rFonts w:ascii="Times New Roman" w:hAnsi="Times New Roman" w:cs="Times New Roman"/>
          <w:sz w:val="24"/>
          <w:szCs w:val="24"/>
        </w:rPr>
      </w:pPr>
      <w:r w:rsidRPr="005A5CB8">
        <w:rPr>
          <w:rFonts w:ascii="Times New Roman" w:hAnsi="Times New Roman" w:cs="Times New Roman"/>
          <w:sz w:val="24"/>
          <w:szCs w:val="24"/>
        </w:rPr>
        <w:t xml:space="preserve">Treatment was given from gestation day 5 to postnatal day 21. Animals were maintained under standard laboratory conditions and ethical guidelines </w:t>
      </w:r>
    </w:p>
    <w:p w14:paraId="4038CC5A" w14:textId="725EEE57"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3B6BAC" w:rsidRPr="005A5CB8">
        <w:rPr>
          <w:rFonts w:ascii="Times New Roman" w:hAnsi="Times New Roman" w:cs="Times New Roman"/>
          <w:b/>
          <w:bCs/>
          <w:sz w:val="24"/>
          <w:szCs w:val="24"/>
        </w:rPr>
        <w:t>4</w:t>
      </w:r>
      <w:r w:rsidRPr="005A5CB8">
        <w:rPr>
          <w:rFonts w:ascii="Times New Roman" w:hAnsi="Times New Roman" w:cs="Times New Roman"/>
          <w:b/>
          <w:bCs/>
          <w:sz w:val="24"/>
          <w:szCs w:val="24"/>
        </w:rPr>
        <w:t xml:space="preserve"> Growth and offspring parameters</w:t>
      </w:r>
    </w:p>
    <w:p w14:paraId="5E0466EB" w14:textId="77777777" w:rsidR="005A2514" w:rsidRPr="005A5CB8" w:rsidRDefault="005A2514" w:rsidP="005A2514">
      <w:pPr>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Maternal body weights were recorded weekly. Pup body weights were recorded on postnatal days 0, 7, 14, and 21. Litter size, litter weight, live and dead pups per group, and per dam were recorded.</w:t>
      </w:r>
    </w:p>
    <w:p w14:paraId="451FCE53" w14:textId="402E2AA8"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2.5 </w:t>
      </w:r>
      <w:r w:rsidR="001B6DF0">
        <w:rPr>
          <w:rFonts w:ascii="Times New Roman" w:hAnsi="Times New Roman" w:cs="Times New Roman"/>
          <w:b/>
          <w:bCs/>
          <w:sz w:val="24"/>
          <w:szCs w:val="24"/>
        </w:rPr>
        <w:t xml:space="preserve">Haematology </w:t>
      </w:r>
    </w:p>
    <w:p w14:paraId="103135BE" w14:textId="77777777"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Blood samples were collected in heparinized tubes. Hb, TEC, and PCV were measured using an automated </w:t>
      </w:r>
      <w:proofErr w:type="spellStart"/>
      <w:r w:rsidRPr="005A5CB8">
        <w:rPr>
          <w:rFonts w:ascii="Times New Roman" w:hAnsi="Times New Roman" w:cs="Times New Roman"/>
          <w:sz w:val="24"/>
          <w:szCs w:val="24"/>
        </w:rPr>
        <w:t>analyzer</w:t>
      </w:r>
      <w:proofErr w:type="spellEnd"/>
      <w:r w:rsidRPr="005A5CB8">
        <w:rPr>
          <w:rFonts w:ascii="Times New Roman" w:hAnsi="Times New Roman" w:cs="Times New Roman"/>
          <w:sz w:val="24"/>
          <w:szCs w:val="24"/>
        </w:rPr>
        <w:t>.</w:t>
      </w:r>
    </w:p>
    <w:p w14:paraId="130C8658" w14:textId="5BDB3FB9"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2.6 Estimation of blood mineral levels</w:t>
      </w:r>
    </w:p>
    <w:p w14:paraId="7EAB5FB2" w14:textId="2952ADDC"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Blood mineral concentrations were estimated simultaneously with blood lead levels using inductively coupled plasma mass spectrometry (ICP-MS) following microwave-assisted wet acid digestion. Whole blood samples collected in anticoagulant-coated tubes were stored under refrigerated conditions until analysis. For digestion, a </w:t>
      </w:r>
      <w:r w:rsidR="005418F0" w:rsidRPr="005A5CB8">
        <w:rPr>
          <w:rFonts w:ascii="Times New Roman" w:hAnsi="Times New Roman" w:cs="Times New Roman"/>
          <w:sz w:val="24"/>
          <w:szCs w:val="24"/>
        </w:rPr>
        <w:t>1 ml</w:t>
      </w:r>
      <w:r w:rsidRPr="005A5CB8">
        <w:rPr>
          <w:rFonts w:ascii="Times New Roman" w:hAnsi="Times New Roman" w:cs="Times New Roman"/>
          <w:sz w:val="24"/>
          <w:szCs w:val="24"/>
        </w:rPr>
        <w:t xml:space="preserve"> of whole blood was transferred into acid-washed digestion vessels, and concentrated nitric acid was added along with hydrogen peroxide as an oxidizing agent. Samples were allowed to undergo pre-digestion at room temperature to control excessive reaction and were then subjected to controlled heating in a digestion assembly until a clear, </w:t>
      </w:r>
      <w:proofErr w:type="spellStart"/>
      <w:r w:rsidRPr="005A5CB8">
        <w:rPr>
          <w:rFonts w:ascii="Times New Roman" w:hAnsi="Times New Roman" w:cs="Times New Roman"/>
          <w:sz w:val="24"/>
          <w:szCs w:val="24"/>
        </w:rPr>
        <w:t>colorless</w:t>
      </w:r>
      <w:proofErr w:type="spellEnd"/>
      <w:r w:rsidRPr="005A5CB8">
        <w:rPr>
          <w:rFonts w:ascii="Times New Roman" w:hAnsi="Times New Roman" w:cs="Times New Roman"/>
          <w:sz w:val="24"/>
          <w:szCs w:val="24"/>
        </w:rPr>
        <w:t xml:space="preserve"> solution was obtained, indicating complete destruction of the organic matrix.</w:t>
      </w:r>
      <w:r w:rsidR="00FA1348" w:rsidRPr="005A5CB8">
        <w:rPr>
          <w:rFonts w:ascii="Times New Roman" w:hAnsi="Times New Roman" w:cs="Times New Roman"/>
          <w:sz w:val="24"/>
          <w:szCs w:val="24"/>
        </w:rPr>
        <w:t xml:space="preserve"> </w:t>
      </w:r>
      <w:r w:rsidRPr="005A5CB8">
        <w:rPr>
          <w:rFonts w:ascii="Times New Roman" w:hAnsi="Times New Roman" w:cs="Times New Roman"/>
          <w:sz w:val="24"/>
          <w:szCs w:val="24"/>
        </w:rPr>
        <w:t xml:space="preserve">After digestion, samples were cooled and diluted to a </w:t>
      </w:r>
      <w:r w:rsidR="005418F0" w:rsidRPr="005A5CB8">
        <w:rPr>
          <w:rFonts w:ascii="Times New Roman" w:hAnsi="Times New Roman" w:cs="Times New Roman"/>
          <w:sz w:val="24"/>
          <w:szCs w:val="24"/>
        </w:rPr>
        <w:t>10 ml</w:t>
      </w:r>
      <w:r w:rsidRPr="005A5CB8">
        <w:rPr>
          <w:rFonts w:ascii="Times New Roman" w:hAnsi="Times New Roman" w:cs="Times New Roman"/>
          <w:sz w:val="24"/>
          <w:szCs w:val="24"/>
        </w:rPr>
        <w:t xml:space="preserve"> final volume using double-distilled deionized water. The digested solutions were transferred into acid-washed polypropylene tubes and maintained at low temperature until instrumental analysis. Multi-element calibration standards covering the expected analytical range were prepared from certified reference standards, and calibration curves were generated prior to sample analysis (Welna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2011).</w:t>
      </w:r>
    </w:p>
    <w:p w14:paraId="0F832514" w14:textId="77777777"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Mineral elements </w:t>
      </w:r>
      <w:proofErr w:type="spellStart"/>
      <w:r w:rsidRPr="005A5CB8">
        <w:rPr>
          <w:rFonts w:ascii="Times New Roman" w:hAnsi="Times New Roman" w:cs="Times New Roman"/>
          <w:sz w:val="24"/>
          <w:szCs w:val="24"/>
        </w:rPr>
        <w:t>analyzed</w:t>
      </w:r>
      <w:proofErr w:type="spellEnd"/>
      <w:r w:rsidRPr="005A5CB8">
        <w:rPr>
          <w:rFonts w:ascii="Times New Roman" w:hAnsi="Times New Roman" w:cs="Times New Roman"/>
          <w:sz w:val="24"/>
          <w:szCs w:val="24"/>
        </w:rPr>
        <w:t xml:space="preserve"> included calcium (Ca), iron (Fe), zinc (Zn), and copper (Cu). Instrument calibration was verified using quality control standards and reagent blanks to ensure analytical accuracy and to correct for background signal. Samples were </w:t>
      </w:r>
      <w:proofErr w:type="spellStart"/>
      <w:r w:rsidRPr="005A5CB8">
        <w:rPr>
          <w:rFonts w:ascii="Times New Roman" w:hAnsi="Times New Roman" w:cs="Times New Roman"/>
          <w:sz w:val="24"/>
          <w:szCs w:val="24"/>
        </w:rPr>
        <w:t>analyzed</w:t>
      </w:r>
      <w:proofErr w:type="spellEnd"/>
      <w:r w:rsidRPr="005A5CB8">
        <w:rPr>
          <w:rFonts w:ascii="Times New Roman" w:hAnsi="Times New Roman" w:cs="Times New Roman"/>
          <w:sz w:val="24"/>
          <w:szCs w:val="24"/>
        </w:rPr>
        <w:t xml:space="preserve"> in batch mode with calibration verification after defined intervals to maintain instrument stability. All measurements were carried out under validated operating conditions using manufacturer-recommended parameters for plasma power, gas flow, and detection mode.</w:t>
      </w:r>
    </w:p>
    <w:p w14:paraId="35323C05" w14:textId="21FE640A"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Elemental concentrations obtained from the instrument output were corrected for dilution factors and expressed in mg/dl for data presentation. Internal quality control procedures, including blank runs and standard checks, were applied throughout the analytical sequence to ensure precision and reproducibility of mineral estimation</w:t>
      </w:r>
      <w:r w:rsidRPr="005A5CB8">
        <w:rPr>
          <w:rFonts w:ascii="Times New Roman" w:hAnsi="Times New Roman" w:cs="Times New Roman"/>
        </w:rPr>
        <w:t xml:space="preserve"> </w:t>
      </w:r>
    </w:p>
    <w:p w14:paraId="6A3605DB" w14:textId="754F057B" w:rsidR="000A2E89" w:rsidRPr="000A2E89" w:rsidRDefault="000A2E89" w:rsidP="005A2514">
      <w:pPr>
        <w:jc w:val="lowKashida"/>
        <w:rPr>
          <w:rFonts w:ascii="Times New Roman" w:hAnsi="Times New Roman" w:cs="Times New Roman"/>
          <w:b/>
          <w:bCs/>
          <w:sz w:val="24"/>
          <w:szCs w:val="24"/>
        </w:rPr>
      </w:pPr>
      <w:r w:rsidRPr="000A2E89">
        <w:rPr>
          <w:rFonts w:ascii="Times New Roman" w:hAnsi="Times New Roman" w:cs="Times New Roman"/>
          <w:b/>
          <w:bCs/>
          <w:sz w:val="24"/>
          <w:szCs w:val="24"/>
        </w:rPr>
        <w:t xml:space="preserve">Supplementary Material </w:t>
      </w:r>
    </w:p>
    <w:p w14:paraId="1CB0B8BC" w14:textId="77777777" w:rsidR="000A2E89" w:rsidRPr="000770FF" w:rsidRDefault="000A2E89" w:rsidP="000A2E89">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t>Pregnant Wistar rats in groups I and II were provided with a commercially available pelleted diet containing wheat, alfalfa, soybean, vitamins, and minerals. Rats in group III received feed supplemented with Moringa oleifera leaf powder at a dose rate of 400 mg/kg body weight/day.</w:t>
      </w:r>
    </w:p>
    <w:p w14:paraId="42ABB84C" w14:textId="77777777" w:rsidR="000A2E89" w:rsidRPr="000770FF" w:rsidRDefault="000A2E89" w:rsidP="000A2E89">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t>Moringa oleifera leaves were obtained from the Department of Horticulture, Jawaharlal Nehru Krishi Vishwa Vidyalaya (JNKVV), Jabalpur, India, air-dried, and finely powdered before incorporation into the feed. The required quantity of Moringa powder was mixed thoroughly with powdered rat feed to achieve the desired dose, and 10 g pellets were prepared and air-dried for 24 hours.</w:t>
      </w:r>
    </w:p>
    <w:p w14:paraId="50CA17B2" w14:textId="77777777" w:rsidR="000A2E89" w:rsidRPr="000770FF" w:rsidRDefault="000A2E89" w:rsidP="000A2E89">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lastRenderedPageBreak/>
        <w:t>To ensure uniform intake of 0.8% lead acetate supplemented drinking water and enriched feed, animals were subjected to overnight fasting (8:00 PM–8:00 AM). Each rat received one enriched pellet (10 g) daily along with 30 g of normal feed. The dose of Moringa oleifera was adjusted weekly based on the average body weight of the animals, and the quantity incorporated during feed preparation was rounded to the nearest 10 mg to avoid under-dosing.</w:t>
      </w:r>
    </w:p>
    <w:p w14:paraId="4AA4507D" w14:textId="77777777" w:rsidR="000A2E89" w:rsidRPr="000A2E89" w:rsidRDefault="000A2E89" w:rsidP="005A2514">
      <w:pPr>
        <w:jc w:val="lowKashida"/>
        <w:rPr>
          <w:rFonts w:ascii="Times New Roman" w:hAnsi="Times New Roman" w:cs="Times New Roman"/>
          <w:sz w:val="24"/>
          <w:szCs w:val="24"/>
        </w:rPr>
      </w:pPr>
    </w:p>
    <w:p w14:paraId="20E0D175" w14:textId="73923265"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C124BC" w:rsidRPr="005A5CB8">
        <w:rPr>
          <w:rFonts w:ascii="Times New Roman" w:hAnsi="Times New Roman" w:cs="Times New Roman"/>
          <w:b/>
          <w:bCs/>
          <w:sz w:val="24"/>
          <w:szCs w:val="24"/>
        </w:rPr>
        <w:t>7</w:t>
      </w:r>
      <w:r w:rsidRPr="005A5CB8">
        <w:rPr>
          <w:rFonts w:ascii="Times New Roman" w:hAnsi="Times New Roman" w:cs="Times New Roman"/>
          <w:b/>
          <w:bCs/>
          <w:sz w:val="24"/>
          <w:szCs w:val="24"/>
        </w:rPr>
        <w:t xml:space="preserve"> Statistical analysis</w:t>
      </w:r>
    </w:p>
    <w:p w14:paraId="19B33234" w14:textId="701BA0E7" w:rsidR="00C124BC" w:rsidRPr="001B6DF0" w:rsidRDefault="005A2514" w:rsidP="001B6DF0">
      <w:pPr>
        <w:jc w:val="lowKashida"/>
        <w:rPr>
          <w:rFonts w:ascii="Times New Roman" w:hAnsi="Times New Roman" w:cs="Times New Roman"/>
          <w:sz w:val="24"/>
          <w:szCs w:val="24"/>
        </w:rPr>
      </w:pPr>
      <w:r w:rsidRPr="005A5CB8">
        <w:rPr>
          <w:rFonts w:ascii="Times New Roman" w:hAnsi="Times New Roman" w:cs="Times New Roman"/>
          <w:sz w:val="24"/>
          <w:szCs w:val="24"/>
        </w:rPr>
        <w:t>Data were expressed as Mean ± SE. One-way ANOVA followed by pairwise comparison was applied. Significance was set at p ≤ 0.05</w:t>
      </w:r>
    </w:p>
    <w:p w14:paraId="416FA615" w14:textId="048FBF86" w:rsidR="005A2514" w:rsidRPr="005A5CB8" w:rsidRDefault="005A2514" w:rsidP="00356C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 Results</w:t>
      </w:r>
    </w:p>
    <w:p w14:paraId="53CD3BFC" w14:textId="7777777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3.1 Maternal body weight</w:t>
      </w:r>
    </w:p>
    <w:p w14:paraId="03830C77" w14:textId="0280EF58"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Control dams showed steady gestational and lactational weight gain. Lead-treated dams showed progressive suppression of weight gain beginning mid-gestation and extending through lactation. The Moringa group showed significantly improved weight gain compared with lead</w:t>
      </w:r>
      <w:r w:rsidR="0026108D">
        <w:rPr>
          <w:rFonts w:ascii="Times New Roman" w:hAnsi="Times New Roman" w:cs="Times New Roman"/>
          <w:sz w:val="24"/>
          <w:szCs w:val="24"/>
        </w:rPr>
        <w:t xml:space="preserve"> </w:t>
      </w:r>
      <w:r w:rsidRPr="005A5CB8">
        <w:rPr>
          <w:rFonts w:ascii="Times New Roman" w:hAnsi="Times New Roman" w:cs="Times New Roman"/>
          <w:sz w:val="24"/>
          <w:szCs w:val="24"/>
        </w:rPr>
        <w:t>only animals.</w:t>
      </w:r>
    </w:p>
    <w:p w14:paraId="443792F6" w14:textId="77777777"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Table 1. Mean weekly body weight (g) of dams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
        <w:gridCol w:w="1235"/>
        <w:gridCol w:w="1237"/>
        <w:gridCol w:w="1237"/>
        <w:gridCol w:w="1235"/>
        <w:gridCol w:w="40"/>
        <w:gridCol w:w="1197"/>
        <w:gridCol w:w="1237"/>
        <w:gridCol w:w="1095"/>
      </w:tblGrid>
      <w:tr w:rsidR="003B6BAC" w:rsidRPr="005A5CB8" w14:paraId="46140024" w14:textId="77777777" w:rsidTr="00A65037">
        <w:trPr>
          <w:trHeight w:val="29"/>
          <w:jc w:val="center"/>
        </w:trPr>
        <w:tc>
          <w:tcPr>
            <w:tcW w:w="279" w:type="pct"/>
            <w:vMerge w:val="restart"/>
            <w:tcMar>
              <w:top w:w="15" w:type="dxa"/>
              <w:left w:w="108" w:type="dxa"/>
              <w:bottom w:w="0" w:type="dxa"/>
              <w:right w:w="108" w:type="dxa"/>
            </w:tcMar>
            <w:vAlign w:val="center"/>
          </w:tcPr>
          <w:p w14:paraId="6BDCA92A"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p>
          <w:p w14:paraId="0B52AA78" w14:textId="77777777" w:rsidR="003B6BAC" w:rsidRPr="005A5CB8" w:rsidRDefault="003B6BAC" w:rsidP="00D56AF9">
            <w:pPr>
              <w:spacing w:before="40" w:after="40" w:line="240" w:lineRule="auto"/>
              <w:rPr>
                <w:rFonts w:ascii="Times New Roman" w:hAnsi="Times New Roman" w:cs="Times New Roman"/>
                <w:color w:val="000000"/>
                <w:sz w:val="24"/>
                <w:szCs w:val="24"/>
              </w:rPr>
            </w:pPr>
          </w:p>
        </w:tc>
        <w:tc>
          <w:tcPr>
            <w:tcW w:w="4721" w:type="pct"/>
            <w:gridSpan w:val="8"/>
          </w:tcPr>
          <w:p w14:paraId="7D627AF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Weekly body weight (Mean </w:t>
            </w:r>
            <w:r w:rsidRPr="005A5CB8">
              <w:rPr>
                <w:rFonts w:ascii="Times New Roman" w:hAnsi="Times New Roman" w:cs="Times New Roman"/>
                <w:b/>
                <w:bCs/>
                <w:color w:val="000000"/>
                <w:sz w:val="24"/>
                <w:szCs w:val="24"/>
                <w:lang w:val="en-GB"/>
              </w:rPr>
              <w:t>± SE)</w:t>
            </w:r>
          </w:p>
        </w:tc>
      </w:tr>
      <w:tr w:rsidR="003B6BAC" w:rsidRPr="005A5CB8" w14:paraId="0416FACE" w14:textId="77777777" w:rsidTr="00A65037">
        <w:trPr>
          <w:trHeight w:val="29"/>
          <w:jc w:val="center"/>
        </w:trPr>
        <w:tc>
          <w:tcPr>
            <w:tcW w:w="279" w:type="pct"/>
            <w:vMerge/>
            <w:tcMar>
              <w:top w:w="15" w:type="dxa"/>
              <w:left w:w="108" w:type="dxa"/>
              <w:bottom w:w="0" w:type="dxa"/>
              <w:right w:w="108" w:type="dxa"/>
            </w:tcMar>
            <w:vAlign w:val="center"/>
            <w:hideMark/>
          </w:tcPr>
          <w:p w14:paraId="085637BA"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p>
        </w:tc>
        <w:tc>
          <w:tcPr>
            <w:tcW w:w="2764" w:type="pct"/>
            <w:gridSpan w:val="5"/>
            <w:tcMar>
              <w:top w:w="15" w:type="dxa"/>
              <w:left w:w="108" w:type="dxa"/>
              <w:bottom w:w="0" w:type="dxa"/>
              <w:right w:w="108" w:type="dxa"/>
            </w:tcMar>
            <w:vAlign w:val="center"/>
            <w:hideMark/>
          </w:tcPr>
          <w:p w14:paraId="6EA49B7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Gestation</w:t>
            </w:r>
          </w:p>
        </w:tc>
        <w:tc>
          <w:tcPr>
            <w:tcW w:w="1956" w:type="pct"/>
            <w:gridSpan w:val="3"/>
          </w:tcPr>
          <w:p w14:paraId="3BECBCE2"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Lactation</w:t>
            </w:r>
          </w:p>
        </w:tc>
      </w:tr>
      <w:tr w:rsidR="003B6BAC" w:rsidRPr="005A5CB8" w14:paraId="64F5DB10" w14:textId="77777777" w:rsidTr="00A65037">
        <w:trPr>
          <w:trHeight w:val="29"/>
          <w:jc w:val="center"/>
        </w:trPr>
        <w:tc>
          <w:tcPr>
            <w:tcW w:w="279" w:type="pct"/>
            <w:vMerge/>
            <w:vAlign w:val="center"/>
            <w:hideMark/>
          </w:tcPr>
          <w:p w14:paraId="00A05601"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p>
        </w:tc>
        <w:tc>
          <w:tcPr>
            <w:tcW w:w="685" w:type="pct"/>
            <w:tcMar>
              <w:top w:w="15" w:type="dxa"/>
              <w:left w:w="108" w:type="dxa"/>
              <w:bottom w:w="0" w:type="dxa"/>
              <w:right w:w="108" w:type="dxa"/>
            </w:tcMar>
            <w:vAlign w:val="center"/>
            <w:hideMark/>
          </w:tcPr>
          <w:p w14:paraId="22101B70"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0</w:t>
            </w:r>
          </w:p>
        </w:tc>
        <w:tc>
          <w:tcPr>
            <w:tcW w:w="686" w:type="pct"/>
            <w:tcMar>
              <w:top w:w="15" w:type="dxa"/>
              <w:left w:w="108" w:type="dxa"/>
              <w:bottom w:w="0" w:type="dxa"/>
              <w:right w:w="108" w:type="dxa"/>
            </w:tcMar>
            <w:vAlign w:val="center"/>
            <w:hideMark/>
          </w:tcPr>
          <w:p w14:paraId="5EF95E92"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w:t>
            </w:r>
          </w:p>
        </w:tc>
        <w:tc>
          <w:tcPr>
            <w:tcW w:w="686" w:type="pct"/>
            <w:tcMar>
              <w:top w:w="15" w:type="dxa"/>
              <w:left w:w="108" w:type="dxa"/>
              <w:bottom w:w="0" w:type="dxa"/>
              <w:right w:w="108" w:type="dxa"/>
            </w:tcMar>
            <w:vAlign w:val="center"/>
            <w:hideMark/>
          </w:tcPr>
          <w:p w14:paraId="1FADE5F0"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II</w:t>
            </w:r>
          </w:p>
        </w:tc>
        <w:tc>
          <w:tcPr>
            <w:tcW w:w="685" w:type="pct"/>
            <w:tcMar>
              <w:top w:w="15" w:type="dxa"/>
              <w:left w:w="108" w:type="dxa"/>
              <w:bottom w:w="0" w:type="dxa"/>
              <w:right w:w="108" w:type="dxa"/>
            </w:tcMar>
            <w:vAlign w:val="center"/>
            <w:hideMark/>
          </w:tcPr>
          <w:p w14:paraId="6D5AF0B7"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III</w:t>
            </w:r>
          </w:p>
        </w:tc>
        <w:tc>
          <w:tcPr>
            <w:tcW w:w="686" w:type="pct"/>
            <w:gridSpan w:val="2"/>
            <w:tcMar>
              <w:top w:w="15" w:type="dxa"/>
              <w:left w:w="108" w:type="dxa"/>
              <w:bottom w:w="0" w:type="dxa"/>
              <w:right w:w="108" w:type="dxa"/>
            </w:tcMar>
            <w:vAlign w:val="center"/>
            <w:hideMark/>
          </w:tcPr>
          <w:p w14:paraId="54D19617"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IV</w:t>
            </w:r>
          </w:p>
        </w:tc>
        <w:tc>
          <w:tcPr>
            <w:tcW w:w="686" w:type="pct"/>
            <w:tcMar>
              <w:top w:w="15" w:type="dxa"/>
              <w:left w:w="108" w:type="dxa"/>
              <w:bottom w:w="0" w:type="dxa"/>
              <w:right w:w="108" w:type="dxa"/>
            </w:tcMar>
            <w:vAlign w:val="center"/>
            <w:hideMark/>
          </w:tcPr>
          <w:p w14:paraId="0777C2B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V</w:t>
            </w:r>
          </w:p>
        </w:tc>
        <w:tc>
          <w:tcPr>
            <w:tcW w:w="608" w:type="pct"/>
          </w:tcPr>
          <w:p w14:paraId="18753EC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VI</w:t>
            </w:r>
          </w:p>
        </w:tc>
      </w:tr>
      <w:tr w:rsidR="003B6BAC" w:rsidRPr="005A5CB8" w14:paraId="3760DEDA" w14:textId="77777777" w:rsidTr="00A65037">
        <w:trPr>
          <w:trHeight w:val="41"/>
          <w:jc w:val="center"/>
        </w:trPr>
        <w:tc>
          <w:tcPr>
            <w:tcW w:w="279" w:type="pct"/>
            <w:tcMar>
              <w:top w:w="15" w:type="dxa"/>
              <w:left w:w="108" w:type="dxa"/>
              <w:bottom w:w="0" w:type="dxa"/>
              <w:right w:w="108" w:type="dxa"/>
            </w:tcMar>
            <w:vAlign w:val="center"/>
            <w:hideMark/>
          </w:tcPr>
          <w:p w14:paraId="46E1EA4D"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w:t>
            </w:r>
          </w:p>
        </w:tc>
        <w:tc>
          <w:tcPr>
            <w:tcW w:w="685" w:type="pct"/>
            <w:tcMar>
              <w:top w:w="15" w:type="dxa"/>
              <w:left w:w="108" w:type="dxa"/>
              <w:bottom w:w="0" w:type="dxa"/>
              <w:right w:w="108" w:type="dxa"/>
            </w:tcMar>
            <w:vAlign w:val="center"/>
            <w:hideMark/>
          </w:tcPr>
          <w:p w14:paraId="63E65E9E"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200.50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4.42</w:t>
            </w:r>
          </w:p>
        </w:tc>
        <w:tc>
          <w:tcPr>
            <w:tcW w:w="686" w:type="pct"/>
            <w:tcMar>
              <w:top w:w="15" w:type="dxa"/>
              <w:left w:w="108" w:type="dxa"/>
              <w:bottom w:w="0" w:type="dxa"/>
              <w:right w:w="108" w:type="dxa"/>
            </w:tcMar>
            <w:vAlign w:val="center"/>
            <w:hideMark/>
          </w:tcPr>
          <w:p w14:paraId="17C8BAA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203.67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5.22</w:t>
            </w:r>
          </w:p>
        </w:tc>
        <w:tc>
          <w:tcPr>
            <w:tcW w:w="686" w:type="pct"/>
            <w:tcMar>
              <w:top w:w="15" w:type="dxa"/>
              <w:left w:w="108" w:type="dxa"/>
              <w:bottom w:w="0" w:type="dxa"/>
              <w:right w:w="108" w:type="dxa"/>
            </w:tcMar>
            <w:vAlign w:val="center"/>
            <w:hideMark/>
          </w:tcPr>
          <w:p w14:paraId="0AAD57B0"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210.83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6.26</w:t>
            </w:r>
          </w:p>
        </w:tc>
        <w:tc>
          <w:tcPr>
            <w:tcW w:w="685" w:type="pct"/>
            <w:tcMar>
              <w:top w:w="15" w:type="dxa"/>
              <w:left w:w="108" w:type="dxa"/>
              <w:bottom w:w="0" w:type="dxa"/>
              <w:right w:w="108" w:type="dxa"/>
            </w:tcMar>
            <w:vAlign w:val="center"/>
            <w:hideMark/>
          </w:tcPr>
          <w:p w14:paraId="3709A533"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219.83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8.62</w:t>
            </w:r>
          </w:p>
        </w:tc>
        <w:tc>
          <w:tcPr>
            <w:tcW w:w="686" w:type="pct"/>
            <w:gridSpan w:val="2"/>
            <w:tcMar>
              <w:top w:w="15" w:type="dxa"/>
              <w:left w:w="108" w:type="dxa"/>
              <w:bottom w:w="0" w:type="dxa"/>
              <w:right w:w="108" w:type="dxa"/>
            </w:tcMar>
            <w:vAlign w:val="center"/>
            <w:hideMark/>
          </w:tcPr>
          <w:p w14:paraId="08135A1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239.50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6.07</w:t>
            </w:r>
          </w:p>
        </w:tc>
        <w:tc>
          <w:tcPr>
            <w:tcW w:w="686" w:type="pct"/>
            <w:tcMar>
              <w:top w:w="15" w:type="dxa"/>
              <w:left w:w="108" w:type="dxa"/>
              <w:bottom w:w="0" w:type="dxa"/>
              <w:right w:w="108" w:type="dxa"/>
            </w:tcMar>
            <w:vAlign w:val="center"/>
            <w:hideMark/>
          </w:tcPr>
          <w:p w14:paraId="6973DF8C"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239.83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5.97</w:t>
            </w:r>
          </w:p>
        </w:tc>
        <w:tc>
          <w:tcPr>
            <w:tcW w:w="608" w:type="pct"/>
            <w:vAlign w:val="center"/>
          </w:tcPr>
          <w:p w14:paraId="1D53EABC"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247.00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4.67</w:t>
            </w:r>
          </w:p>
        </w:tc>
      </w:tr>
      <w:tr w:rsidR="003B6BAC" w:rsidRPr="005A5CB8" w14:paraId="5792B60F" w14:textId="77777777" w:rsidTr="00A65037">
        <w:trPr>
          <w:trHeight w:val="41"/>
          <w:jc w:val="center"/>
        </w:trPr>
        <w:tc>
          <w:tcPr>
            <w:tcW w:w="279" w:type="pct"/>
            <w:tcMar>
              <w:top w:w="15" w:type="dxa"/>
              <w:left w:w="108" w:type="dxa"/>
              <w:bottom w:w="0" w:type="dxa"/>
              <w:right w:w="108" w:type="dxa"/>
            </w:tcMar>
            <w:vAlign w:val="center"/>
            <w:hideMark/>
          </w:tcPr>
          <w:p w14:paraId="1A521FA6"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w:t>
            </w:r>
          </w:p>
        </w:tc>
        <w:tc>
          <w:tcPr>
            <w:tcW w:w="685" w:type="pct"/>
            <w:tcMar>
              <w:top w:w="15" w:type="dxa"/>
              <w:left w:w="108" w:type="dxa"/>
              <w:bottom w:w="0" w:type="dxa"/>
              <w:right w:w="108" w:type="dxa"/>
            </w:tcMar>
            <w:vAlign w:val="center"/>
            <w:hideMark/>
          </w:tcPr>
          <w:p w14:paraId="5B94DD99"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202.00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1.93</w:t>
            </w:r>
          </w:p>
        </w:tc>
        <w:tc>
          <w:tcPr>
            <w:tcW w:w="686" w:type="pct"/>
            <w:tcMar>
              <w:top w:w="15" w:type="dxa"/>
              <w:left w:w="108" w:type="dxa"/>
              <w:bottom w:w="0" w:type="dxa"/>
              <w:right w:w="108" w:type="dxa"/>
            </w:tcMar>
            <w:vAlign w:val="center"/>
            <w:hideMark/>
          </w:tcPr>
          <w:p w14:paraId="79061C8E"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204.50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1.89</w:t>
            </w:r>
          </w:p>
        </w:tc>
        <w:tc>
          <w:tcPr>
            <w:tcW w:w="686" w:type="pct"/>
            <w:tcMar>
              <w:top w:w="15" w:type="dxa"/>
              <w:left w:w="108" w:type="dxa"/>
              <w:bottom w:w="0" w:type="dxa"/>
              <w:right w:w="108" w:type="dxa"/>
            </w:tcMar>
            <w:vAlign w:val="center"/>
            <w:hideMark/>
          </w:tcPr>
          <w:p w14:paraId="7A827BF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206.50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2.13</w:t>
            </w:r>
          </w:p>
        </w:tc>
        <w:tc>
          <w:tcPr>
            <w:tcW w:w="685" w:type="pct"/>
            <w:tcMar>
              <w:top w:w="15" w:type="dxa"/>
              <w:left w:w="108" w:type="dxa"/>
              <w:bottom w:w="0" w:type="dxa"/>
              <w:right w:w="108" w:type="dxa"/>
            </w:tcMar>
            <w:vAlign w:val="center"/>
            <w:hideMark/>
          </w:tcPr>
          <w:p w14:paraId="7ADA2FF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203.50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4.42</w:t>
            </w:r>
          </w:p>
        </w:tc>
        <w:tc>
          <w:tcPr>
            <w:tcW w:w="686" w:type="pct"/>
            <w:gridSpan w:val="2"/>
            <w:tcMar>
              <w:top w:w="15" w:type="dxa"/>
              <w:left w:w="108" w:type="dxa"/>
              <w:bottom w:w="0" w:type="dxa"/>
              <w:right w:w="108" w:type="dxa"/>
            </w:tcMar>
            <w:vAlign w:val="center"/>
            <w:hideMark/>
          </w:tcPr>
          <w:p w14:paraId="1F6EAEA3"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195.83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3.51</w:t>
            </w:r>
          </w:p>
        </w:tc>
        <w:tc>
          <w:tcPr>
            <w:tcW w:w="686" w:type="pct"/>
            <w:tcMar>
              <w:top w:w="15" w:type="dxa"/>
              <w:left w:w="108" w:type="dxa"/>
              <w:bottom w:w="0" w:type="dxa"/>
              <w:right w:w="108" w:type="dxa"/>
            </w:tcMar>
            <w:vAlign w:val="center"/>
            <w:hideMark/>
          </w:tcPr>
          <w:p w14:paraId="742E549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199.33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4.62</w:t>
            </w:r>
          </w:p>
        </w:tc>
        <w:tc>
          <w:tcPr>
            <w:tcW w:w="608" w:type="pct"/>
            <w:vAlign w:val="center"/>
          </w:tcPr>
          <w:p w14:paraId="30701998"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195.83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1.83</w:t>
            </w:r>
          </w:p>
        </w:tc>
      </w:tr>
      <w:tr w:rsidR="003B6BAC" w:rsidRPr="005A5CB8" w14:paraId="4862D93D" w14:textId="77777777" w:rsidTr="00A65037">
        <w:trPr>
          <w:trHeight w:val="41"/>
          <w:jc w:val="center"/>
        </w:trPr>
        <w:tc>
          <w:tcPr>
            <w:tcW w:w="279" w:type="pct"/>
            <w:tcMar>
              <w:top w:w="15" w:type="dxa"/>
              <w:left w:w="108" w:type="dxa"/>
              <w:bottom w:w="0" w:type="dxa"/>
              <w:right w:w="108" w:type="dxa"/>
            </w:tcMar>
            <w:vAlign w:val="center"/>
            <w:hideMark/>
          </w:tcPr>
          <w:p w14:paraId="325F2F1F"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III</w:t>
            </w:r>
          </w:p>
        </w:tc>
        <w:tc>
          <w:tcPr>
            <w:tcW w:w="685" w:type="pct"/>
            <w:tcMar>
              <w:top w:w="15" w:type="dxa"/>
              <w:left w:w="108" w:type="dxa"/>
              <w:bottom w:w="0" w:type="dxa"/>
              <w:right w:w="108" w:type="dxa"/>
            </w:tcMar>
            <w:vAlign w:val="center"/>
            <w:hideMark/>
          </w:tcPr>
          <w:p w14:paraId="089F91A8"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198.17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1.82</w:t>
            </w:r>
          </w:p>
        </w:tc>
        <w:tc>
          <w:tcPr>
            <w:tcW w:w="686" w:type="pct"/>
            <w:tcMar>
              <w:top w:w="15" w:type="dxa"/>
              <w:left w:w="108" w:type="dxa"/>
              <w:bottom w:w="0" w:type="dxa"/>
              <w:right w:w="108" w:type="dxa"/>
            </w:tcMar>
            <w:vAlign w:val="center"/>
            <w:hideMark/>
          </w:tcPr>
          <w:p w14:paraId="6CA381E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196.67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1.98</w:t>
            </w:r>
          </w:p>
        </w:tc>
        <w:tc>
          <w:tcPr>
            <w:tcW w:w="686" w:type="pct"/>
            <w:tcMar>
              <w:top w:w="15" w:type="dxa"/>
              <w:left w:w="108" w:type="dxa"/>
              <w:bottom w:w="0" w:type="dxa"/>
              <w:right w:w="108" w:type="dxa"/>
            </w:tcMar>
            <w:vAlign w:val="center"/>
            <w:hideMark/>
          </w:tcPr>
          <w:p w14:paraId="57BAF9F1"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199.33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7.85</w:t>
            </w:r>
          </w:p>
        </w:tc>
        <w:tc>
          <w:tcPr>
            <w:tcW w:w="685" w:type="pct"/>
            <w:tcMar>
              <w:top w:w="15" w:type="dxa"/>
              <w:left w:w="108" w:type="dxa"/>
              <w:bottom w:w="0" w:type="dxa"/>
              <w:right w:w="108" w:type="dxa"/>
            </w:tcMar>
            <w:vAlign w:val="center"/>
            <w:hideMark/>
          </w:tcPr>
          <w:p w14:paraId="3B1384F8"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194.50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xml:space="preserve">± 12.45 </w:t>
            </w:r>
          </w:p>
        </w:tc>
        <w:tc>
          <w:tcPr>
            <w:tcW w:w="686" w:type="pct"/>
            <w:gridSpan w:val="2"/>
            <w:tcMar>
              <w:top w:w="15" w:type="dxa"/>
              <w:left w:w="108" w:type="dxa"/>
              <w:bottom w:w="0" w:type="dxa"/>
              <w:right w:w="108" w:type="dxa"/>
            </w:tcMar>
            <w:vAlign w:val="center"/>
            <w:hideMark/>
          </w:tcPr>
          <w:p w14:paraId="76E0DF9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206.67</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7.18</w:t>
            </w:r>
          </w:p>
        </w:tc>
        <w:tc>
          <w:tcPr>
            <w:tcW w:w="686" w:type="pct"/>
            <w:tcMar>
              <w:top w:w="15" w:type="dxa"/>
              <w:left w:w="108" w:type="dxa"/>
              <w:bottom w:w="0" w:type="dxa"/>
              <w:right w:w="108" w:type="dxa"/>
            </w:tcMar>
            <w:vAlign w:val="center"/>
            <w:hideMark/>
          </w:tcPr>
          <w:p w14:paraId="2BEE278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211.67</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8.37</w:t>
            </w:r>
          </w:p>
        </w:tc>
        <w:tc>
          <w:tcPr>
            <w:tcW w:w="608" w:type="pct"/>
            <w:vAlign w:val="center"/>
          </w:tcPr>
          <w:p w14:paraId="6A6F3C22"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227.33</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4.01</w:t>
            </w:r>
          </w:p>
        </w:tc>
      </w:tr>
    </w:tbl>
    <w:p w14:paraId="7E41134D" w14:textId="77777777" w:rsidR="003B6BAC" w:rsidRPr="005A5CB8" w:rsidRDefault="003B6BAC" w:rsidP="003B6BAC">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28E1EED1" w14:textId="796B49DF"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3.1.2 Weekly body weight gain of dams</w:t>
      </w:r>
    </w:p>
    <w:p w14:paraId="7E93A3B6" w14:textId="77777777"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Weekly body weight gain of dams differed significantly among experimental groups across the gestation and lactation period. Control group dams showed consistent positive weight gain throughout the study, with the highest gain observed during late gestation. In contrast, lead-treated dams exhibited reduced and fluctuating weight gain, with negative weight gain recorded during certain intervals, indicating loss of body mass during exposure.</w:t>
      </w:r>
    </w:p>
    <w:p w14:paraId="00FC6A84" w14:textId="073A080A" w:rsidR="003B6BAC" w:rsidRPr="005A5CB8" w:rsidRDefault="003B6BAC"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Dams receiving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along with lead acetate showed moderated fluctuations and significantly improved weight gain during later weeks compared with the lead-only group, although values did not reach control levels. This indicates partial restoration of growth performance with nutritional supplementation.</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2</w:t>
      </w:r>
    </w:p>
    <w:p w14:paraId="65B277BF" w14:textId="16033A97" w:rsidR="00A65037" w:rsidRPr="005A5CB8" w:rsidRDefault="00A65037" w:rsidP="00A65037">
      <w:pPr>
        <w:spacing w:after="120" w:line="360" w:lineRule="auto"/>
        <w:jc w:val="lowKashida"/>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2</w:t>
      </w:r>
      <w:r w:rsidRPr="005A5CB8">
        <w:rPr>
          <w:rFonts w:ascii="Times New Roman" w:hAnsi="Times New Roman" w:cs="Times New Roman"/>
          <w:b/>
          <w:bCs/>
          <w:color w:val="000000"/>
          <w:sz w:val="24"/>
          <w:szCs w:val="24"/>
        </w:rPr>
        <w:t>: Mean weekly body weight gain (g) of dams of different groups</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6"/>
        <w:gridCol w:w="1355"/>
        <w:gridCol w:w="1355"/>
        <w:gridCol w:w="1355"/>
        <w:gridCol w:w="1355"/>
        <w:gridCol w:w="1355"/>
        <w:gridCol w:w="1355"/>
      </w:tblGrid>
      <w:tr w:rsidR="003B6BAC" w:rsidRPr="005A5CB8" w14:paraId="2DA062D4" w14:textId="77777777" w:rsidTr="00A65037">
        <w:trPr>
          <w:trHeight w:val="20"/>
          <w:jc w:val="center"/>
        </w:trPr>
        <w:tc>
          <w:tcPr>
            <w:tcW w:w="436" w:type="pct"/>
            <w:tcMar>
              <w:top w:w="72" w:type="dxa"/>
              <w:left w:w="144" w:type="dxa"/>
              <w:bottom w:w="72" w:type="dxa"/>
              <w:right w:w="144" w:type="dxa"/>
            </w:tcMar>
            <w:vAlign w:val="center"/>
          </w:tcPr>
          <w:p w14:paraId="41C126A8" w14:textId="77777777" w:rsidR="003B6BAC" w:rsidRPr="005A5CB8" w:rsidRDefault="003B6BAC" w:rsidP="00D56AF9">
            <w:pPr>
              <w:spacing w:after="0" w:line="240" w:lineRule="auto"/>
              <w:ind w:left="1397" w:hanging="1397"/>
              <w:jc w:val="center"/>
              <w:rPr>
                <w:rFonts w:ascii="Times New Roman" w:hAnsi="Times New Roman" w:cs="Times New Roman"/>
                <w:sz w:val="24"/>
                <w:szCs w:val="24"/>
              </w:rPr>
            </w:pPr>
          </w:p>
        </w:tc>
        <w:tc>
          <w:tcPr>
            <w:tcW w:w="4564" w:type="pct"/>
            <w:gridSpan w:val="6"/>
            <w:tcMar>
              <w:top w:w="12" w:type="dxa"/>
              <w:left w:w="12" w:type="dxa"/>
              <w:bottom w:w="0" w:type="dxa"/>
              <w:right w:w="12" w:type="dxa"/>
            </w:tcMar>
            <w:vAlign w:val="center"/>
          </w:tcPr>
          <w:p w14:paraId="29F4C117"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(Body weight gain) (Mean ± SE}</w:t>
            </w:r>
          </w:p>
        </w:tc>
      </w:tr>
      <w:tr w:rsidR="003B6BAC" w:rsidRPr="005A5CB8" w14:paraId="3DA9126E" w14:textId="77777777" w:rsidTr="00A65037">
        <w:trPr>
          <w:trHeight w:val="20"/>
          <w:jc w:val="center"/>
        </w:trPr>
        <w:tc>
          <w:tcPr>
            <w:tcW w:w="436" w:type="pct"/>
            <w:tcMar>
              <w:top w:w="72" w:type="dxa"/>
              <w:left w:w="144" w:type="dxa"/>
              <w:bottom w:w="72" w:type="dxa"/>
              <w:right w:w="144" w:type="dxa"/>
            </w:tcMar>
            <w:vAlign w:val="center"/>
          </w:tcPr>
          <w:p w14:paraId="7CFC1FD3" w14:textId="77777777" w:rsidR="003B6BAC" w:rsidRPr="005A5CB8" w:rsidRDefault="003B6BAC" w:rsidP="00A65037">
            <w:pPr>
              <w:spacing w:after="0" w:line="240" w:lineRule="auto"/>
              <w:ind w:right="-221"/>
              <w:rPr>
                <w:rFonts w:ascii="Times New Roman" w:hAnsi="Times New Roman" w:cs="Times New Roman"/>
                <w:b/>
                <w:bCs/>
                <w:sz w:val="24"/>
                <w:szCs w:val="24"/>
              </w:rPr>
            </w:pPr>
            <w:r w:rsidRPr="005A5CB8">
              <w:rPr>
                <w:rFonts w:ascii="Times New Roman" w:hAnsi="Times New Roman" w:cs="Times New Roman"/>
                <w:b/>
                <w:bCs/>
                <w:sz w:val="24"/>
                <w:szCs w:val="24"/>
              </w:rPr>
              <w:t>Group</w:t>
            </w:r>
          </w:p>
        </w:tc>
        <w:tc>
          <w:tcPr>
            <w:tcW w:w="760" w:type="pct"/>
            <w:tcMar>
              <w:top w:w="12" w:type="dxa"/>
              <w:left w:w="12" w:type="dxa"/>
              <w:bottom w:w="0" w:type="dxa"/>
              <w:right w:w="12" w:type="dxa"/>
            </w:tcMar>
            <w:vAlign w:val="center"/>
          </w:tcPr>
          <w:p w14:paraId="6F5DE66C"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1</w:t>
            </w:r>
          </w:p>
        </w:tc>
        <w:tc>
          <w:tcPr>
            <w:tcW w:w="761" w:type="pct"/>
            <w:tcMar>
              <w:top w:w="12" w:type="dxa"/>
              <w:left w:w="12" w:type="dxa"/>
              <w:bottom w:w="0" w:type="dxa"/>
              <w:right w:w="12" w:type="dxa"/>
            </w:tcMar>
            <w:vAlign w:val="center"/>
          </w:tcPr>
          <w:p w14:paraId="005DB859"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2</w:t>
            </w:r>
          </w:p>
        </w:tc>
        <w:tc>
          <w:tcPr>
            <w:tcW w:w="761" w:type="pct"/>
            <w:tcMar>
              <w:top w:w="12" w:type="dxa"/>
              <w:left w:w="12" w:type="dxa"/>
              <w:bottom w:w="0" w:type="dxa"/>
              <w:right w:w="12" w:type="dxa"/>
            </w:tcMar>
            <w:vAlign w:val="center"/>
          </w:tcPr>
          <w:p w14:paraId="2675CC3B"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3</w:t>
            </w:r>
          </w:p>
        </w:tc>
        <w:tc>
          <w:tcPr>
            <w:tcW w:w="761" w:type="pct"/>
            <w:tcMar>
              <w:top w:w="12" w:type="dxa"/>
              <w:left w:w="12" w:type="dxa"/>
              <w:bottom w:w="0" w:type="dxa"/>
              <w:right w:w="12" w:type="dxa"/>
            </w:tcMar>
            <w:vAlign w:val="center"/>
          </w:tcPr>
          <w:p w14:paraId="1028B91F"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4</w:t>
            </w:r>
          </w:p>
        </w:tc>
        <w:tc>
          <w:tcPr>
            <w:tcW w:w="761" w:type="pct"/>
            <w:tcMar>
              <w:top w:w="12" w:type="dxa"/>
              <w:left w:w="12" w:type="dxa"/>
              <w:bottom w:w="0" w:type="dxa"/>
              <w:right w:w="12" w:type="dxa"/>
            </w:tcMar>
            <w:vAlign w:val="center"/>
          </w:tcPr>
          <w:p w14:paraId="05529948"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5</w:t>
            </w:r>
          </w:p>
        </w:tc>
        <w:tc>
          <w:tcPr>
            <w:tcW w:w="761" w:type="pct"/>
            <w:tcMar>
              <w:top w:w="12" w:type="dxa"/>
              <w:left w:w="12" w:type="dxa"/>
              <w:bottom w:w="0" w:type="dxa"/>
              <w:right w:w="12" w:type="dxa"/>
            </w:tcMar>
            <w:vAlign w:val="center"/>
          </w:tcPr>
          <w:p w14:paraId="4CCF096A"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6</w:t>
            </w:r>
          </w:p>
        </w:tc>
      </w:tr>
      <w:tr w:rsidR="003B6BAC" w:rsidRPr="005A5CB8" w14:paraId="40255F4D" w14:textId="77777777" w:rsidTr="00A65037">
        <w:trPr>
          <w:trHeight w:val="20"/>
          <w:jc w:val="center"/>
        </w:trPr>
        <w:tc>
          <w:tcPr>
            <w:tcW w:w="436" w:type="pct"/>
            <w:tcMar>
              <w:top w:w="15" w:type="dxa"/>
              <w:left w:w="108" w:type="dxa"/>
              <w:bottom w:w="0" w:type="dxa"/>
              <w:right w:w="108" w:type="dxa"/>
            </w:tcMar>
            <w:vAlign w:val="center"/>
            <w:hideMark/>
          </w:tcPr>
          <w:p w14:paraId="1A34E785"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w:t>
            </w:r>
          </w:p>
        </w:tc>
        <w:tc>
          <w:tcPr>
            <w:tcW w:w="760" w:type="pct"/>
            <w:tcMar>
              <w:top w:w="12" w:type="dxa"/>
              <w:left w:w="12" w:type="dxa"/>
              <w:bottom w:w="0" w:type="dxa"/>
              <w:right w:w="12" w:type="dxa"/>
            </w:tcMar>
            <w:vAlign w:val="center"/>
            <w:hideMark/>
          </w:tcPr>
          <w:p w14:paraId="7AA29FD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3.17ᵃ ± 1.87</w:t>
            </w:r>
          </w:p>
        </w:tc>
        <w:tc>
          <w:tcPr>
            <w:tcW w:w="761" w:type="pct"/>
            <w:tcMar>
              <w:top w:w="12" w:type="dxa"/>
              <w:left w:w="12" w:type="dxa"/>
              <w:bottom w:w="0" w:type="dxa"/>
              <w:right w:w="12" w:type="dxa"/>
            </w:tcMar>
            <w:vAlign w:val="center"/>
            <w:hideMark/>
          </w:tcPr>
          <w:p w14:paraId="4BDA389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7.17ᵃ ± 2.10</w:t>
            </w:r>
          </w:p>
        </w:tc>
        <w:tc>
          <w:tcPr>
            <w:tcW w:w="761" w:type="pct"/>
            <w:tcMar>
              <w:top w:w="12" w:type="dxa"/>
              <w:left w:w="12" w:type="dxa"/>
              <w:bottom w:w="0" w:type="dxa"/>
              <w:right w:w="12" w:type="dxa"/>
            </w:tcMar>
            <w:vAlign w:val="center"/>
            <w:hideMark/>
          </w:tcPr>
          <w:p w14:paraId="0DB9077E"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9.00ᵃ ± 3.34</w:t>
            </w:r>
          </w:p>
        </w:tc>
        <w:tc>
          <w:tcPr>
            <w:tcW w:w="761" w:type="pct"/>
            <w:tcMar>
              <w:top w:w="12" w:type="dxa"/>
              <w:left w:w="12" w:type="dxa"/>
              <w:bottom w:w="0" w:type="dxa"/>
              <w:right w:w="12" w:type="dxa"/>
            </w:tcMar>
            <w:vAlign w:val="center"/>
            <w:hideMark/>
          </w:tcPr>
          <w:p w14:paraId="0E61271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19.67ᵃ ± 7.13</w:t>
            </w:r>
          </w:p>
        </w:tc>
        <w:tc>
          <w:tcPr>
            <w:tcW w:w="761" w:type="pct"/>
            <w:tcMar>
              <w:top w:w="12" w:type="dxa"/>
              <w:left w:w="12" w:type="dxa"/>
              <w:bottom w:w="0" w:type="dxa"/>
              <w:right w:w="12" w:type="dxa"/>
            </w:tcMar>
            <w:vAlign w:val="center"/>
            <w:hideMark/>
          </w:tcPr>
          <w:p w14:paraId="40249D27"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0.33ᵃ ± 8.21</w:t>
            </w:r>
          </w:p>
        </w:tc>
        <w:tc>
          <w:tcPr>
            <w:tcW w:w="761" w:type="pct"/>
            <w:tcMar>
              <w:top w:w="12" w:type="dxa"/>
              <w:left w:w="12" w:type="dxa"/>
              <w:bottom w:w="0" w:type="dxa"/>
              <w:right w:w="12" w:type="dxa"/>
            </w:tcMar>
            <w:vAlign w:val="center"/>
            <w:hideMark/>
          </w:tcPr>
          <w:p w14:paraId="57ADC32C"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7.17ᵇ ± 2.27</w:t>
            </w:r>
          </w:p>
        </w:tc>
      </w:tr>
      <w:tr w:rsidR="003B6BAC" w:rsidRPr="005A5CB8" w14:paraId="6E93E731" w14:textId="77777777" w:rsidTr="00A65037">
        <w:trPr>
          <w:trHeight w:val="20"/>
          <w:jc w:val="center"/>
        </w:trPr>
        <w:tc>
          <w:tcPr>
            <w:tcW w:w="436" w:type="pct"/>
            <w:tcMar>
              <w:top w:w="15" w:type="dxa"/>
              <w:left w:w="108" w:type="dxa"/>
              <w:bottom w:w="0" w:type="dxa"/>
              <w:right w:w="108" w:type="dxa"/>
            </w:tcMar>
            <w:vAlign w:val="center"/>
            <w:hideMark/>
          </w:tcPr>
          <w:p w14:paraId="74C5F186"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II</w:t>
            </w:r>
          </w:p>
        </w:tc>
        <w:tc>
          <w:tcPr>
            <w:tcW w:w="760" w:type="pct"/>
            <w:tcMar>
              <w:top w:w="12" w:type="dxa"/>
              <w:left w:w="12" w:type="dxa"/>
              <w:bottom w:w="0" w:type="dxa"/>
              <w:right w:w="12" w:type="dxa"/>
            </w:tcMar>
            <w:vAlign w:val="center"/>
            <w:hideMark/>
          </w:tcPr>
          <w:p w14:paraId="68CF98BD"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2.50ᵃ ± 2.11</w:t>
            </w:r>
          </w:p>
        </w:tc>
        <w:tc>
          <w:tcPr>
            <w:tcW w:w="761" w:type="pct"/>
            <w:tcMar>
              <w:top w:w="12" w:type="dxa"/>
              <w:left w:w="12" w:type="dxa"/>
              <w:bottom w:w="0" w:type="dxa"/>
              <w:right w:w="12" w:type="dxa"/>
            </w:tcMar>
            <w:vAlign w:val="center"/>
            <w:hideMark/>
          </w:tcPr>
          <w:p w14:paraId="7F237C9F"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2.00ᵃ ± 2.25</w:t>
            </w:r>
          </w:p>
        </w:tc>
        <w:tc>
          <w:tcPr>
            <w:tcW w:w="761" w:type="pct"/>
            <w:tcMar>
              <w:top w:w="12" w:type="dxa"/>
              <w:left w:w="12" w:type="dxa"/>
              <w:bottom w:w="0" w:type="dxa"/>
              <w:right w:w="12" w:type="dxa"/>
            </w:tcMar>
            <w:vAlign w:val="center"/>
            <w:hideMark/>
          </w:tcPr>
          <w:p w14:paraId="0F70EA88"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−3.00ᵃ ± 4.82</w:t>
            </w:r>
          </w:p>
        </w:tc>
        <w:tc>
          <w:tcPr>
            <w:tcW w:w="761" w:type="pct"/>
            <w:tcMar>
              <w:top w:w="12" w:type="dxa"/>
              <w:left w:w="12" w:type="dxa"/>
              <w:bottom w:w="0" w:type="dxa"/>
              <w:right w:w="12" w:type="dxa"/>
            </w:tcMar>
            <w:vAlign w:val="center"/>
            <w:hideMark/>
          </w:tcPr>
          <w:p w14:paraId="79E2262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−7.67ᶜ ± 3.86</w:t>
            </w:r>
          </w:p>
        </w:tc>
        <w:tc>
          <w:tcPr>
            <w:tcW w:w="761" w:type="pct"/>
            <w:tcMar>
              <w:top w:w="12" w:type="dxa"/>
              <w:left w:w="12" w:type="dxa"/>
              <w:bottom w:w="0" w:type="dxa"/>
              <w:right w:w="12" w:type="dxa"/>
            </w:tcMar>
            <w:vAlign w:val="center"/>
            <w:hideMark/>
          </w:tcPr>
          <w:p w14:paraId="73DF1363"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3.50ᵃ ± 4.32</w:t>
            </w:r>
          </w:p>
        </w:tc>
        <w:tc>
          <w:tcPr>
            <w:tcW w:w="761" w:type="pct"/>
            <w:tcMar>
              <w:top w:w="12" w:type="dxa"/>
              <w:left w:w="12" w:type="dxa"/>
              <w:bottom w:w="0" w:type="dxa"/>
              <w:right w:w="12" w:type="dxa"/>
            </w:tcMar>
            <w:vAlign w:val="center"/>
            <w:hideMark/>
          </w:tcPr>
          <w:p w14:paraId="4FF7C02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−3.50ᶜ ± 3.96</w:t>
            </w:r>
          </w:p>
        </w:tc>
      </w:tr>
      <w:tr w:rsidR="003B6BAC" w:rsidRPr="005A5CB8" w14:paraId="0F5E93CC" w14:textId="77777777" w:rsidTr="00A65037">
        <w:trPr>
          <w:trHeight w:val="20"/>
          <w:jc w:val="center"/>
        </w:trPr>
        <w:tc>
          <w:tcPr>
            <w:tcW w:w="436" w:type="pct"/>
            <w:tcMar>
              <w:top w:w="15" w:type="dxa"/>
              <w:left w:w="108" w:type="dxa"/>
              <w:bottom w:w="0" w:type="dxa"/>
              <w:right w:w="108" w:type="dxa"/>
            </w:tcMar>
            <w:vAlign w:val="center"/>
            <w:hideMark/>
          </w:tcPr>
          <w:p w14:paraId="3B193E22"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III</w:t>
            </w:r>
          </w:p>
        </w:tc>
        <w:tc>
          <w:tcPr>
            <w:tcW w:w="760" w:type="pct"/>
            <w:tcMar>
              <w:top w:w="12" w:type="dxa"/>
              <w:left w:w="12" w:type="dxa"/>
              <w:bottom w:w="0" w:type="dxa"/>
              <w:right w:w="12" w:type="dxa"/>
            </w:tcMar>
            <w:vAlign w:val="center"/>
            <w:hideMark/>
          </w:tcPr>
          <w:p w14:paraId="52717797"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−1.50ᵃ ± 1.52</w:t>
            </w:r>
          </w:p>
        </w:tc>
        <w:tc>
          <w:tcPr>
            <w:tcW w:w="761" w:type="pct"/>
            <w:tcMar>
              <w:top w:w="12" w:type="dxa"/>
              <w:left w:w="12" w:type="dxa"/>
              <w:bottom w:w="0" w:type="dxa"/>
              <w:right w:w="12" w:type="dxa"/>
            </w:tcMar>
            <w:vAlign w:val="center"/>
            <w:hideMark/>
          </w:tcPr>
          <w:p w14:paraId="6605C281"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2.67ᵃ ± 6.99</w:t>
            </w:r>
          </w:p>
        </w:tc>
        <w:tc>
          <w:tcPr>
            <w:tcW w:w="761" w:type="pct"/>
            <w:tcMar>
              <w:top w:w="12" w:type="dxa"/>
              <w:left w:w="12" w:type="dxa"/>
              <w:bottom w:w="0" w:type="dxa"/>
              <w:right w:w="12" w:type="dxa"/>
            </w:tcMar>
            <w:vAlign w:val="center"/>
            <w:hideMark/>
          </w:tcPr>
          <w:p w14:paraId="0603C93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−4.83ᵃ ± 7.79</w:t>
            </w:r>
          </w:p>
        </w:tc>
        <w:tc>
          <w:tcPr>
            <w:tcW w:w="761" w:type="pct"/>
            <w:tcMar>
              <w:top w:w="12" w:type="dxa"/>
              <w:left w:w="12" w:type="dxa"/>
              <w:bottom w:w="0" w:type="dxa"/>
              <w:right w:w="12" w:type="dxa"/>
            </w:tcMar>
            <w:vAlign w:val="center"/>
            <w:hideMark/>
          </w:tcPr>
          <w:p w14:paraId="5A4B5AEF"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12.17ᵇ ± 7.68</w:t>
            </w:r>
          </w:p>
        </w:tc>
        <w:tc>
          <w:tcPr>
            <w:tcW w:w="761" w:type="pct"/>
            <w:tcMar>
              <w:top w:w="12" w:type="dxa"/>
              <w:left w:w="12" w:type="dxa"/>
              <w:bottom w:w="0" w:type="dxa"/>
              <w:right w:w="12" w:type="dxa"/>
            </w:tcMar>
            <w:vAlign w:val="center"/>
            <w:hideMark/>
          </w:tcPr>
          <w:p w14:paraId="17EC6AC1"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5.00ᵃ ± 4.77</w:t>
            </w:r>
          </w:p>
        </w:tc>
        <w:tc>
          <w:tcPr>
            <w:tcW w:w="761" w:type="pct"/>
            <w:tcMar>
              <w:top w:w="12" w:type="dxa"/>
              <w:left w:w="12" w:type="dxa"/>
              <w:bottom w:w="0" w:type="dxa"/>
              <w:right w:w="12" w:type="dxa"/>
            </w:tcMar>
            <w:vAlign w:val="center"/>
            <w:hideMark/>
          </w:tcPr>
          <w:p w14:paraId="63C81F1D"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15.67ᵃ ± 7.61</w:t>
            </w:r>
          </w:p>
        </w:tc>
      </w:tr>
    </w:tbl>
    <w:p w14:paraId="1637D38A" w14:textId="627EBB13" w:rsidR="003B6BAC"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51D0AE3F" w14:textId="52161CD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3.2 Pup </w:t>
      </w:r>
      <w:r w:rsidR="00EA482C" w:rsidRPr="005A5CB8">
        <w:rPr>
          <w:rFonts w:ascii="Times New Roman" w:hAnsi="Times New Roman" w:cs="Times New Roman"/>
          <w:b/>
          <w:bCs/>
          <w:sz w:val="24"/>
          <w:szCs w:val="24"/>
        </w:rPr>
        <w:t>body weight</w:t>
      </w:r>
    </w:p>
    <w:p w14:paraId="1E8AEEF3" w14:textId="525C07B3" w:rsidR="00C4710A" w:rsidRPr="005A5CB8" w:rsidRDefault="003B6BAC"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Lead exposure produced significant growth retardation at birth and throughout lactation. Differences widened with age. Moringa supplementation produced statistically significant improvement at all intervals but remained below control.</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3</w:t>
      </w:r>
    </w:p>
    <w:p w14:paraId="0AD7463A" w14:textId="5685FF0C"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03</w:t>
      </w:r>
      <w:r w:rsidRPr="005A5CB8">
        <w:rPr>
          <w:rFonts w:ascii="Times New Roman" w:hAnsi="Times New Roman" w:cs="Times New Roman"/>
          <w:b/>
          <w:bCs/>
          <w:sz w:val="24"/>
          <w:szCs w:val="24"/>
        </w:rPr>
        <w:t>. Mean pup body weight (g)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985"/>
        <w:gridCol w:w="1985"/>
        <w:gridCol w:w="1985"/>
        <w:gridCol w:w="1984"/>
      </w:tblGrid>
      <w:tr w:rsidR="003B6BAC" w:rsidRPr="005A5CB8" w14:paraId="306A6B1C" w14:textId="77777777" w:rsidTr="00A65037">
        <w:trPr>
          <w:trHeight w:val="21"/>
        </w:trPr>
        <w:tc>
          <w:tcPr>
            <w:tcW w:w="597" w:type="pct"/>
            <w:vMerge w:val="restart"/>
            <w:vAlign w:val="center"/>
          </w:tcPr>
          <w:p w14:paraId="304D2A75"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w:t>
            </w:r>
          </w:p>
        </w:tc>
        <w:tc>
          <w:tcPr>
            <w:tcW w:w="4403" w:type="pct"/>
            <w:gridSpan w:val="4"/>
            <w:vAlign w:val="center"/>
          </w:tcPr>
          <w:p w14:paraId="1B6297E8" w14:textId="77777777" w:rsidR="003B6BAC" w:rsidRPr="005A5CB8" w:rsidRDefault="003B6BAC" w:rsidP="003B6BAC">
            <w:pPr>
              <w:tabs>
                <w:tab w:val="left" w:pos="1134"/>
              </w:tabs>
              <w:spacing w:after="0" w:line="240" w:lineRule="auto"/>
              <w:ind w:left="1276" w:hanging="1276"/>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Body weight (Mean ± SE)</w:t>
            </w:r>
          </w:p>
        </w:tc>
      </w:tr>
      <w:tr w:rsidR="003B6BAC" w:rsidRPr="005A5CB8" w14:paraId="282D4FCC" w14:textId="77777777" w:rsidTr="00A65037">
        <w:trPr>
          <w:trHeight w:val="21"/>
        </w:trPr>
        <w:tc>
          <w:tcPr>
            <w:tcW w:w="597" w:type="pct"/>
            <w:vMerge/>
            <w:vAlign w:val="center"/>
          </w:tcPr>
          <w:p w14:paraId="7D9BE41D" w14:textId="77777777" w:rsidR="003B6BAC" w:rsidRPr="005A5CB8" w:rsidRDefault="003B6BAC" w:rsidP="003B6BAC">
            <w:pPr>
              <w:spacing w:after="0" w:line="240" w:lineRule="auto"/>
              <w:jc w:val="center"/>
              <w:rPr>
                <w:rFonts w:ascii="Times New Roman" w:hAnsi="Times New Roman" w:cs="Times New Roman"/>
                <w:color w:val="000000"/>
                <w:sz w:val="24"/>
                <w:szCs w:val="24"/>
              </w:rPr>
            </w:pPr>
          </w:p>
        </w:tc>
        <w:tc>
          <w:tcPr>
            <w:tcW w:w="1101" w:type="pct"/>
            <w:vAlign w:val="center"/>
          </w:tcPr>
          <w:p w14:paraId="608B2FA8"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0</w:t>
            </w:r>
          </w:p>
        </w:tc>
        <w:tc>
          <w:tcPr>
            <w:tcW w:w="1101" w:type="pct"/>
            <w:vAlign w:val="center"/>
          </w:tcPr>
          <w:p w14:paraId="56B03B70"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7</w:t>
            </w:r>
          </w:p>
        </w:tc>
        <w:tc>
          <w:tcPr>
            <w:tcW w:w="1101" w:type="pct"/>
            <w:vAlign w:val="center"/>
          </w:tcPr>
          <w:p w14:paraId="41E517BF"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14</w:t>
            </w:r>
          </w:p>
        </w:tc>
        <w:tc>
          <w:tcPr>
            <w:tcW w:w="1100" w:type="pct"/>
            <w:vAlign w:val="center"/>
          </w:tcPr>
          <w:p w14:paraId="0CCCCEFC"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21</w:t>
            </w:r>
          </w:p>
        </w:tc>
      </w:tr>
      <w:tr w:rsidR="003B6BAC" w:rsidRPr="005A5CB8" w14:paraId="038AD3F5" w14:textId="77777777" w:rsidTr="00A65037">
        <w:trPr>
          <w:trHeight w:val="21"/>
        </w:trPr>
        <w:tc>
          <w:tcPr>
            <w:tcW w:w="597" w:type="pct"/>
            <w:vAlign w:val="center"/>
          </w:tcPr>
          <w:p w14:paraId="6D5B0C10"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w:t>
            </w:r>
          </w:p>
        </w:tc>
        <w:tc>
          <w:tcPr>
            <w:tcW w:w="1101" w:type="pct"/>
            <w:vAlign w:val="center"/>
          </w:tcPr>
          <w:p w14:paraId="58EAC28A"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04.98ᵃ ± 0.06</w:t>
            </w:r>
          </w:p>
        </w:tc>
        <w:tc>
          <w:tcPr>
            <w:tcW w:w="1101" w:type="pct"/>
            <w:vAlign w:val="center"/>
          </w:tcPr>
          <w:p w14:paraId="4136045F"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14.99</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0.18 </w:t>
            </w:r>
          </w:p>
        </w:tc>
        <w:tc>
          <w:tcPr>
            <w:tcW w:w="1101" w:type="pct"/>
            <w:vAlign w:val="center"/>
          </w:tcPr>
          <w:p w14:paraId="50527AFD"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27.27</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0.20 </w:t>
            </w:r>
          </w:p>
        </w:tc>
        <w:tc>
          <w:tcPr>
            <w:tcW w:w="1100" w:type="pct"/>
            <w:vAlign w:val="center"/>
          </w:tcPr>
          <w:p w14:paraId="07452AE2"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37.50</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0.70 </w:t>
            </w:r>
          </w:p>
        </w:tc>
      </w:tr>
      <w:tr w:rsidR="003B6BAC" w:rsidRPr="005A5CB8" w14:paraId="1DA0CB2D" w14:textId="77777777" w:rsidTr="00A65037">
        <w:trPr>
          <w:trHeight w:val="21"/>
        </w:trPr>
        <w:tc>
          <w:tcPr>
            <w:tcW w:w="597" w:type="pct"/>
            <w:vAlign w:val="center"/>
          </w:tcPr>
          <w:p w14:paraId="7FF205CA"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II</w:t>
            </w:r>
          </w:p>
        </w:tc>
        <w:tc>
          <w:tcPr>
            <w:tcW w:w="1101" w:type="pct"/>
            <w:vAlign w:val="center"/>
          </w:tcPr>
          <w:p w14:paraId="02D50189"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03.79ᶜ ± 0.13</w:t>
            </w:r>
          </w:p>
        </w:tc>
        <w:tc>
          <w:tcPr>
            <w:tcW w:w="1101" w:type="pct"/>
            <w:vAlign w:val="center"/>
          </w:tcPr>
          <w:p w14:paraId="40A88EA8"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10.48</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0.27 </w:t>
            </w:r>
          </w:p>
        </w:tc>
        <w:tc>
          <w:tcPr>
            <w:tcW w:w="1101" w:type="pct"/>
            <w:vAlign w:val="center"/>
          </w:tcPr>
          <w:p w14:paraId="1D758B1E"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15.55</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0.45</w:t>
            </w:r>
          </w:p>
        </w:tc>
        <w:tc>
          <w:tcPr>
            <w:tcW w:w="1100" w:type="pct"/>
            <w:vAlign w:val="center"/>
          </w:tcPr>
          <w:p w14:paraId="4166BE56"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25.23</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0.94 </w:t>
            </w:r>
          </w:p>
        </w:tc>
      </w:tr>
      <w:tr w:rsidR="003B6BAC" w:rsidRPr="005A5CB8" w14:paraId="31B135FB" w14:textId="77777777" w:rsidTr="00A65037">
        <w:trPr>
          <w:trHeight w:val="21"/>
        </w:trPr>
        <w:tc>
          <w:tcPr>
            <w:tcW w:w="597" w:type="pct"/>
            <w:vAlign w:val="center"/>
          </w:tcPr>
          <w:p w14:paraId="3C9F4056"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III</w:t>
            </w:r>
          </w:p>
        </w:tc>
        <w:tc>
          <w:tcPr>
            <w:tcW w:w="1101" w:type="pct"/>
            <w:vAlign w:val="center"/>
          </w:tcPr>
          <w:p w14:paraId="4473E58E"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04.24ᵇ ± 0.11</w:t>
            </w:r>
          </w:p>
        </w:tc>
        <w:tc>
          <w:tcPr>
            <w:tcW w:w="1101" w:type="pct"/>
            <w:vAlign w:val="center"/>
          </w:tcPr>
          <w:p w14:paraId="2D3A48E9"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13.06</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0.34 </w:t>
            </w:r>
          </w:p>
        </w:tc>
        <w:tc>
          <w:tcPr>
            <w:tcW w:w="1101" w:type="pct"/>
            <w:vAlign w:val="center"/>
          </w:tcPr>
          <w:p w14:paraId="300BE1B2"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21.63</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0.56 </w:t>
            </w:r>
          </w:p>
        </w:tc>
        <w:tc>
          <w:tcPr>
            <w:tcW w:w="1100" w:type="pct"/>
            <w:vAlign w:val="center"/>
          </w:tcPr>
          <w:p w14:paraId="52DE3557"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30.69</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1.08</w:t>
            </w:r>
          </w:p>
        </w:tc>
      </w:tr>
    </w:tbl>
    <w:p w14:paraId="4F1F95A3" w14:textId="2D264F58" w:rsidR="003B6BAC"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7C65188A" w14:textId="25E14BA4"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3.2.1 Weekly body weight gain of pups</w:t>
      </w:r>
    </w:p>
    <w:p w14:paraId="4D6B6835" w14:textId="77777777" w:rsidR="003B6BAC" w:rsidRPr="005A5CB8" w:rsidRDefault="003B6BAC" w:rsidP="00C124BC">
      <w:pPr>
        <w:spacing w:before="120" w:line="240" w:lineRule="auto"/>
        <w:jc w:val="lowKashida"/>
        <w:rPr>
          <w:rFonts w:ascii="Times New Roman" w:hAnsi="Times New Roman" w:cs="Times New Roman"/>
          <w:sz w:val="24"/>
          <w:szCs w:val="24"/>
        </w:rPr>
      </w:pPr>
      <w:r w:rsidRPr="005A5CB8">
        <w:rPr>
          <w:rFonts w:ascii="Times New Roman" w:hAnsi="Times New Roman" w:cs="Times New Roman"/>
          <w:sz w:val="24"/>
          <w:szCs w:val="24"/>
        </w:rPr>
        <w:t>Weekly body weight gain of pups showed a clear group-wise pattern. Control pups demonstrated progressive and significantly higher weekly weight gain throughout the postnatal observation period. Lead-exposed pups showed significantly reduced weekly weight gain at all intervals, confirming persistent growth retardation following perinatal exposure.</w:t>
      </w:r>
    </w:p>
    <w:p w14:paraId="556EC3F5" w14:textId="53C574CD" w:rsidR="0026108D" w:rsidRPr="005A5CB8" w:rsidRDefault="003B6BAC" w:rsidP="0026108D">
      <w:pPr>
        <w:spacing w:before="120" w:line="240" w:lineRule="auto"/>
        <w:jc w:val="lowKashida"/>
        <w:rPr>
          <w:rFonts w:ascii="Times New Roman" w:hAnsi="Times New Roman" w:cs="Times New Roman"/>
          <w:sz w:val="24"/>
          <w:szCs w:val="24"/>
        </w:rPr>
      </w:pPr>
      <w:r w:rsidRPr="005A5CB8">
        <w:rPr>
          <w:rFonts w:ascii="Times New Roman" w:hAnsi="Times New Roman" w:cs="Times New Roman"/>
          <w:sz w:val="24"/>
          <w:szCs w:val="24"/>
        </w:rPr>
        <w:t xml:space="preserve">Pups from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showed significantly higher weekly weight gain compared with the lead-only group at all weeks, indicating partial improvement in postnatal growth performance, although gains remained lower than control pups.</w:t>
      </w:r>
      <w:r w:rsidR="00C4710A">
        <w:rPr>
          <w:rFonts w:ascii="Times New Roman" w:hAnsi="Times New Roman" w:cs="Times New Roman"/>
          <w:sz w:val="24"/>
          <w:szCs w:val="24"/>
        </w:rPr>
        <w:t xml:space="preserve"> Body size comparison shown in figure 01 and figure 02.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4</w:t>
      </w:r>
    </w:p>
    <w:p w14:paraId="7B1C2618" w14:textId="3D4BAF9E" w:rsidR="00A65037" w:rsidRPr="005A5CB8" w:rsidRDefault="00A65037" w:rsidP="00A65037">
      <w:pPr>
        <w:spacing w:after="120" w:line="360" w:lineRule="auto"/>
        <w:jc w:val="lowKashida"/>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4</w:t>
      </w:r>
      <w:r w:rsidRPr="005A5CB8">
        <w:rPr>
          <w:rFonts w:ascii="Times New Roman" w:hAnsi="Times New Roman" w:cs="Times New Roman"/>
          <w:b/>
          <w:bCs/>
          <w:color w:val="000000"/>
          <w:sz w:val="24"/>
          <w:szCs w:val="24"/>
        </w:rPr>
        <w:t>: Mean weekly body weight gain (g) of pups of different groups</w:t>
      </w:r>
    </w:p>
    <w:tbl>
      <w:tblPr>
        <w:tblW w:w="8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1"/>
        <w:gridCol w:w="2068"/>
        <w:gridCol w:w="2068"/>
        <w:gridCol w:w="2276"/>
      </w:tblGrid>
      <w:tr w:rsidR="003B6BAC" w:rsidRPr="005A5CB8" w14:paraId="4F9BDB50" w14:textId="77777777" w:rsidTr="00D56AF9">
        <w:trPr>
          <w:trHeight w:val="20"/>
          <w:jc w:val="center"/>
        </w:trPr>
        <w:tc>
          <w:tcPr>
            <w:tcW w:w="0" w:type="auto"/>
            <w:tcMar>
              <w:top w:w="72" w:type="dxa"/>
              <w:left w:w="144" w:type="dxa"/>
              <w:bottom w:w="72" w:type="dxa"/>
              <w:right w:w="144" w:type="dxa"/>
            </w:tcMar>
            <w:vAlign w:val="center"/>
            <w:hideMark/>
          </w:tcPr>
          <w:p w14:paraId="4FA95C21" w14:textId="77777777" w:rsidR="003B6BAC" w:rsidRPr="005A5CB8" w:rsidRDefault="003B6BAC" w:rsidP="003B6BAC">
            <w:pPr>
              <w:spacing w:before="40" w:after="40" w:line="240" w:lineRule="auto"/>
              <w:ind w:firstLine="1560"/>
              <w:jc w:val="center"/>
              <w:rPr>
                <w:rFonts w:ascii="Times New Roman" w:hAnsi="Times New Roman" w:cs="Times New Roman"/>
                <w:color w:val="000000"/>
                <w:sz w:val="24"/>
                <w:szCs w:val="24"/>
              </w:rPr>
            </w:pPr>
          </w:p>
        </w:tc>
        <w:tc>
          <w:tcPr>
            <w:tcW w:w="0" w:type="auto"/>
            <w:gridSpan w:val="3"/>
            <w:tcMar>
              <w:top w:w="12" w:type="dxa"/>
              <w:left w:w="12" w:type="dxa"/>
              <w:bottom w:w="0" w:type="dxa"/>
              <w:right w:w="12" w:type="dxa"/>
            </w:tcMar>
            <w:vAlign w:val="center"/>
            <w:hideMark/>
          </w:tcPr>
          <w:p w14:paraId="2F4044CB"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(Body weight gain) (g) Mean ± SE}</w:t>
            </w:r>
          </w:p>
        </w:tc>
      </w:tr>
      <w:tr w:rsidR="003B6BAC" w:rsidRPr="005A5CB8" w14:paraId="149E96AC" w14:textId="77777777" w:rsidTr="00D56AF9">
        <w:trPr>
          <w:trHeight w:val="20"/>
          <w:jc w:val="center"/>
        </w:trPr>
        <w:tc>
          <w:tcPr>
            <w:tcW w:w="0" w:type="auto"/>
            <w:tcMar>
              <w:top w:w="72" w:type="dxa"/>
              <w:left w:w="144" w:type="dxa"/>
              <w:bottom w:w="72" w:type="dxa"/>
              <w:right w:w="144" w:type="dxa"/>
            </w:tcMar>
            <w:vAlign w:val="center"/>
            <w:hideMark/>
          </w:tcPr>
          <w:p w14:paraId="2939756A"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Group</w:t>
            </w:r>
          </w:p>
        </w:tc>
        <w:tc>
          <w:tcPr>
            <w:tcW w:w="0" w:type="auto"/>
            <w:tcMar>
              <w:top w:w="12" w:type="dxa"/>
              <w:left w:w="12" w:type="dxa"/>
              <w:bottom w:w="0" w:type="dxa"/>
              <w:right w:w="12" w:type="dxa"/>
            </w:tcMar>
            <w:vAlign w:val="center"/>
            <w:hideMark/>
          </w:tcPr>
          <w:p w14:paraId="1C5A25D2"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1</w:t>
            </w:r>
          </w:p>
        </w:tc>
        <w:tc>
          <w:tcPr>
            <w:tcW w:w="0" w:type="auto"/>
            <w:tcMar>
              <w:top w:w="12" w:type="dxa"/>
              <w:left w:w="12" w:type="dxa"/>
              <w:bottom w:w="0" w:type="dxa"/>
              <w:right w:w="12" w:type="dxa"/>
            </w:tcMar>
            <w:vAlign w:val="center"/>
            <w:hideMark/>
          </w:tcPr>
          <w:p w14:paraId="4969B99D"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2</w:t>
            </w:r>
          </w:p>
        </w:tc>
        <w:tc>
          <w:tcPr>
            <w:tcW w:w="0" w:type="auto"/>
            <w:tcMar>
              <w:top w:w="12" w:type="dxa"/>
              <w:left w:w="12" w:type="dxa"/>
              <w:bottom w:w="0" w:type="dxa"/>
              <w:right w:w="12" w:type="dxa"/>
            </w:tcMar>
            <w:vAlign w:val="center"/>
            <w:hideMark/>
          </w:tcPr>
          <w:p w14:paraId="78028B15"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3</w:t>
            </w:r>
          </w:p>
        </w:tc>
      </w:tr>
      <w:tr w:rsidR="003B6BAC" w:rsidRPr="005A5CB8" w14:paraId="2CCF439E" w14:textId="77777777" w:rsidTr="00D56AF9">
        <w:trPr>
          <w:trHeight w:val="20"/>
          <w:jc w:val="center"/>
        </w:trPr>
        <w:tc>
          <w:tcPr>
            <w:tcW w:w="0" w:type="auto"/>
            <w:tcMar>
              <w:top w:w="15" w:type="dxa"/>
              <w:left w:w="108" w:type="dxa"/>
              <w:bottom w:w="0" w:type="dxa"/>
              <w:right w:w="108" w:type="dxa"/>
            </w:tcMar>
            <w:vAlign w:val="center"/>
            <w:hideMark/>
          </w:tcPr>
          <w:p w14:paraId="230709A5"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w:t>
            </w:r>
          </w:p>
        </w:tc>
        <w:tc>
          <w:tcPr>
            <w:tcW w:w="0" w:type="auto"/>
            <w:tcMar>
              <w:top w:w="12" w:type="dxa"/>
              <w:left w:w="12" w:type="dxa"/>
              <w:bottom w:w="0" w:type="dxa"/>
              <w:right w:w="12" w:type="dxa"/>
            </w:tcMar>
            <w:vAlign w:val="center"/>
            <w:hideMark/>
          </w:tcPr>
          <w:p w14:paraId="6009CB84"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8.95ᵃ ± 0.38</w:t>
            </w:r>
          </w:p>
        </w:tc>
        <w:tc>
          <w:tcPr>
            <w:tcW w:w="0" w:type="auto"/>
            <w:tcMar>
              <w:top w:w="12" w:type="dxa"/>
              <w:left w:w="12" w:type="dxa"/>
              <w:bottom w:w="0" w:type="dxa"/>
              <w:right w:w="12" w:type="dxa"/>
            </w:tcMar>
            <w:vAlign w:val="center"/>
            <w:hideMark/>
          </w:tcPr>
          <w:p w14:paraId="72D17937"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9.43ᵃ ± 1.25</w:t>
            </w:r>
          </w:p>
        </w:tc>
        <w:tc>
          <w:tcPr>
            <w:tcW w:w="0" w:type="auto"/>
            <w:tcMar>
              <w:top w:w="12" w:type="dxa"/>
              <w:left w:w="12" w:type="dxa"/>
              <w:bottom w:w="0" w:type="dxa"/>
              <w:right w:w="12" w:type="dxa"/>
            </w:tcMar>
            <w:vAlign w:val="center"/>
            <w:hideMark/>
          </w:tcPr>
          <w:p w14:paraId="69243341"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11.08ᵃ ± 0.87</w:t>
            </w:r>
          </w:p>
        </w:tc>
      </w:tr>
      <w:tr w:rsidR="003B6BAC" w:rsidRPr="005A5CB8" w14:paraId="6071F810" w14:textId="77777777" w:rsidTr="00D56AF9">
        <w:trPr>
          <w:trHeight w:val="20"/>
          <w:jc w:val="center"/>
        </w:trPr>
        <w:tc>
          <w:tcPr>
            <w:tcW w:w="0" w:type="auto"/>
            <w:tcMar>
              <w:top w:w="15" w:type="dxa"/>
              <w:left w:w="108" w:type="dxa"/>
              <w:bottom w:w="0" w:type="dxa"/>
              <w:right w:w="108" w:type="dxa"/>
            </w:tcMar>
            <w:vAlign w:val="center"/>
            <w:hideMark/>
          </w:tcPr>
          <w:p w14:paraId="2661D9AB"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II</w:t>
            </w:r>
          </w:p>
        </w:tc>
        <w:tc>
          <w:tcPr>
            <w:tcW w:w="0" w:type="auto"/>
            <w:tcMar>
              <w:top w:w="12" w:type="dxa"/>
              <w:left w:w="12" w:type="dxa"/>
              <w:bottom w:w="0" w:type="dxa"/>
              <w:right w:w="12" w:type="dxa"/>
            </w:tcMar>
            <w:vAlign w:val="center"/>
            <w:hideMark/>
          </w:tcPr>
          <w:p w14:paraId="12E843B9"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7.45ᶜ ± 0.32</w:t>
            </w:r>
          </w:p>
        </w:tc>
        <w:tc>
          <w:tcPr>
            <w:tcW w:w="0" w:type="auto"/>
            <w:tcMar>
              <w:top w:w="12" w:type="dxa"/>
              <w:left w:w="12" w:type="dxa"/>
              <w:bottom w:w="0" w:type="dxa"/>
              <w:right w:w="12" w:type="dxa"/>
            </w:tcMar>
            <w:vAlign w:val="center"/>
            <w:hideMark/>
          </w:tcPr>
          <w:p w14:paraId="737AD86F"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6.59ᵇ ± 0.50</w:t>
            </w:r>
          </w:p>
        </w:tc>
        <w:tc>
          <w:tcPr>
            <w:tcW w:w="0" w:type="auto"/>
            <w:tcMar>
              <w:top w:w="12" w:type="dxa"/>
              <w:left w:w="12" w:type="dxa"/>
              <w:bottom w:w="0" w:type="dxa"/>
              <w:right w:w="12" w:type="dxa"/>
            </w:tcMar>
            <w:vAlign w:val="center"/>
            <w:hideMark/>
          </w:tcPr>
          <w:p w14:paraId="4ACE1E6C"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7.51ᶜ ± 0.74</w:t>
            </w:r>
          </w:p>
        </w:tc>
      </w:tr>
      <w:tr w:rsidR="003B6BAC" w:rsidRPr="005A5CB8" w14:paraId="14419A5F" w14:textId="77777777" w:rsidTr="00D56AF9">
        <w:trPr>
          <w:trHeight w:val="20"/>
          <w:jc w:val="center"/>
        </w:trPr>
        <w:tc>
          <w:tcPr>
            <w:tcW w:w="0" w:type="auto"/>
            <w:tcMar>
              <w:top w:w="15" w:type="dxa"/>
              <w:left w:w="108" w:type="dxa"/>
              <w:bottom w:w="0" w:type="dxa"/>
              <w:right w:w="108" w:type="dxa"/>
            </w:tcMar>
            <w:vAlign w:val="center"/>
            <w:hideMark/>
          </w:tcPr>
          <w:p w14:paraId="0F466E0F"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III</w:t>
            </w:r>
          </w:p>
        </w:tc>
        <w:tc>
          <w:tcPr>
            <w:tcW w:w="0" w:type="auto"/>
            <w:tcMar>
              <w:top w:w="12" w:type="dxa"/>
              <w:left w:w="12" w:type="dxa"/>
              <w:bottom w:w="0" w:type="dxa"/>
              <w:right w:w="12" w:type="dxa"/>
            </w:tcMar>
            <w:vAlign w:val="center"/>
            <w:hideMark/>
          </w:tcPr>
          <w:p w14:paraId="1BF8ECAD"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8.77ᵇ ± 0.56</w:t>
            </w:r>
          </w:p>
        </w:tc>
        <w:tc>
          <w:tcPr>
            <w:tcW w:w="0" w:type="auto"/>
            <w:tcMar>
              <w:top w:w="12" w:type="dxa"/>
              <w:left w:w="12" w:type="dxa"/>
              <w:bottom w:w="0" w:type="dxa"/>
              <w:right w:w="12" w:type="dxa"/>
            </w:tcMar>
            <w:vAlign w:val="center"/>
            <w:hideMark/>
          </w:tcPr>
          <w:p w14:paraId="379C574E"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8.76ᵇ ± 0.43</w:t>
            </w:r>
          </w:p>
        </w:tc>
        <w:tc>
          <w:tcPr>
            <w:tcW w:w="0" w:type="auto"/>
            <w:tcMar>
              <w:top w:w="12" w:type="dxa"/>
              <w:left w:w="12" w:type="dxa"/>
              <w:bottom w:w="0" w:type="dxa"/>
              <w:right w:w="12" w:type="dxa"/>
            </w:tcMar>
            <w:vAlign w:val="center"/>
            <w:hideMark/>
          </w:tcPr>
          <w:p w14:paraId="03CE167E"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10.07ᵇ ± 0.69</w:t>
            </w:r>
          </w:p>
        </w:tc>
      </w:tr>
    </w:tbl>
    <w:p w14:paraId="6D339CE2" w14:textId="29DB4051" w:rsidR="005A2514"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208107AC" w14:textId="6F44D878" w:rsidR="000770FF" w:rsidRDefault="000770FF" w:rsidP="005A2514">
      <w:pPr>
        <w:jc w:val="lowKashida"/>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3600" behindDoc="0" locked="0" layoutInCell="1" allowOverlap="1" wp14:anchorId="3F316650" wp14:editId="06C437A5">
                <wp:simplePos x="0" y="0"/>
                <wp:positionH relativeFrom="column">
                  <wp:posOffset>365760</wp:posOffset>
                </wp:positionH>
                <wp:positionV relativeFrom="paragraph">
                  <wp:posOffset>367030</wp:posOffset>
                </wp:positionV>
                <wp:extent cx="213360" cy="251460"/>
                <wp:effectExtent l="0" t="0" r="72390" b="53340"/>
                <wp:wrapNone/>
                <wp:docPr id="1407242051" name="Straight Arrow Connector 14"/>
                <wp:cNvGraphicFramePr/>
                <a:graphic xmlns:a="http://schemas.openxmlformats.org/drawingml/2006/main">
                  <a:graphicData uri="http://schemas.microsoft.com/office/word/2010/wordprocessingShape">
                    <wps:wsp>
                      <wps:cNvCnPr/>
                      <wps:spPr>
                        <a:xfrm>
                          <a:off x="0" y="0"/>
                          <a:ext cx="21336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D91A90" id="_x0000_t32" coordsize="21600,21600" o:spt="32" o:oned="t" path="m,l21600,21600e" filled="f">
                <v:path arrowok="t" fillok="f" o:connecttype="none"/>
                <o:lock v:ext="edit" shapetype="t"/>
              </v:shapetype>
              <v:shape id="Straight Arrow Connector 14" o:spid="_x0000_s1026" type="#_x0000_t32" style="position:absolute;margin-left:28.8pt;margin-top:28.9pt;width:16.8pt;height:19.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" strokecolor="black [3213]"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1D9C249A" wp14:editId="70E970B6">
                <wp:simplePos x="0" y="0"/>
                <wp:positionH relativeFrom="column">
                  <wp:posOffset>1706880</wp:posOffset>
                </wp:positionH>
                <wp:positionV relativeFrom="paragraph">
                  <wp:posOffset>336550</wp:posOffset>
                </wp:positionV>
                <wp:extent cx="320040" cy="205740"/>
                <wp:effectExtent l="38100" t="0" r="22860" b="60960"/>
                <wp:wrapNone/>
                <wp:docPr id="236684066" name="Straight Arrow Connector 13"/>
                <wp:cNvGraphicFramePr/>
                <a:graphic xmlns:a="http://schemas.openxmlformats.org/drawingml/2006/main">
                  <a:graphicData uri="http://schemas.microsoft.com/office/word/2010/wordprocessingShape">
                    <wps:wsp>
                      <wps:cNvCnPr/>
                      <wps:spPr>
                        <a:xfrm flipH="1">
                          <a:off x="0" y="0"/>
                          <a:ext cx="32004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746CDF" id="Straight Arrow Connector 13" o:spid="_x0000_s1026" type="#_x0000_t32" style="position:absolute;margin-left:134.4pt;margin-top:26.5pt;width:25.2pt;height:16.2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" strokecolor="black [3213]"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4DEF213C" wp14:editId="25A4CDA6">
                <wp:simplePos x="0" y="0"/>
                <wp:positionH relativeFrom="column">
                  <wp:posOffset>2065020</wp:posOffset>
                </wp:positionH>
                <wp:positionV relativeFrom="paragraph">
                  <wp:posOffset>130810</wp:posOffset>
                </wp:positionV>
                <wp:extent cx="304800" cy="236220"/>
                <wp:effectExtent l="0" t="0" r="19050" b="11430"/>
                <wp:wrapNone/>
                <wp:docPr id="818958891"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tx1"/>
                          </a:solidFill>
                        </a:ln>
                      </wps:spPr>
                      <wps:txbx>
                        <w:txbxContent>
                          <w:p w14:paraId="1D15893D"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B</w:t>
                            </w:r>
                          </w:p>
                          <w:p w14:paraId="5E3EB3B6"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EF213C" id="_x0000_t202" coordsize="21600,21600" o:spt="202" path="m,l,21600r21600,l21600,xe">
                <v:stroke joinstyle="miter"/>
                <v:path gradientshapeok="t" o:connecttype="rect"/>
              </v:shapetype>
              <v:shape id="Text Box 11" o:spid="_x0000_s1026" type="#_x0000_t202" style="position:absolute;left:0;text-align:left;margin-left:162.6pt;margin-top:10.3pt;width:24pt;height:18.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" filled="f" strokecolor="black [3213]" strokeweight=".5pt">
                <v:textbox>
                  <w:txbxContent>
                    <w:p w14:paraId="1D15893D"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B</w:t>
                      </w:r>
                    </w:p>
                    <w:p w14:paraId="5E3EB3B6"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12755BD1" wp14:editId="3E720E5B">
                <wp:simplePos x="0" y="0"/>
                <wp:positionH relativeFrom="column">
                  <wp:posOffset>121920</wp:posOffset>
                </wp:positionH>
                <wp:positionV relativeFrom="paragraph">
                  <wp:posOffset>69850</wp:posOffset>
                </wp:positionV>
                <wp:extent cx="304800" cy="236220"/>
                <wp:effectExtent l="0" t="0" r="19050" b="11430"/>
                <wp:wrapNone/>
                <wp:docPr id="805085565"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tx1"/>
                          </a:solidFill>
                        </a:ln>
                      </wps:spPr>
                      <wps:txbx>
                        <w:txbxContent>
                          <w:p w14:paraId="18C9DF9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p w14:paraId="1392B90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755BD1" id="_x0000_s1027" type="#_x0000_t202" style="position:absolute;left:0;text-align:left;margin-left:9.6pt;margin-top:5.5pt;width:24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" filled="f" strokecolor="black [3213]" strokeweight=".5pt">
                <v:textbox>
                  <w:txbxContent>
                    <w:p w14:paraId="18C9DF9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p w14:paraId="1392B90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04102660" wp14:editId="6E9334FC">
                <wp:simplePos x="0" y="0"/>
                <wp:positionH relativeFrom="column">
                  <wp:posOffset>4732020</wp:posOffset>
                </wp:positionH>
                <wp:positionV relativeFrom="paragraph">
                  <wp:posOffset>54610</wp:posOffset>
                </wp:positionV>
                <wp:extent cx="304800" cy="236220"/>
                <wp:effectExtent l="0" t="0" r="19050" b="11430"/>
                <wp:wrapNone/>
                <wp:docPr id="422559826"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6129AF14" w14:textId="46607713"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C</w:t>
                            </w:r>
                          </w:p>
                          <w:p w14:paraId="172E6F5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102660" id="_x0000_s1028" type="#_x0000_t202" style="position:absolute;left:0;text-align:left;margin-left:372.6pt;margin-top:4.3pt;width:24pt;height:18.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JMA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" filled="f" strokecolor="#e8e8e8 [3214]" strokeweight=".5pt">
                <v:textbox>
                  <w:txbxContent>
                    <w:p w14:paraId="6129AF14" w14:textId="46607713"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C</w:t>
                      </w:r>
                    </w:p>
                    <w:p w14:paraId="172E6F5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8C1D592" wp14:editId="0B4FB215">
                <wp:simplePos x="0" y="0"/>
                <wp:positionH relativeFrom="column">
                  <wp:posOffset>2823210</wp:posOffset>
                </wp:positionH>
                <wp:positionV relativeFrom="paragraph">
                  <wp:posOffset>62230</wp:posOffset>
                </wp:positionV>
                <wp:extent cx="304800" cy="236220"/>
                <wp:effectExtent l="0" t="0" r="19050" b="11430"/>
                <wp:wrapNone/>
                <wp:docPr id="1418935765"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3F24E83D"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p w14:paraId="315B351F" w14:textId="4BE8BAE3" w:rsidR="000770FF" w:rsidRPr="000770FF" w:rsidRDefault="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C1D592" id="_x0000_s1029" type="#_x0000_t202" style="position:absolute;left:0;text-align:left;margin-left:222.3pt;margin-top:4.9pt;width:24pt;height:18.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BcMA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" filled="f" strokecolor="#e8e8e8 [3214]" strokeweight=".5pt">
                <v:textbox>
                  <w:txbxContent>
                    <w:p w14:paraId="3F24E83D"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p w14:paraId="315B351F" w14:textId="4BE8BAE3" w:rsidR="000770FF" w:rsidRPr="000770FF" w:rsidRDefault="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BD5F549" wp14:editId="455ED8C4">
                <wp:simplePos x="0" y="0"/>
                <wp:positionH relativeFrom="column">
                  <wp:posOffset>3672840</wp:posOffset>
                </wp:positionH>
                <wp:positionV relativeFrom="paragraph">
                  <wp:posOffset>62865</wp:posOffset>
                </wp:positionV>
                <wp:extent cx="304800" cy="236220"/>
                <wp:effectExtent l="0" t="0" r="19050" b="11430"/>
                <wp:wrapNone/>
                <wp:docPr id="662491111"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1EB0D4B3" w14:textId="7D1E811C"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B</w:t>
                            </w:r>
                          </w:p>
                          <w:p w14:paraId="00DCA73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D5F549" id="_x0000_s1030" type="#_x0000_t202" style="position:absolute;left:0;text-align:left;margin-left:289.2pt;margin-top:4.95pt;width:24pt;height:18.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bMQ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" filled="f" strokecolor="#e8e8e8 [3214]" strokeweight=".5pt">
                <v:textbox>
                  <w:txbxContent>
                    <w:p w14:paraId="1EB0D4B3" w14:textId="7D1E811C"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B</w:t>
                      </w:r>
                    </w:p>
                    <w:p w14:paraId="00DCA73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78F46A37" wp14:editId="65AEEBF2">
                <wp:simplePos x="0" y="0"/>
                <wp:positionH relativeFrom="column">
                  <wp:posOffset>2773680</wp:posOffset>
                </wp:positionH>
                <wp:positionV relativeFrom="paragraph">
                  <wp:posOffset>2889250</wp:posOffset>
                </wp:positionV>
                <wp:extent cx="2880360" cy="1028700"/>
                <wp:effectExtent l="0" t="0" r="15240" b="19050"/>
                <wp:wrapNone/>
                <wp:docPr id="2108874265" name="Text Box 1"/>
                <wp:cNvGraphicFramePr/>
                <a:graphic xmlns:a="http://schemas.openxmlformats.org/drawingml/2006/main">
                  <a:graphicData uri="http://schemas.microsoft.com/office/word/2010/wordprocessingShape">
                    <wps:wsp>
                      <wps:cNvSpPr txBox="1"/>
                      <wps:spPr>
                        <a:xfrm>
                          <a:off x="0" y="0"/>
                          <a:ext cx="2880360" cy="1028700"/>
                        </a:xfrm>
                        <a:prstGeom prst="rect">
                          <a:avLst/>
                        </a:prstGeom>
                        <a:solidFill>
                          <a:schemeClr val="lt1"/>
                        </a:solidFill>
                        <a:ln w="6350">
                          <a:solidFill>
                            <a:prstClr val="black"/>
                          </a:solidFill>
                        </a:ln>
                      </wps:spPr>
                      <wps:txbx>
                        <w:txbxContent>
                          <w:p w14:paraId="0EDAD3E4" w14:textId="01627163" w:rsidR="000770FF" w:rsidRDefault="00C4710A" w:rsidP="000770FF">
                            <w:pPr>
                              <w:ind w:left="993" w:hanging="993"/>
                              <w:jc w:val="lowKashida"/>
                            </w:pPr>
                            <w:r>
                              <w:rPr>
                                <w:b/>
                                <w:bCs/>
                              </w:rPr>
                              <w:t>Fig.</w:t>
                            </w:r>
                            <w:r w:rsidR="000770FF" w:rsidRPr="00594E5B">
                              <w:rPr>
                                <w:b/>
                                <w:bCs/>
                              </w:rPr>
                              <w:t xml:space="preserve"> 02</w:t>
                            </w:r>
                            <w:r>
                              <w:rPr>
                                <w:b/>
                                <w:bCs/>
                              </w:rPr>
                              <w:t>.</w:t>
                            </w:r>
                            <w:r w:rsidR="000770FF" w:rsidRPr="000770FF">
                              <w:tab/>
                              <w:t>(A) Group I pup with normal appearance, (B) Group II pup, and (C) Group III pup exhibiting a leaner body and reduced hair density compared to group I at PND 15</w:t>
                            </w:r>
                            <w:r w:rsidR="000770FF" w:rsidRPr="000770FF">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F46A37" id="Text Box 1" o:spid="_x0000_s1031" type="#_x0000_t202" style="position:absolute;left:0;text-align:left;margin-left:218.4pt;margin-top:227.5pt;width:226.8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acOw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" fillcolor="white [3201]" strokeweight=".5pt">
                <v:textbox>
                  <w:txbxContent>
                    <w:p w14:paraId="0EDAD3E4" w14:textId="01627163" w:rsidR="000770FF" w:rsidRDefault="00C4710A" w:rsidP="000770FF">
                      <w:pPr>
                        <w:ind w:left="993" w:hanging="993"/>
                        <w:jc w:val="lowKashida"/>
                      </w:pPr>
                      <w:r>
                        <w:rPr>
                          <w:b/>
                          <w:bCs/>
                        </w:rPr>
                        <w:t>Fig.</w:t>
                      </w:r>
                      <w:r w:rsidR="000770FF" w:rsidRPr="00594E5B">
                        <w:rPr>
                          <w:b/>
                          <w:bCs/>
                        </w:rPr>
                        <w:t xml:space="preserve"> 02</w:t>
                      </w:r>
                      <w:r>
                        <w:rPr>
                          <w:b/>
                          <w:bCs/>
                        </w:rPr>
                        <w:t>.</w:t>
                      </w:r>
                      <w:r w:rsidR="000770FF" w:rsidRPr="000770FF">
                        <w:tab/>
                        <w:t>(A) Group I pup with normal appearance, (B) Group II pup, and (C) Group III pup exhibiting a leaner body and reduced hair density compared to group I at PND 15</w:t>
                      </w:r>
                      <w:r w:rsidR="000770FF" w:rsidRPr="000770FF">
                        <w:tab/>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18AE7133" wp14:editId="19241BBF">
                <wp:simplePos x="0" y="0"/>
                <wp:positionH relativeFrom="column">
                  <wp:posOffset>22860</wp:posOffset>
                </wp:positionH>
                <wp:positionV relativeFrom="paragraph">
                  <wp:posOffset>2889250</wp:posOffset>
                </wp:positionV>
                <wp:extent cx="2431415" cy="1028700"/>
                <wp:effectExtent l="0" t="0" r="26035" b="19050"/>
                <wp:wrapNone/>
                <wp:docPr id="1435325911" name="Text Box 1"/>
                <wp:cNvGraphicFramePr/>
                <a:graphic xmlns:a="http://schemas.openxmlformats.org/drawingml/2006/main">
                  <a:graphicData uri="http://schemas.microsoft.com/office/word/2010/wordprocessingShape">
                    <wps:wsp>
                      <wps:cNvSpPr txBox="1"/>
                      <wps:spPr>
                        <a:xfrm>
                          <a:off x="0" y="0"/>
                          <a:ext cx="2431415" cy="1028700"/>
                        </a:xfrm>
                        <a:prstGeom prst="rect">
                          <a:avLst/>
                        </a:prstGeom>
                        <a:solidFill>
                          <a:schemeClr val="lt1"/>
                        </a:solidFill>
                        <a:ln w="6350">
                          <a:solidFill>
                            <a:prstClr val="black"/>
                          </a:solidFill>
                        </a:ln>
                      </wps:spPr>
                      <wps:txbx>
                        <w:txbxContent>
                          <w:p w14:paraId="52D80C66" w14:textId="0BA4EA62" w:rsidR="000770FF" w:rsidRDefault="00C4710A" w:rsidP="000770FF">
                            <w:pPr>
                              <w:ind w:left="993" w:hanging="993"/>
                              <w:jc w:val="lowKashida"/>
                            </w:pPr>
                            <w:r>
                              <w:rPr>
                                <w:b/>
                                <w:bCs/>
                              </w:rPr>
                              <w:t>Fig.</w:t>
                            </w:r>
                            <w:r w:rsidR="000770FF" w:rsidRPr="00594E5B">
                              <w:rPr>
                                <w:b/>
                                <w:bCs/>
                              </w:rPr>
                              <w:t xml:space="preserve"> 01</w:t>
                            </w:r>
                            <w:r>
                              <w:rPr>
                                <w:b/>
                                <w:bCs/>
                              </w:rPr>
                              <w:t>.</w:t>
                            </w:r>
                            <w:r w:rsidR="000770FF" w:rsidRPr="000770FF">
                              <w:t xml:space="preserve"> </w:t>
                            </w:r>
                            <w:r w:rsidR="000770FF" w:rsidRPr="000770FF">
                              <w:tab/>
                              <w:t xml:space="preserve">(A) group I pup with normal hair development and (B) group II pup with leaner body and delayed hair development at PND 8 </w:t>
                            </w:r>
                            <w:r w:rsidR="000770FF" w:rsidRPr="000770FF">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AE7133" id="_x0000_s1032" type="#_x0000_t202" style="position:absolute;left:0;text-align:left;margin-left:1.8pt;margin-top:227.5pt;width:191.4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OuOwIAAIQ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" fillcolor="white [3201]" strokeweight=".5pt">
                <v:textbox>
                  <w:txbxContent>
                    <w:p w14:paraId="52D80C66" w14:textId="0BA4EA62" w:rsidR="000770FF" w:rsidRDefault="00C4710A" w:rsidP="000770FF">
                      <w:pPr>
                        <w:ind w:left="993" w:hanging="993"/>
                        <w:jc w:val="lowKashida"/>
                      </w:pPr>
                      <w:r>
                        <w:rPr>
                          <w:b/>
                          <w:bCs/>
                        </w:rPr>
                        <w:t>Fig.</w:t>
                      </w:r>
                      <w:r w:rsidR="000770FF" w:rsidRPr="00594E5B">
                        <w:rPr>
                          <w:b/>
                          <w:bCs/>
                        </w:rPr>
                        <w:t xml:space="preserve"> 01</w:t>
                      </w:r>
                      <w:r>
                        <w:rPr>
                          <w:b/>
                          <w:bCs/>
                        </w:rPr>
                        <w:t>.</w:t>
                      </w:r>
                      <w:r w:rsidR="000770FF" w:rsidRPr="000770FF">
                        <w:t xml:space="preserve"> </w:t>
                      </w:r>
                      <w:r w:rsidR="000770FF" w:rsidRPr="000770FF">
                        <w:tab/>
                        <w:t xml:space="preserve">(A) group I pup with normal hair development and (B) group II pup with leaner body and delayed hair development at PND 8 </w:t>
                      </w:r>
                      <w:r w:rsidR="000770FF" w:rsidRPr="000770FF">
                        <w:tab/>
                      </w:r>
                    </w:p>
                  </w:txbxContent>
                </v:textbox>
              </v:shape>
            </w:pict>
          </mc:Fallback>
        </mc:AlternateContent>
      </w:r>
      <w:r w:rsidRPr="008203B6">
        <w:rPr>
          <w:rFonts w:ascii="Arial" w:hAnsi="Arial" w:cs="Arial"/>
          <w:b/>
          <w:bCs/>
          <w:noProof/>
        </w:rPr>
        <w:drawing>
          <wp:anchor distT="0" distB="0" distL="114300" distR="114300" simplePos="0" relativeHeight="251659264" behindDoc="0" locked="0" layoutInCell="1" allowOverlap="1" wp14:anchorId="0EBAE3FA" wp14:editId="196DFC09">
            <wp:simplePos x="0" y="0"/>
            <wp:positionH relativeFrom="column">
              <wp:posOffset>2769871</wp:posOffset>
            </wp:positionH>
            <wp:positionV relativeFrom="paragraph">
              <wp:posOffset>20320</wp:posOffset>
            </wp:positionV>
            <wp:extent cx="2884170" cy="2814950"/>
            <wp:effectExtent l="19050" t="19050" r="11430" b="24130"/>
            <wp:wrapNone/>
            <wp:docPr id="23" name="Picture 22" descr="Several white rats with long tails&#10;&#10;AI-generated content may be incorrect.">
              <a:extLst xmlns:a="http://schemas.openxmlformats.org/drawingml/2006/main">
                <a:ext uri="{FF2B5EF4-FFF2-40B4-BE49-F238E27FC236}">
                  <a16:creationId xmlns:a16="http://schemas.microsoft.com/office/drawing/2014/main" id="{B9BEC61E-D169-5D30-8AF5-AD05379D0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Several white rats with long tails&#10;&#10;AI-generated content may be incorrect.">
                      <a:extLst>
                        <a:ext uri="{FF2B5EF4-FFF2-40B4-BE49-F238E27FC236}">
                          <a16:creationId xmlns:a16="http://schemas.microsoft.com/office/drawing/2014/main" id="{B9BEC61E-D169-5D30-8AF5-AD05379D0ACC}"/>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21257" b="11102"/>
                    <a:stretch>
                      <a:fillRect/>
                    </a:stretch>
                  </pic:blipFill>
                  <pic:spPr>
                    <a:xfrm>
                      <a:off x="0" y="0"/>
                      <a:ext cx="2888519" cy="2819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8203B6">
        <w:rPr>
          <w:rFonts w:ascii="Arial" w:hAnsi="Arial" w:cs="Arial"/>
          <w:b/>
          <w:bCs/>
          <w:noProof/>
          <w:sz w:val="24"/>
          <w:szCs w:val="24"/>
        </w:rPr>
        <w:drawing>
          <wp:inline distT="0" distB="0" distL="0" distR="0" wp14:anchorId="0BBD07CC" wp14:editId="132A18E2">
            <wp:extent cx="2427975" cy="2814320"/>
            <wp:effectExtent l="19050" t="19050" r="10795" b="24130"/>
            <wp:docPr id="5" name="Picture 4" descr="A pair of white rats on a blue surface&#10;&#10;AI-generated content may be incorrect.">
              <a:extLst xmlns:a="http://schemas.openxmlformats.org/drawingml/2006/main">
                <a:ext uri="{FF2B5EF4-FFF2-40B4-BE49-F238E27FC236}">
                  <a16:creationId xmlns:a16="http://schemas.microsoft.com/office/drawing/2014/main" id="{248FA99C-AABE-7857-64B4-F6B4F01B4E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r of white rats on a blue surface&#10;&#10;AI-generated content may be incorrect.">
                      <a:extLst>
                        <a:ext uri="{FF2B5EF4-FFF2-40B4-BE49-F238E27FC236}">
                          <a16:creationId xmlns:a16="http://schemas.microsoft.com/office/drawing/2014/main" id="{248FA99C-AABE-7857-64B4-F6B4F01B4EDB}"/>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1218" t="13549" r="8890" b="8387"/>
                    <a:stretch>
                      <a:fillRect/>
                    </a:stretch>
                  </pic:blipFill>
                  <pic:spPr>
                    <a:xfrm>
                      <a:off x="0" y="0"/>
                      <a:ext cx="2432501" cy="2819566"/>
                    </a:xfrm>
                    <a:prstGeom prst="rect">
                      <a:avLst/>
                    </a:prstGeom>
                    <a:ln w="12700">
                      <a:solidFill>
                        <a:schemeClr val="tx1"/>
                      </a:solidFill>
                    </a:ln>
                  </pic:spPr>
                </pic:pic>
              </a:graphicData>
            </a:graphic>
          </wp:inline>
        </w:drawing>
      </w:r>
    </w:p>
    <w:p w14:paraId="37583FAC" w14:textId="4B9238BF" w:rsidR="000770FF" w:rsidRDefault="000770FF" w:rsidP="005A2514">
      <w:pPr>
        <w:jc w:val="lowKashida"/>
        <w:rPr>
          <w:rFonts w:ascii="Times New Roman" w:hAnsi="Times New Roman" w:cs="Times New Roman"/>
          <w:b/>
          <w:bCs/>
          <w:sz w:val="24"/>
          <w:szCs w:val="24"/>
        </w:rPr>
      </w:pPr>
    </w:p>
    <w:p w14:paraId="01736300" w14:textId="77777777" w:rsidR="000770FF" w:rsidRDefault="000770FF" w:rsidP="005A2514">
      <w:pPr>
        <w:jc w:val="lowKashida"/>
        <w:rPr>
          <w:rFonts w:ascii="Times New Roman" w:hAnsi="Times New Roman" w:cs="Times New Roman"/>
          <w:b/>
          <w:bCs/>
          <w:sz w:val="24"/>
          <w:szCs w:val="24"/>
        </w:rPr>
      </w:pPr>
    </w:p>
    <w:p w14:paraId="7F771917" w14:textId="77777777" w:rsidR="000770FF" w:rsidRDefault="000770FF" w:rsidP="005A2514">
      <w:pPr>
        <w:jc w:val="lowKashida"/>
        <w:rPr>
          <w:rFonts w:ascii="Times New Roman" w:hAnsi="Times New Roman" w:cs="Times New Roman"/>
          <w:b/>
          <w:bCs/>
          <w:sz w:val="24"/>
          <w:szCs w:val="24"/>
        </w:rPr>
      </w:pPr>
    </w:p>
    <w:p w14:paraId="7FD43F46" w14:textId="77777777" w:rsidR="000770FF" w:rsidRDefault="000770FF" w:rsidP="005A2514">
      <w:pPr>
        <w:jc w:val="lowKashida"/>
        <w:rPr>
          <w:rFonts w:ascii="Times New Roman" w:hAnsi="Times New Roman" w:cs="Times New Roman"/>
          <w:b/>
          <w:bCs/>
          <w:sz w:val="24"/>
          <w:szCs w:val="24"/>
        </w:rPr>
      </w:pPr>
    </w:p>
    <w:p w14:paraId="454771FF" w14:textId="01B7B62B"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3.3 Offspring parameters</w:t>
      </w:r>
    </w:p>
    <w:p w14:paraId="133712E3" w14:textId="5CFB7F65"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A significant variation in offspring parameters was observed among the experimental groups. The lead-treated group showed a significant reduction in litter weight and litter size at birth compared with the control group. In addition, the number of live pups per dam was significantly lower and the number of dead pups per dam was significantly higher in the lead-exposed group.</w:t>
      </w:r>
      <w:r w:rsidR="00005715" w:rsidRPr="005A5CB8">
        <w:rPr>
          <w:rFonts w:ascii="Times New Roman" w:hAnsi="Times New Roman" w:cs="Times New Roman"/>
          <w:sz w:val="24"/>
          <w:szCs w:val="24"/>
        </w:rPr>
        <w:t xml:space="preserve"> </w:t>
      </w:r>
      <w:r w:rsidRPr="005A5CB8">
        <w:rPr>
          <w:rFonts w:ascii="Times New Roman" w:hAnsi="Times New Roman" w:cs="Times New Roman"/>
          <w:sz w:val="24"/>
          <w:szCs w:val="24"/>
        </w:rPr>
        <w:t xml:space="preserve">Dams exposed to lead acetate also showed a higher frequency of pup loss and pup-eating </w:t>
      </w:r>
      <w:proofErr w:type="spellStart"/>
      <w:r w:rsidRPr="005A5CB8">
        <w:rPr>
          <w:rFonts w:ascii="Times New Roman" w:hAnsi="Times New Roman" w:cs="Times New Roman"/>
          <w:sz w:val="24"/>
          <w:szCs w:val="24"/>
        </w:rPr>
        <w:t>behavior</w:t>
      </w:r>
      <w:proofErr w:type="spellEnd"/>
      <w:r w:rsidRPr="005A5CB8">
        <w:rPr>
          <w:rFonts w:ascii="Times New Roman" w:hAnsi="Times New Roman" w:cs="Times New Roman"/>
          <w:sz w:val="24"/>
          <w:szCs w:val="24"/>
        </w:rPr>
        <w:t xml:space="preserve"> compared with controls during the early postnatal period.</w:t>
      </w:r>
    </w:p>
    <w:p w14:paraId="5F0C5433" w14:textId="169CF286" w:rsidR="0026108D" w:rsidRPr="005A5CB8" w:rsidRDefault="00EA482C" w:rsidP="0026108D">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demonstrated significant improvement in litter weight, litter size, and number of live pups per dam, along with reduced pup mortality compared with the lead-only group. However, these values remained statistically different from the control group, indicating partial but not complete recovery of offspring survival parameters</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5</w:t>
      </w:r>
    </w:p>
    <w:p w14:paraId="065982EC" w14:textId="336D4985" w:rsidR="005A2514" w:rsidRPr="005A5CB8" w:rsidRDefault="005A2514"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05.</w:t>
      </w:r>
      <w:r w:rsidRPr="005A5CB8">
        <w:rPr>
          <w:rFonts w:ascii="Times New Roman" w:hAnsi="Times New Roman" w:cs="Times New Roman"/>
          <w:b/>
          <w:bCs/>
          <w:sz w:val="24"/>
          <w:szCs w:val="24"/>
        </w:rPr>
        <w:t xml:space="preserve"> Offspring parameters</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16"/>
        <w:gridCol w:w="656"/>
        <w:gridCol w:w="1417"/>
        <w:gridCol w:w="1709"/>
        <w:gridCol w:w="841"/>
        <w:gridCol w:w="1366"/>
        <w:gridCol w:w="903"/>
        <w:gridCol w:w="1384"/>
      </w:tblGrid>
      <w:tr w:rsidR="00356CAC" w:rsidRPr="005A5CB8" w14:paraId="11EF21F3" w14:textId="77777777" w:rsidTr="00005715">
        <w:trPr>
          <w:cantSplit/>
          <w:trHeight w:val="55"/>
        </w:trPr>
        <w:tc>
          <w:tcPr>
            <w:tcW w:w="346" w:type="pct"/>
            <w:tcMar>
              <w:top w:w="12" w:type="dxa"/>
              <w:left w:w="12" w:type="dxa"/>
              <w:bottom w:w="0" w:type="dxa"/>
              <w:right w:w="12" w:type="dxa"/>
            </w:tcMar>
            <w:vAlign w:val="center"/>
            <w:hideMark/>
          </w:tcPr>
          <w:p w14:paraId="59D4B4F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Group</w:t>
            </w:r>
          </w:p>
        </w:tc>
        <w:tc>
          <w:tcPr>
            <w:tcW w:w="369" w:type="pct"/>
            <w:tcMar>
              <w:top w:w="12" w:type="dxa"/>
              <w:left w:w="12" w:type="dxa"/>
              <w:bottom w:w="0" w:type="dxa"/>
              <w:right w:w="12" w:type="dxa"/>
            </w:tcMar>
            <w:vAlign w:val="center"/>
            <w:hideMark/>
          </w:tcPr>
          <w:p w14:paraId="502F872D"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No. of dams</w:t>
            </w:r>
          </w:p>
        </w:tc>
        <w:tc>
          <w:tcPr>
            <w:tcW w:w="797" w:type="pct"/>
            <w:vAlign w:val="center"/>
          </w:tcPr>
          <w:p w14:paraId="4A61B791"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Litter Weight  </w:t>
            </w:r>
            <w:proofErr w:type="gramStart"/>
            <w:r w:rsidRPr="005A5CB8">
              <w:rPr>
                <w:rFonts w:ascii="Times New Roman" w:hAnsi="Times New Roman" w:cs="Times New Roman"/>
                <w:b/>
                <w:bCs/>
                <w:color w:val="000000"/>
                <w:sz w:val="24"/>
                <w:szCs w:val="24"/>
              </w:rPr>
              <w:t xml:space="preserve">   (</w:t>
            </w:r>
            <w:proofErr w:type="gramEnd"/>
            <w:r w:rsidRPr="005A5CB8">
              <w:rPr>
                <w:rFonts w:ascii="Times New Roman" w:hAnsi="Times New Roman" w:cs="Times New Roman"/>
                <w:b/>
                <w:bCs/>
                <w:color w:val="000000"/>
                <w:sz w:val="24"/>
                <w:szCs w:val="24"/>
              </w:rPr>
              <w:t>Mean ± SE)</w:t>
            </w:r>
          </w:p>
        </w:tc>
        <w:tc>
          <w:tcPr>
            <w:tcW w:w="961" w:type="pct"/>
            <w:tcMar>
              <w:top w:w="12" w:type="dxa"/>
              <w:left w:w="12" w:type="dxa"/>
              <w:bottom w:w="0" w:type="dxa"/>
              <w:right w:w="12" w:type="dxa"/>
            </w:tcMar>
            <w:vAlign w:val="center"/>
            <w:hideMark/>
          </w:tcPr>
          <w:p w14:paraId="21CC16EF" w14:textId="56EA8549"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Litter size at</w:t>
            </w:r>
            <w:r w:rsidR="001B6DF0">
              <w:rPr>
                <w:rFonts w:ascii="Times New Roman" w:hAnsi="Times New Roman" w:cs="Times New Roman"/>
                <w:b/>
                <w:bCs/>
                <w:color w:val="000000"/>
                <w:sz w:val="24"/>
                <w:szCs w:val="24"/>
              </w:rPr>
              <w:t xml:space="preserve"> </w:t>
            </w:r>
            <w:r w:rsidRPr="005A5CB8">
              <w:rPr>
                <w:rFonts w:ascii="Times New Roman" w:hAnsi="Times New Roman" w:cs="Times New Roman"/>
                <w:b/>
                <w:bCs/>
                <w:color w:val="000000"/>
                <w:sz w:val="24"/>
                <w:szCs w:val="24"/>
              </w:rPr>
              <w:t>birth (Mean ± SE)</w:t>
            </w:r>
          </w:p>
        </w:tc>
        <w:tc>
          <w:tcPr>
            <w:tcW w:w="473" w:type="pct"/>
            <w:tcMar>
              <w:top w:w="12" w:type="dxa"/>
              <w:left w:w="12" w:type="dxa"/>
              <w:bottom w:w="0" w:type="dxa"/>
              <w:right w:w="12" w:type="dxa"/>
            </w:tcMar>
            <w:vAlign w:val="center"/>
            <w:hideMark/>
          </w:tcPr>
          <w:p w14:paraId="2D989FD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Total live pups/group</w:t>
            </w:r>
          </w:p>
        </w:tc>
        <w:tc>
          <w:tcPr>
            <w:tcW w:w="768" w:type="pct"/>
            <w:tcMar>
              <w:top w:w="12" w:type="dxa"/>
              <w:left w:w="12" w:type="dxa"/>
              <w:bottom w:w="0" w:type="dxa"/>
              <w:right w:w="12" w:type="dxa"/>
            </w:tcMar>
            <w:vAlign w:val="center"/>
            <w:hideMark/>
          </w:tcPr>
          <w:p w14:paraId="533822B0"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Live pups/dam (Mean ± SE)</w:t>
            </w:r>
          </w:p>
        </w:tc>
        <w:tc>
          <w:tcPr>
            <w:tcW w:w="508" w:type="pct"/>
            <w:tcMar>
              <w:top w:w="12" w:type="dxa"/>
              <w:left w:w="12" w:type="dxa"/>
              <w:bottom w:w="0" w:type="dxa"/>
              <w:right w:w="12" w:type="dxa"/>
            </w:tcMar>
            <w:vAlign w:val="center"/>
            <w:hideMark/>
          </w:tcPr>
          <w:p w14:paraId="2B97AD4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Total dead pups/group</w:t>
            </w:r>
          </w:p>
        </w:tc>
        <w:tc>
          <w:tcPr>
            <w:tcW w:w="778" w:type="pct"/>
            <w:tcMar>
              <w:top w:w="12" w:type="dxa"/>
              <w:left w:w="12" w:type="dxa"/>
              <w:bottom w:w="0" w:type="dxa"/>
              <w:right w:w="12" w:type="dxa"/>
            </w:tcMar>
            <w:vAlign w:val="center"/>
            <w:hideMark/>
          </w:tcPr>
          <w:p w14:paraId="74DE5EFE"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Dead pups/dam (Mean ± SE)</w:t>
            </w:r>
          </w:p>
        </w:tc>
      </w:tr>
      <w:tr w:rsidR="00356CAC" w:rsidRPr="005A5CB8" w14:paraId="0F6AB9FD" w14:textId="77777777" w:rsidTr="00005715">
        <w:trPr>
          <w:trHeight w:val="55"/>
        </w:trPr>
        <w:tc>
          <w:tcPr>
            <w:tcW w:w="346" w:type="pct"/>
            <w:tcMar>
              <w:top w:w="12" w:type="dxa"/>
              <w:left w:w="12" w:type="dxa"/>
              <w:bottom w:w="0" w:type="dxa"/>
              <w:right w:w="12" w:type="dxa"/>
            </w:tcMar>
            <w:vAlign w:val="center"/>
            <w:hideMark/>
          </w:tcPr>
          <w:p w14:paraId="1DF61B81"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w:t>
            </w:r>
          </w:p>
        </w:tc>
        <w:tc>
          <w:tcPr>
            <w:tcW w:w="369" w:type="pct"/>
            <w:tcMar>
              <w:top w:w="12" w:type="dxa"/>
              <w:left w:w="12" w:type="dxa"/>
              <w:bottom w:w="0" w:type="dxa"/>
              <w:right w:w="12" w:type="dxa"/>
            </w:tcMar>
            <w:vAlign w:val="center"/>
            <w:hideMark/>
          </w:tcPr>
          <w:p w14:paraId="0589EE7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178F2E5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40.60ᵃ ± 1.13</w:t>
            </w:r>
          </w:p>
        </w:tc>
        <w:tc>
          <w:tcPr>
            <w:tcW w:w="961" w:type="pct"/>
            <w:tcMar>
              <w:top w:w="12" w:type="dxa"/>
              <w:left w:w="12" w:type="dxa"/>
              <w:bottom w:w="0" w:type="dxa"/>
              <w:right w:w="12" w:type="dxa"/>
            </w:tcMar>
            <w:vAlign w:val="center"/>
            <w:hideMark/>
          </w:tcPr>
          <w:p w14:paraId="6AF0AB6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08.17ᵃ ± 0.40</w:t>
            </w:r>
          </w:p>
        </w:tc>
        <w:tc>
          <w:tcPr>
            <w:tcW w:w="473" w:type="pct"/>
            <w:tcMar>
              <w:top w:w="12" w:type="dxa"/>
              <w:left w:w="12" w:type="dxa"/>
              <w:bottom w:w="0" w:type="dxa"/>
              <w:right w:w="12" w:type="dxa"/>
            </w:tcMar>
            <w:vAlign w:val="center"/>
            <w:hideMark/>
          </w:tcPr>
          <w:p w14:paraId="2DEC36F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49</w:t>
            </w:r>
          </w:p>
        </w:tc>
        <w:tc>
          <w:tcPr>
            <w:tcW w:w="768" w:type="pct"/>
            <w:tcMar>
              <w:top w:w="12" w:type="dxa"/>
              <w:left w:w="12" w:type="dxa"/>
              <w:bottom w:w="0" w:type="dxa"/>
              <w:right w:w="12" w:type="dxa"/>
            </w:tcMar>
            <w:vAlign w:val="center"/>
            <w:hideMark/>
          </w:tcPr>
          <w:p w14:paraId="5A0512D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08.17ᵃ ± 0.40</w:t>
            </w:r>
          </w:p>
        </w:tc>
        <w:tc>
          <w:tcPr>
            <w:tcW w:w="508" w:type="pct"/>
            <w:tcMar>
              <w:top w:w="12" w:type="dxa"/>
              <w:left w:w="12" w:type="dxa"/>
              <w:bottom w:w="0" w:type="dxa"/>
              <w:right w:w="12" w:type="dxa"/>
            </w:tcMar>
            <w:vAlign w:val="center"/>
            <w:hideMark/>
          </w:tcPr>
          <w:p w14:paraId="0FAFD68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w:t>
            </w:r>
          </w:p>
        </w:tc>
        <w:tc>
          <w:tcPr>
            <w:tcW w:w="778" w:type="pct"/>
            <w:tcMar>
              <w:top w:w="12" w:type="dxa"/>
              <w:left w:w="12" w:type="dxa"/>
              <w:bottom w:w="0" w:type="dxa"/>
              <w:right w:w="12" w:type="dxa"/>
            </w:tcMar>
            <w:vAlign w:val="center"/>
            <w:hideMark/>
          </w:tcPr>
          <w:p w14:paraId="67C5195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00.00ᵇ ± 0.00</w:t>
            </w:r>
          </w:p>
        </w:tc>
      </w:tr>
      <w:tr w:rsidR="00356CAC" w:rsidRPr="005A5CB8" w14:paraId="1BE8B73C" w14:textId="77777777" w:rsidTr="00005715">
        <w:trPr>
          <w:trHeight w:val="55"/>
        </w:trPr>
        <w:tc>
          <w:tcPr>
            <w:tcW w:w="346" w:type="pct"/>
            <w:tcMar>
              <w:top w:w="12" w:type="dxa"/>
              <w:left w:w="12" w:type="dxa"/>
              <w:bottom w:w="0" w:type="dxa"/>
              <w:right w:w="12" w:type="dxa"/>
            </w:tcMar>
            <w:vAlign w:val="center"/>
            <w:hideMark/>
          </w:tcPr>
          <w:p w14:paraId="0C6DD10A"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w:t>
            </w:r>
          </w:p>
        </w:tc>
        <w:tc>
          <w:tcPr>
            <w:tcW w:w="369" w:type="pct"/>
            <w:tcMar>
              <w:top w:w="12" w:type="dxa"/>
              <w:left w:w="12" w:type="dxa"/>
              <w:bottom w:w="0" w:type="dxa"/>
              <w:right w:w="12" w:type="dxa"/>
            </w:tcMar>
            <w:vAlign w:val="center"/>
            <w:hideMark/>
          </w:tcPr>
          <w:p w14:paraId="6BF933F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524B619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24.83ᶜ ± 1.62</w:t>
            </w:r>
          </w:p>
        </w:tc>
        <w:tc>
          <w:tcPr>
            <w:tcW w:w="961" w:type="pct"/>
            <w:tcMar>
              <w:top w:w="12" w:type="dxa"/>
              <w:left w:w="12" w:type="dxa"/>
              <w:bottom w:w="0" w:type="dxa"/>
              <w:right w:w="12" w:type="dxa"/>
            </w:tcMar>
            <w:vAlign w:val="center"/>
            <w:hideMark/>
          </w:tcPr>
          <w:p w14:paraId="30EB0BF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06.50ᵇ ± 0.43</w:t>
            </w:r>
          </w:p>
        </w:tc>
        <w:tc>
          <w:tcPr>
            <w:tcW w:w="473" w:type="pct"/>
            <w:tcMar>
              <w:top w:w="12" w:type="dxa"/>
              <w:left w:w="12" w:type="dxa"/>
              <w:bottom w:w="0" w:type="dxa"/>
              <w:right w:w="12" w:type="dxa"/>
            </w:tcMar>
            <w:vAlign w:val="center"/>
            <w:hideMark/>
          </w:tcPr>
          <w:p w14:paraId="4436A1C0"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39</w:t>
            </w:r>
          </w:p>
        </w:tc>
        <w:tc>
          <w:tcPr>
            <w:tcW w:w="768" w:type="pct"/>
            <w:tcMar>
              <w:top w:w="12" w:type="dxa"/>
              <w:left w:w="12" w:type="dxa"/>
              <w:bottom w:w="0" w:type="dxa"/>
              <w:right w:w="12" w:type="dxa"/>
            </w:tcMar>
            <w:vAlign w:val="center"/>
            <w:hideMark/>
          </w:tcPr>
          <w:p w14:paraId="7EE8243A"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03.00ᶜ ± 0.58</w:t>
            </w:r>
          </w:p>
        </w:tc>
        <w:tc>
          <w:tcPr>
            <w:tcW w:w="508" w:type="pct"/>
            <w:tcMar>
              <w:top w:w="12" w:type="dxa"/>
              <w:left w:w="12" w:type="dxa"/>
              <w:bottom w:w="0" w:type="dxa"/>
              <w:right w:w="12" w:type="dxa"/>
            </w:tcMar>
            <w:vAlign w:val="center"/>
            <w:hideMark/>
          </w:tcPr>
          <w:p w14:paraId="2AC2D15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21</w:t>
            </w:r>
          </w:p>
        </w:tc>
        <w:tc>
          <w:tcPr>
            <w:tcW w:w="778" w:type="pct"/>
            <w:tcMar>
              <w:top w:w="12" w:type="dxa"/>
              <w:left w:w="12" w:type="dxa"/>
              <w:bottom w:w="0" w:type="dxa"/>
              <w:right w:w="12" w:type="dxa"/>
            </w:tcMar>
            <w:vAlign w:val="center"/>
            <w:hideMark/>
          </w:tcPr>
          <w:p w14:paraId="0EE5AB4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03.50ᵃ ± 0.72</w:t>
            </w:r>
          </w:p>
        </w:tc>
      </w:tr>
      <w:tr w:rsidR="00356CAC" w:rsidRPr="005A5CB8" w14:paraId="345BCF75" w14:textId="77777777" w:rsidTr="00005715">
        <w:trPr>
          <w:trHeight w:val="55"/>
        </w:trPr>
        <w:tc>
          <w:tcPr>
            <w:tcW w:w="346" w:type="pct"/>
            <w:tcMar>
              <w:top w:w="12" w:type="dxa"/>
              <w:left w:w="12" w:type="dxa"/>
              <w:bottom w:w="0" w:type="dxa"/>
              <w:right w:w="12" w:type="dxa"/>
            </w:tcMar>
            <w:vAlign w:val="center"/>
            <w:hideMark/>
          </w:tcPr>
          <w:p w14:paraId="49CA369D"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III</w:t>
            </w:r>
          </w:p>
        </w:tc>
        <w:tc>
          <w:tcPr>
            <w:tcW w:w="369" w:type="pct"/>
            <w:tcMar>
              <w:top w:w="12" w:type="dxa"/>
              <w:left w:w="12" w:type="dxa"/>
              <w:bottom w:w="0" w:type="dxa"/>
              <w:right w:w="12" w:type="dxa"/>
            </w:tcMar>
            <w:vAlign w:val="center"/>
            <w:hideMark/>
          </w:tcPr>
          <w:p w14:paraId="6D9DF94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607012B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27.80ᵇ ± 1.07</w:t>
            </w:r>
          </w:p>
        </w:tc>
        <w:tc>
          <w:tcPr>
            <w:tcW w:w="961" w:type="pct"/>
            <w:tcMar>
              <w:top w:w="12" w:type="dxa"/>
              <w:left w:w="12" w:type="dxa"/>
              <w:bottom w:w="0" w:type="dxa"/>
              <w:right w:w="12" w:type="dxa"/>
            </w:tcMar>
            <w:vAlign w:val="center"/>
            <w:hideMark/>
          </w:tcPr>
          <w:p w14:paraId="468C050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07.33ᵃᵇ ± 0.21</w:t>
            </w:r>
          </w:p>
        </w:tc>
        <w:tc>
          <w:tcPr>
            <w:tcW w:w="473" w:type="pct"/>
            <w:tcMar>
              <w:top w:w="12" w:type="dxa"/>
              <w:left w:w="12" w:type="dxa"/>
              <w:bottom w:w="0" w:type="dxa"/>
              <w:right w:w="12" w:type="dxa"/>
            </w:tcMar>
            <w:vAlign w:val="center"/>
            <w:hideMark/>
          </w:tcPr>
          <w:p w14:paraId="04A996A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44</w:t>
            </w:r>
          </w:p>
        </w:tc>
        <w:tc>
          <w:tcPr>
            <w:tcW w:w="768" w:type="pct"/>
            <w:tcMar>
              <w:top w:w="12" w:type="dxa"/>
              <w:left w:w="12" w:type="dxa"/>
              <w:bottom w:w="0" w:type="dxa"/>
              <w:right w:w="12" w:type="dxa"/>
            </w:tcMar>
            <w:vAlign w:val="center"/>
            <w:hideMark/>
          </w:tcPr>
          <w:p w14:paraId="7904D4C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04.83ᵇ ± 0.48</w:t>
            </w:r>
          </w:p>
        </w:tc>
        <w:tc>
          <w:tcPr>
            <w:tcW w:w="508" w:type="pct"/>
            <w:tcMar>
              <w:top w:w="12" w:type="dxa"/>
              <w:left w:w="12" w:type="dxa"/>
              <w:bottom w:w="0" w:type="dxa"/>
              <w:right w:w="12" w:type="dxa"/>
            </w:tcMar>
            <w:vAlign w:val="center"/>
            <w:hideMark/>
          </w:tcPr>
          <w:p w14:paraId="4964209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15</w:t>
            </w:r>
          </w:p>
        </w:tc>
        <w:tc>
          <w:tcPr>
            <w:tcW w:w="778" w:type="pct"/>
            <w:tcMar>
              <w:top w:w="12" w:type="dxa"/>
              <w:left w:w="12" w:type="dxa"/>
              <w:bottom w:w="0" w:type="dxa"/>
              <w:right w:w="12" w:type="dxa"/>
            </w:tcMar>
            <w:vAlign w:val="center"/>
            <w:hideMark/>
          </w:tcPr>
          <w:p w14:paraId="214377E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2.50ᵃ ± 0.62</w:t>
            </w:r>
          </w:p>
        </w:tc>
      </w:tr>
    </w:tbl>
    <w:p w14:paraId="7FE90E00" w14:textId="351D1E5F" w:rsidR="005A2514" w:rsidRPr="005A5CB8" w:rsidRDefault="0026694A"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457ECB91" w14:textId="75929A44"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3.4 </w:t>
      </w:r>
      <w:r w:rsidR="001B6DF0">
        <w:rPr>
          <w:rFonts w:ascii="Times New Roman" w:hAnsi="Times New Roman" w:cs="Times New Roman"/>
          <w:b/>
          <w:bCs/>
          <w:sz w:val="24"/>
          <w:szCs w:val="24"/>
        </w:rPr>
        <w:t xml:space="preserve">Haematology </w:t>
      </w:r>
      <w:r w:rsidR="001B6DF0" w:rsidRPr="005A5CB8">
        <w:rPr>
          <w:rFonts w:ascii="Times New Roman" w:hAnsi="Times New Roman" w:cs="Times New Roman"/>
          <w:b/>
          <w:bCs/>
          <w:sz w:val="24"/>
          <w:szCs w:val="24"/>
        </w:rPr>
        <w:t>—</w:t>
      </w:r>
      <w:r w:rsidRPr="005A5CB8">
        <w:rPr>
          <w:rFonts w:ascii="Times New Roman" w:hAnsi="Times New Roman" w:cs="Times New Roman"/>
          <w:b/>
          <w:bCs/>
          <w:sz w:val="24"/>
          <w:szCs w:val="24"/>
        </w:rPr>
        <w:t xml:space="preserve"> dams and pups</w:t>
      </w:r>
    </w:p>
    <w:p w14:paraId="48085FAE" w14:textId="085DFA7B" w:rsidR="00356CAC" w:rsidRPr="005A5CB8" w:rsidRDefault="00356CAC" w:rsidP="00C124BC">
      <w:pPr>
        <w:spacing w:after="0" w:line="240" w:lineRule="auto"/>
        <w:ind w:firstLine="720"/>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Haematological evaluation revealed significant group-wise differences in erythrocytic indices in both dams and pups. In the lead-treated group, haemoglobin (Hb), total erythrocyte count (TEC), and packed cell volume (PCV) were significantly reduced compared with the respective control group values, indicating Haematological suppression following lead exposure.</w:t>
      </w:r>
    </w:p>
    <w:p w14:paraId="044B79F2" w14:textId="77777777" w:rsidR="00356CAC" w:rsidRDefault="00356CAC" w:rsidP="00C124BC">
      <w:pPr>
        <w:spacing w:after="0" w:line="240" w:lineRule="auto"/>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Both lead-exposed dams and pups showed statistically lower Hb concentration, TEC, and PCV values relative to controls. In contrast,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showed significantly higher Hb, TEC, and PCV values compared with the lead-only group in both dams and pups. However, these parameters remained significantly lower than control values, indicating partial restoration of erythrocytic indices with supplementation </w:t>
      </w:r>
    </w:p>
    <w:p w14:paraId="79962B29" w14:textId="55606D9B" w:rsidR="0026108D" w:rsidRPr="005A5CB8" w:rsidRDefault="0026108D"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The observed Mean ± SE values are mentioned in table 0</w:t>
      </w:r>
      <w:r>
        <w:rPr>
          <w:rFonts w:ascii="Times New Roman" w:hAnsi="Times New Roman" w:cs="Times New Roman"/>
          <w:sz w:val="24"/>
          <w:szCs w:val="24"/>
        </w:rPr>
        <w:t>6</w:t>
      </w:r>
      <w:r w:rsidRPr="005A5CB8">
        <w:rPr>
          <w:rFonts w:ascii="Times New Roman" w:hAnsi="Times New Roman" w:cs="Times New Roman"/>
          <w:sz w:val="24"/>
          <w:szCs w:val="24"/>
        </w:rPr>
        <w:t xml:space="preserve"> and 0</w:t>
      </w:r>
      <w:r>
        <w:rPr>
          <w:rFonts w:ascii="Times New Roman" w:hAnsi="Times New Roman" w:cs="Times New Roman"/>
          <w:sz w:val="24"/>
          <w:szCs w:val="24"/>
        </w:rPr>
        <w:t>7</w:t>
      </w:r>
      <w:r w:rsidRPr="005A5CB8">
        <w:rPr>
          <w:rFonts w:ascii="Times New Roman" w:hAnsi="Times New Roman" w:cs="Times New Roman"/>
          <w:sz w:val="24"/>
          <w:szCs w:val="24"/>
        </w:rPr>
        <w:t xml:space="preserve"> </w:t>
      </w:r>
    </w:p>
    <w:p w14:paraId="3625C5E5" w14:textId="58700B16" w:rsidR="005A2514" w:rsidRPr="005A5CB8" w:rsidRDefault="005A2514" w:rsidP="0026694A">
      <w:pPr>
        <w:spacing w:after="120" w:line="360" w:lineRule="auto"/>
        <w:jc w:val="lowKashida"/>
        <w:rPr>
          <w:rFonts w:ascii="Times New Roman" w:hAnsi="Times New Roman" w:cs="Times New Roman"/>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06</w:t>
      </w:r>
      <w:r w:rsidR="0026694A" w:rsidRPr="005A5CB8">
        <w:rPr>
          <w:rFonts w:ascii="Times New Roman" w:hAnsi="Times New Roman" w:cs="Times New Roman"/>
          <w:b/>
          <w:bCs/>
          <w:sz w:val="24"/>
          <w:szCs w:val="24"/>
        </w:rPr>
        <w:t xml:space="preserve">. Haematological examination in dams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359"/>
        <w:gridCol w:w="2359"/>
        <w:gridCol w:w="2182"/>
      </w:tblGrid>
      <w:tr w:rsidR="0026694A" w:rsidRPr="005A5CB8" w14:paraId="643F4E59" w14:textId="77777777" w:rsidTr="00356CAC">
        <w:trPr>
          <w:trHeight w:val="21"/>
          <w:jc w:val="center"/>
        </w:trPr>
        <w:tc>
          <w:tcPr>
            <w:tcW w:w="1174" w:type="pct"/>
            <w:vMerge w:val="restart"/>
            <w:vAlign w:val="center"/>
          </w:tcPr>
          <w:p w14:paraId="79295BC7"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826" w:type="pct"/>
            <w:gridSpan w:val="3"/>
            <w:vAlign w:val="center"/>
          </w:tcPr>
          <w:p w14:paraId="42B2E671" w14:textId="77777777" w:rsidR="0026694A" w:rsidRPr="005A5CB8" w:rsidRDefault="0026694A" w:rsidP="0026694A">
            <w:pPr>
              <w:spacing w:after="0" w:line="240" w:lineRule="auto"/>
              <w:ind w:left="885" w:hanging="885"/>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(Mean ± SE)</w:t>
            </w:r>
          </w:p>
        </w:tc>
      </w:tr>
      <w:tr w:rsidR="0026694A" w:rsidRPr="005A5CB8" w14:paraId="53865482" w14:textId="77777777" w:rsidTr="00356CAC">
        <w:trPr>
          <w:trHeight w:val="21"/>
          <w:jc w:val="center"/>
        </w:trPr>
        <w:tc>
          <w:tcPr>
            <w:tcW w:w="1174" w:type="pct"/>
            <w:vMerge/>
            <w:vAlign w:val="center"/>
          </w:tcPr>
          <w:p w14:paraId="6BAD893E"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p>
        </w:tc>
        <w:tc>
          <w:tcPr>
            <w:tcW w:w="1308" w:type="pct"/>
            <w:vAlign w:val="center"/>
          </w:tcPr>
          <w:p w14:paraId="7B76F25A"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308" w:type="pct"/>
            <w:vAlign w:val="center"/>
          </w:tcPr>
          <w:p w14:paraId="1D3C5704"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210" w:type="pct"/>
            <w:vAlign w:val="center"/>
          </w:tcPr>
          <w:p w14:paraId="2EE2F2B8"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26694A" w:rsidRPr="005A5CB8" w14:paraId="7EBF24BA" w14:textId="77777777" w:rsidTr="00356CAC">
        <w:trPr>
          <w:trHeight w:val="21"/>
          <w:jc w:val="center"/>
        </w:trPr>
        <w:tc>
          <w:tcPr>
            <w:tcW w:w="1174" w:type="pct"/>
            <w:vAlign w:val="center"/>
          </w:tcPr>
          <w:p w14:paraId="6364ECFF"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Hb (g/dl)</w:t>
            </w:r>
          </w:p>
        </w:tc>
        <w:tc>
          <w:tcPr>
            <w:tcW w:w="1308" w:type="pct"/>
            <w:vAlign w:val="bottom"/>
          </w:tcPr>
          <w:p w14:paraId="31E4D07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14.84</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0.18</w:t>
            </w:r>
          </w:p>
        </w:tc>
        <w:tc>
          <w:tcPr>
            <w:tcW w:w="1308" w:type="pct"/>
            <w:vAlign w:val="bottom"/>
          </w:tcPr>
          <w:p w14:paraId="321D8F2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09.50</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0.34</w:t>
            </w:r>
          </w:p>
        </w:tc>
        <w:tc>
          <w:tcPr>
            <w:tcW w:w="1210" w:type="pct"/>
            <w:vAlign w:val="bottom"/>
          </w:tcPr>
          <w:p w14:paraId="330916D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13.01</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0.42</w:t>
            </w:r>
          </w:p>
        </w:tc>
      </w:tr>
      <w:tr w:rsidR="0026694A" w:rsidRPr="005A5CB8" w14:paraId="431BE070" w14:textId="77777777" w:rsidTr="00356CAC">
        <w:trPr>
          <w:trHeight w:val="21"/>
          <w:jc w:val="center"/>
        </w:trPr>
        <w:tc>
          <w:tcPr>
            <w:tcW w:w="1174" w:type="pct"/>
            <w:vAlign w:val="center"/>
          </w:tcPr>
          <w:p w14:paraId="05F0EADC"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TEC (x10</w:t>
            </w:r>
            <w:r w:rsidRPr="005A5CB8">
              <w:rPr>
                <w:rFonts w:ascii="Times New Roman" w:hAnsi="Times New Roman" w:cs="Times New Roman"/>
                <w:b/>
                <w:bCs/>
                <w:color w:val="000000"/>
                <w:kern w:val="24"/>
                <w:sz w:val="24"/>
                <w:szCs w:val="24"/>
                <w:vertAlign w:val="superscript"/>
                <w:lang w:val="en-GB"/>
              </w:rPr>
              <w:t>6</w:t>
            </w:r>
            <w:r w:rsidRPr="005A5CB8">
              <w:rPr>
                <w:rFonts w:ascii="Times New Roman" w:hAnsi="Times New Roman" w:cs="Times New Roman"/>
                <w:b/>
                <w:bCs/>
                <w:color w:val="000000"/>
                <w:kern w:val="24"/>
                <w:sz w:val="24"/>
                <w:szCs w:val="24"/>
                <w:lang w:val="en-GB"/>
              </w:rPr>
              <w:t>/µl)</w:t>
            </w:r>
          </w:p>
        </w:tc>
        <w:tc>
          <w:tcPr>
            <w:tcW w:w="1308" w:type="pct"/>
            <w:vAlign w:val="bottom"/>
          </w:tcPr>
          <w:p w14:paraId="066EB3F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08.05</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0.12</w:t>
            </w:r>
          </w:p>
        </w:tc>
        <w:tc>
          <w:tcPr>
            <w:tcW w:w="1308" w:type="pct"/>
            <w:vAlign w:val="bottom"/>
          </w:tcPr>
          <w:p w14:paraId="5FFBE85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05.22</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0.30</w:t>
            </w:r>
          </w:p>
        </w:tc>
        <w:tc>
          <w:tcPr>
            <w:tcW w:w="1210" w:type="pct"/>
            <w:vAlign w:val="bottom"/>
          </w:tcPr>
          <w:p w14:paraId="5E0D665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07.24</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0.12</w:t>
            </w:r>
          </w:p>
        </w:tc>
      </w:tr>
      <w:tr w:rsidR="0026694A" w:rsidRPr="005A5CB8" w14:paraId="5E58DFC8" w14:textId="77777777" w:rsidTr="00356CAC">
        <w:trPr>
          <w:trHeight w:val="21"/>
          <w:jc w:val="center"/>
        </w:trPr>
        <w:tc>
          <w:tcPr>
            <w:tcW w:w="1174" w:type="pct"/>
            <w:vAlign w:val="center"/>
          </w:tcPr>
          <w:p w14:paraId="1F7DF172"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PCV (%)</w:t>
            </w:r>
          </w:p>
        </w:tc>
        <w:tc>
          <w:tcPr>
            <w:tcW w:w="1308" w:type="pct"/>
            <w:vAlign w:val="bottom"/>
          </w:tcPr>
          <w:p w14:paraId="3DA4643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44.18</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0.53</w:t>
            </w:r>
          </w:p>
        </w:tc>
        <w:tc>
          <w:tcPr>
            <w:tcW w:w="1308" w:type="pct"/>
            <w:vAlign w:val="bottom"/>
          </w:tcPr>
          <w:p w14:paraId="66A4E4C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30.42</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0.87</w:t>
            </w:r>
          </w:p>
        </w:tc>
        <w:tc>
          <w:tcPr>
            <w:tcW w:w="1210" w:type="pct"/>
            <w:vAlign w:val="bottom"/>
          </w:tcPr>
          <w:p w14:paraId="5EEA520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38.53</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0.71</w:t>
            </w:r>
          </w:p>
        </w:tc>
      </w:tr>
    </w:tbl>
    <w:p w14:paraId="01FD6B1A" w14:textId="77777777" w:rsidR="0026694A" w:rsidRPr="005A5CB8" w:rsidRDefault="0026694A" w:rsidP="0026694A">
      <w:pPr>
        <w:spacing w:after="120" w:line="360" w:lineRule="auto"/>
        <w:ind w:firstLine="720"/>
        <w:rPr>
          <w:rFonts w:ascii="Times New Roman" w:hAnsi="Times New Roman" w:cs="Times New Roman"/>
          <w:sz w:val="20"/>
          <w:szCs w:val="20"/>
        </w:rPr>
      </w:pPr>
      <w:r w:rsidRPr="005A5CB8">
        <w:rPr>
          <w:rFonts w:ascii="Times New Roman" w:hAnsi="Times New Roman" w:cs="Times New Roman"/>
          <w:sz w:val="20"/>
          <w:szCs w:val="20"/>
        </w:rPr>
        <w:t>Means with different superscripts in column differ significantly (</w:t>
      </w:r>
      <w:r w:rsidRPr="005A5CB8">
        <w:rPr>
          <w:rFonts w:ascii="Times New Roman" w:hAnsi="Times New Roman" w:cs="Times New Roman"/>
          <w:i/>
          <w:iCs/>
          <w:sz w:val="20"/>
          <w:szCs w:val="20"/>
        </w:rPr>
        <w:t>p≤0.05</w:t>
      </w:r>
      <w:r w:rsidRPr="005A5CB8">
        <w:rPr>
          <w:rFonts w:ascii="Times New Roman" w:hAnsi="Times New Roman" w:cs="Times New Roman"/>
          <w:sz w:val="20"/>
          <w:szCs w:val="20"/>
        </w:rPr>
        <w:t>)</w:t>
      </w:r>
    </w:p>
    <w:p w14:paraId="4941358C" w14:textId="7F0A118C" w:rsidR="0026694A" w:rsidRPr="005A5CB8" w:rsidRDefault="0026694A" w:rsidP="0026694A">
      <w:pPr>
        <w:spacing w:after="120" w:line="360" w:lineRule="auto"/>
        <w:jc w:val="lowKashida"/>
        <w:rPr>
          <w:rFonts w:ascii="Times New Roman" w:hAnsi="Times New Roman" w:cs="Times New Roman"/>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07</w:t>
      </w:r>
      <w:r w:rsidRPr="005A5CB8">
        <w:rPr>
          <w:rFonts w:ascii="Times New Roman" w:hAnsi="Times New Roman" w:cs="Times New Roman"/>
          <w:b/>
          <w:bCs/>
          <w:sz w:val="24"/>
          <w:szCs w:val="24"/>
        </w:rPr>
        <w:t xml:space="preserve">. Haematological examination in pups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13"/>
        <w:gridCol w:w="2624"/>
        <w:gridCol w:w="2624"/>
        <w:gridCol w:w="1655"/>
      </w:tblGrid>
      <w:tr w:rsidR="0026694A" w:rsidRPr="005A5CB8" w14:paraId="6AFFDA7C" w14:textId="77777777" w:rsidTr="00356CAC">
        <w:trPr>
          <w:trHeight w:val="20"/>
          <w:jc w:val="center"/>
        </w:trPr>
        <w:tc>
          <w:tcPr>
            <w:tcW w:w="1172" w:type="pct"/>
            <w:vMerge w:val="restart"/>
            <w:tcMar>
              <w:top w:w="15" w:type="dxa"/>
              <w:left w:w="108" w:type="dxa"/>
              <w:bottom w:w="0" w:type="dxa"/>
              <w:right w:w="108" w:type="dxa"/>
            </w:tcMar>
            <w:vAlign w:val="center"/>
            <w:hideMark/>
          </w:tcPr>
          <w:p w14:paraId="77689529" w14:textId="77777777" w:rsidR="0026694A" w:rsidRPr="005A5CB8" w:rsidRDefault="0026694A" w:rsidP="0026694A">
            <w:pPr>
              <w:spacing w:after="0" w:line="240" w:lineRule="auto"/>
              <w:ind w:hanging="108"/>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Parameter</w:t>
            </w:r>
          </w:p>
        </w:tc>
        <w:tc>
          <w:tcPr>
            <w:tcW w:w="3828" w:type="pct"/>
            <w:gridSpan w:val="3"/>
            <w:tcMar>
              <w:top w:w="15" w:type="dxa"/>
              <w:left w:w="108" w:type="dxa"/>
              <w:bottom w:w="0" w:type="dxa"/>
              <w:right w:w="108" w:type="dxa"/>
            </w:tcMar>
            <w:vAlign w:val="center"/>
            <w:hideMark/>
          </w:tcPr>
          <w:p w14:paraId="022F4893" w14:textId="77777777" w:rsidR="0026694A" w:rsidRPr="005A5CB8" w:rsidRDefault="0026694A" w:rsidP="0026694A">
            <w:pPr>
              <w:spacing w:after="0" w:line="240" w:lineRule="auto"/>
              <w:ind w:hanging="105"/>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26694A" w:rsidRPr="005A5CB8" w14:paraId="6625DE20" w14:textId="77777777" w:rsidTr="00356CAC">
        <w:trPr>
          <w:trHeight w:val="20"/>
          <w:jc w:val="center"/>
        </w:trPr>
        <w:tc>
          <w:tcPr>
            <w:tcW w:w="1172" w:type="pct"/>
            <w:vMerge/>
            <w:vAlign w:val="center"/>
            <w:hideMark/>
          </w:tcPr>
          <w:p w14:paraId="746DB1E5" w14:textId="77777777" w:rsidR="0026694A" w:rsidRPr="005A5CB8" w:rsidRDefault="0026694A" w:rsidP="0026694A">
            <w:pPr>
              <w:spacing w:after="0" w:line="240" w:lineRule="auto"/>
              <w:ind w:firstLine="720"/>
              <w:jc w:val="center"/>
              <w:rPr>
                <w:rFonts w:ascii="Times New Roman" w:hAnsi="Times New Roman" w:cs="Times New Roman"/>
                <w:color w:val="000000"/>
                <w:sz w:val="24"/>
                <w:szCs w:val="24"/>
              </w:rPr>
            </w:pPr>
          </w:p>
        </w:tc>
        <w:tc>
          <w:tcPr>
            <w:tcW w:w="1455" w:type="pct"/>
            <w:tcMar>
              <w:top w:w="15" w:type="dxa"/>
              <w:left w:w="108" w:type="dxa"/>
              <w:bottom w:w="0" w:type="dxa"/>
              <w:right w:w="108" w:type="dxa"/>
            </w:tcMar>
            <w:vAlign w:val="center"/>
            <w:hideMark/>
          </w:tcPr>
          <w:p w14:paraId="2F4E8FD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w:t>
            </w:r>
          </w:p>
        </w:tc>
        <w:tc>
          <w:tcPr>
            <w:tcW w:w="1455" w:type="pct"/>
            <w:tcMar>
              <w:top w:w="15" w:type="dxa"/>
              <w:left w:w="108" w:type="dxa"/>
              <w:bottom w:w="0" w:type="dxa"/>
              <w:right w:w="108" w:type="dxa"/>
            </w:tcMar>
            <w:vAlign w:val="center"/>
            <w:hideMark/>
          </w:tcPr>
          <w:p w14:paraId="73F1B38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II</w:t>
            </w:r>
          </w:p>
        </w:tc>
        <w:tc>
          <w:tcPr>
            <w:tcW w:w="918" w:type="pct"/>
            <w:tcMar>
              <w:top w:w="15" w:type="dxa"/>
              <w:left w:w="108" w:type="dxa"/>
              <w:bottom w:w="0" w:type="dxa"/>
              <w:right w:w="108" w:type="dxa"/>
            </w:tcMar>
            <w:vAlign w:val="center"/>
            <w:hideMark/>
          </w:tcPr>
          <w:p w14:paraId="1A811C4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III</w:t>
            </w:r>
          </w:p>
        </w:tc>
      </w:tr>
      <w:tr w:rsidR="0026694A" w:rsidRPr="005A5CB8" w14:paraId="24E8222A" w14:textId="77777777" w:rsidTr="00356CAC">
        <w:trPr>
          <w:trHeight w:val="20"/>
          <w:jc w:val="center"/>
        </w:trPr>
        <w:tc>
          <w:tcPr>
            <w:tcW w:w="1172" w:type="pct"/>
            <w:tcMar>
              <w:top w:w="15" w:type="dxa"/>
              <w:left w:w="108" w:type="dxa"/>
              <w:bottom w:w="0" w:type="dxa"/>
              <w:right w:w="108" w:type="dxa"/>
            </w:tcMar>
            <w:vAlign w:val="center"/>
            <w:hideMark/>
          </w:tcPr>
          <w:p w14:paraId="55C75CC5"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Hb (g/dl)</w:t>
            </w:r>
          </w:p>
        </w:tc>
        <w:tc>
          <w:tcPr>
            <w:tcW w:w="1455" w:type="pct"/>
            <w:tcMar>
              <w:top w:w="12" w:type="dxa"/>
              <w:left w:w="12" w:type="dxa"/>
              <w:bottom w:w="0" w:type="dxa"/>
              <w:right w:w="12" w:type="dxa"/>
            </w:tcMar>
            <w:vAlign w:val="center"/>
            <w:hideMark/>
          </w:tcPr>
          <w:p w14:paraId="5C3EE807"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13.90ᵃ ± 0.31</w:t>
            </w:r>
          </w:p>
        </w:tc>
        <w:tc>
          <w:tcPr>
            <w:tcW w:w="1455" w:type="pct"/>
            <w:tcMar>
              <w:top w:w="12" w:type="dxa"/>
              <w:left w:w="12" w:type="dxa"/>
              <w:bottom w:w="0" w:type="dxa"/>
              <w:right w:w="12" w:type="dxa"/>
            </w:tcMar>
            <w:vAlign w:val="center"/>
            <w:hideMark/>
          </w:tcPr>
          <w:p w14:paraId="7458350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08.47ᶜ ± 0.34</w:t>
            </w:r>
          </w:p>
        </w:tc>
        <w:tc>
          <w:tcPr>
            <w:tcW w:w="918" w:type="pct"/>
            <w:tcMar>
              <w:top w:w="12" w:type="dxa"/>
              <w:left w:w="12" w:type="dxa"/>
              <w:bottom w:w="0" w:type="dxa"/>
              <w:right w:w="12" w:type="dxa"/>
            </w:tcMar>
            <w:vAlign w:val="center"/>
            <w:hideMark/>
          </w:tcPr>
          <w:p w14:paraId="76F80BC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11.82ᵇ ± 0.25</w:t>
            </w:r>
          </w:p>
        </w:tc>
      </w:tr>
      <w:tr w:rsidR="0026694A" w:rsidRPr="005A5CB8" w14:paraId="4283511F" w14:textId="77777777" w:rsidTr="00356CAC">
        <w:trPr>
          <w:trHeight w:val="20"/>
          <w:jc w:val="center"/>
        </w:trPr>
        <w:tc>
          <w:tcPr>
            <w:tcW w:w="1172" w:type="pct"/>
            <w:tcMar>
              <w:top w:w="15" w:type="dxa"/>
              <w:left w:w="108" w:type="dxa"/>
              <w:bottom w:w="0" w:type="dxa"/>
              <w:right w:w="108" w:type="dxa"/>
            </w:tcMar>
            <w:vAlign w:val="center"/>
            <w:hideMark/>
          </w:tcPr>
          <w:p w14:paraId="78737581"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TEC (x10</w:t>
            </w:r>
            <w:r w:rsidRPr="005A5CB8">
              <w:rPr>
                <w:rFonts w:ascii="Times New Roman" w:hAnsi="Times New Roman" w:cs="Times New Roman"/>
                <w:b/>
                <w:bCs/>
                <w:color w:val="000000"/>
                <w:sz w:val="24"/>
                <w:szCs w:val="24"/>
                <w:vertAlign w:val="superscript"/>
                <w:lang w:val="en-GB"/>
              </w:rPr>
              <w:t>6</w:t>
            </w:r>
            <w:r w:rsidRPr="005A5CB8">
              <w:rPr>
                <w:rFonts w:ascii="Times New Roman" w:hAnsi="Times New Roman" w:cs="Times New Roman"/>
                <w:b/>
                <w:bCs/>
                <w:color w:val="000000"/>
                <w:sz w:val="24"/>
                <w:szCs w:val="24"/>
                <w:lang w:val="en-GB"/>
              </w:rPr>
              <w:t>/µl)</w:t>
            </w:r>
          </w:p>
        </w:tc>
        <w:tc>
          <w:tcPr>
            <w:tcW w:w="1455" w:type="pct"/>
            <w:tcMar>
              <w:top w:w="12" w:type="dxa"/>
              <w:left w:w="12" w:type="dxa"/>
              <w:bottom w:w="0" w:type="dxa"/>
              <w:right w:w="12" w:type="dxa"/>
            </w:tcMar>
            <w:vAlign w:val="center"/>
            <w:hideMark/>
          </w:tcPr>
          <w:p w14:paraId="006FC450"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07.08ᵃ ± 0.10</w:t>
            </w:r>
          </w:p>
        </w:tc>
        <w:tc>
          <w:tcPr>
            <w:tcW w:w="1455" w:type="pct"/>
            <w:tcMar>
              <w:top w:w="12" w:type="dxa"/>
              <w:left w:w="12" w:type="dxa"/>
              <w:bottom w:w="0" w:type="dxa"/>
              <w:right w:w="12" w:type="dxa"/>
            </w:tcMar>
            <w:vAlign w:val="center"/>
            <w:hideMark/>
          </w:tcPr>
          <w:p w14:paraId="5ACADAA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04.37ᶜ ± 0.14</w:t>
            </w:r>
          </w:p>
        </w:tc>
        <w:tc>
          <w:tcPr>
            <w:tcW w:w="918" w:type="pct"/>
            <w:tcMar>
              <w:top w:w="12" w:type="dxa"/>
              <w:left w:w="12" w:type="dxa"/>
              <w:bottom w:w="0" w:type="dxa"/>
              <w:right w:w="12" w:type="dxa"/>
            </w:tcMar>
            <w:vAlign w:val="center"/>
            <w:hideMark/>
          </w:tcPr>
          <w:p w14:paraId="3332E4E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05.91ᵇ ± 0.12</w:t>
            </w:r>
          </w:p>
        </w:tc>
      </w:tr>
      <w:tr w:rsidR="0026694A" w:rsidRPr="005A5CB8" w14:paraId="592455B6" w14:textId="77777777" w:rsidTr="00356CAC">
        <w:trPr>
          <w:trHeight w:val="20"/>
          <w:jc w:val="center"/>
        </w:trPr>
        <w:tc>
          <w:tcPr>
            <w:tcW w:w="1172" w:type="pct"/>
            <w:tcMar>
              <w:top w:w="15" w:type="dxa"/>
              <w:left w:w="108" w:type="dxa"/>
              <w:bottom w:w="0" w:type="dxa"/>
              <w:right w:w="108" w:type="dxa"/>
            </w:tcMar>
            <w:vAlign w:val="center"/>
            <w:hideMark/>
          </w:tcPr>
          <w:p w14:paraId="42CBF3BE"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PCV (%)</w:t>
            </w:r>
          </w:p>
        </w:tc>
        <w:tc>
          <w:tcPr>
            <w:tcW w:w="1455" w:type="pct"/>
            <w:tcMar>
              <w:top w:w="12" w:type="dxa"/>
              <w:left w:w="12" w:type="dxa"/>
              <w:bottom w:w="0" w:type="dxa"/>
              <w:right w:w="12" w:type="dxa"/>
            </w:tcMar>
            <w:vAlign w:val="center"/>
            <w:hideMark/>
          </w:tcPr>
          <w:p w14:paraId="2552A5EE"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41.16ᵃ ± 0.40</w:t>
            </w:r>
          </w:p>
        </w:tc>
        <w:tc>
          <w:tcPr>
            <w:tcW w:w="1455" w:type="pct"/>
            <w:tcMar>
              <w:top w:w="12" w:type="dxa"/>
              <w:left w:w="12" w:type="dxa"/>
              <w:bottom w:w="0" w:type="dxa"/>
              <w:right w:w="12" w:type="dxa"/>
            </w:tcMar>
            <w:vAlign w:val="center"/>
            <w:hideMark/>
          </w:tcPr>
          <w:p w14:paraId="6EB4502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29.00ᶜ ± 1.03</w:t>
            </w:r>
          </w:p>
        </w:tc>
        <w:tc>
          <w:tcPr>
            <w:tcW w:w="918" w:type="pct"/>
            <w:tcMar>
              <w:top w:w="12" w:type="dxa"/>
              <w:left w:w="12" w:type="dxa"/>
              <w:bottom w:w="0" w:type="dxa"/>
              <w:right w:w="12" w:type="dxa"/>
            </w:tcMar>
            <w:vAlign w:val="center"/>
            <w:hideMark/>
          </w:tcPr>
          <w:p w14:paraId="16731CCB"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34.23ᵇ ± 0.90</w:t>
            </w:r>
          </w:p>
        </w:tc>
      </w:tr>
    </w:tbl>
    <w:p w14:paraId="1B36B205" w14:textId="101168AB" w:rsidR="00356CAC" w:rsidRPr="005A5CB8" w:rsidRDefault="0026694A" w:rsidP="00C124BC">
      <w:pPr>
        <w:spacing w:after="120" w:line="360" w:lineRule="auto"/>
        <w:ind w:firstLine="720"/>
        <w:rPr>
          <w:rFonts w:ascii="Times New Roman" w:hAnsi="Times New Roman" w:cs="Times New Roman"/>
          <w:sz w:val="20"/>
          <w:szCs w:val="20"/>
        </w:rPr>
      </w:pPr>
      <w:r w:rsidRPr="005A5CB8">
        <w:rPr>
          <w:rFonts w:ascii="Times New Roman" w:hAnsi="Times New Roman" w:cs="Times New Roman"/>
          <w:sz w:val="20"/>
          <w:szCs w:val="20"/>
        </w:rPr>
        <w:t>Means with different superscripts in column differ significantly (</w:t>
      </w:r>
      <w:r w:rsidRPr="005A5CB8">
        <w:rPr>
          <w:rFonts w:ascii="Times New Roman" w:hAnsi="Times New Roman" w:cs="Times New Roman"/>
          <w:i/>
          <w:iCs/>
          <w:sz w:val="20"/>
          <w:szCs w:val="20"/>
        </w:rPr>
        <w:t>p≤0.05</w:t>
      </w:r>
      <w:r w:rsidRPr="005A5CB8">
        <w:rPr>
          <w:rFonts w:ascii="Times New Roman" w:hAnsi="Times New Roman" w:cs="Times New Roman"/>
          <w:sz w:val="20"/>
          <w:szCs w:val="20"/>
        </w:rPr>
        <w:t>)</w:t>
      </w:r>
    </w:p>
    <w:p w14:paraId="74378DC8" w14:textId="03D19B12"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3.5 Blood lead and mineral levels</w:t>
      </w:r>
    </w:p>
    <w:p w14:paraId="48F12964"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Blood lead concentration showed a significant increase in both dams and pups of the lead-treated group as compared with their respective control groups. The elevation confirmed substantial systemic absorption and maternal–offspring transfer of lead during gestation and lactation.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both dams and pups showed a statistically significant reduction in blood lead concentration compared with the lead-only group; however, the values remained significantly higher than controls.</w:t>
      </w:r>
    </w:p>
    <w:p w14:paraId="66CDB193"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Analysis of essential mineral concentrations revealed significant alterations in both dams and pups following lead exposure. Lead-treated animals showed reduced blood levels of calcium, iron, zinc, and copper compared with controls, indicating disturbance of mineral homeostasis associated with systemic lead toxicity. The reduction was more pronounced in the lead-only group, while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demonstrated partial restoration of these mineral levels in both dams and pups compared with the lead-treated group.</w:t>
      </w:r>
    </w:p>
    <w:p w14:paraId="7C2242D8"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Overall, the findings in both maternal and offspring samples indicate that perinatal lead exposure increases circulating lead burden and concurrently disrupts essential mineral balance, </w:t>
      </w:r>
      <w:r w:rsidRPr="005A5CB8">
        <w:rPr>
          <w:rFonts w:ascii="Times New Roman" w:hAnsi="Times New Roman" w:cs="Times New Roman"/>
          <w:sz w:val="24"/>
          <w:szCs w:val="24"/>
        </w:rPr>
        <w:lastRenderedPageBreak/>
        <w:t xml:space="preserve">whereas dietary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partially mitigates these alterations but does not completely normalize the values</w:t>
      </w:r>
    </w:p>
    <w:p w14:paraId="3119629B" w14:textId="114730EB" w:rsidR="00A65037" w:rsidRPr="005A5CB8" w:rsidRDefault="00A65037"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8</w:t>
      </w:r>
      <w:r w:rsidRPr="005A5CB8">
        <w:rPr>
          <w:rFonts w:ascii="Times New Roman" w:hAnsi="Times New Roman" w:cs="Times New Roman"/>
          <w:sz w:val="24"/>
          <w:szCs w:val="24"/>
        </w:rPr>
        <w:t xml:space="preserve"> and 0</w:t>
      </w:r>
      <w:r w:rsidR="0026108D">
        <w:rPr>
          <w:rFonts w:ascii="Times New Roman" w:hAnsi="Times New Roman" w:cs="Times New Roman"/>
          <w:sz w:val="24"/>
          <w:szCs w:val="24"/>
        </w:rPr>
        <w:t>9</w:t>
      </w:r>
      <w:r w:rsidRPr="005A5CB8">
        <w:rPr>
          <w:rFonts w:ascii="Times New Roman" w:hAnsi="Times New Roman" w:cs="Times New Roman"/>
          <w:sz w:val="24"/>
          <w:szCs w:val="24"/>
        </w:rPr>
        <w:t xml:space="preserve"> </w:t>
      </w:r>
    </w:p>
    <w:p w14:paraId="1570C4E1" w14:textId="5C26B61D" w:rsidR="00A65037" w:rsidRPr="005A5CB8" w:rsidRDefault="00A65037" w:rsidP="00A65037">
      <w:pPr>
        <w:spacing w:after="120" w:line="240" w:lineRule="auto"/>
        <w:ind w:left="1260" w:hanging="1260"/>
        <w:jc w:val="both"/>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8</w:t>
      </w:r>
      <w:r w:rsidRPr="005A5CB8">
        <w:rPr>
          <w:rFonts w:ascii="Times New Roman" w:hAnsi="Times New Roman" w:cs="Times New Roman"/>
          <w:b/>
          <w:bCs/>
          <w:color w:val="000000"/>
          <w:sz w:val="24"/>
          <w:szCs w:val="24"/>
        </w:rPr>
        <w:t>:</w:t>
      </w:r>
      <w:r w:rsidRPr="005A5CB8">
        <w:rPr>
          <w:rFonts w:ascii="Times New Roman" w:hAnsi="Times New Roman" w:cs="Times New Roman"/>
          <w:b/>
          <w:bCs/>
          <w:color w:val="000000"/>
          <w:sz w:val="24"/>
          <w:szCs w:val="24"/>
        </w:rPr>
        <w:tab/>
        <w:t xml:space="preserve">Mean blood lead and mineral level (µg/dl or mg/dl) in dams of different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5"/>
        <w:gridCol w:w="2223"/>
        <w:gridCol w:w="2223"/>
        <w:gridCol w:w="2225"/>
      </w:tblGrid>
      <w:tr w:rsidR="00A65037" w:rsidRPr="005A5CB8" w14:paraId="36C1E1D9" w14:textId="77777777" w:rsidTr="00A65037">
        <w:trPr>
          <w:trHeight w:val="20"/>
        </w:trPr>
        <w:tc>
          <w:tcPr>
            <w:tcW w:w="1300" w:type="pct"/>
            <w:vMerge w:val="restart"/>
            <w:tcMar>
              <w:top w:w="15" w:type="dxa"/>
              <w:left w:w="15" w:type="dxa"/>
              <w:bottom w:w="15" w:type="dxa"/>
              <w:right w:w="15" w:type="dxa"/>
            </w:tcMar>
            <w:vAlign w:val="center"/>
          </w:tcPr>
          <w:p w14:paraId="223DB28C" w14:textId="77777777" w:rsidR="00A65037" w:rsidRPr="005A5CB8" w:rsidRDefault="00A65037" w:rsidP="00D56AF9">
            <w:pPr>
              <w:spacing w:before="80" w:after="80" w:line="240" w:lineRule="auto"/>
              <w:ind w:left="90"/>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700" w:type="pct"/>
            <w:gridSpan w:val="3"/>
            <w:tcMar>
              <w:top w:w="15" w:type="dxa"/>
              <w:left w:w="15" w:type="dxa"/>
              <w:bottom w:w="15" w:type="dxa"/>
              <w:right w:w="15" w:type="dxa"/>
            </w:tcMar>
            <w:vAlign w:val="center"/>
          </w:tcPr>
          <w:p w14:paraId="33F7714A" w14:textId="77777777" w:rsidR="00A65037" w:rsidRPr="005A5CB8" w:rsidRDefault="00A65037" w:rsidP="00D56AF9">
            <w:pPr>
              <w:spacing w:before="80" w:after="80" w:line="240" w:lineRule="auto"/>
              <w:ind w:hanging="24"/>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A65037" w:rsidRPr="005A5CB8" w14:paraId="3D6C7C27" w14:textId="77777777" w:rsidTr="00A65037">
        <w:trPr>
          <w:trHeight w:val="20"/>
        </w:trPr>
        <w:tc>
          <w:tcPr>
            <w:tcW w:w="1300" w:type="pct"/>
            <w:vMerge/>
            <w:tcMar>
              <w:top w:w="15" w:type="dxa"/>
              <w:left w:w="15" w:type="dxa"/>
              <w:bottom w:w="15" w:type="dxa"/>
              <w:right w:w="15" w:type="dxa"/>
            </w:tcMar>
            <w:vAlign w:val="center"/>
          </w:tcPr>
          <w:p w14:paraId="470223FD" w14:textId="77777777" w:rsidR="00A65037" w:rsidRPr="005A5CB8" w:rsidRDefault="00A65037" w:rsidP="00D56AF9">
            <w:pPr>
              <w:spacing w:before="80" w:after="80" w:line="240" w:lineRule="auto"/>
              <w:ind w:left="90"/>
              <w:jc w:val="center"/>
              <w:rPr>
                <w:rFonts w:ascii="Times New Roman" w:hAnsi="Times New Roman" w:cs="Times New Roman"/>
                <w:b/>
                <w:bCs/>
                <w:color w:val="000000"/>
                <w:sz w:val="24"/>
                <w:szCs w:val="24"/>
              </w:rPr>
            </w:pPr>
          </w:p>
        </w:tc>
        <w:tc>
          <w:tcPr>
            <w:tcW w:w="1233" w:type="pct"/>
            <w:tcMar>
              <w:top w:w="15" w:type="dxa"/>
              <w:left w:w="15" w:type="dxa"/>
              <w:bottom w:w="15" w:type="dxa"/>
              <w:right w:w="15" w:type="dxa"/>
            </w:tcMar>
            <w:vAlign w:val="center"/>
          </w:tcPr>
          <w:p w14:paraId="382B78CD"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233" w:type="pct"/>
            <w:tcMar>
              <w:top w:w="15" w:type="dxa"/>
              <w:left w:w="15" w:type="dxa"/>
              <w:bottom w:w="15" w:type="dxa"/>
              <w:right w:w="15" w:type="dxa"/>
            </w:tcMar>
            <w:vAlign w:val="center"/>
          </w:tcPr>
          <w:p w14:paraId="76C62CC8"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233" w:type="pct"/>
            <w:tcMar>
              <w:top w:w="15" w:type="dxa"/>
              <w:left w:w="15" w:type="dxa"/>
              <w:bottom w:w="15" w:type="dxa"/>
              <w:right w:w="15" w:type="dxa"/>
            </w:tcMar>
            <w:vAlign w:val="center"/>
          </w:tcPr>
          <w:p w14:paraId="2BB0EC78"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A65037" w:rsidRPr="005A5CB8" w14:paraId="2CABE357" w14:textId="77777777" w:rsidTr="00A65037">
        <w:trPr>
          <w:trHeight w:val="20"/>
        </w:trPr>
        <w:tc>
          <w:tcPr>
            <w:tcW w:w="1300" w:type="pct"/>
            <w:tcMar>
              <w:top w:w="15" w:type="dxa"/>
              <w:left w:w="15" w:type="dxa"/>
              <w:bottom w:w="15" w:type="dxa"/>
              <w:right w:w="15" w:type="dxa"/>
            </w:tcMar>
            <w:vAlign w:val="center"/>
            <w:hideMark/>
          </w:tcPr>
          <w:p w14:paraId="05E3C5BA"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Lead (µg/dl)</w:t>
            </w:r>
          </w:p>
        </w:tc>
        <w:tc>
          <w:tcPr>
            <w:tcW w:w="1233" w:type="pct"/>
            <w:tcMar>
              <w:top w:w="15" w:type="dxa"/>
              <w:left w:w="15" w:type="dxa"/>
              <w:bottom w:w="15" w:type="dxa"/>
              <w:right w:w="15" w:type="dxa"/>
            </w:tcMar>
            <w:vAlign w:val="bottom"/>
            <w:hideMark/>
          </w:tcPr>
          <w:p w14:paraId="0E253715"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001.90</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0.01</w:t>
            </w:r>
          </w:p>
        </w:tc>
        <w:tc>
          <w:tcPr>
            <w:tcW w:w="1233" w:type="pct"/>
            <w:tcMar>
              <w:top w:w="15" w:type="dxa"/>
              <w:left w:w="15" w:type="dxa"/>
              <w:bottom w:w="15" w:type="dxa"/>
              <w:right w:w="15" w:type="dxa"/>
            </w:tcMar>
            <w:vAlign w:val="bottom"/>
            <w:hideMark/>
          </w:tcPr>
          <w:p w14:paraId="44BED12F"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005.690</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0.07</w:t>
            </w:r>
          </w:p>
        </w:tc>
        <w:tc>
          <w:tcPr>
            <w:tcW w:w="1233" w:type="pct"/>
            <w:tcMar>
              <w:top w:w="15" w:type="dxa"/>
              <w:left w:w="15" w:type="dxa"/>
              <w:bottom w:w="15" w:type="dxa"/>
              <w:right w:w="15" w:type="dxa"/>
            </w:tcMar>
            <w:vAlign w:val="bottom"/>
            <w:hideMark/>
          </w:tcPr>
          <w:p w14:paraId="676BC686"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004.778</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0.03</w:t>
            </w:r>
          </w:p>
        </w:tc>
      </w:tr>
      <w:tr w:rsidR="00A65037" w:rsidRPr="005A5CB8" w14:paraId="5228909E" w14:textId="77777777" w:rsidTr="00A65037">
        <w:trPr>
          <w:trHeight w:val="20"/>
        </w:trPr>
        <w:tc>
          <w:tcPr>
            <w:tcW w:w="1300" w:type="pct"/>
            <w:tcMar>
              <w:top w:w="15" w:type="dxa"/>
              <w:left w:w="15" w:type="dxa"/>
              <w:bottom w:w="15" w:type="dxa"/>
              <w:right w:w="15" w:type="dxa"/>
            </w:tcMar>
            <w:vAlign w:val="center"/>
            <w:hideMark/>
          </w:tcPr>
          <w:p w14:paraId="593D4038"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Calcium (mg/dl)</w:t>
            </w:r>
          </w:p>
        </w:tc>
        <w:tc>
          <w:tcPr>
            <w:tcW w:w="1233" w:type="pct"/>
            <w:tcMar>
              <w:top w:w="15" w:type="dxa"/>
              <w:left w:w="15" w:type="dxa"/>
              <w:bottom w:w="15" w:type="dxa"/>
              <w:right w:w="15" w:type="dxa"/>
            </w:tcMar>
            <w:vAlign w:val="bottom"/>
            <w:hideMark/>
          </w:tcPr>
          <w:p w14:paraId="1DD5865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010.07</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0.05</w:t>
            </w:r>
          </w:p>
        </w:tc>
        <w:tc>
          <w:tcPr>
            <w:tcW w:w="1233" w:type="pct"/>
            <w:tcMar>
              <w:top w:w="15" w:type="dxa"/>
              <w:left w:w="15" w:type="dxa"/>
              <w:bottom w:w="15" w:type="dxa"/>
              <w:right w:w="15" w:type="dxa"/>
            </w:tcMar>
            <w:vAlign w:val="bottom"/>
            <w:hideMark/>
          </w:tcPr>
          <w:p w14:paraId="238FF4A7"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008.30</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0.04</w:t>
            </w:r>
          </w:p>
        </w:tc>
        <w:tc>
          <w:tcPr>
            <w:tcW w:w="1233" w:type="pct"/>
            <w:tcMar>
              <w:top w:w="15" w:type="dxa"/>
              <w:left w:w="15" w:type="dxa"/>
              <w:bottom w:w="15" w:type="dxa"/>
              <w:right w:w="15" w:type="dxa"/>
            </w:tcMar>
            <w:vAlign w:val="bottom"/>
            <w:hideMark/>
          </w:tcPr>
          <w:p w14:paraId="64A968DB"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008.46</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0.03</w:t>
            </w:r>
          </w:p>
        </w:tc>
      </w:tr>
      <w:tr w:rsidR="00A65037" w:rsidRPr="005A5CB8" w14:paraId="30F209FD" w14:textId="77777777" w:rsidTr="00A65037">
        <w:trPr>
          <w:trHeight w:val="20"/>
        </w:trPr>
        <w:tc>
          <w:tcPr>
            <w:tcW w:w="1300" w:type="pct"/>
            <w:tcMar>
              <w:top w:w="15" w:type="dxa"/>
              <w:left w:w="15" w:type="dxa"/>
              <w:bottom w:w="15" w:type="dxa"/>
              <w:right w:w="15" w:type="dxa"/>
            </w:tcMar>
            <w:vAlign w:val="center"/>
            <w:hideMark/>
          </w:tcPr>
          <w:p w14:paraId="7940EF49"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Copper (µg/dl)</w:t>
            </w:r>
          </w:p>
        </w:tc>
        <w:tc>
          <w:tcPr>
            <w:tcW w:w="1233" w:type="pct"/>
            <w:tcMar>
              <w:top w:w="15" w:type="dxa"/>
              <w:left w:w="15" w:type="dxa"/>
              <w:bottom w:w="15" w:type="dxa"/>
              <w:right w:w="15" w:type="dxa"/>
            </w:tcMar>
            <w:vAlign w:val="bottom"/>
            <w:hideMark/>
          </w:tcPr>
          <w:p w14:paraId="4B28C751"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109.67</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0.33</w:t>
            </w:r>
          </w:p>
        </w:tc>
        <w:tc>
          <w:tcPr>
            <w:tcW w:w="1233" w:type="pct"/>
            <w:tcMar>
              <w:top w:w="15" w:type="dxa"/>
              <w:left w:w="15" w:type="dxa"/>
              <w:bottom w:w="15" w:type="dxa"/>
              <w:right w:w="15" w:type="dxa"/>
            </w:tcMar>
            <w:vAlign w:val="bottom"/>
            <w:hideMark/>
          </w:tcPr>
          <w:p w14:paraId="76735BBE"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087.96</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0.41</w:t>
            </w:r>
          </w:p>
        </w:tc>
        <w:tc>
          <w:tcPr>
            <w:tcW w:w="1233" w:type="pct"/>
            <w:tcMar>
              <w:top w:w="15" w:type="dxa"/>
              <w:left w:w="15" w:type="dxa"/>
              <w:bottom w:w="15" w:type="dxa"/>
              <w:right w:w="15" w:type="dxa"/>
            </w:tcMar>
            <w:vAlign w:val="bottom"/>
            <w:hideMark/>
          </w:tcPr>
          <w:p w14:paraId="429388C0"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089.51</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0.35</w:t>
            </w:r>
          </w:p>
        </w:tc>
      </w:tr>
      <w:tr w:rsidR="00A65037" w:rsidRPr="005A5CB8" w14:paraId="776A3CCD" w14:textId="77777777" w:rsidTr="00A65037">
        <w:trPr>
          <w:trHeight w:val="20"/>
        </w:trPr>
        <w:tc>
          <w:tcPr>
            <w:tcW w:w="1300" w:type="pct"/>
            <w:tcMar>
              <w:top w:w="15" w:type="dxa"/>
              <w:left w:w="15" w:type="dxa"/>
              <w:bottom w:w="15" w:type="dxa"/>
              <w:right w:w="15" w:type="dxa"/>
            </w:tcMar>
            <w:vAlign w:val="center"/>
            <w:hideMark/>
          </w:tcPr>
          <w:p w14:paraId="5075F963"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Zinc (µg/dl)</w:t>
            </w:r>
          </w:p>
        </w:tc>
        <w:tc>
          <w:tcPr>
            <w:tcW w:w="1233" w:type="pct"/>
            <w:tcMar>
              <w:top w:w="15" w:type="dxa"/>
              <w:left w:w="15" w:type="dxa"/>
              <w:bottom w:w="15" w:type="dxa"/>
              <w:right w:w="15" w:type="dxa"/>
            </w:tcMar>
            <w:vAlign w:val="bottom"/>
            <w:hideMark/>
          </w:tcPr>
          <w:p w14:paraId="58ED39EF"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093.00</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0.46</w:t>
            </w:r>
          </w:p>
        </w:tc>
        <w:tc>
          <w:tcPr>
            <w:tcW w:w="1233" w:type="pct"/>
            <w:tcMar>
              <w:top w:w="15" w:type="dxa"/>
              <w:left w:w="15" w:type="dxa"/>
              <w:bottom w:w="15" w:type="dxa"/>
              <w:right w:w="15" w:type="dxa"/>
            </w:tcMar>
            <w:vAlign w:val="bottom"/>
            <w:hideMark/>
          </w:tcPr>
          <w:p w14:paraId="1FD4600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063.57</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1.54</w:t>
            </w:r>
          </w:p>
        </w:tc>
        <w:tc>
          <w:tcPr>
            <w:tcW w:w="1233" w:type="pct"/>
            <w:tcMar>
              <w:top w:w="15" w:type="dxa"/>
              <w:left w:w="15" w:type="dxa"/>
              <w:bottom w:w="15" w:type="dxa"/>
              <w:right w:w="15" w:type="dxa"/>
            </w:tcMar>
            <w:vAlign w:val="bottom"/>
            <w:hideMark/>
          </w:tcPr>
          <w:p w14:paraId="31752DC9"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068.37</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1.64</w:t>
            </w:r>
          </w:p>
        </w:tc>
      </w:tr>
      <w:tr w:rsidR="00A65037" w:rsidRPr="005A5CB8" w14:paraId="097C2D2C" w14:textId="77777777" w:rsidTr="00A65037">
        <w:trPr>
          <w:trHeight w:val="20"/>
        </w:trPr>
        <w:tc>
          <w:tcPr>
            <w:tcW w:w="1300" w:type="pct"/>
            <w:tcMar>
              <w:top w:w="15" w:type="dxa"/>
              <w:left w:w="15" w:type="dxa"/>
              <w:bottom w:w="15" w:type="dxa"/>
              <w:right w:w="15" w:type="dxa"/>
            </w:tcMar>
            <w:vAlign w:val="center"/>
            <w:hideMark/>
          </w:tcPr>
          <w:p w14:paraId="41AB7AEF"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Iron (µg/dl)</w:t>
            </w:r>
          </w:p>
        </w:tc>
        <w:tc>
          <w:tcPr>
            <w:tcW w:w="1233" w:type="pct"/>
            <w:tcMar>
              <w:top w:w="15" w:type="dxa"/>
              <w:left w:w="15" w:type="dxa"/>
              <w:bottom w:w="15" w:type="dxa"/>
              <w:right w:w="15" w:type="dxa"/>
            </w:tcMar>
            <w:vAlign w:val="bottom"/>
            <w:hideMark/>
          </w:tcPr>
          <w:p w14:paraId="6A980368"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153.03</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0.54</w:t>
            </w:r>
          </w:p>
        </w:tc>
        <w:tc>
          <w:tcPr>
            <w:tcW w:w="1233" w:type="pct"/>
            <w:tcMar>
              <w:top w:w="15" w:type="dxa"/>
              <w:left w:w="15" w:type="dxa"/>
              <w:bottom w:w="15" w:type="dxa"/>
              <w:right w:w="15" w:type="dxa"/>
            </w:tcMar>
            <w:vAlign w:val="bottom"/>
            <w:hideMark/>
          </w:tcPr>
          <w:p w14:paraId="64C78BC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126.39</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0.85</w:t>
            </w:r>
          </w:p>
        </w:tc>
        <w:tc>
          <w:tcPr>
            <w:tcW w:w="1233" w:type="pct"/>
            <w:tcMar>
              <w:top w:w="15" w:type="dxa"/>
              <w:left w:w="15" w:type="dxa"/>
              <w:bottom w:w="15" w:type="dxa"/>
              <w:right w:w="15" w:type="dxa"/>
            </w:tcMar>
            <w:vAlign w:val="bottom"/>
            <w:hideMark/>
          </w:tcPr>
          <w:p w14:paraId="564AAA82"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134.14</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1.29</w:t>
            </w:r>
          </w:p>
        </w:tc>
      </w:tr>
    </w:tbl>
    <w:p w14:paraId="7BDDB2B1" w14:textId="77777777" w:rsidR="00A65037" w:rsidRPr="005A5CB8" w:rsidRDefault="00A65037" w:rsidP="00A65037">
      <w:pPr>
        <w:spacing w:after="120" w:line="360" w:lineRule="auto"/>
        <w:ind w:firstLine="720"/>
        <w:jc w:val="both"/>
        <w:rPr>
          <w:rFonts w:ascii="Times New Roman" w:hAnsi="Times New Roman" w:cs="Times New Roman"/>
          <w:color w:val="000000"/>
          <w:sz w:val="20"/>
          <w:szCs w:val="20"/>
        </w:rPr>
      </w:pPr>
      <w:r w:rsidRPr="005A5CB8">
        <w:rPr>
          <w:rFonts w:ascii="Times New Roman" w:hAnsi="Times New Roman" w:cs="Times New Roman"/>
          <w:color w:val="000000"/>
          <w:sz w:val="20"/>
          <w:szCs w:val="20"/>
        </w:rPr>
        <w:t>Means with different superscripts in column differ significantly (p≤0.05)</w:t>
      </w:r>
    </w:p>
    <w:p w14:paraId="0DA1E1A8" w14:textId="3B0FB06E" w:rsidR="00A65037" w:rsidRPr="005A5CB8" w:rsidRDefault="00A65037" w:rsidP="00A65037">
      <w:pPr>
        <w:spacing w:after="120" w:line="240" w:lineRule="auto"/>
        <w:ind w:left="1170" w:hanging="1170"/>
        <w:jc w:val="both"/>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9</w:t>
      </w:r>
      <w:r w:rsidRPr="005A5CB8">
        <w:rPr>
          <w:rFonts w:ascii="Times New Roman" w:hAnsi="Times New Roman" w:cs="Times New Roman"/>
          <w:b/>
          <w:bCs/>
          <w:color w:val="000000"/>
          <w:sz w:val="24"/>
          <w:szCs w:val="24"/>
        </w:rPr>
        <w:t>:</w:t>
      </w:r>
      <w:r w:rsidRPr="005A5CB8">
        <w:rPr>
          <w:rFonts w:ascii="Times New Roman" w:hAnsi="Times New Roman" w:cs="Times New Roman"/>
          <w:b/>
          <w:bCs/>
          <w:color w:val="000000"/>
          <w:sz w:val="24"/>
          <w:szCs w:val="24"/>
        </w:rPr>
        <w:tab/>
        <w:t xml:space="preserve">Mean blood lead and mineral level (µg/dl or mg/dl) in pups of different groups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8"/>
        <w:gridCol w:w="2258"/>
        <w:gridCol w:w="2270"/>
        <w:gridCol w:w="2110"/>
      </w:tblGrid>
      <w:tr w:rsidR="00A65037" w:rsidRPr="005A5CB8" w14:paraId="202D8B8E" w14:textId="77777777" w:rsidTr="00A65037">
        <w:trPr>
          <w:trHeight w:val="20"/>
          <w:jc w:val="center"/>
        </w:trPr>
        <w:tc>
          <w:tcPr>
            <w:tcW w:w="1319" w:type="pct"/>
            <w:vMerge w:val="restart"/>
            <w:tcMar>
              <w:top w:w="15" w:type="dxa"/>
              <w:left w:w="15" w:type="dxa"/>
              <w:bottom w:w="15" w:type="dxa"/>
              <w:right w:w="15" w:type="dxa"/>
            </w:tcMar>
            <w:vAlign w:val="center"/>
          </w:tcPr>
          <w:p w14:paraId="165A9B0A" w14:textId="77777777" w:rsidR="00A65037" w:rsidRPr="005A5CB8" w:rsidRDefault="00A65037" w:rsidP="001B6DF0">
            <w:pPr>
              <w:spacing w:after="0" w:line="240" w:lineRule="auto"/>
              <w:ind w:left="103" w:firstLine="13"/>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681" w:type="pct"/>
            <w:gridSpan w:val="3"/>
            <w:tcMar>
              <w:top w:w="15" w:type="dxa"/>
              <w:left w:w="15" w:type="dxa"/>
              <w:bottom w:w="15" w:type="dxa"/>
              <w:right w:w="15" w:type="dxa"/>
            </w:tcMar>
            <w:vAlign w:val="center"/>
          </w:tcPr>
          <w:p w14:paraId="2CFA7A2B" w14:textId="77777777" w:rsidR="00A65037" w:rsidRPr="005A5CB8" w:rsidRDefault="00A65037" w:rsidP="001B6DF0">
            <w:pPr>
              <w:spacing w:after="0" w:line="240" w:lineRule="auto"/>
              <w:ind w:hanging="24"/>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A65037" w:rsidRPr="005A5CB8" w14:paraId="0BF4EC9C" w14:textId="77777777" w:rsidTr="00A65037">
        <w:trPr>
          <w:trHeight w:val="20"/>
          <w:jc w:val="center"/>
        </w:trPr>
        <w:tc>
          <w:tcPr>
            <w:tcW w:w="1319" w:type="pct"/>
            <w:vMerge/>
            <w:tcMar>
              <w:top w:w="15" w:type="dxa"/>
              <w:left w:w="15" w:type="dxa"/>
              <w:bottom w:w="15" w:type="dxa"/>
              <w:right w:w="15" w:type="dxa"/>
            </w:tcMar>
            <w:vAlign w:val="center"/>
          </w:tcPr>
          <w:p w14:paraId="0E4F8874" w14:textId="77777777" w:rsidR="00A65037" w:rsidRPr="005A5CB8" w:rsidRDefault="00A65037" w:rsidP="001B6DF0">
            <w:pPr>
              <w:spacing w:after="0" w:line="240" w:lineRule="auto"/>
              <w:ind w:left="103" w:firstLine="13"/>
              <w:jc w:val="center"/>
              <w:rPr>
                <w:rFonts w:ascii="Times New Roman" w:hAnsi="Times New Roman" w:cs="Times New Roman"/>
                <w:b/>
                <w:bCs/>
                <w:color w:val="000000"/>
                <w:sz w:val="24"/>
                <w:szCs w:val="24"/>
              </w:rPr>
            </w:pPr>
          </w:p>
        </w:tc>
        <w:tc>
          <w:tcPr>
            <w:tcW w:w="1252" w:type="pct"/>
            <w:tcMar>
              <w:top w:w="15" w:type="dxa"/>
              <w:left w:w="15" w:type="dxa"/>
              <w:bottom w:w="15" w:type="dxa"/>
              <w:right w:w="15" w:type="dxa"/>
            </w:tcMar>
            <w:vAlign w:val="center"/>
          </w:tcPr>
          <w:p w14:paraId="1C3270A8"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259" w:type="pct"/>
            <w:tcMar>
              <w:top w:w="15" w:type="dxa"/>
              <w:left w:w="15" w:type="dxa"/>
              <w:bottom w:w="15" w:type="dxa"/>
              <w:right w:w="15" w:type="dxa"/>
            </w:tcMar>
            <w:vAlign w:val="center"/>
          </w:tcPr>
          <w:p w14:paraId="56189E71"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170" w:type="pct"/>
            <w:tcMar>
              <w:top w:w="15" w:type="dxa"/>
              <w:left w:w="15" w:type="dxa"/>
              <w:bottom w:w="15" w:type="dxa"/>
              <w:right w:w="15" w:type="dxa"/>
            </w:tcMar>
            <w:vAlign w:val="center"/>
          </w:tcPr>
          <w:p w14:paraId="098344D9"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A65037" w:rsidRPr="005A5CB8" w14:paraId="1AEFC9D8" w14:textId="77777777" w:rsidTr="00A65037">
        <w:trPr>
          <w:trHeight w:val="20"/>
          <w:jc w:val="center"/>
        </w:trPr>
        <w:tc>
          <w:tcPr>
            <w:tcW w:w="1319" w:type="pct"/>
            <w:tcMar>
              <w:top w:w="15" w:type="dxa"/>
              <w:left w:w="15" w:type="dxa"/>
              <w:bottom w:w="15" w:type="dxa"/>
              <w:right w:w="15" w:type="dxa"/>
            </w:tcMar>
            <w:vAlign w:val="center"/>
            <w:hideMark/>
          </w:tcPr>
          <w:p w14:paraId="4E25E3DA"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Lead (µg/dl)</w:t>
            </w:r>
          </w:p>
        </w:tc>
        <w:tc>
          <w:tcPr>
            <w:tcW w:w="1252" w:type="pct"/>
            <w:tcMar>
              <w:top w:w="15" w:type="dxa"/>
              <w:left w:w="15" w:type="dxa"/>
              <w:bottom w:w="15" w:type="dxa"/>
              <w:right w:w="15" w:type="dxa"/>
            </w:tcMar>
            <w:vAlign w:val="center"/>
          </w:tcPr>
          <w:p w14:paraId="1EA31177"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001.780</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0.018</w:t>
            </w:r>
          </w:p>
        </w:tc>
        <w:tc>
          <w:tcPr>
            <w:tcW w:w="1259" w:type="pct"/>
            <w:tcMar>
              <w:top w:w="15" w:type="dxa"/>
              <w:left w:w="15" w:type="dxa"/>
              <w:bottom w:w="15" w:type="dxa"/>
              <w:right w:w="15" w:type="dxa"/>
            </w:tcMar>
            <w:vAlign w:val="center"/>
          </w:tcPr>
          <w:p w14:paraId="70E1D1F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005.104</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0.029</w:t>
            </w:r>
          </w:p>
        </w:tc>
        <w:tc>
          <w:tcPr>
            <w:tcW w:w="1170" w:type="pct"/>
            <w:tcMar>
              <w:top w:w="15" w:type="dxa"/>
              <w:left w:w="15" w:type="dxa"/>
              <w:bottom w:w="15" w:type="dxa"/>
              <w:right w:w="15" w:type="dxa"/>
            </w:tcMar>
            <w:vAlign w:val="center"/>
          </w:tcPr>
          <w:p w14:paraId="224061AC"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003.45</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0.032</w:t>
            </w:r>
          </w:p>
        </w:tc>
      </w:tr>
      <w:tr w:rsidR="00A65037" w:rsidRPr="005A5CB8" w14:paraId="5BC9450F" w14:textId="77777777" w:rsidTr="00A65037">
        <w:trPr>
          <w:trHeight w:val="20"/>
          <w:jc w:val="center"/>
        </w:trPr>
        <w:tc>
          <w:tcPr>
            <w:tcW w:w="1319" w:type="pct"/>
            <w:tcMar>
              <w:top w:w="15" w:type="dxa"/>
              <w:left w:w="15" w:type="dxa"/>
              <w:bottom w:w="15" w:type="dxa"/>
              <w:right w:w="15" w:type="dxa"/>
            </w:tcMar>
            <w:vAlign w:val="center"/>
            <w:hideMark/>
          </w:tcPr>
          <w:p w14:paraId="7C1F2C72"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Calcium (mg/dl)</w:t>
            </w:r>
          </w:p>
        </w:tc>
        <w:tc>
          <w:tcPr>
            <w:tcW w:w="1252" w:type="pct"/>
            <w:tcMar>
              <w:top w:w="15" w:type="dxa"/>
              <w:left w:w="15" w:type="dxa"/>
              <w:bottom w:w="15" w:type="dxa"/>
              <w:right w:w="15" w:type="dxa"/>
            </w:tcMar>
            <w:vAlign w:val="center"/>
          </w:tcPr>
          <w:p w14:paraId="52F90E78"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010.13</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0.04</w:t>
            </w:r>
          </w:p>
        </w:tc>
        <w:tc>
          <w:tcPr>
            <w:tcW w:w="1259" w:type="pct"/>
            <w:tcMar>
              <w:top w:w="15" w:type="dxa"/>
              <w:left w:w="15" w:type="dxa"/>
              <w:bottom w:w="15" w:type="dxa"/>
              <w:right w:w="15" w:type="dxa"/>
            </w:tcMar>
            <w:vAlign w:val="center"/>
          </w:tcPr>
          <w:p w14:paraId="37ACF19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007.54</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0.07</w:t>
            </w:r>
          </w:p>
        </w:tc>
        <w:tc>
          <w:tcPr>
            <w:tcW w:w="1170" w:type="pct"/>
            <w:tcMar>
              <w:top w:w="15" w:type="dxa"/>
              <w:left w:w="15" w:type="dxa"/>
              <w:bottom w:w="15" w:type="dxa"/>
              <w:right w:w="15" w:type="dxa"/>
            </w:tcMar>
            <w:vAlign w:val="center"/>
          </w:tcPr>
          <w:p w14:paraId="00BC8865"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008.31</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0.04</w:t>
            </w:r>
          </w:p>
        </w:tc>
      </w:tr>
      <w:tr w:rsidR="00A65037" w:rsidRPr="005A5CB8" w14:paraId="49E8113B" w14:textId="77777777" w:rsidTr="00A65037">
        <w:trPr>
          <w:trHeight w:val="20"/>
          <w:jc w:val="center"/>
        </w:trPr>
        <w:tc>
          <w:tcPr>
            <w:tcW w:w="1319" w:type="pct"/>
            <w:tcMar>
              <w:top w:w="15" w:type="dxa"/>
              <w:left w:w="15" w:type="dxa"/>
              <w:bottom w:w="15" w:type="dxa"/>
              <w:right w:w="15" w:type="dxa"/>
            </w:tcMar>
            <w:vAlign w:val="center"/>
            <w:hideMark/>
          </w:tcPr>
          <w:p w14:paraId="536B3D65"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Copper (µg/dl)</w:t>
            </w:r>
          </w:p>
        </w:tc>
        <w:tc>
          <w:tcPr>
            <w:tcW w:w="1252" w:type="pct"/>
            <w:tcMar>
              <w:top w:w="15" w:type="dxa"/>
              <w:left w:w="15" w:type="dxa"/>
              <w:bottom w:w="15" w:type="dxa"/>
              <w:right w:w="15" w:type="dxa"/>
            </w:tcMar>
            <w:vAlign w:val="center"/>
          </w:tcPr>
          <w:p w14:paraId="541F350A"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115.42</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1.85</w:t>
            </w:r>
          </w:p>
        </w:tc>
        <w:tc>
          <w:tcPr>
            <w:tcW w:w="1259" w:type="pct"/>
            <w:tcMar>
              <w:top w:w="15" w:type="dxa"/>
              <w:left w:w="15" w:type="dxa"/>
              <w:bottom w:w="15" w:type="dxa"/>
              <w:right w:w="15" w:type="dxa"/>
            </w:tcMar>
            <w:vAlign w:val="center"/>
          </w:tcPr>
          <w:p w14:paraId="4C42A94F"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93.31</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0.66</w:t>
            </w:r>
          </w:p>
        </w:tc>
        <w:tc>
          <w:tcPr>
            <w:tcW w:w="1170" w:type="pct"/>
            <w:tcMar>
              <w:top w:w="15" w:type="dxa"/>
              <w:left w:w="15" w:type="dxa"/>
              <w:bottom w:w="15" w:type="dxa"/>
              <w:right w:w="15" w:type="dxa"/>
            </w:tcMar>
            <w:vAlign w:val="center"/>
          </w:tcPr>
          <w:p w14:paraId="34660C06"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106.31</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1.61</w:t>
            </w:r>
          </w:p>
        </w:tc>
      </w:tr>
      <w:tr w:rsidR="00A65037" w:rsidRPr="005A5CB8" w14:paraId="54B1EF1B" w14:textId="77777777" w:rsidTr="00A65037">
        <w:trPr>
          <w:trHeight w:val="20"/>
          <w:jc w:val="center"/>
        </w:trPr>
        <w:tc>
          <w:tcPr>
            <w:tcW w:w="1319" w:type="pct"/>
            <w:tcMar>
              <w:top w:w="15" w:type="dxa"/>
              <w:left w:w="15" w:type="dxa"/>
              <w:bottom w:w="15" w:type="dxa"/>
              <w:right w:w="15" w:type="dxa"/>
            </w:tcMar>
            <w:vAlign w:val="center"/>
            <w:hideMark/>
          </w:tcPr>
          <w:p w14:paraId="66E9D01C"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Zinc (µg/dl)</w:t>
            </w:r>
          </w:p>
        </w:tc>
        <w:tc>
          <w:tcPr>
            <w:tcW w:w="1252" w:type="pct"/>
            <w:tcMar>
              <w:top w:w="15" w:type="dxa"/>
              <w:left w:w="15" w:type="dxa"/>
              <w:bottom w:w="15" w:type="dxa"/>
              <w:right w:w="15" w:type="dxa"/>
            </w:tcMar>
            <w:vAlign w:val="center"/>
          </w:tcPr>
          <w:p w14:paraId="32E1AD8C"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081.99</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0.93</w:t>
            </w:r>
          </w:p>
        </w:tc>
        <w:tc>
          <w:tcPr>
            <w:tcW w:w="1259" w:type="pct"/>
            <w:tcMar>
              <w:top w:w="15" w:type="dxa"/>
              <w:left w:w="15" w:type="dxa"/>
              <w:bottom w:w="15" w:type="dxa"/>
              <w:right w:w="15" w:type="dxa"/>
            </w:tcMar>
            <w:vAlign w:val="center"/>
          </w:tcPr>
          <w:p w14:paraId="16CB9281"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049.39</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0.12</w:t>
            </w:r>
          </w:p>
        </w:tc>
        <w:tc>
          <w:tcPr>
            <w:tcW w:w="1170" w:type="pct"/>
            <w:tcMar>
              <w:top w:w="15" w:type="dxa"/>
              <w:left w:w="15" w:type="dxa"/>
              <w:bottom w:w="15" w:type="dxa"/>
              <w:right w:w="15" w:type="dxa"/>
            </w:tcMar>
            <w:vAlign w:val="center"/>
          </w:tcPr>
          <w:p w14:paraId="1AC00CA6"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056.55</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3.06</w:t>
            </w:r>
          </w:p>
        </w:tc>
      </w:tr>
      <w:tr w:rsidR="00A65037" w:rsidRPr="005A5CB8" w14:paraId="28857701" w14:textId="77777777" w:rsidTr="00A65037">
        <w:trPr>
          <w:trHeight w:val="20"/>
          <w:jc w:val="center"/>
        </w:trPr>
        <w:tc>
          <w:tcPr>
            <w:tcW w:w="1319" w:type="pct"/>
            <w:tcMar>
              <w:top w:w="15" w:type="dxa"/>
              <w:left w:w="15" w:type="dxa"/>
              <w:bottom w:w="15" w:type="dxa"/>
              <w:right w:w="15" w:type="dxa"/>
            </w:tcMar>
            <w:vAlign w:val="center"/>
            <w:hideMark/>
          </w:tcPr>
          <w:p w14:paraId="492EBE7E"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Iron (µg/dl)</w:t>
            </w:r>
          </w:p>
        </w:tc>
        <w:tc>
          <w:tcPr>
            <w:tcW w:w="1252" w:type="pct"/>
            <w:tcMar>
              <w:top w:w="15" w:type="dxa"/>
              <w:left w:w="15" w:type="dxa"/>
              <w:bottom w:w="15" w:type="dxa"/>
              <w:right w:w="15" w:type="dxa"/>
            </w:tcMar>
            <w:vAlign w:val="center"/>
          </w:tcPr>
          <w:p w14:paraId="214EBFE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145.26</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0.93</w:t>
            </w:r>
          </w:p>
        </w:tc>
        <w:tc>
          <w:tcPr>
            <w:tcW w:w="1259" w:type="pct"/>
            <w:tcMar>
              <w:top w:w="15" w:type="dxa"/>
              <w:left w:w="15" w:type="dxa"/>
              <w:bottom w:w="15" w:type="dxa"/>
              <w:right w:w="15" w:type="dxa"/>
            </w:tcMar>
            <w:vAlign w:val="center"/>
          </w:tcPr>
          <w:p w14:paraId="652458AE"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120.34</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0.89</w:t>
            </w:r>
          </w:p>
        </w:tc>
        <w:tc>
          <w:tcPr>
            <w:tcW w:w="1170" w:type="pct"/>
            <w:tcMar>
              <w:top w:w="15" w:type="dxa"/>
              <w:left w:w="15" w:type="dxa"/>
              <w:bottom w:w="15" w:type="dxa"/>
              <w:right w:w="15" w:type="dxa"/>
            </w:tcMar>
            <w:vAlign w:val="center"/>
          </w:tcPr>
          <w:p w14:paraId="3E6AF6A9"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130.87</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0.91</w:t>
            </w:r>
          </w:p>
        </w:tc>
      </w:tr>
    </w:tbl>
    <w:p w14:paraId="69DE1FBB" w14:textId="12C676AD" w:rsidR="005A2514" w:rsidRPr="005A5CB8" w:rsidRDefault="00A65037" w:rsidP="00A65037">
      <w:pPr>
        <w:spacing w:after="120" w:line="360" w:lineRule="auto"/>
        <w:ind w:firstLine="720"/>
        <w:jc w:val="both"/>
        <w:rPr>
          <w:rFonts w:ascii="Times New Roman" w:hAnsi="Times New Roman" w:cs="Times New Roman"/>
          <w:i/>
          <w:iCs/>
          <w:color w:val="000000"/>
          <w:sz w:val="20"/>
          <w:szCs w:val="20"/>
        </w:rPr>
      </w:pPr>
      <w:r w:rsidRPr="005A5CB8">
        <w:rPr>
          <w:rFonts w:ascii="Times New Roman" w:hAnsi="Times New Roman" w:cs="Times New Roman"/>
          <w:color w:val="000000"/>
          <w:sz w:val="20"/>
          <w:szCs w:val="20"/>
        </w:rPr>
        <w:t>Means with different superscripts in columns differ significantly</w:t>
      </w:r>
      <w:r w:rsidRPr="005A5CB8">
        <w:rPr>
          <w:rFonts w:ascii="Times New Roman" w:hAnsi="Times New Roman" w:cs="Times New Roman"/>
          <w:i/>
          <w:iCs/>
          <w:color w:val="000000"/>
          <w:sz w:val="20"/>
          <w:szCs w:val="20"/>
        </w:rPr>
        <w:t xml:space="preserve"> (p≤0.05)</w:t>
      </w:r>
    </w:p>
    <w:p w14:paraId="3A48E21F" w14:textId="77777777" w:rsidR="00A65037" w:rsidRPr="005A5CB8" w:rsidRDefault="00A65037" w:rsidP="00A65037">
      <w:pPr>
        <w:jc w:val="lowKashida"/>
        <w:rPr>
          <w:rFonts w:ascii="Times New Roman" w:hAnsi="Times New Roman" w:cs="Times New Roman"/>
          <w:b/>
          <w:bCs/>
          <w:sz w:val="24"/>
          <w:szCs w:val="24"/>
        </w:rPr>
      </w:pPr>
      <w:r w:rsidRPr="005A5CB8">
        <w:rPr>
          <w:rFonts w:ascii="Times New Roman" w:hAnsi="Times New Roman" w:cs="Times New Roman"/>
          <w:b/>
          <w:bCs/>
          <w:sz w:val="24"/>
          <w:szCs w:val="24"/>
        </w:rPr>
        <w:t>4. Discussion</w:t>
      </w:r>
    </w:p>
    <w:p w14:paraId="191792BC" w14:textId="687DBD2A"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The present study demonstrates that perinatal exposure to lead acetate produces marked systemic and developmental toxicity in pregnant Wistar rats and their offspring, characterized by reduced maternal body weight gain, impaired pup growth, adverse litter parameters,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depression, elevated blood lead burden, and disruption of essential mineral balance. Dietary supplementation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produced significant but partial amelioration across most measured parameters, indicating its supportive protective role.</w:t>
      </w:r>
    </w:p>
    <w:p w14:paraId="3864F71C" w14:textId="5B3E3006"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Maternal body weight and weekly body weight gain were significantly reduced in lead-exposed dams, particularly during later gestation and lactation. Episodes of negative weight gain observed in exposed animals indicate a catabolic physiological state and metabolic stress during exposure. Similar reductions in maternal weight gain following gestational lead exposure have been reported previously (</w:t>
      </w:r>
      <w:proofErr w:type="spellStart"/>
      <w:r w:rsidRPr="005A5CB8">
        <w:rPr>
          <w:rFonts w:ascii="Times New Roman" w:hAnsi="Times New Roman" w:cs="Times New Roman"/>
          <w:sz w:val="24"/>
          <w:szCs w:val="24"/>
        </w:rPr>
        <w:t>Aprioku</w:t>
      </w:r>
      <w:proofErr w:type="spellEnd"/>
      <w:r w:rsidRPr="005A5CB8">
        <w:rPr>
          <w:rFonts w:ascii="Times New Roman" w:hAnsi="Times New Roman" w:cs="Times New Roman"/>
          <w:sz w:val="24"/>
          <w:szCs w:val="24"/>
        </w:rPr>
        <w:t xml:space="preserve"> and </w:t>
      </w:r>
      <w:proofErr w:type="spellStart"/>
      <w:r w:rsidRPr="005A5CB8">
        <w:rPr>
          <w:rFonts w:ascii="Times New Roman" w:hAnsi="Times New Roman" w:cs="Times New Roman"/>
          <w:sz w:val="24"/>
          <w:szCs w:val="24"/>
        </w:rPr>
        <w:t>Siminialayi</w:t>
      </w:r>
      <w:proofErr w:type="spellEnd"/>
      <w:r w:rsidRPr="005A5CB8">
        <w:rPr>
          <w:rFonts w:ascii="Times New Roman" w:hAnsi="Times New Roman" w:cs="Times New Roman"/>
          <w:sz w:val="24"/>
          <w:szCs w:val="24"/>
        </w:rPr>
        <w:t xml:space="preserve">, 2013; Gargouri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w:t>
      </w:r>
      <w:proofErr w:type="spellStart"/>
      <w:r w:rsidRPr="005A5CB8">
        <w:rPr>
          <w:rFonts w:ascii="Times New Roman" w:hAnsi="Times New Roman" w:cs="Times New Roman"/>
          <w:sz w:val="24"/>
          <w:szCs w:val="24"/>
        </w:rPr>
        <w:t>Aglan</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2021). These effects are commonly attributed to reduced feed and water intake, gastrointestinal dysfunction, impaired nutrient absorption, and altered metabolic efficiency associated with heavy metal toxicity (</w:t>
      </w:r>
      <w:proofErr w:type="spellStart"/>
      <w:r w:rsidRPr="005A5CB8">
        <w:rPr>
          <w:rFonts w:ascii="Times New Roman" w:hAnsi="Times New Roman" w:cs="Times New Roman"/>
          <w:sz w:val="24"/>
          <w:szCs w:val="24"/>
        </w:rPr>
        <w:t>Marchlewicz</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2004; </w:t>
      </w:r>
      <w:proofErr w:type="spellStart"/>
      <w:r w:rsidRPr="005A5CB8">
        <w:rPr>
          <w:rFonts w:ascii="Times New Roman" w:hAnsi="Times New Roman" w:cs="Times New Roman"/>
          <w:sz w:val="24"/>
          <w:szCs w:val="24"/>
        </w:rPr>
        <w:t>Elrasoul</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The </w:t>
      </w:r>
      <w:r w:rsidRPr="005A5CB8">
        <w:rPr>
          <w:rFonts w:ascii="Times New Roman" w:hAnsi="Times New Roman" w:cs="Times New Roman"/>
          <w:sz w:val="24"/>
          <w:szCs w:val="24"/>
        </w:rPr>
        <w:lastRenderedPageBreak/>
        <w:t xml:space="preserve">improvement in maternal weight gain observed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suggests nutritional and antioxidant support that may enhance metabolic resilience under toxic stress.</w:t>
      </w:r>
    </w:p>
    <w:p w14:paraId="1468CB96" w14:textId="4E027606"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Offspring growth parameters in the present study showed clear evidence of developmental toxicity. Lead-exposed pups had significantly lower birth weight and reduced weekly weight gain throughout the postnatal observation period. Growth retardation following perinatal lead exposure has been widely documented (Dhir and Dhand, 2010; Hossain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w:t>
      </w:r>
      <w:proofErr w:type="spellStart"/>
      <w:r w:rsidRPr="005A5CB8">
        <w:rPr>
          <w:rFonts w:ascii="Times New Roman" w:hAnsi="Times New Roman" w:cs="Times New Roman"/>
          <w:sz w:val="24"/>
          <w:szCs w:val="24"/>
        </w:rPr>
        <w:t>Aglan</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2021). Placental transfer of lead, oxidative stress, endocrine disruption, and altered maternal care </w:t>
      </w:r>
      <w:proofErr w:type="spellStart"/>
      <w:r w:rsidRPr="005A5CB8">
        <w:rPr>
          <w:rFonts w:ascii="Times New Roman" w:hAnsi="Times New Roman" w:cs="Times New Roman"/>
          <w:sz w:val="24"/>
          <w:szCs w:val="24"/>
        </w:rPr>
        <w:t>behavior</w:t>
      </w:r>
      <w:proofErr w:type="spellEnd"/>
      <w:r w:rsidRPr="005A5CB8">
        <w:rPr>
          <w:rFonts w:ascii="Times New Roman" w:hAnsi="Times New Roman" w:cs="Times New Roman"/>
          <w:sz w:val="24"/>
          <w:szCs w:val="24"/>
        </w:rPr>
        <w:t xml:space="preserve"> are considered major contributing mechanisms. The partial restoration of pup growth and weekly weight gain in the </w:t>
      </w:r>
      <w:r w:rsidRPr="005A5CB8">
        <w:rPr>
          <w:rFonts w:ascii="Times New Roman" w:hAnsi="Times New Roman" w:cs="Times New Roman"/>
          <w:i/>
          <w:iCs/>
          <w:sz w:val="24"/>
          <w:szCs w:val="24"/>
        </w:rPr>
        <w:t>Moringa</w:t>
      </w:r>
      <w:r w:rsidRPr="005A5CB8">
        <w:rPr>
          <w:rFonts w:ascii="Times New Roman" w:hAnsi="Times New Roman" w:cs="Times New Roman"/>
          <w:sz w:val="24"/>
          <w:szCs w:val="24"/>
        </w:rPr>
        <w:t xml:space="preserve"> supplemented group is consistent with reports that nutritional and antioxidant supplementation can mitigate heavy metal–induced developmental suppression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1356E7E0" w14:textId="4DB3960C"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Litter parameters further supported reproductive and neonatal toxicity in the lead-treated group, as evidenced by reduced litter size, decreased litter weight, increased pup mortality, and higher incidence of maternal cannibalism. Comparable reductions in litter size and survival following gestational lead exposure have been reported by </w:t>
      </w:r>
      <w:proofErr w:type="spellStart"/>
      <w:r w:rsidRPr="005A5CB8">
        <w:rPr>
          <w:rFonts w:ascii="Times New Roman" w:hAnsi="Times New Roman" w:cs="Times New Roman"/>
          <w:sz w:val="24"/>
          <w:szCs w:val="24"/>
        </w:rPr>
        <w:t>Teijon</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(2006), </w:t>
      </w:r>
      <w:proofErr w:type="spellStart"/>
      <w:r w:rsidRPr="005A5CB8">
        <w:rPr>
          <w:rFonts w:ascii="Times New Roman" w:hAnsi="Times New Roman" w:cs="Times New Roman"/>
          <w:sz w:val="24"/>
          <w:szCs w:val="24"/>
        </w:rPr>
        <w:t>Aprioku</w:t>
      </w:r>
      <w:proofErr w:type="spellEnd"/>
      <w:r w:rsidRPr="005A5CB8">
        <w:rPr>
          <w:rFonts w:ascii="Times New Roman" w:hAnsi="Times New Roman" w:cs="Times New Roman"/>
          <w:sz w:val="24"/>
          <w:szCs w:val="24"/>
        </w:rPr>
        <w:t xml:space="preserve"> and </w:t>
      </w:r>
      <w:proofErr w:type="spellStart"/>
      <w:r w:rsidRPr="005A5CB8">
        <w:rPr>
          <w:rFonts w:ascii="Times New Roman" w:hAnsi="Times New Roman" w:cs="Times New Roman"/>
          <w:sz w:val="24"/>
          <w:szCs w:val="24"/>
        </w:rPr>
        <w:t>Siminialayi</w:t>
      </w:r>
      <w:proofErr w:type="spellEnd"/>
      <w:r w:rsidRPr="005A5CB8">
        <w:rPr>
          <w:rFonts w:ascii="Times New Roman" w:hAnsi="Times New Roman" w:cs="Times New Roman"/>
          <w:sz w:val="24"/>
          <w:szCs w:val="24"/>
        </w:rPr>
        <w:t xml:space="preserve"> (2013), and Dhir and Dhand (2010). Lead crosses the placental barrier and accumulates in reproductive tissues and placenta, where it induces oxidative and degenerative changes that contribute to implantation failure, </w:t>
      </w:r>
      <w:proofErr w:type="spellStart"/>
      <w:r w:rsidRPr="005A5CB8">
        <w:rPr>
          <w:rFonts w:ascii="Times New Roman" w:hAnsi="Times New Roman" w:cs="Times New Roman"/>
          <w:sz w:val="24"/>
          <w:szCs w:val="24"/>
        </w:rPr>
        <w:t>fetal</w:t>
      </w:r>
      <w:proofErr w:type="spellEnd"/>
      <w:r w:rsidRPr="005A5CB8">
        <w:rPr>
          <w:rFonts w:ascii="Times New Roman" w:hAnsi="Times New Roman" w:cs="Times New Roman"/>
          <w:sz w:val="24"/>
          <w:szCs w:val="24"/>
        </w:rPr>
        <w:t xml:space="preserve"> loss, and weak neonates. Lead-induced neurobehavioral alterations in dams may also impair maternal care and increase pup mortality and cannibalism (Numan and Stolzenberg, 2009; Taroco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2015). The partial improvement in litter outcomes observed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supports its protective nutritional and antioxidant role, although the persistence of subnormal values indicates incomplete reversal of toxic effects.</w:t>
      </w:r>
    </w:p>
    <w:p w14:paraId="080A4090" w14:textId="38D1F9A9" w:rsidR="00A65037" w:rsidRPr="005A5CB8" w:rsidRDefault="00356CAC"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 xml:space="preserve">findings in both dams and pups revealed significant reductions in </w:t>
      </w:r>
      <w:r w:rsidRPr="005A5CB8">
        <w:rPr>
          <w:rFonts w:ascii="Times New Roman" w:hAnsi="Times New Roman" w:cs="Times New Roman"/>
          <w:sz w:val="24"/>
          <w:szCs w:val="24"/>
        </w:rPr>
        <w:t>haemoglobin</w:t>
      </w:r>
      <w:r w:rsidR="00A65037" w:rsidRPr="005A5CB8">
        <w:rPr>
          <w:rFonts w:ascii="Times New Roman" w:hAnsi="Times New Roman" w:cs="Times New Roman"/>
          <w:sz w:val="24"/>
          <w:szCs w:val="24"/>
        </w:rPr>
        <w:t xml:space="preserve">, total erythrocyte count, and packed cell volume in the lead-exposed group, indicating lead-induced </w:t>
      </w:r>
      <w:proofErr w:type="spellStart"/>
      <w:r w:rsidR="00A65037" w:rsidRPr="005A5CB8">
        <w:rPr>
          <w:rFonts w:ascii="Times New Roman" w:hAnsi="Times New Roman" w:cs="Times New Roman"/>
          <w:sz w:val="24"/>
          <w:szCs w:val="24"/>
        </w:rPr>
        <w:t>anemia</w:t>
      </w:r>
      <w:proofErr w:type="spellEnd"/>
      <w:r w:rsidR="00A65037" w:rsidRPr="005A5CB8">
        <w:rPr>
          <w:rFonts w:ascii="Times New Roman" w:hAnsi="Times New Roman" w:cs="Times New Roman"/>
          <w:sz w:val="24"/>
          <w:szCs w:val="24"/>
        </w:rPr>
        <w:t xml:space="preserve">. These findings are in agreement with earlier reports describing </w:t>
      </w:r>
      <w:proofErr w:type="spellStart"/>
      <w:r w:rsidR="00A65037" w:rsidRPr="005A5CB8">
        <w:rPr>
          <w:rFonts w:ascii="Times New Roman" w:hAnsi="Times New Roman" w:cs="Times New Roman"/>
          <w:sz w:val="24"/>
          <w:szCs w:val="24"/>
        </w:rPr>
        <w:t>hematotoxic</w:t>
      </w:r>
      <w:proofErr w:type="spellEnd"/>
      <w:r w:rsidR="00A65037" w:rsidRPr="005A5CB8">
        <w:rPr>
          <w:rFonts w:ascii="Times New Roman" w:hAnsi="Times New Roman" w:cs="Times New Roman"/>
          <w:sz w:val="24"/>
          <w:szCs w:val="24"/>
        </w:rPr>
        <w:t xml:space="preserve"> effects of lead exposure (Masso-Gonzalez and Antonio-Garcia, 2009; Jassim and Hassan, 2011; Ilesanmi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2022). Lead interferes with </w:t>
      </w:r>
      <w:proofErr w:type="spellStart"/>
      <w:r w:rsidR="00A65037" w:rsidRPr="005A5CB8">
        <w:rPr>
          <w:rFonts w:ascii="Times New Roman" w:hAnsi="Times New Roman" w:cs="Times New Roman"/>
          <w:sz w:val="24"/>
          <w:szCs w:val="24"/>
        </w:rPr>
        <w:t>heme</w:t>
      </w:r>
      <w:proofErr w:type="spellEnd"/>
      <w:r w:rsidR="00A65037" w:rsidRPr="005A5CB8">
        <w:rPr>
          <w:rFonts w:ascii="Times New Roman" w:hAnsi="Times New Roman" w:cs="Times New Roman"/>
          <w:sz w:val="24"/>
          <w:szCs w:val="24"/>
        </w:rPr>
        <w:t xml:space="preserve"> biosynthesis by inhibiting key enzymes, including δ-</w:t>
      </w:r>
      <w:proofErr w:type="spellStart"/>
      <w:r w:rsidR="00A65037" w:rsidRPr="005A5CB8">
        <w:rPr>
          <w:rFonts w:ascii="Times New Roman" w:hAnsi="Times New Roman" w:cs="Times New Roman"/>
          <w:sz w:val="24"/>
          <w:szCs w:val="24"/>
        </w:rPr>
        <w:t>aminolevulinic</w:t>
      </w:r>
      <w:proofErr w:type="spellEnd"/>
      <w:r w:rsidR="00A65037" w:rsidRPr="005A5CB8">
        <w:rPr>
          <w:rFonts w:ascii="Times New Roman" w:hAnsi="Times New Roman" w:cs="Times New Roman"/>
          <w:sz w:val="24"/>
          <w:szCs w:val="24"/>
        </w:rPr>
        <w:t xml:space="preserve"> acid dehydratase and </w:t>
      </w:r>
      <w:proofErr w:type="spellStart"/>
      <w:r w:rsidR="00A65037" w:rsidRPr="005A5CB8">
        <w:rPr>
          <w:rFonts w:ascii="Times New Roman" w:hAnsi="Times New Roman" w:cs="Times New Roman"/>
          <w:sz w:val="24"/>
          <w:szCs w:val="24"/>
        </w:rPr>
        <w:t>ferrochelatase</w:t>
      </w:r>
      <w:proofErr w:type="spellEnd"/>
      <w:r w:rsidR="00A65037" w:rsidRPr="005A5CB8">
        <w:rPr>
          <w:rFonts w:ascii="Times New Roman" w:hAnsi="Times New Roman" w:cs="Times New Roman"/>
          <w:sz w:val="24"/>
          <w:szCs w:val="24"/>
        </w:rPr>
        <w:t xml:space="preserve">, and promotes erythrocyte membrane damage and </w:t>
      </w:r>
      <w:proofErr w:type="spellStart"/>
      <w:r w:rsidR="00A65037" w:rsidRPr="005A5CB8">
        <w:rPr>
          <w:rFonts w:ascii="Times New Roman" w:hAnsi="Times New Roman" w:cs="Times New Roman"/>
          <w:sz w:val="24"/>
          <w:szCs w:val="24"/>
        </w:rPr>
        <w:t>hemolysis</w:t>
      </w:r>
      <w:proofErr w:type="spellEnd"/>
      <w:r w:rsidR="00A65037" w:rsidRPr="005A5CB8">
        <w:rPr>
          <w:rFonts w:ascii="Times New Roman" w:hAnsi="Times New Roman" w:cs="Times New Roman"/>
          <w:sz w:val="24"/>
          <w:szCs w:val="24"/>
        </w:rPr>
        <w:t xml:space="preserve"> (</w:t>
      </w:r>
      <w:proofErr w:type="spellStart"/>
      <w:r w:rsidR="00A65037" w:rsidRPr="005A5CB8">
        <w:rPr>
          <w:rFonts w:ascii="Times New Roman" w:hAnsi="Times New Roman" w:cs="Times New Roman"/>
          <w:sz w:val="24"/>
          <w:szCs w:val="24"/>
        </w:rPr>
        <w:t>Aladaileh</w:t>
      </w:r>
      <w:proofErr w:type="spellEnd"/>
      <w:r w:rsidR="00A65037"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2020). The significant improvement in </w:t>
      </w: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 xml:space="preserve">indices in the </w:t>
      </w:r>
      <w:r w:rsidR="00A65037" w:rsidRPr="005A5CB8">
        <w:rPr>
          <w:rFonts w:ascii="Times New Roman" w:hAnsi="Times New Roman" w:cs="Times New Roman"/>
          <w:i/>
          <w:iCs/>
          <w:sz w:val="24"/>
          <w:szCs w:val="24"/>
        </w:rPr>
        <w:t>Moringa</w:t>
      </w:r>
      <w:r w:rsidR="00A65037" w:rsidRPr="005A5CB8">
        <w:rPr>
          <w:rFonts w:ascii="Times New Roman" w:hAnsi="Times New Roman" w:cs="Times New Roman"/>
          <w:sz w:val="24"/>
          <w:szCs w:val="24"/>
        </w:rPr>
        <w:t xml:space="preserve"> supplemented group may be attributed to its high iron and micronutrient content and antioxidant phytochemicals that support erythropoiesis and reduce oxidative damage to blood cells (Gopalakrishnan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2016; Abubakar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2020). However, incomplete normalization suggests that supplementation provides supportive rather than complete </w:t>
      </w: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protection under continued toxic exposure.</w:t>
      </w:r>
    </w:p>
    <w:p w14:paraId="0C5B9308" w14:textId="61E6D887"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Blood lead concentrations were markedly elevated in exposed animals, confirming effective systemic absorption and transfer during gestation and lactation, consistent with previous experimental findings (Antonio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2003; Rahman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2018). The significant reduction in blood lead levels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suggests a potential role in reducing lead bioavailability or enhancing elimination. This effect may be related to plant phytochemicals with metal-binding capacity and improved antioxidant </w:t>
      </w:r>
      <w:proofErr w:type="spellStart"/>
      <w:r w:rsidRPr="005A5CB8">
        <w:rPr>
          <w:rFonts w:ascii="Times New Roman" w:hAnsi="Times New Roman" w:cs="Times New Roman"/>
          <w:sz w:val="24"/>
          <w:szCs w:val="24"/>
        </w:rPr>
        <w:t>defense</w:t>
      </w:r>
      <w:proofErr w:type="spellEnd"/>
      <w:r w:rsidRPr="005A5CB8">
        <w:rPr>
          <w:rFonts w:ascii="Times New Roman" w:hAnsi="Times New Roman" w:cs="Times New Roman"/>
          <w:sz w:val="24"/>
          <w:szCs w:val="24"/>
        </w:rPr>
        <w:t xml:space="preserve">, as </w:t>
      </w:r>
      <w:r w:rsidRPr="005A5CB8">
        <w:rPr>
          <w:rFonts w:ascii="Times New Roman" w:hAnsi="Times New Roman" w:cs="Times New Roman"/>
          <w:sz w:val="24"/>
          <w:szCs w:val="24"/>
        </w:rPr>
        <w:lastRenderedPageBreak/>
        <w:t xml:space="preserve">reported in earlier studies of plant-based interventions in heavy metal toxicity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30244EA8" w14:textId="53F0BF9E"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An important additional finding of the present study was the disruption of essential mineral balance in lead-exposed animals, including reductions in calcium, iron, zinc, and copper levels. Lead is known to compete with and displace essential divalent cations, particularly calcium and iron, thereby altering enzymatic function and metabolic regulation (Ouyang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2019). Iron depletion contributes directly to impaired </w:t>
      </w:r>
      <w:r w:rsidR="00356CAC" w:rsidRPr="005A5CB8">
        <w:rPr>
          <w:rFonts w:ascii="Times New Roman" w:hAnsi="Times New Roman" w:cs="Times New Roman"/>
          <w:sz w:val="24"/>
          <w:szCs w:val="24"/>
        </w:rPr>
        <w:t>haemoglobin</w:t>
      </w:r>
      <w:r w:rsidRPr="005A5CB8">
        <w:rPr>
          <w:rFonts w:ascii="Times New Roman" w:hAnsi="Times New Roman" w:cs="Times New Roman"/>
          <w:sz w:val="24"/>
          <w:szCs w:val="24"/>
        </w:rPr>
        <w:t xml:space="preserve"> synthesis, while altered calcium and zinc balance affects multiple cellular processes. The partial restoration of mineral levels observed in the </w:t>
      </w:r>
      <w:r w:rsidRPr="005A5CB8">
        <w:rPr>
          <w:rFonts w:ascii="Times New Roman" w:hAnsi="Times New Roman" w:cs="Times New Roman"/>
          <w:i/>
          <w:iCs/>
          <w:sz w:val="24"/>
          <w:szCs w:val="24"/>
        </w:rPr>
        <w:t>Moringa</w:t>
      </w:r>
      <w:r w:rsidRPr="005A5CB8">
        <w:rPr>
          <w:rFonts w:ascii="Times New Roman" w:hAnsi="Times New Roman" w:cs="Times New Roman"/>
          <w:sz w:val="24"/>
          <w:szCs w:val="24"/>
        </w:rPr>
        <w:t xml:space="preserve"> supplemented group is likely related to its high mineral content and improved nutritional status, which may help counteract lead-induced mineral displacement.</w:t>
      </w:r>
    </w:p>
    <w:p w14:paraId="7BEA5812" w14:textId="0EF202A0"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Taken together, the findings of the present study indicate that perinatal lead exposure produces a broad spectrum of systemic and developmental toxic effects involving growth suppression, reproductive impairment,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depression, elevated toxic metal burden, and mineral imbalance.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produced consistent partial amelioration across these domains, supporting its role as a beneficial nutritional adjunct. However, the persistence of significant differences from control values across most parameters indicates that nutritional supplementation alone cannot fully counteract substantial lead exposure and should be viewed as supportive rather than curative.</w:t>
      </w:r>
    </w:p>
    <w:p w14:paraId="60AA5111" w14:textId="77777777" w:rsidR="00C4710A" w:rsidRPr="008430BC" w:rsidRDefault="00C4710A" w:rsidP="00C4710A">
      <w:pPr>
        <w:jc w:val="lowKashida"/>
        <w:rPr>
          <w:rFonts w:ascii="Times New Roman" w:hAnsi="Times New Roman" w:cs="Times New Roman"/>
          <w:b/>
          <w:bCs/>
          <w:sz w:val="24"/>
          <w:szCs w:val="24"/>
        </w:rPr>
      </w:pPr>
      <w:r w:rsidRPr="008430BC">
        <w:rPr>
          <w:rFonts w:ascii="Times New Roman" w:hAnsi="Times New Roman" w:cs="Times New Roman"/>
          <w:b/>
          <w:bCs/>
          <w:sz w:val="24"/>
          <w:szCs w:val="24"/>
        </w:rPr>
        <w:t>Importance of the Study</w:t>
      </w:r>
    </w:p>
    <w:p w14:paraId="43885825" w14:textId="4C58863A" w:rsidR="00C4710A" w:rsidRPr="00C4710A" w:rsidRDefault="00C4710A" w:rsidP="000A2E89">
      <w:pPr>
        <w:ind w:firstLine="720"/>
        <w:jc w:val="lowKashida"/>
        <w:rPr>
          <w:rFonts w:ascii="Times New Roman" w:hAnsi="Times New Roman" w:cs="Times New Roman"/>
          <w:sz w:val="24"/>
          <w:szCs w:val="24"/>
        </w:rPr>
      </w:pPr>
      <w:r w:rsidRPr="008430BC">
        <w:rPr>
          <w:rFonts w:ascii="Times New Roman" w:hAnsi="Times New Roman" w:cs="Times New Roman"/>
          <w:sz w:val="24"/>
          <w:szCs w:val="24"/>
        </w:rPr>
        <w:t xml:space="preserve">Lead exposure remains a significant environmental health concern due to its persistence and ability to disrupt multiple physiological systems, particularly during pregnancy and early development. Perinatal exposure can adversely affect maternal health, offspring growth, </w:t>
      </w:r>
      <w:proofErr w:type="spellStart"/>
      <w:r w:rsidRPr="008430BC">
        <w:rPr>
          <w:rFonts w:ascii="Times New Roman" w:hAnsi="Times New Roman" w:cs="Times New Roman"/>
          <w:sz w:val="24"/>
          <w:szCs w:val="24"/>
        </w:rPr>
        <w:t>hematological</w:t>
      </w:r>
      <w:proofErr w:type="spellEnd"/>
      <w:r w:rsidRPr="008430BC">
        <w:rPr>
          <w:rFonts w:ascii="Times New Roman" w:hAnsi="Times New Roman" w:cs="Times New Roman"/>
          <w:sz w:val="24"/>
          <w:szCs w:val="24"/>
        </w:rPr>
        <w:t xml:space="preserve"> status, and mineral homeostasis. Understanding these systemic effects is important for evaluating the broader biological impact of lead toxicity. The present study provides experimental evidence on the influence of lead exposure on maternal and offspring growth performance, </w:t>
      </w:r>
      <w:proofErr w:type="spellStart"/>
      <w:r w:rsidRPr="008430BC">
        <w:rPr>
          <w:rFonts w:ascii="Times New Roman" w:hAnsi="Times New Roman" w:cs="Times New Roman"/>
          <w:sz w:val="24"/>
          <w:szCs w:val="24"/>
        </w:rPr>
        <w:t>hematological</w:t>
      </w:r>
      <w:proofErr w:type="spellEnd"/>
      <w:r w:rsidRPr="008430BC">
        <w:rPr>
          <w:rFonts w:ascii="Times New Roman" w:hAnsi="Times New Roman" w:cs="Times New Roman"/>
          <w:sz w:val="24"/>
          <w:szCs w:val="24"/>
        </w:rPr>
        <w:t xml:space="preserve"> parameters, blood lead burden, and essential mineral balance. Furthermore, the study highlights the potential role of </w:t>
      </w:r>
      <w:r w:rsidRPr="008430BC">
        <w:rPr>
          <w:rFonts w:ascii="Times New Roman" w:hAnsi="Times New Roman" w:cs="Times New Roman"/>
          <w:i/>
          <w:iCs/>
          <w:sz w:val="24"/>
          <w:szCs w:val="24"/>
        </w:rPr>
        <w:t>Moringa oleifera</w:t>
      </w:r>
      <w:r w:rsidRPr="008430BC">
        <w:rPr>
          <w:rFonts w:ascii="Times New Roman" w:hAnsi="Times New Roman" w:cs="Times New Roman"/>
          <w:sz w:val="24"/>
          <w:szCs w:val="24"/>
        </w:rPr>
        <w:t>, a nutritionally rich plant with antioxidant properties, as a supportive dietary intervention to mitigate lead-induced systemic alterations. These findings contribute to the growing body of knowledge on heavy metal toxicity and explore the potential of natural nutritional strategies for reducing toxic effects during critical developmental stages</w:t>
      </w:r>
    </w:p>
    <w:p w14:paraId="4C2707F5" w14:textId="3BEE643D" w:rsidR="00A65037" w:rsidRPr="005A5CB8" w:rsidRDefault="00A65037" w:rsidP="00A65037">
      <w:pPr>
        <w:jc w:val="lowKashida"/>
        <w:rPr>
          <w:rFonts w:ascii="Times New Roman" w:hAnsi="Times New Roman" w:cs="Times New Roman"/>
          <w:b/>
          <w:bCs/>
          <w:sz w:val="24"/>
          <w:szCs w:val="24"/>
        </w:rPr>
      </w:pPr>
      <w:r w:rsidRPr="005A5CB8">
        <w:rPr>
          <w:rFonts w:ascii="Times New Roman" w:hAnsi="Times New Roman" w:cs="Times New Roman"/>
          <w:b/>
          <w:bCs/>
          <w:sz w:val="24"/>
          <w:szCs w:val="24"/>
        </w:rPr>
        <w:t>5. Conclusion</w:t>
      </w:r>
    </w:p>
    <w:p w14:paraId="273710BB" w14:textId="50124010" w:rsidR="00356CAC" w:rsidRPr="005A5CB8"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The present study demonstrates that perinatal exposure to lead acetate in Wistar rats results in significant systemic and developmental toxicity as reflected by reduced maternal body weight gain, decreased pup growth and weekly weight gain, impaired litter parameters, increased pup mortality, Haematological depression, elevated blood lead concentration, and reduction in essential blood mineral levels. These findings indicate that gestational and lactational lead exposure adversely affects growth performance, offspring survival, blood profile, and mineral homeostasis in both dams and pups.</w:t>
      </w:r>
    </w:p>
    <w:p w14:paraId="0689A79C" w14:textId="4C026B4E" w:rsidR="00356CAC" w:rsidRPr="005A5CB8"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Dietary supplementation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produced significant improvement in maternal and pup growth indices, litter outcomes, Haematological parameters, and blood mineral status, along with a measurable reduction in blood lead burden compared with lead-</w:t>
      </w:r>
      <w:r w:rsidRPr="005A5CB8">
        <w:rPr>
          <w:rFonts w:ascii="Times New Roman" w:hAnsi="Times New Roman" w:cs="Times New Roman"/>
          <w:sz w:val="24"/>
          <w:szCs w:val="24"/>
        </w:rPr>
        <w:lastRenderedPageBreak/>
        <w:t>only exposed animals. However, since most measured parameters did not completely return to control levels, the protective effect should be regarded as partial.</w:t>
      </w:r>
    </w:p>
    <w:p w14:paraId="69EFBEB2" w14:textId="77777777" w:rsidR="00356CAC"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Overall, the results support the role of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as a supportive nutritional intervention for mitigating lead-induced alterations in growth, </w:t>
      </w:r>
      <w:proofErr w:type="spellStart"/>
      <w:r w:rsidRPr="005A5CB8">
        <w:rPr>
          <w:rFonts w:ascii="Times New Roman" w:hAnsi="Times New Roman" w:cs="Times New Roman"/>
          <w:sz w:val="24"/>
          <w:szCs w:val="24"/>
        </w:rPr>
        <w:t>hematological</w:t>
      </w:r>
      <w:proofErr w:type="spellEnd"/>
      <w:r w:rsidRPr="005A5CB8">
        <w:rPr>
          <w:rFonts w:ascii="Times New Roman" w:hAnsi="Times New Roman" w:cs="Times New Roman"/>
          <w:sz w:val="24"/>
          <w:szCs w:val="24"/>
        </w:rPr>
        <w:t>, and mineral parameters, while emphasizing that exposure reduction remains the primary requirement for effective prevention.</w:t>
      </w:r>
    </w:p>
    <w:p w14:paraId="5A993FA2" w14:textId="248912D9" w:rsidR="00436EF5" w:rsidRPr="00436EF5" w:rsidRDefault="00436EF5" w:rsidP="00436EF5">
      <w:pPr>
        <w:jc w:val="lowKashida"/>
        <w:rPr>
          <w:rFonts w:ascii="Times New Roman" w:hAnsi="Times New Roman" w:cs="Times New Roman"/>
          <w:b/>
          <w:bCs/>
          <w:sz w:val="24"/>
          <w:szCs w:val="24"/>
        </w:rPr>
      </w:pPr>
      <w:r w:rsidRPr="00436EF5">
        <w:rPr>
          <w:rFonts w:ascii="Times New Roman" w:hAnsi="Times New Roman" w:cs="Times New Roman"/>
          <w:b/>
          <w:bCs/>
          <w:sz w:val="24"/>
          <w:szCs w:val="24"/>
        </w:rPr>
        <w:t>Future Scope</w:t>
      </w:r>
    </w:p>
    <w:p w14:paraId="01E7350E" w14:textId="58777A00" w:rsidR="00436EF5" w:rsidRPr="00436EF5" w:rsidRDefault="00436EF5" w:rsidP="00436EF5">
      <w:pPr>
        <w:ind w:firstLine="720"/>
        <w:jc w:val="lowKashida"/>
        <w:rPr>
          <w:rFonts w:ascii="Times New Roman" w:hAnsi="Times New Roman" w:cs="Times New Roman"/>
          <w:sz w:val="24"/>
          <w:szCs w:val="24"/>
        </w:rPr>
      </w:pPr>
      <w:r w:rsidRPr="00436EF5">
        <w:rPr>
          <w:rFonts w:ascii="Times New Roman" w:hAnsi="Times New Roman" w:cs="Times New Roman"/>
          <w:sz w:val="24"/>
          <w:szCs w:val="24"/>
        </w:rPr>
        <w:t xml:space="preserve">Future studies may focus on understanding the long-term effects of early life lead exposure and nutritional intervention on later stages of growth, reproduction, and overall health. Further research is also needed to investigate the biological mechanisms responsible for lead-induced alterations in haematological parameters and mineral balance. Detailed studies on oxidative stress markers, antioxidant systems, and gene expression may help explain how </w:t>
      </w:r>
      <w:r w:rsidRPr="00436EF5">
        <w:rPr>
          <w:rFonts w:ascii="Times New Roman" w:hAnsi="Times New Roman" w:cs="Times New Roman"/>
          <w:i/>
          <w:iCs/>
          <w:sz w:val="24"/>
          <w:szCs w:val="24"/>
        </w:rPr>
        <w:t>Moringa oleifera</w:t>
      </w:r>
      <w:r w:rsidRPr="00436EF5">
        <w:rPr>
          <w:rFonts w:ascii="Times New Roman" w:hAnsi="Times New Roman" w:cs="Times New Roman"/>
          <w:sz w:val="24"/>
          <w:szCs w:val="24"/>
        </w:rPr>
        <w:t xml:space="preserve"> exerts its protective effects and support its potential use as a nutritional approach to reduce heavy metal toxicity.</w:t>
      </w:r>
    </w:p>
    <w:p w14:paraId="6513D918" w14:textId="53866B1B" w:rsidR="000A2E89" w:rsidRDefault="000A2E89" w:rsidP="000A2E89">
      <w:pPr>
        <w:jc w:val="lowKashida"/>
        <w:rPr>
          <w:rFonts w:ascii="Times New Roman" w:hAnsi="Times New Roman" w:cs="Times New Roman"/>
          <w:sz w:val="24"/>
          <w:szCs w:val="24"/>
        </w:rPr>
      </w:pPr>
      <w:bookmarkStart w:id="0" w:name="_GoBack"/>
      <w:bookmarkEnd w:id="0"/>
    </w:p>
    <w:p w14:paraId="5931FD0F" w14:textId="4B64475B" w:rsidR="00442196" w:rsidRPr="005A5CB8" w:rsidRDefault="00442196" w:rsidP="00442196">
      <w:pPr>
        <w:jc w:val="lowKashida"/>
        <w:rPr>
          <w:rFonts w:ascii="Times New Roman" w:hAnsi="Times New Roman" w:cs="Times New Roman"/>
          <w:b/>
          <w:bCs/>
          <w:sz w:val="24"/>
          <w:szCs w:val="24"/>
        </w:rPr>
      </w:pPr>
      <w:r w:rsidRPr="005A5CB8">
        <w:rPr>
          <w:rFonts w:ascii="Times New Roman" w:hAnsi="Times New Roman" w:cs="Times New Roman"/>
          <w:b/>
          <w:bCs/>
          <w:sz w:val="24"/>
          <w:szCs w:val="24"/>
        </w:rPr>
        <w:t>References</w:t>
      </w:r>
    </w:p>
    <w:p w14:paraId="2E7F4FC2"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Abubakar, K., </w:t>
      </w:r>
      <w:proofErr w:type="spellStart"/>
      <w:r w:rsidRPr="00C8426D">
        <w:rPr>
          <w:rFonts w:ascii="Times New Roman" w:hAnsi="Times New Roman" w:cs="Times New Roman"/>
          <w:szCs w:val="24"/>
        </w:rPr>
        <w:t>Mailafiya</w:t>
      </w:r>
      <w:proofErr w:type="spellEnd"/>
      <w:r w:rsidRPr="00C8426D">
        <w:rPr>
          <w:rFonts w:ascii="Times New Roman" w:hAnsi="Times New Roman" w:cs="Times New Roman"/>
          <w:szCs w:val="24"/>
        </w:rPr>
        <w:t xml:space="preserve">, M.M., </w:t>
      </w:r>
      <w:proofErr w:type="spellStart"/>
      <w:r w:rsidRPr="00C8426D">
        <w:rPr>
          <w:rFonts w:ascii="Times New Roman" w:hAnsi="Times New Roman" w:cs="Times New Roman"/>
          <w:szCs w:val="24"/>
        </w:rPr>
        <w:t>Chiroma</w:t>
      </w:r>
      <w:proofErr w:type="spellEnd"/>
      <w:r w:rsidRPr="00C8426D">
        <w:rPr>
          <w:rFonts w:ascii="Times New Roman" w:hAnsi="Times New Roman" w:cs="Times New Roman"/>
          <w:szCs w:val="24"/>
        </w:rPr>
        <w:t xml:space="preserve">, S.M., </w:t>
      </w:r>
      <w:proofErr w:type="spellStart"/>
      <w:r w:rsidRPr="00C8426D">
        <w:rPr>
          <w:rFonts w:ascii="Times New Roman" w:hAnsi="Times New Roman" w:cs="Times New Roman"/>
          <w:szCs w:val="24"/>
        </w:rPr>
        <w:t>Danmaigoro</w:t>
      </w:r>
      <w:proofErr w:type="spellEnd"/>
      <w:r w:rsidRPr="00C8426D">
        <w:rPr>
          <w:rFonts w:ascii="Times New Roman" w:hAnsi="Times New Roman" w:cs="Times New Roman"/>
          <w:szCs w:val="24"/>
        </w:rPr>
        <w:t xml:space="preserve">, A., </w:t>
      </w:r>
      <w:proofErr w:type="spellStart"/>
      <w:r w:rsidRPr="00C8426D">
        <w:rPr>
          <w:rFonts w:ascii="Times New Roman" w:hAnsi="Times New Roman" w:cs="Times New Roman"/>
          <w:szCs w:val="24"/>
        </w:rPr>
        <w:t>Zyoud</w:t>
      </w:r>
      <w:proofErr w:type="spellEnd"/>
      <w:r w:rsidRPr="00C8426D">
        <w:rPr>
          <w:rFonts w:ascii="Times New Roman" w:hAnsi="Times New Roman" w:cs="Times New Roman"/>
          <w:szCs w:val="24"/>
        </w:rPr>
        <w:t xml:space="preserve">, T.Y., Abdul Rahim, E. and Abu Bakar Zakaria, M.Z. (2020). Ameliorative effect of curcumin on lead‐induced haematological and hepatorenal toxicity in a rat model. </w:t>
      </w:r>
      <w:r w:rsidRPr="00C8426D">
        <w:rPr>
          <w:rFonts w:ascii="Times New Roman" w:hAnsi="Times New Roman" w:cs="Times New Roman"/>
          <w:i/>
          <w:iCs/>
          <w:szCs w:val="24"/>
        </w:rPr>
        <w:t>Journal of Biochemical and Molecular 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34</w:t>
      </w:r>
      <w:r w:rsidRPr="00C8426D">
        <w:rPr>
          <w:rFonts w:ascii="Times New Roman" w:hAnsi="Times New Roman" w:cs="Times New Roman"/>
          <w:szCs w:val="24"/>
        </w:rPr>
        <w:t>(6): 22483.</w:t>
      </w:r>
    </w:p>
    <w:p w14:paraId="65239E1D" w14:textId="77777777" w:rsidR="000A1C4C" w:rsidRPr="00C8426D" w:rsidRDefault="000A1C4C" w:rsidP="00436EF5">
      <w:pPr>
        <w:tabs>
          <w:tab w:val="left" w:pos="709"/>
        </w:tabs>
        <w:spacing w:line="240" w:lineRule="auto"/>
        <w:jc w:val="both"/>
        <w:rPr>
          <w:rFonts w:ascii="Times New Roman" w:hAnsi="Times New Roman" w:cs="Times New Roman"/>
          <w:szCs w:val="24"/>
        </w:rPr>
      </w:pPr>
      <w:proofErr w:type="spellStart"/>
      <w:r w:rsidRPr="00C8426D">
        <w:rPr>
          <w:rFonts w:ascii="Times New Roman" w:hAnsi="Times New Roman" w:cs="Times New Roman"/>
          <w:szCs w:val="24"/>
        </w:rPr>
        <w:t>Aglan</w:t>
      </w:r>
      <w:proofErr w:type="spellEnd"/>
      <w:r w:rsidRPr="00C8426D">
        <w:rPr>
          <w:rFonts w:ascii="Times New Roman" w:hAnsi="Times New Roman" w:cs="Times New Roman"/>
          <w:szCs w:val="24"/>
        </w:rPr>
        <w:t xml:space="preserve">, H.S., Safar, M.M., Ain‐Shoka, A.A.M., </w:t>
      </w:r>
      <w:proofErr w:type="spellStart"/>
      <w:r w:rsidRPr="00C8426D">
        <w:rPr>
          <w:rFonts w:ascii="Times New Roman" w:hAnsi="Times New Roman" w:cs="Times New Roman"/>
          <w:szCs w:val="24"/>
        </w:rPr>
        <w:t>Kandil</w:t>
      </w:r>
      <w:proofErr w:type="spellEnd"/>
      <w:r w:rsidRPr="00C8426D">
        <w:rPr>
          <w:rFonts w:ascii="Times New Roman" w:hAnsi="Times New Roman" w:cs="Times New Roman"/>
          <w:szCs w:val="24"/>
        </w:rPr>
        <w:t xml:space="preserve">, A.M., </w:t>
      </w:r>
      <w:proofErr w:type="spellStart"/>
      <w:r w:rsidRPr="00C8426D">
        <w:rPr>
          <w:rFonts w:ascii="Times New Roman" w:hAnsi="Times New Roman" w:cs="Times New Roman"/>
          <w:szCs w:val="24"/>
        </w:rPr>
        <w:t>Gebremedhn</w:t>
      </w:r>
      <w:proofErr w:type="spellEnd"/>
      <w:r w:rsidRPr="00C8426D">
        <w:rPr>
          <w:rFonts w:ascii="Times New Roman" w:hAnsi="Times New Roman" w:cs="Times New Roman"/>
          <w:szCs w:val="24"/>
        </w:rPr>
        <w:t xml:space="preserve">, S., </w:t>
      </w:r>
      <w:proofErr w:type="spellStart"/>
      <w:r w:rsidRPr="00C8426D">
        <w:rPr>
          <w:rFonts w:ascii="Times New Roman" w:hAnsi="Times New Roman" w:cs="Times New Roman"/>
          <w:szCs w:val="24"/>
        </w:rPr>
        <w:t>Salilew‐Wondim</w:t>
      </w:r>
      <w:proofErr w:type="spellEnd"/>
      <w:r w:rsidRPr="00C8426D">
        <w:rPr>
          <w:rFonts w:ascii="Times New Roman" w:hAnsi="Times New Roman" w:cs="Times New Roman"/>
          <w:szCs w:val="24"/>
        </w:rPr>
        <w:t xml:space="preserve">, D., </w:t>
      </w:r>
      <w:proofErr w:type="spellStart"/>
      <w:r w:rsidRPr="00C8426D">
        <w:rPr>
          <w:rFonts w:ascii="Times New Roman" w:hAnsi="Times New Roman" w:cs="Times New Roman"/>
          <w:szCs w:val="24"/>
        </w:rPr>
        <w:t>Schellander</w:t>
      </w:r>
      <w:proofErr w:type="spellEnd"/>
      <w:r w:rsidRPr="00C8426D">
        <w:rPr>
          <w:rFonts w:ascii="Times New Roman" w:hAnsi="Times New Roman" w:cs="Times New Roman"/>
          <w:szCs w:val="24"/>
        </w:rPr>
        <w:t xml:space="preserve">, K. and Tesfaye, D. (2021). Developmental toxicity of lead in rats after gestational exposure and the protective role of taurine. </w:t>
      </w:r>
      <w:r w:rsidRPr="00C8426D">
        <w:rPr>
          <w:rFonts w:ascii="Times New Roman" w:hAnsi="Times New Roman" w:cs="Times New Roman"/>
          <w:i/>
          <w:iCs/>
          <w:szCs w:val="24"/>
        </w:rPr>
        <w:t>Journal of Biochemical and Molecular 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35</w:t>
      </w:r>
      <w:r w:rsidRPr="00C8426D">
        <w:rPr>
          <w:rFonts w:ascii="Times New Roman" w:hAnsi="Times New Roman" w:cs="Times New Roman"/>
          <w:szCs w:val="24"/>
        </w:rPr>
        <w:t>(8): 22816.</w:t>
      </w:r>
    </w:p>
    <w:p w14:paraId="2275BA2B" w14:textId="77777777" w:rsidR="000A1C4C" w:rsidRPr="00C8426D" w:rsidRDefault="000A1C4C" w:rsidP="00436EF5">
      <w:pPr>
        <w:autoSpaceDE w:val="0"/>
        <w:autoSpaceDN w:val="0"/>
        <w:adjustRightInd w:val="0"/>
        <w:spacing w:before="100" w:after="100" w:line="240" w:lineRule="auto"/>
        <w:jc w:val="both"/>
        <w:rPr>
          <w:rFonts w:ascii="Times New Roman" w:hAnsi="Times New Roman" w:cs="Times New Roman"/>
          <w:color w:val="000000"/>
          <w:szCs w:val="24"/>
          <w:lang w:val="en-GB"/>
        </w:rPr>
      </w:pPr>
      <w:proofErr w:type="spellStart"/>
      <w:r w:rsidRPr="00C8426D">
        <w:rPr>
          <w:rFonts w:ascii="Times New Roman" w:hAnsi="Times New Roman" w:cs="Times New Roman"/>
          <w:color w:val="000000"/>
          <w:szCs w:val="24"/>
          <w:lang w:val="en-GB"/>
        </w:rPr>
        <w:t>Aladaileh</w:t>
      </w:r>
      <w:proofErr w:type="spellEnd"/>
      <w:r w:rsidRPr="00C8426D">
        <w:rPr>
          <w:rFonts w:ascii="Times New Roman" w:hAnsi="Times New Roman" w:cs="Times New Roman"/>
          <w:color w:val="000000"/>
          <w:szCs w:val="24"/>
          <w:lang w:val="en-GB"/>
        </w:rPr>
        <w:t xml:space="preserve">, S.H., </w:t>
      </w:r>
      <w:proofErr w:type="spellStart"/>
      <w:r w:rsidRPr="00C8426D">
        <w:rPr>
          <w:rFonts w:ascii="Times New Roman" w:hAnsi="Times New Roman" w:cs="Times New Roman"/>
          <w:color w:val="000000"/>
          <w:szCs w:val="24"/>
          <w:lang w:val="en-GB"/>
        </w:rPr>
        <w:t>Khafaga</w:t>
      </w:r>
      <w:proofErr w:type="spellEnd"/>
      <w:r w:rsidRPr="00C8426D">
        <w:rPr>
          <w:rFonts w:ascii="Times New Roman" w:hAnsi="Times New Roman" w:cs="Times New Roman"/>
          <w:color w:val="000000"/>
          <w:szCs w:val="24"/>
          <w:lang w:val="en-GB"/>
        </w:rPr>
        <w:t xml:space="preserve">, A.F., Abd El-Hack, M.E., Al-Gabri, N.A., </w:t>
      </w:r>
      <w:proofErr w:type="spellStart"/>
      <w:r w:rsidRPr="00C8426D">
        <w:rPr>
          <w:rFonts w:ascii="Times New Roman" w:hAnsi="Times New Roman" w:cs="Times New Roman"/>
          <w:color w:val="000000"/>
          <w:szCs w:val="24"/>
          <w:lang w:val="en-GB"/>
        </w:rPr>
        <w:t>Abukhalil</w:t>
      </w:r>
      <w:proofErr w:type="spellEnd"/>
      <w:r w:rsidRPr="00C8426D">
        <w:rPr>
          <w:rFonts w:ascii="Times New Roman" w:hAnsi="Times New Roman" w:cs="Times New Roman"/>
          <w:color w:val="000000"/>
          <w:szCs w:val="24"/>
          <w:lang w:val="en-GB"/>
        </w:rPr>
        <w:t xml:space="preserve">, M.H., </w:t>
      </w:r>
      <w:proofErr w:type="spellStart"/>
      <w:r w:rsidRPr="00C8426D">
        <w:rPr>
          <w:rFonts w:ascii="Times New Roman" w:hAnsi="Times New Roman" w:cs="Times New Roman"/>
          <w:color w:val="000000"/>
          <w:szCs w:val="24"/>
          <w:lang w:val="en-GB"/>
        </w:rPr>
        <w:t>Alfwuaires</w:t>
      </w:r>
      <w:proofErr w:type="spellEnd"/>
      <w:r w:rsidRPr="00C8426D">
        <w:rPr>
          <w:rFonts w:ascii="Times New Roman" w:hAnsi="Times New Roman" w:cs="Times New Roman"/>
          <w:color w:val="000000"/>
          <w:szCs w:val="24"/>
          <w:lang w:val="en-GB"/>
        </w:rPr>
        <w:t xml:space="preserve">, M.A. and </w:t>
      </w:r>
      <w:proofErr w:type="spellStart"/>
      <w:r w:rsidRPr="00C8426D">
        <w:rPr>
          <w:rFonts w:ascii="Times New Roman" w:hAnsi="Times New Roman" w:cs="Times New Roman"/>
          <w:color w:val="000000"/>
          <w:szCs w:val="24"/>
          <w:lang w:val="en-GB"/>
        </w:rPr>
        <w:t>Abdelnour</w:t>
      </w:r>
      <w:proofErr w:type="spellEnd"/>
      <w:r w:rsidRPr="00C8426D">
        <w:rPr>
          <w:rFonts w:ascii="Times New Roman" w:hAnsi="Times New Roman" w:cs="Times New Roman"/>
          <w:color w:val="000000"/>
          <w:szCs w:val="24"/>
          <w:lang w:val="en-GB"/>
        </w:rPr>
        <w:t xml:space="preserve">, S. (2020). </w:t>
      </w:r>
      <w:r w:rsidRPr="00C8426D">
        <w:rPr>
          <w:rFonts w:ascii="Times New Roman" w:hAnsi="Times New Roman" w:cs="Times New Roman"/>
          <w:i/>
          <w:iCs/>
          <w:color w:val="000000"/>
          <w:szCs w:val="24"/>
          <w:lang w:val="en-GB"/>
        </w:rPr>
        <w:t>Spirulina platensis</w:t>
      </w:r>
      <w:r w:rsidRPr="00C8426D">
        <w:rPr>
          <w:rFonts w:ascii="Times New Roman" w:hAnsi="Times New Roman" w:cs="Times New Roman"/>
          <w:color w:val="000000"/>
          <w:szCs w:val="24"/>
          <w:lang w:val="en-GB"/>
        </w:rPr>
        <w:t xml:space="preserve"> ameliorates the sub chronic toxicities of lead in rabbits via anti-oxidative, anti-inflammatory and immune stimulatory properties. </w:t>
      </w:r>
      <w:r w:rsidRPr="00C8426D">
        <w:rPr>
          <w:rFonts w:ascii="Times New Roman" w:hAnsi="Times New Roman" w:cs="Times New Roman"/>
          <w:i/>
          <w:iCs/>
          <w:color w:val="000000"/>
          <w:szCs w:val="24"/>
          <w:lang w:val="en-GB"/>
        </w:rPr>
        <w:t>Science of the Total Environment</w:t>
      </w:r>
      <w:r w:rsidRPr="00C8426D">
        <w:rPr>
          <w:rFonts w:ascii="Times New Roman" w:hAnsi="Times New Roman" w:cs="Times New Roman"/>
          <w:color w:val="000000"/>
          <w:szCs w:val="24"/>
          <w:lang w:val="en-GB"/>
        </w:rPr>
        <w:t xml:space="preserve">, </w:t>
      </w:r>
      <w:r w:rsidRPr="00C8426D">
        <w:rPr>
          <w:rFonts w:ascii="Times New Roman" w:hAnsi="Times New Roman" w:cs="Times New Roman"/>
          <w:b/>
          <w:bCs/>
          <w:color w:val="000000"/>
          <w:szCs w:val="24"/>
          <w:lang w:val="en-GB"/>
        </w:rPr>
        <w:t>701</w:t>
      </w:r>
      <w:r w:rsidRPr="00C8426D">
        <w:rPr>
          <w:rFonts w:ascii="Times New Roman" w:hAnsi="Times New Roman" w:cs="Times New Roman"/>
          <w:color w:val="000000"/>
          <w:szCs w:val="24"/>
          <w:lang w:val="en-GB"/>
        </w:rPr>
        <w:t xml:space="preserve">(1): 134879. </w:t>
      </w:r>
    </w:p>
    <w:p w14:paraId="1973D239"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Antonio, M.T., Corredor, L. and Leret, M.L. (2003). Study of the activity of several brain enzymes like markers of the neurotoxicity induced by perinatal exposure to lead and/or cadmium. </w:t>
      </w:r>
      <w:r w:rsidRPr="00C8426D">
        <w:rPr>
          <w:rFonts w:ascii="Times New Roman" w:hAnsi="Times New Roman" w:cs="Times New Roman"/>
          <w:i/>
          <w:iCs/>
          <w:szCs w:val="24"/>
        </w:rPr>
        <w:t>Toxicology Letters,</w:t>
      </w:r>
      <w:r w:rsidRPr="00C8426D">
        <w:rPr>
          <w:rFonts w:ascii="Times New Roman" w:hAnsi="Times New Roman" w:cs="Times New Roman"/>
          <w:szCs w:val="24"/>
        </w:rPr>
        <w:t xml:space="preserve"> </w:t>
      </w:r>
      <w:r w:rsidRPr="00C8426D">
        <w:rPr>
          <w:rFonts w:ascii="Times New Roman" w:hAnsi="Times New Roman" w:cs="Times New Roman"/>
          <w:b/>
          <w:bCs/>
          <w:szCs w:val="24"/>
        </w:rPr>
        <w:t>143</w:t>
      </w:r>
      <w:r w:rsidRPr="00C8426D">
        <w:rPr>
          <w:rFonts w:ascii="Times New Roman" w:hAnsi="Times New Roman" w:cs="Times New Roman"/>
          <w:szCs w:val="24"/>
        </w:rPr>
        <w:t>(3): 331-340.</w:t>
      </w:r>
    </w:p>
    <w:p w14:paraId="0B549CF1" w14:textId="77777777" w:rsidR="000A1C4C" w:rsidRPr="00C8426D" w:rsidRDefault="000A1C4C" w:rsidP="00436EF5">
      <w:pPr>
        <w:tabs>
          <w:tab w:val="left" w:pos="709"/>
        </w:tabs>
        <w:spacing w:line="240" w:lineRule="auto"/>
        <w:jc w:val="both"/>
        <w:rPr>
          <w:rFonts w:ascii="Times New Roman" w:hAnsi="Times New Roman" w:cs="Times New Roman"/>
          <w:szCs w:val="24"/>
        </w:rPr>
      </w:pPr>
      <w:proofErr w:type="spellStart"/>
      <w:r w:rsidRPr="00C8426D">
        <w:rPr>
          <w:rFonts w:ascii="Times New Roman" w:hAnsi="Times New Roman" w:cs="Times New Roman"/>
          <w:szCs w:val="24"/>
        </w:rPr>
        <w:t>Aprioku</w:t>
      </w:r>
      <w:proofErr w:type="spellEnd"/>
      <w:r w:rsidRPr="00C8426D">
        <w:rPr>
          <w:rFonts w:ascii="Times New Roman" w:hAnsi="Times New Roman" w:cs="Times New Roman"/>
          <w:szCs w:val="24"/>
        </w:rPr>
        <w:t xml:space="preserve">, J.S. and </w:t>
      </w:r>
      <w:proofErr w:type="spellStart"/>
      <w:r w:rsidRPr="00C8426D">
        <w:rPr>
          <w:rFonts w:ascii="Times New Roman" w:hAnsi="Times New Roman" w:cs="Times New Roman"/>
          <w:szCs w:val="24"/>
        </w:rPr>
        <w:t>Siminialayi</w:t>
      </w:r>
      <w:proofErr w:type="spellEnd"/>
      <w:r w:rsidRPr="00C8426D">
        <w:rPr>
          <w:rFonts w:ascii="Times New Roman" w:hAnsi="Times New Roman" w:cs="Times New Roman"/>
          <w:szCs w:val="24"/>
        </w:rPr>
        <w:t xml:space="preserve">, I.M. (2013). Maternal lead exposure and pregnancy outcome in </w:t>
      </w:r>
      <w:proofErr w:type="spellStart"/>
      <w:r w:rsidRPr="00C8426D">
        <w:rPr>
          <w:rFonts w:ascii="Times New Roman" w:hAnsi="Times New Roman" w:cs="Times New Roman"/>
          <w:szCs w:val="24"/>
        </w:rPr>
        <w:t>wistar</w:t>
      </w:r>
      <w:proofErr w:type="spellEnd"/>
      <w:r w:rsidRPr="00C8426D">
        <w:rPr>
          <w:rFonts w:ascii="Times New Roman" w:hAnsi="Times New Roman" w:cs="Times New Roman"/>
          <w:szCs w:val="24"/>
        </w:rPr>
        <w:t xml:space="preserve"> albino rats. </w:t>
      </w:r>
      <w:r w:rsidRPr="00C8426D">
        <w:rPr>
          <w:rFonts w:ascii="Times New Roman" w:hAnsi="Times New Roman" w:cs="Times New Roman"/>
          <w:i/>
          <w:iCs/>
          <w:szCs w:val="24"/>
        </w:rPr>
        <w:t>Journal of Toxicology and Environmental Health Sciences</w:t>
      </w:r>
      <w:r w:rsidRPr="00C8426D">
        <w:rPr>
          <w:rFonts w:ascii="Times New Roman" w:hAnsi="Times New Roman" w:cs="Times New Roman"/>
          <w:szCs w:val="24"/>
        </w:rPr>
        <w:t xml:space="preserve">, </w:t>
      </w:r>
      <w:r w:rsidRPr="00C8426D">
        <w:rPr>
          <w:rFonts w:ascii="Times New Roman" w:hAnsi="Times New Roman" w:cs="Times New Roman"/>
          <w:b/>
          <w:bCs/>
          <w:szCs w:val="24"/>
        </w:rPr>
        <w:t>5</w:t>
      </w:r>
      <w:r w:rsidRPr="00C8426D">
        <w:rPr>
          <w:rFonts w:ascii="Times New Roman" w:hAnsi="Times New Roman" w:cs="Times New Roman"/>
          <w:szCs w:val="24"/>
        </w:rPr>
        <w:t>(10): 185-193.</w:t>
      </w:r>
    </w:p>
    <w:p w14:paraId="481580EC" w14:textId="77777777" w:rsidR="000A1C4C" w:rsidRPr="00C8426D" w:rsidRDefault="000A1C4C" w:rsidP="00436EF5">
      <w:pPr>
        <w:spacing w:before="100" w:after="100" w:line="240" w:lineRule="auto"/>
        <w:jc w:val="both"/>
        <w:rPr>
          <w:rFonts w:ascii="Times New Roman" w:hAnsi="Times New Roman" w:cs="Times New Roman"/>
          <w:color w:val="000000" w:themeColor="text1"/>
          <w:szCs w:val="24"/>
          <w:shd w:val="clear" w:color="auto" w:fill="FFFFFF"/>
        </w:rPr>
      </w:pPr>
      <w:r w:rsidRPr="00C8426D">
        <w:rPr>
          <w:rFonts w:ascii="Times New Roman" w:hAnsi="Times New Roman" w:cs="Times New Roman"/>
          <w:color w:val="000000" w:themeColor="text1"/>
          <w:szCs w:val="24"/>
          <w:shd w:val="clear" w:color="auto" w:fill="FFFFFF"/>
        </w:rPr>
        <w:t>Dhir, V. and Dhand, P. (2010). Toxicological approach in chronic exposure to lead on reproductive functions in female rats (Rattus norvegicus). </w:t>
      </w:r>
      <w:r w:rsidRPr="00C8426D">
        <w:rPr>
          <w:rFonts w:ascii="Times New Roman" w:hAnsi="Times New Roman" w:cs="Times New Roman"/>
          <w:i/>
          <w:iCs/>
          <w:color w:val="000000" w:themeColor="text1"/>
          <w:szCs w:val="24"/>
          <w:shd w:val="clear" w:color="auto" w:fill="FFFFFF"/>
        </w:rPr>
        <w:t>Toxicology International</w:t>
      </w:r>
      <w:r w:rsidRPr="00C8426D">
        <w:rPr>
          <w:rFonts w:ascii="Times New Roman" w:hAnsi="Times New Roman" w:cs="Times New Roman"/>
          <w:color w:val="000000" w:themeColor="text1"/>
          <w:szCs w:val="24"/>
          <w:shd w:val="clear" w:color="auto" w:fill="FFFFFF"/>
        </w:rPr>
        <w:t>, </w:t>
      </w:r>
      <w:r w:rsidRPr="00C8426D">
        <w:rPr>
          <w:rFonts w:ascii="Times New Roman" w:hAnsi="Times New Roman" w:cs="Times New Roman"/>
          <w:b/>
          <w:bCs/>
          <w:color w:val="000000" w:themeColor="text1"/>
          <w:szCs w:val="24"/>
          <w:shd w:val="clear" w:color="auto" w:fill="FFFFFF"/>
        </w:rPr>
        <w:t>17</w:t>
      </w:r>
      <w:r w:rsidRPr="00C8426D">
        <w:rPr>
          <w:rFonts w:ascii="Times New Roman" w:hAnsi="Times New Roman" w:cs="Times New Roman"/>
          <w:color w:val="000000" w:themeColor="text1"/>
          <w:szCs w:val="24"/>
          <w:shd w:val="clear" w:color="auto" w:fill="FFFFFF"/>
        </w:rPr>
        <w:t>(1): 1.</w:t>
      </w:r>
    </w:p>
    <w:p w14:paraId="7BFFC07D" w14:textId="77777777" w:rsidR="000A1C4C" w:rsidRPr="00C8426D" w:rsidRDefault="000A1C4C" w:rsidP="00436EF5">
      <w:pPr>
        <w:tabs>
          <w:tab w:val="left" w:pos="709"/>
        </w:tabs>
        <w:spacing w:line="240" w:lineRule="auto"/>
        <w:jc w:val="both"/>
        <w:rPr>
          <w:rFonts w:ascii="Times New Roman" w:hAnsi="Times New Roman" w:cs="Times New Roman"/>
        </w:rPr>
      </w:pPr>
      <w:r w:rsidRPr="00C8426D">
        <w:rPr>
          <w:rFonts w:ascii="Times New Roman" w:hAnsi="Times New Roman" w:cs="Times New Roman"/>
        </w:rPr>
        <w:t xml:space="preserve">Ejike, O.C., Florence, O.C., Friday, E.A., Chukwuemeka, O.E., </w:t>
      </w:r>
      <w:proofErr w:type="spellStart"/>
      <w:r w:rsidRPr="00C8426D">
        <w:rPr>
          <w:rFonts w:ascii="Times New Roman" w:hAnsi="Times New Roman" w:cs="Times New Roman"/>
        </w:rPr>
        <w:t>Ukamaka</w:t>
      </w:r>
      <w:proofErr w:type="spellEnd"/>
      <w:r w:rsidRPr="00C8426D">
        <w:rPr>
          <w:rFonts w:ascii="Times New Roman" w:hAnsi="Times New Roman" w:cs="Times New Roman"/>
        </w:rPr>
        <w:t xml:space="preserve">, I.A., </w:t>
      </w:r>
      <w:proofErr w:type="spellStart"/>
      <w:r w:rsidRPr="00C8426D">
        <w:rPr>
          <w:rFonts w:ascii="Times New Roman" w:hAnsi="Times New Roman" w:cs="Times New Roman"/>
        </w:rPr>
        <w:t>Micheal</w:t>
      </w:r>
      <w:proofErr w:type="spellEnd"/>
      <w:r w:rsidRPr="00C8426D">
        <w:rPr>
          <w:rFonts w:ascii="Times New Roman" w:hAnsi="Times New Roman" w:cs="Times New Roman"/>
        </w:rPr>
        <w:t xml:space="preserve">, O.C. and Emmanuel, D.C. (2023). Exploring the therapeutic potential of </w:t>
      </w:r>
      <w:r w:rsidRPr="00C8426D">
        <w:rPr>
          <w:rFonts w:ascii="Times New Roman" w:hAnsi="Times New Roman" w:cs="Times New Roman"/>
          <w:i/>
          <w:iCs/>
        </w:rPr>
        <w:t xml:space="preserve">moringa oleifera </w:t>
      </w:r>
      <w:r w:rsidRPr="00C8426D">
        <w:rPr>
          <w:rFonts w:ascii="Times New Roman" w:hAnsi="Times New Roman" w:cs="Times New Roman"/>
        </w:rPr>
        <w:t xml:space="preserve">in lead poisoning: an investigation of its effects on blood lead levels and oxidative stress in rats. </w:t>
      </w:r>
      <w:r w:rsidRPr="00C8426D">
        <w:rPr>
          <w:rFonts w:ascii="Times New Roman" w:hAnsi="Times New Roman" w:cs="Times New Roman"/>
          <w:i/>
          <w:iCs/>
        </w:rPr>
        <w:t>International Journal of Clinical and Biomedical Research</w:t>
      </w:r>
      <w:r w:rsidRPr="00C8426D">
        <w:rPr>
          <w:rFonts w:ascii="Times New Roman" w:hAnsi="Times New Roman" w:cs="Times New Roman"/>
        </w:rPr>
        <w:t xml:space="preserve">, </w:t>
      </w:r>
      <w:r w:rsidRPr="00C8426D">
        <w:rPr>
          <w:rFonts w:ascii="Times New Roman" w:hAnsi="Times New Roman" w:cs="Times New Roman"/>
          <w:b/>
          <w:bCs/>
        </w:rPr>
        <w:t>9</w:t>
      </w:r>
      <w:r w:rsidRPr="00C8426D">
        <w:rPr>
          <w:rFonts w:ascii="Times New Roman" w:hAnsi="Times New Roman" w:cs="Times New Roman"/>
        </w:rPr>
        <w:t>(2): 1–6.</w:t>
      </w:r>
    </w:p>
    <w:p w14:paraId="1D8864B0" w14:textId="77777777" w:rsidR="000A1C4C" w:rsidRPr="00C8426D" w:rsidRDefault="000A1C4C" w:rsidP="00436EF5">
      <w:pPr>
        <w:spacing w:line="240" w:lineRule="auto"/>
        <w:jc w:val="both"/>
        <w:rPr>
          <w:rFonts w:ascii="Times New Roman" w:eastAsia="Arial" w:hAnsi="Times New Roman" w:cs="Times New Roman"/>
          <w:snapToGrid w:val="0"/>
          <w:color w:val="000000"/>
          <w:spacing w:val="-2"/>
        </w:rPr>
      </w:pPr>
      <w:proofErr w:type="spellStart"/>
      <w:r w:rsidRPr="00C8426D">
        <w:rPr>
          <w:rFonts w:ascii="Times New Roman" w:eastAsia="Arial" w:hAnsi="Times New Roman" w:cs="Times New Roman"/>
          <w:snapToGrid w:val="0"/>
          <w:color w:val="000000"/>
          <w:spacing w:val="-2"/>
        </w:rPr>
        <w:t>Elrasoul</w:t>
      </w:r>
      <w:proofErr w:type="spellEnd"/>
      <w:r w:rsidRPr="00C8426D">
        <w:rPr>
          <w:rFonts w:ascii="Times New Roman" w:eastAsia="Arial" w:hAnsi="Times New Roman" w:cs="Times New Roman"/>
          <w:snapToGrid w:val="0"/>
          <w:color w:val="000000"/>
          <w:spacing w:val="-2"/>
        </w:rPr>
        <w:t xml:space="preserve">, A.S.A., Mousa, A.A. </w:t>
      </w:r>
      <w:proofErr w:type="spellStart"/>
      <w:r w:rsidRPr="00C8426D">
        <w:rPr>
          <w:rFonts w:ascii="Times New Roman" w:eastAsia="Arial" w:hAnsi="Times New Roman" w:cs="Times New Roman"/>
          <w:snapToGrid w:val="0"/>
          <w:color w:val="000000"/>
          <w:spacing w:val="-2"/>
        </w:rPr>
        <w:t>orabi</w:t>
      </w:r>
      <w:proofErr w:type="spellEnd"/>
      <w:r w:rsidRPr="00C8426D">
        <w:rPr>
          <w:rFonts w:ascii="Times New Roman" w:eastAsia="Arial" w:hAnsi="Times New Roman" w:cs="Times New Roman"/>
          <w:snapToGrid w:val="0"/>
          <w:color w:val="000000"/>
          <w:spacing w:val="-2"/>
        </w:rPr>
        <w:t xml:space="preserve">, S.H., Mohamed, M.A.E.G., Gad-Allah, S.M., Almeer, R. and </w:t>
      </w:r>
      <w:proofErr w:type="spellStart"/>
      <w:r w:rsidRPr="00C8426D">
        <w:rPr>
          <w:rFonts w:ascii="Times New Roman" w:eastAsia="Arial" w:hAnsi="Times New Roman" w:cs="Times New Roman"/>
          <w:snapToGrid w:val="0"/>
          <w:color w:val="000000"/>
          <w:spacing w:val="-2"/>
        </w:rPr>
        <w:t>Eldaim</w:t>
      </w:r>
      <w:proofErr w:type="spellEnd"/>
      <w:r w:rsidRPr="00C8426D">
        <w:rPr>
          <w:rFonts w:ascii="Times New Roman" w:eastAsia="Arial" w:hAnsi="Times New Roman" w:cs="Times New Roman"/>
          <w:snapToGrid w:val="0"/>
          <w:color w:val="000000"/>
          <w:spacing w:val="-2"/>
        </w:rPr>
        <w:t>, M.A.A. (2020). Antioxidant, anti-inflammatory and anti-apoptotic effects of Azolla pinnata ethanolic extract against lead-induced hepatotoxicity in rats. </w:t>
      </w:r>
      <w:r w:rsidRPr="00C8426D">
        <w:rPr>
          <w:rFonts w:ascii="Times New Roman" w:eastAsia="Arial" w:hAnsi="Times New Roman" w:cs="Times New Roman"/>
          <w:i/>
          <w:iCs/>
          <w:snapToGrid w:val="0"/>
          <w:color w:val="000000"/>
          <w:spacing w:val="-2"/>
        </w:rPr>
        <w:t>Antioxidants</w:t>
      </w:r>
      <w:r w:rsidRPr="00C8426D">
        <w:rPr>
          <w:rFonts w:ascii="Times New Roman" w:eastAsia="Arial" w:hAnsi="Times New Roman" w:cs="Times New Roman"/>
          <w:snapToGrid w:val="0"/>
          <w:color w:val="000000"/>
          <w:spacing w:val="-2"/>
        </w:rPr>
        <w:t>, </w:t>
      </w:r>
      <w:r w:rsidRPr="00C8426D">
        <w:rPr>
          <w:rFonts w:ascii="Times New Roman" w:eastAsia="Arial" w:hAnsi="Times New Roman" w:cs="Times New Roman"/>
          <w:b/>
          <w:bCs/>
          <w:snapToGrid w:val="0"/>
          <w:color w:val="000000"/>
          <w:spacing w:val="-2"/>
        </w:rPr>
        <w:t>9</w:t>
      </w:r>
      <w:r w:rsidRPr="00C8426D">
        <w:rPr>
          <w:rFonts w:ascii="Times New Roman" w:eastAsia="Arial" w:hAnsi="Times New Roman" w:cs="Times New Roman"/>
          <w:snapToGrid w:val="0"/>
          <w:color w:val="000000"/>
          <w:spacing w:val="-2"/>
        </w:rPr>
        <w:t>(10): 1014.</w:t>
      </w:r>
    </w:p>
    <w:p w14:paraId="148B6F5C"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Gargouri, M., Saad, H.B., Amara, I.B., Magn, C. and El Feki, A. (2016). Spirulina exhibits hepatoprotective effects against lead induced oxidative injury in newborn rats. </w:t>
      </w:r>
      <w:r w:rsidRPr="00C8426D">
        <w:rPr>
          <w:rFonts w:ascii="Times New Roman" w:hAnsi="Times New Roman" w:cs="Times New Roman"/>
          <w:i/>
          <w:iCs/>
          <w:szCs w:val="24"/>
        </w:rPr>
        <w:t>Cellular and Molecular Biology</w:t>
      </w:r>
      <w:r w:rsidRPr="00C8426D">
        <w:rPr>
          <w:rFonts w:ascii="Times New Roman" w:hAnsi="Times New Roman" w:cs="Times New Roman"/>
          <w:szCs w:val="24"/>
        </w:rPr>
        <w:t xml:space="preserve">, </w:t>
      </w:r>
      <w:r w:rsidRPr="00C8426D">
        <w:rPr>
          <w:rFonts w:ascii="Times New Roman" w:hAnsi="Times New Roman" w:cs="Times New Roman"/>
          <w:b/>
          <w:bCs/>
          <w:szCs w:val="24"/>
        </w:rPr>
        <w:t>62</w:t>
      </w:r>
      <w:r w:rsidRPr="00C8426D">
        <w:rPr>
          <w:rFonts w:ascii="Times New Roman" w:hAnsi="Times New Roman" w:cs="Times New Roman"/>
          <w:szCs w:val="24"/>
        </w:rPr>
        <w:t>(10): 85-93.</w:t>
      </w:r>
    </w:p>
    <w:p w14:paraId="443BD179"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lastRenderedPageBreak/>
        <w:t>Gopalakrishnan, L., Doriya, K. and Kumar, D.S. (2016). Moringa oleifera: A review on nutritive importance and its medicinal application</w:t>
      </w:r>
      <w:r w:rsidRPr="00C8426D">
        <w:rPr>
          <w:rFonts w:ascii="Times New Roman" w:hAnsi="Times New Roman" w:cs="Times New Roman"/>
          <w:i/>
          <w:iCs/>
          <w:szCs w:val="24"/>
        </w:rPr>
        <w:t>. Food Science and Human Wellness</w:t>
      </w:r>
      <w:r w:rsidRPr="00C8426D">
        <w:rPr>
          <w:rFonts w:ascii="Times New Roman" w:hAnsi="Times New Roman" w:cs="Times New Roman"/>
          <w:szCs w:val="24"/>
        </w:rPr>
        <w:t xml:space="preserve">, </w:t>
      </w:r>
      <w:r w:rsidRPr="00C8426D">
        <w:rPr>
          <w:rFonts w:ascii="Times New Roman" w:hAnsi="Times New Roman" w:cs="Times New Roman"/>
          <w:b/>
          <w:bCs/>
          <w:szCs w:val="24"/>
        </w:rPr>
        <w:t>5</w:t>
      </w:r>
      <w:r w:rsidRPr="00C8426D">
        <w:rPr>
          <w:rFonts w:ascii="Times New Roman" w:hAnsi="Times New Roman" w:cs="Times New Roman"/>
          <w:szCs w:val="24"/>
        </w:rPr>
        <w:t>(2): 49–56.</w:t>
      </w:r>
    </w:p>
    <w:p w14:paraId="45DFD983"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Helal, H.A., El-Tahan, N.R. and Abd El-Rasheed, F.E.S. (2020). Effect of </w:t>
      </w:r>
      <w:r w:rsidRPr="00C8426D">
        <w:rPr>
          <w:rFonts w:ascii="Times New Roman" w:hAnsi="Times New Roman" w:cs="Times New Roman"/>
          <w:i/>
          <w:iCs/>
          <w:szCs w:val="24"/>
        </w:rPr>
        <w:t xml:space="preserve">Moringa oleifera </w:t>
      </w:r>
      <w:r w:rsidRPr="00C8426D">
        <w:rPr>
          <w:rFonts w:ascii="Times New Roman" w:hAnsi="Times New Roman" w:cs="Times New Roman"/>
          <w:szCs w:val="24"/>
        </w:rPr>
        <w:t xml:space="preserve">(Moringa) on cadmium and lead mixture in rats’ body. </w:t>
      </w:r>
      <w:r w:rsidRPr="00C8426D">
        <w:rPr>
          <w:rFonts w:ascii="Times New Roman" w:hAnsi="Times New Roman" w:cs="Times New Roman"/>
          <w:i/>
          <w:iCs/>
          <w:szCs w:val="24"/>
        </w:rPr>
        <w:t>Journal of Home Economics</w:t>
      </w:r>
      <w:r w:rsidRPr="00C8426D">
        <w:rPr>
          <w:rFonts w:ascii="Times New Roman" w:hAnsi="Times New Roman" w:cs="Times New Roman"/>
          <w:szCs w:val="24"/>
        </w:rPr>
        <w:t xml:space="preserve">, </w:t>
      </w:r>
      <w:r w:rsidRPr="00C8426D">
        <w:rPr>
          <w:rFonts w:ascii="Times New Roman" w:hAnsi="Times New Roman" w:cs="Times New Roman"/>
          <w:b/>
          <w:bCs/>
          <w:szCs w:val="24"/>
        </w:rPr>
        <w:t>30</w:t>
      </w:r>
      <w:r w:rsidRPr="00C8426D">
        <w:rPr>
          <w:rFonts w:ascii="Times New Roman" w:hAnsi="Times New Roman" w:cs="Times New Roman"/>
          <w:szCs w:val="24"/>
        </w:rPr>
        <w:t>(4): 475-490.</w:t>
      </w:r>
    </w:p>
    <w:p w14:paraId="37A8462A"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Hossain, S., Bhowmick, S., Jahan, S., Rozario, L., Sarkar, M., Islam, S., </w:t>
      </w:r>
      <w:proofErr w:type="spellStart"/>
      <w:r w:rsidRPr="00C8426D">
        <w:rPr>
          <w:rFonts w:ascii="Times New Roman" w:hAnsi="Times New Roman" w:cs="Times New Roman"/>
          <w:szCs w:val="24"/>
        </w:rPr>
        <w:t>Basunia</w:t>
      </w:r>
      <w:proofErr w:type="spellEnd"/>
      <w:r w:rsidRPr="00C8426D">
        <w:rPr>
          <w:rFonts w:ascii="Times New Roman" w:hAnsi="Times New Roman" w:cs="Times New Roman"/>
          <w:szCs w:val="24"/>
        </w:rPr>
        <w:t xml:space="preserve">, M.A., Rahman, A., Choudhury, B.K. and Shahjalal, H. (2016). Maternal lead exposure decreases the levels of brain development and cognition-related proteins with concomitant upsurges of oxidative stress, inflammatory response and apoptosis in the offspring rats. </w:t>
      </w:r>
      <w:r w:rsidRPr="00C8426D">
        <w:rPr>
          <w:rFonts w:ascii="Times New Roman" w:hAnsi="Times New Roman" w:cs="Times New Roman"/>
          <w:i/>
          <w:iCs/>
          <w:szCs w:val="24"/>
        </w:rPr>
        <w:t>Neurotoxicology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56</w:t>
      </w:r>
      <w:r w:rsidRPr="00C8426D">
        <w:rPr>
          <w:rFonts w:ascii="Times New Roman" w:hAnsi="Times New Roman" w:cs="Times New Roman"/>
          <w:szCs w:val="24"/>
        </w:rPr>
        <w:t>(16): 150-158.</w:t>
      </w:r>
    </w:p>
    <w:p w14:paraId="4D988F5A" w14:textId="1874BB70"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Ilesanmi, O.B., </w:t>
      </w:r>
      <w:proofErr w:type="spellStart"/>
      <w:r w:rsidRPr="00C8426D">
        <w:rPr>
          <w:rFonts w:ascii="Times New Roman" w:hAnsi="Times New Roman" w:cs="Times New Roman"/>
          <w:szCs w:val="24"/>
        </w:rPr>
        <w:t>Adeogun</w:t>
      </w:r>
      <w:proofErr w:type="spellEnd"/>
      <w:r w:rsidRPr="00C8426D">
        <w:rPr>
          <w:rFonts w:ascii="Times New Roman" w:hAnsi="Times New Roman" w:cs="Times New Roman"/>
          <w:szCs w:val="24"/>
        </w:rPr>
        <w:t xml:space="preserve">, E.F., </w:t>
      </w:r>
      <w:proofErr w:type="spellStart"/>
      <w:r w:rsidRPr="00C8426D">
        <w:rPr>
          <w:rFonts w:ascii="Times New Roman" w:hAnsi="Times New Roman" w:cs="Times New Roman"/>
          <w:szCs w:val="24"/>
        </w:rPr>
        <w:t>Odewale</w:t>
      </w:r>
      <w:proofErr w:type="spellEnd"/>
      <w:r w:rsidRPr="00C8426D">
        <w:rPr>
          <w:rFonts w:ascii="Times New Roman" w:hAnsi="Times New Roman" w:cs="Times New Roman"/>
          <w:szCs w:val="24"/>
        </w:rPr>
        <w:t xml:space="preserve">, T.T.  and </w:t>
      </w:r>
      <w:proofErr w:type="spellStart"/>
      <w:r w:rsidRPr="00C8426D">
        <w:rPr>
          <w:rFonts w:ascii="Times New Roman" w:hAnsi="Times New Roman" w:cs="Times New Roman"/>
          <w:szCs w:val="24"/>
        </w:rPr>
        <w:t>Chikere</w:t>
      </w:r>
      <w:proofErr w:type="spellEnd"/>
      <w:r w:rsidRPr="00C8426D">
        <w:rPr>
          <w:rFonts w:ascii="Times New Roman" w:hAnsi="Times New Roman" w:cs="Times New Roman"/>
          <w:szCs w:val="24"/>
        </w:rPr>
        <w:t xml:space="preserve">, B. (2022). Lead exposure-induced changes in </w:t>
      </w:r>
      <w:proofErr w:type="gramStart"/>
      <w:r w:rsidR="001B6DF0">
        <w:rPr>
          <w:rFonts w:ascii="Times New Roman" w:hAnsi="Times New Roman" w:cs="Times New Roman"/>
          <w:szCs w:val="24"/>
        </w:rPr>
        <w:t xml:space="preserve">Haematology </w:t>
      </w:r>
      <w:r w:rsidRPr="00C8426D">
        <w:rPr>
          <w:rFonts w:ascii="Times New Roman" w:hAnsi="Times New Roman" w:cs="Times New Roman"/>
          <w:szCs w:val="24"/>
        </w:rPr>
        <w:t xml:space="preserve"> and</w:t>
      </w:r>
      <w:proofErr w:type="gramEnd"/>
      <w:r w:rsidRPr="00C8426D">
        <w:rPr>
          <w:rFonts w:ascii="Times New Roman" w:hAnsi="Times New Roman" w:cs="Times New Roman"/>
          <w:szCs w:val="24"/>
        </w:rPr>
        <w:t xml:space="preserve"> biomarkers of hepatic injury: protective role of </w:t>
      </w:r>
      <w:proofErr w:type="spellStart"/>
      <w:r w:rsidRPr="00C8426D">
        <w:rPr>
          <w:rFonts w:ascii="Times New Roman" w:hAnsi="Times New Roman" w:cs="Times New Roman"/>
          <w:szCs w:val="24"/>
        </w:rPr>
        <w:t>Trevo</w:t>
      </w:r>
      <w:proofErr w:type="spellEnd"/>
      <w:r w:rsidRPr="00C8426D">
        <w:rPr>
          <w:rFonts w:ascii="Times New Roman" w:hAnsi="Times New Roman" w:cs="Times New Roman"/>
          <w:szCs w:val="24"/>
        </w:rPr>
        <w:t xml:space="preserve"> supplement. </w:t>
      </w:r>
      <w:r w:rsidRPr="00C8426D">
        <w:rPr>
          <w:rFonts w:ascii="Times New Roman" w:hAnsi="Times New Roman" w:cs="Times New Roman"/>
          <w:i/>
          <w:iCs/>
          <w:szCs w:val="24"/>
        </w:rPr>
        <w:t>Environmental Analysis, Health and Toxicology</w:t>
      </w:r>
      <w:r w:rsidRPr="00C8426D">
        <w:rPr>
          <w:rFonts w:ascii="Times New Roman" w:hAnsi="Times New Roman" w:cs="Times New Roman"/>
          <w:szCs w:val="24"/>
        </w:rPr>
        <w:t>, </w:t>
      </w:r>
      <w:r w:rsidRPr="00C8426D">
        <w:rPr>
          <w:rFonts w:ascii="Times New Roman" w:hAnsi="Times New Roman" w:cs="Times New Roman"/>
          <w:b/>
          <w:bCs/>
          <w:szCs w:val="24"/>
        </w:rPr>
        <w:t>37</w:t>
      </w:r>
      <w:r w:rsidRPr="00C8426D">
        <w:rPr>
          <w:rFonts w:ascii="Times New Roman" w:hAnsi="Times New Roman" w:cs="Times New Roman"/>
          <w:szCs w:val="24"/>
        </w:rPr>
        <w:t>(2):1-7.</w:t>
      </w:r>
    </w:p>
    <w:p w14:paraId="70C03E38" w14:textId="77777777" w:rsidR="000A1C4C" w:rsidRPr="00C8426D" w:rsidRDefault="000A1C4C" w:rsidP="00436EF5">
      <w:pPr>
        <w:spacing w:line="240" w:lineRule="auto"/>
        <w:jc w:val="both"/>
        <w:rPr>
          <w:rFonts w:ascii="Times New Roman" w:hAnsi="Times New Roman" w:cs="Times New Roman"/>
        </w:rPr>
      </w:pPr>
      <w:r w:rsidRPr="00C8426D">
        <w:rPr>
          <w:rFonts w:ascii="Times New Roman" w:hAnsi="Times New Roman" w:cs="Times New Roman"/>
        </w:rPr>
        <w:t xml:space="preserve">Jaishankar, M., Tseten, T., Anbalagan, N., Mathew, B.B. and </w:t>
      </w:r>
      <w:proofErr w:type="spellStart"/>
      <w:r w:rsidRPr="00C8426D">
        <w:rPr>
          <w:rFonts w:ascii="Times New Roman" w:hAnsi="Times New Roman" w:cs="Times New Roman"/>
        </w:rPr>
        <w:t>Beeregowda</w:t>
      </w:r>
      <w:proofErr w:type="spellEnd"/>
      <w:r w:rsidRPr="00C8426D">
        <w:rPr>
          <w:rFonts w:ascii="Times New Roman" w:hAnsi="Times New Roman" w:cs="Times New Roman"/>
        </w:rPr>
        <w:t>, K.N. (2014). Toxicity, mechanism and health effects of some heavy metals. </w:t>
      </w:r>
      <w:r w:rsidRPr="00C8426D">
        <w:rPr>
          <w:rFonts w:ascii="Times New Roman" w:hAnsi="Times New Roman" w:cs="Times New Roman"/>
          <w:i/>
          <w:iCs/>
        </w:rPr>
        <w:t>Interdisciplinary Toxicology</w:t>
      </w:r>
      <w:r w:rsidRPr="00C8426D">
        <w:rPr>
          <w:rFonts w:ascii="Times New Roman" w:hAnsi="Times New Roman" w:cs="Times New Roman"/>
        </w:rPr>
        <w:t>, </w:t>
      </w:r>
      <w:r w:rsidRPr="00C8426D">
        <w:rPr>
          <w:rFonts w:ascii="Times New Roman" w:hAnsi="Times New Roman" w:cs="Times New Roman"/>
          <w:b/>
          <w:bCs/>
        </w:rPr>
        <w:t>7</w:t>
      </w:r>
      <w:r w:rsidRPr="00C8426D">
        <w:rPr>
          <w:rFonts w:ascii="Times New Roman" w:hAnsi="Times New Roman" w:cs="Times New Roman"/>
        </w:rPr>
        <w:t>(2): 60.</w:t>
      </w:r>
    </w:p>
    <w:p w14:paraId="1A1FD1F9" w14:textId="77777777" w:rsidR="000A1C4C" w:rsidRPr="00C8426D" w:rsidRDefault="000A1C4C" w:rsidP="00436EF5">
      <w:pPr>
        <w:spacing w:line="240" w:lineRule="auto"/>
        <w:jc w:val="both"/>
        <w:rPr>
          <w:rFonts w:ascii="Times New Roman" w:hAnsi="Times New Roman" w:cs="Times New Roman"/>
          <w:szCs w:val="24"/>
          <w:lang w:val="en-US"/>
        </w:rPr>
      </w:pPr>
      <w:r w:rsidRPr="00C8426D">
        <w:rPr>
          <w:rFonts w:ascii="Times New Roman" w:hAnsi="Times New Roman" w:cs="Times New Roman"/>
          <w:szCs w:val="24"/>
          <w:lang w:val="en-US"/>
        </w:rPr>
        <w:t xml:space="preserve">Jassim, H.M. and Hassan, A.A. (2011). Changes in some blood parameters in lactating female rats and their pups exposed to lead: effects of vitamins C and E. </w:t>
      </w:r>
      <w:r w:rsidRPr="00C8426D">
        <w:rPr>
          <w:rFonts w:ascii="Times New Roman" w:hAnsi="Times New Roman" w:cs="Times New Roman"/>
          <w:i/>
          <w:iCs/>
          <w:szCs w:val="24"/>
          <w:lang w:val="en-US"/>
        </w:rPr>
        <w:t>Iraqi Journal of Veterinary Sciences</w:t>
      </w:r>
      <w:r w:rsidRPr="00C8426D">
        <w:rPr>
          <w:rFonts w:ascii="Times New Roman" w:hAnsi="Times New Roman" w:cs="Times New Roman"/>
          <w:szCs w:val="24"/>
          <w:lang w:val="en-US"/>
        </w:rPr>
        <w:t xml:space="preserve">, </w:t>
      </w:r>
      <w:r w:rsidRPr="00C8426D">
        <w:rPr>
          <w:rFonts w:ascii="Times New Roman" w:hAnsi="Times New Roman" w:cs="Times New Roman"/>
          <w:b/>
          <w:bCs/>
          <w:szCs w:val="24"/>
          <w:lang w:val="en-US"/>
        </w:rPr>
        <w:t>25</w:t>
      </w:r>
      <w:r w:rsidRPr="00C8426D">
        <w:rPr>
          <w:rFonts w:ascii="Times New Roman" w:hAnsi="Times New Roman" w:cs="Times New Roman"/>
          <w:szCs w:val="24"/>
          <w:lang w:val="en-US"/>
        </w:rPr>
        <w:t>(1): 1-7.</w:t>
      </w:r>
    </w:p>
    <w:p w14:paraId="594C4487" w14:textId="77777777" w:rsidR="000A1C4C" w:rsidRPr="00C8426D" w:rsidRDefault="000A1C4C" w:rsidP="00436EF5">
      <w:pPr>
        <w:spacing w:line="240" w:lineRule="auto"/>
        <w:jc w:val="both"/>
        <w:rPr>
          <w:rFonts w:ascii="Times New Roman" w:eastAsia="Arial" w:hAnsi="Times New Roman" w:cs="Times New Roman"/>
          <w:snapToGrid w:val="0"/>
          <w:color w:val="000000"/>
          <w:spacing w:val="-2"/>
        </w:rPr>
      </w:pPr>
      <w:r w:rsidRPr="00C8426D">
        <w:rPr>
          <w:rFonts w:ascii="Times New Roman" w:eastAsia="Arial" w:hAnsi="Times New Roman" w:cs="Times New Roman"/>
          <w:snapToGrid w:val="0"/>
          <w:color w:val="000000"/>
          <w:spacing w:val="-2"/>
        </w:rPr>
        <w:t xml:space="preserve">Marchlewicz, M., </w:t>
      </w:r>
      <w:proofErr w:type="spellStart"/>
      <w:r w:rsidRPr="00C8426D">
        <w:rPr>
          <w:rFonts w:ascii="Times New Roman" w:eastAsia="Arial" w:hAnsi="Times New Roman" w:cs="Times New Roman"/>
          <w:snapToGrid w:val="0"/>
          <w:color w:val="000000"/>
          <w:spacing w:val="-2"/>
        </w:rPr>
        <w:t>Wiszniewska</w:t>
      </w:r>
      <w:proofErr w:type="spellEnd"/>
      <w:r w:rsidRPr="00C8426D">
        <w:rPr>
          <w:rFonts w:ascii="Times New Roman" w:eastAsia="Arial" w:hAnsi="Times New Roman" w:cs="Times New Roman"/>
          <w:snapToGrid w:val="0"/>
          <w:color w:val="000000"/>
          <w:spacing w:val="-2"/>
        </w:rPr>
        <w:t xml:space="preserve">, B., Gonet, B., </w:t>
      </w:r>
      <w:proofErr w:type="spellStart"/>
      <w:r w:rsidRPr="00C8426D">
        <w:rPr>
          <w:rFonts w:ascii="Times New Roman" w:eastAsia="Arial" w:hAnsi="Times New Roman" w:cs="Times New Roman"/>
          <w:snapToGrid w:val="0"/>
          <w:color w:val="000000"/>
          <w:spacing w:val="-2"/>
        </w:rPr>
        <w:t>Baranowska-Bosiacka</w:t>
      </w:r>
      <w:proofErr w:type="spellEnd"/>
      <w:r w:rsidRPr="00C8426D">
        <w:rPr>
          <w:rFonts w:ascii="Times New Roman" w:eastAsia="Arial" w:hAnsi="Times New Roman" w:cs="Times New Roman"/>
          <w:snapToGrid w:val="0"/>
          <w:color w:val="000000"/>
          <w:spacing w:val="-2"/>
        </w:rPr>
        <w:t xml:space="preserve">, I., </w:t>
      </w:r>
      <w:proofErr w:type="spellStart"/>
      <w:r w:rsidRPr="00C8426D">
        <w:rPr>
          <w:rFonts w:ascii="Times New Roman" w:eastAsia="Arial" w:hAnsi="Times New Roman" w:cs="Times New Roman"/>
          <w:snapToGrid w:val="0"/>
          <w:color w:val="000000"/>
          <w:spacing w:val="-2"/>
        </w:rPr>
        <w:t>Safranow</w:t>
      </w:r>
      <w:proofErr w:type="spellEnd"/>
      <w:r w:rsidRPr="00C8426D">
        <w:rPr>
          <w:rFonts w:ascii="Times New Roman" w:eastAsia="Arial" w:hAnsi="Times New Roman" w:cs="Times New Roman"/>
          <w:snapToGrid w:val="0"/>
          <w:color w:val="000000"/>
          <w:spacing w:val="-2"/>
        </w:rPr>
        <w:t>, K., Kolasa, A. and Rac, M.E. (2007). Increased lipid peroxidation and ascorbic acid utilization in testis and epididymis of rats chronically exposed to lead. </w:t>
      </w:r>
      <w:proofErr w:type="spellStart"/>
      <w:r w:rsidRPr="00C8426D">
        <w:rPr>
          <w:rFonts w:ascii="Times New Roman" w:eastAsia="Arial" w:hAnsi="Times New Roman" w:cs="Times New Roman"/>
          <w:i/>
          <w:iCs/>
          <w:snapToGrid w:val="0"/>
          <w:color w:val="000000"/>
          <w:spacing w:val="-2"/>
        </w:rPr>
        <w:t>Biometals</w:t>
      </w:r>
      <w:proofErr w:type="spellEnd"/>
      <w:r w:rsidRPr="00C8426D">
        <w:rPr>
          <w:rFonts w:ascii="Times New Roman" w:eastAsia="Arial" w:hAnsi="Times New Roman" w:cs="Times New Roman"/>
          <w:snapToGrid w:val="0"/>
          <w:color w:val="000000"/>
          <w:spacing w:val="-2"/>
        </w:rPr>
        <w:t>, </w:t>
      </w:r>
      <w:r w:rsidRPr="00C8426D">
        <w:rPr>
          <w:rFonts w:ascii="Times New Roman" w:eastAsia="Arial" w:hAnsi="Times New Roman" w:cs="Times New Roman"/>
          <w:b/>
          <w:bCs/>
          <w:snapToGrid w:val="0"/>
          <w:color w:val="000000"/>
          <w:spacing w:val="-2"/>
        </w:rPr>
        <w:t>20</w:t>
      </w:r>
      <w:r w:rsidRPr="00C8426D">
        <w:rPr>
          <w:rFonts w:ascii="Times New Roman" w:eastAsia="Arial" w:hAnsi="Times New Roman" w:cs="Times New Roman"/>
          <w:snapToGrid w:val="0"/>
          <w:color w:val="000000"/>
          <w:spacing w:val="-2"/>
        </w:rPr>
        <w:t>(1): 13-19.</w:t>
      </w:r>
    </w:p>
    <w:p w14:paraId="5DEDD7B7"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Masih, A.P., Baqri, S.S.R., Rajesh, G., Bajpai, K.G. and Abbas, S.S. (2020). </w:t>
      </w:r>
      <w:r w:rsidRPr="00C8426D">
        <w:rPr>
          <w:rFonts w:ascii="Times New Roman" w:hAnsi="Times New Roman" w:cs="Times New Roman"/>
          <w:i/>
          <w:iCs/>
          <w:szCs w:val="24"/>
        </w:rPr>
        <w:t>Reassessing the implications of lead toxicity on the environment and its consequences on human health</w:t>
      </w:r>
      <w:r w:rsidRPr="00C8426D">
        <w:rPr>
          <w:rFonts w:ascii="Times New Roman" w:hAnsi="Times New Roman" w:cs="Times New Roman"/>
          <w:szCs w:val="24"/>
        </w:rPr>
        <w:t xml:space="preserve">. </w:t>
      </w:r>
      <w:r w:rsidRPr="00C8426D">
        <w:rPr>
          <w:rFonts w:ascii="Times New Roman" w:hAnsi="Times New Roman" w:cs="Times New Roman"/>
          <w:i/>
          <w:iCs/>
          <w:szCs w:val="24"/>
        </w:rPr>
        <w:t xml:space="preserve">Electronic Journal of Biology, </w:t>
      </w:r>
      <w:r w:rsidRPr="00C8426D">
        <w:rPr>
          <w:rFonts w:ascii="Times New Roman" w:hAnsi="Times New Roman" w:cs="Times New Roman"/>
          <w:b/>
          <w:bCs/>
          <w:szCs w:val="24"/>
        </w:rPr>
        <w:t>16</w:t>
      </w:r>
      <w:r w:rsidRPr="00C8426D">
        <w:rPr>
          <w:rFonts w:ascii="Times New Roman" w:hAnsi="Times New Roman" w:cs="Times New Roman"/>
          <w:szCs w:val="24"/>
        </w:rPr>
        <w:t>(1): 144–152.</w:t>
      </w:r>
    </w:p>
    <w:p w14:paraId="08797E2C"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Masso-Gonzalez, E.L. and Antonio-Garcia, M.T. (2009). Natural antioxidants protect against lead-induced damage during pregnancy and lactation in rat's pups. </w:t>
      </w:r>
      <w:r w:rsidRPr="00C8426D">
        <w:rPr>
          <w:rFonts w:ascii="Times New Roman" w:hAnsi="Times New Roman" w:cs="Times New Roman"/>
          <w:i/>
          <w:iCs/>
          <w:szCs w:val="24"/>
        </w:rPr>
        <w:t>Ecotoxicology and Environmental Safety</w:t>
      </w:r>
      <w:r w:rsidRPr="00C8426D">
        <w:rPr>
          <w:rFonts w:ascii="Times New Roman" w:hAnsi="Times New Roman" w:cs="Times New Roman"/>
          <w:szCs w:val="24"/>
        </w:rPr>
        <w:t xml:space="preserve">, </w:t>
      </w:r>
      <w:r w:rsidRPr="00C8426D">
        <w:rPr>
          <w:rFonts w:ascii="Times New Roman" w:hAnsi="Times New Roman" w:cs="Times New Roman"/>
          <w:b/>
          <w:bCs/>
          <w:szCs w:val="24"/>
        </w:rPr>
        <w:t>72</w:t>
      </w:r>
      <w:r w:rsidRPr="00C8426D">
        <w:rPr>
          <w:rFonts w:ascii="Times New Roman" w:hAnsi="Times New Roman" w:cs="Times New Roman"/>
          <w:szCs w:val="24"/>
        </w:rPr>
        <w:t>(8): 2137-2142.</w:t>
      </w:r>
    </w:p>
    <w:p w14:paraId="37EA06AC"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C8426D">
        <w:rPr>
          <w:rFonts w:ascii="Times New Roman" w:hAnsi="Times New Roman" w:cs="Times New Roman"/>
          <w:color w:val="000000" w:themeColor="text1"/>
          <w:szCs w:val="24"/>
        </w:rPr>
        <w:t xml:space="preserve">Numan, M. and Stolzenberg, D.S. (2009). Medial preoptic area interactions with dopamine neural systems in the control of the onset and maintenance of maternal </w:t>
      </w:r>
      <w:proofErr w:type="spellStart"/>
      <w:r w:rsidRPr="00C8426D">
        <w:rPr>
          <w:rFonts w:ascii="Times New Roman" w:hAnsi="Times New Roman" w:cs="Times New Roman"/>
          <w:color w:val="000000" w:themeColor="text1"/>
          <w:szCs w:val="24"/>
        </w:rPr>
        <w:t>behavior</w:t>
      </w:r>
      <w:proofErr w:type="spellEnd"/>
      <w:r w:rsidRPr="00C8426D">
        <w:rPr>
          <w:rFonts w:ascii="Times New Roman" w:hAnsi="Times New Roman" w:cs="Times New Roman"/>
          <w:color w:val="000000" w:themeColor="text1"/>
          <w:szCs w:val="24"/>
        </w:rPr>
        <w:t xml:space="preserve"> in rats. </w:t>
      </w:r>
      <w:r w:rsidRPr="00C8426D">
        <w:rPr>
          <w:rFonts w:ascii="Times New Roman" w:hAnsi="Times New Roman" w:cs="Times New Roman"/>
          <w:i/>
          <w:iCs/>
          <w:color w:val="000000" w:themeColor="text1"/>
          <w:szCs w:val="24"/>
        </w:rPr>
        <w:t>Frontiers in Neuroendocrinology</w:t>
      </w:r>
      <w:r w:rsidRPr="00C8426D">
        <w:rPr>
          <w:rFonts w:ascii="Times New Roman" w:hAnsi="Times New Roman" w:cs="Times New Roman"/>
          <w:color w:val="000000" w:themeColor="text1"/>
          <w:szCs w:val="24"/>
        </w:rPr>
        <w:t xml:space="preserve">, </w:t>
      </w:r>
      <w:r w:rsidRPr="00C8426D">
        <w:rPr>
          <w:rFonts w:ascii="Times New Roman" w:hAnsi="Times New Roman" w:cs="Times New Roman"/>
          <w:b/>
          <w:bCs/>
          <w:color w:val="000000" w:themeColor="text1"/>
          <w:szCs w:val="24"/>
        </w:rPr>
        <w:t>30</w:t>
      </w:r>
      <w:r w:rsidRPr="00C8426D">
        <w:rPr>
          <w:rFonts w:ascii="Times New Roman" w:hAnsi="Times New Roman" w:cs="Times New Roman"/>
          <w:color w:val="000000" w:themeColor="text1"/>
          <w:szCs w:val="24"/>
        </w:rPr>
        <w:t>(1): 46-64.</w:t>
      </w:r>
    </w:p>
    <w:p w14:paraId="280EC02A" w14:textId="77777777" w:rsidR="000A1C4C" w:rsidRPr="00C8426D" w:rsidRDefault="000A1C4C" w:rsidP="00436EF5">
      <w:pPr>
        <w:spacing w:line="240" w:lineRule="auto"/>
        <w:jc w:val="lowKashida"/>
        <w:rPr>
          <w:rFonts w:ascii="Times New Roman" w:hAnsi="Times New Roman" w:cs="Times New Roman"/>
          <w:color w:val="000000" w:themeColor="text1"/>
        </w:rPr>
      </w:pPr>
      <w:r w:rsidRPr="00C8426D">
        <w:rPr>
          <w:rFonts w:ascii="Times New Roman" w:hAnsi="Times New Roman" w:cs="Times New Roman"/>
          <w:color w:val="000000" w:themeColor="text1"/>
        </w:rPr>
        <w:t xml:space="preserve">Ouyang, L., Zhang, W., Du, G., Liu, H., Xie, J., Gu, J. and Fan, G. (2019). Lead exposure-induced cognitive impairment through </w:t>
      </w:r>
      <w:proofErr w:type="spellStart"/>
      <w:r w:rsidRPr="00C8426D">
        <w:rPr>
          <w:rFonts w:ascii="Times New Roman" w:hAnsi="Times New Roman" w:cs="Times New Roman"/>
          <w:color w:val="000000" w:themeColor="text1"/>
        </w:rPr>
        <w:t>RyR</w:t>
      </w:r>
      <w:proofErr w:type="spellEnd"/>
      <w:r w:rsidRPr="00C8426D">
        <w:rPr>
          <w:rFonts w:ascii="Times New Roman" w:hAnsi="Times New Roman" w:cs="Times New Roman"/>
          <w:color w:val="000000" w:themeColor="text1"/>
        </w:rPr>
        <w:t xml:space="preserve">-modulating intracellular calcium </w:t>
      </w:r>
      <w:proofErr w:type="spellStart"/>
      <w:r w:rsidRPr="00C8426D">
        <w:rPr>
          <w:rFonts w:ascii="Times New Roman" w:hAnsi="Times New Roman" w:cs="Times New Roman"/>
          <w:color w:val="000000" w:themeColor="text1"/>
        </w:rPr>
        <w:t>signaling</w:t>
      </w:r>
      <w:proofErr w:type="spellEnd"/>
      <w:r w:rsidRPr="00C8426D">
        <w:rPr>
          <w:rFonts w:ascii="Times New Roman" w:hAnsi="Times New Roman" w:cs="Times New Roman"/>
          <w:color w:val="000000" w:themeColor="text1"/>
        </w:rPr>
        <w:t xml:space="preserve"> in aged rats. </w:t>
      </w:r>
      <w:r w:rsidRPr="00C8426D">
        <w:rPr>
          <w:rFonts w:ascii="Times New Roman" w:hAnsi="Times New Roman" w:cs="Times New Roman"/>
          <w:i/>
          <w:iCs/>
          <w:color w:val="000000" w:themeColor="text1"/>
        </w:rPr>
        <w:t>Toxicology</w:t>
      </w:r>
      <w:r w:rsidRPr="00C8426D">
        <w:rPr>
          <w:rFonts w:ascii="Times New Roman" w:hAnsi="Times New Roman" w:cs="Times New Roman"/>
          <w:color w:val="000000" w:themeColor="text1"/>
        </w:rPr>
        <w:t>, </w:t>
      </w:r>
      <w:r w:rsidRPr="00C8426D">
        <w:rPr>
          <w:rFonts w:ascii="Times New Roman" w:hAnsi="Times New Roman" w:cs="Times New Roman"/>
          <w:b/>
          <w:bCs/>
          <w:color w:val="000000" w:themeColor="text1"/>
        </w:rPr>
        <w:t>419</w:t>
      </w:r>
      <w:r w:rsidRPr="00C8426D">
        <w:rPr>
          <w:rFonts w:ascii="Times New Roman" w:hAnsi="Times New Roman" w:cs="Times New Roman"/>
          <w:color w:val="000000" w:themeColor="text1"/>
        </w:rPr>
        <w:t>: 55-64.</w:t>
      </w:r>
    </w:p>
    <w:p w14:paraId="58EED044"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C8426D">
        <w:rPr>
          <w:rFonts w:ascii="Times New Roman" w:hAnsi="Times New Roman" w:cs="Times New Roman"/>
          <w:color w:val="000000" w:themeColor="text1"/>
          <w:szCs w:val="24"/>
        </w:rPr>
        <w:t>Rahman, A., Al-Awadi, A. A. and Khan, K. M. (2018). Lead affects vitamin D metabolism in rats. </w:t>
      </w:r>
      <w:r w:rsidRPr="00C8426D">
        <w:rPr>
          <w:rFonts w:ascii="Times New Roman" w:hAnsi="Times New Roman" w:cs="Times New Roman"/>
          <w:i/>
          <w:iCs/>
          <w:color w:val="000000" w:themeColor="text1"/>
          <w:szCs w:val="24"/>
        </w:rPr>
        <w:t>Nutrients</w:t>
      </w:r>
      <w:r w:rsidRPr="00C8426D">
        <w:rPr>
          <w:rFonts w:ascii="Times New Roman" w:hAnsi="Times New Roman" w:cs="Times New Roman"/>
          <w:color w:val="000000" w:themeColor="text1"/>
          <w:szCs w:val="24"/>
        </w:rPr>
        <w:t>, </w:t>
      </w:r>
      <w:r w:rsidRPr="00C8426D">
        <w:rPr>
          <w:rFonts w:ascii="Times New Roman" w:hAnsi="Times New Roman" w:cs="Times New Roman"/>
          <w:b/>
          <w:bCs/>
          <w:color w:val="000000" w:themeColor="text1"/>
          <w:szCs w:val="24"/>
        </w:rPr>
        <w:t>10</w:t>
      </w:r>
      <w:r w:rsidRPr="00C8426D">
        <w:rPr>
          <w:rFonts w:ascii="Times New Roman" w:hAnsi="Times New Roman" w:cs="Times New Roman"/>
          <w:color w:val="000000" w:themeColor="text1"/>
          <w:szCs w:val="24"/>
        </w:rPr>
        <w:t>(3): 264.</w:t>
      </w:r>
    </w:p>
    <w:p w14:paraId="5CB8A5B4"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C8426D">
        <w:rPr>
          <w:rFonts w:ascii="Times New Roman" w:hAnsi="Times New Roman" w:cs="Times New Roman"/>
          <w:color w:val="000000" w:themeColor="text1"/>
          <w:szCs w:val="24"/>
        </w:rPr>
        <w:t xml:space="preserve">Taroco, G., de Genova Gaya, L., Resende, D.R., dos Santos, I.C. and Madureira, A.P. (2015). Environmental and dam effects on cannibalism in Wistar rat litters. acta </w:t>
      </w:r>
      <w:proofErr w:type="spellStart"/>
      <w:r w:rsidRPr="00C8426D">
        <w:rPr>
          <w:rFonts w:ascii="Times New Roman" w:hAnsi="Times New Roman" w:cs="Times New Roman"/>
          <w:color w:val="000000" w:themeColor="text1"/>
          <w:szCs w:val="24"/>
        </w:rPr>
        <w:t>scientiarum</w:t>
      </w:r>
      <w:proofErr w:type="spellEnd"/>
      <w:r w:rsidRPr="00C8426D">
        <w:rPr>
          <w:rFonts w:ascii="Times New Roman" w:hAnsi="Times New Roman" w:cs="Times New Roman"/>
          <w:color w:val="000000" w:themeColor="text1"/>
          <w:szCs w:val="24"/>
        </w:rPr>
        <w:t xml:space="preserve">. </w:t>
      </w:r>
      <w:r w:rsidRPr="00C8426D">
        <w:rPr>
          <w:rFonts w:ascii="Times New Roman" w:hAnsi="Times New Roman" w:cs="Times New Roman"/>
          <w:i/>
          <w:iCs/>
          <w:color w:val="000000" w:themeColor="text1"/>
          <w:szCs w:val="24"/>
        </w:rPr>
        <w:t>Biological Sciences</w:t>
      </w:r>
      <w:r w:rsidRPr="00C8426D">
        <w:rPr>
          <w:rFonts w:ascii="Times New Roman" w:hAnsi="Times New Roman" w:cs="Times New Roman"/>
          <w:color w:val="000000" w:themeColor="text1"/>
          <w:szCs w:val="24"/>
        </w:rPr>
        <w:t xml:space="preserve">, </w:t>
      </w:r>
      <w:r w:rsidRPr="00C8426D">
        <w:rPr>
          <w:rFonts w:ascii="Times New Roman" w:hAnsi="Times New Roman" w:cs="Times New Roman"/>
          <w:b/>
          <w:bCs/>
          <w:color w:val="000000" w:themeColor="text1"/>
          <w:szCs w:val="24"/>
        </w:rPr>
        <w:t>37</w:t>
      </w:r>
      <w:r w:rsidRPr="00C8426D">
        <w:rPr>
          <w:rFonts w:ascii="Times New Roman" w:hAnsi="Times New Roman" w:cs="Times New Roman"/>
          <w:color w:val="000000" w:themeColor="text1"/>
          <w:szCs w:val="24"/>
        </w:rPr>
        <w:t>(2): 225-229.</w:t>
      </w:r>
    </w:p>
    <w:p w14:paraId="32B9E4E6" w14:textId="77777777" w:rsidR="000A1C4C" w:rsidRPr="00C8426D" w:rsidRDefault="000A1C4C" w:rsidP="00436EF5">
      <w:pPr>
        <w:spacing w:before="100" w:after="100" w:line="240" w:lineRule="auto"/>
        <w:jc w:val="both"/>
        <w:rPr>
          <w:rFonts w:ascii="Times New Roman" w:hAnsi="Times New Roman" w:cs="Times New Roman"/>
          <w:color w:val="000000" w:themeColor="text1"/>
          <w:szCs w:val="24"/>
          <w:shd w:val="clear" w:color="auto" w:fill="FFFFFF"/>
        </w:rPr>
      </w:pPr>
      <w:proofErr w:type="spellStart"/>
      <w:r w:rsidRPr="00C8426D">
        <w:rPr>
          <w:rFonts w:ascii="Times New Roman" w:hAnsi="Times New Roman" w:cs="Times New Roman"/>
          <w:color w:val="000000" w:themeColor="text1"/>
          <w:szCs w:val="24"/>
          <w:shd w:val="clear" w:color="auto" w:fill="FFFFFF"/>
        </w:rPr>
        <w:t>Teijon</w:t>
      </w:r>
      <w:proofErr w:type="spellEnd"/>
      <w:r w:rsidRPr="00C8426D">
        <w:rPr>
          <w:rFonts w:ascii="Times New Roman" w:hAnsi="Times New Roman" w:cs="Times New Roman"/>
          <w:color w:val="000000" w:themeColor="text1"/>
          <w:szCs w:val="24"/>
          <w:shd w:val="clear" w:color="auto" w:fill="FFFFFF"/>
        </w:rPr>
        <w:t xml:space="preserve">, C., Olmo, R., Blanco, D., Romero, A. and </w:t>
      </w:r>
      <w:proofErr w:type="spellStart"/>
      <w:r w:rsidRPr="00C8426D">
        <w:rPr>
          <w:rFonts w:ascii="Times New Roman" w:hAnsi="Times New Roman" w:cs="Times New Roman"/>
          <w:color w:val="000000" w:themeColor="text1"/>
          <w:szCs w:val="24"/>
          <w:shd w:val="clear" w:color="auto" w:fill="FFFFFF"/>
        </w:rPr>
        <w:t>Teijon</w:t>
      </w:r>
      <w:proofErr w:type="spellEnd"/>
      <w:r w:rsidRPr="00C8426D">
        <w:rPr>
          <w:rFonts w:ascii="Times New Roman" w:hAnsi="Times New Roman" w:cs="Times New Roman"/>
          <w:color w:val="000000" w:themeColor="text1"/>
          <w:szCs w:val="24"/>
          <w:shd w:val="clear" w:color="auto" w:fill="FFFFFF"/>
        </w:rPr>
        <w:t>, J.M. (2006). Low doses of lead: effects on reproduction and development in rats. </w:t>
      </w:r>
      <w:r w:rsidRPr="00C8426D">
        <w:rPr>
          <w:rFonts w:ascii="Times New Roman" w:hAnsi="Times New Roman" w:cs="Times New Roman"/>
          <w:i/>
          <w:iCs/>
          <w:color w:val="000000" w:themeColor="text1"/>
          <w:szCs w:val="24"/>
          <w:shd w:val="clear" w:color="auto" w:fill="FFFFFF"/>
        </w:rPr>
        <w:t>Biological Trace Element Research</w:t>
      </w:r>
      <w:r w:rsidRPr="00C8426D">
        <w:rPr>
          <w:rFonts w:ascii="Times New Roman" w:hAnsi="Times New Roman" w:cs="Times New Roman"/>
          <w:color w:val="000000" w:themeColor="text1"/>
          <w:szCs w:val="24"/>
          <w:shd w:val="clear" w:color="auto" w:fill="FFFFFF"/>
        </w:rPr>
        <w:t>, </w:t>
      </w:r>
      <w:r w:rsidRPr="00C8426D">
        <w:rPr>
          <w:rFonts w:ascii="Times New Roman" w:hAnsi="Times New Roman" w:cs="Times New Roman"/>
          <w:b/>
          <w:bCs/>
          <w:color w:val="000000" w:themeColor="text1"/>
          <w:szCs w:val="24"/>
          <w:shd w:val="clear" w:color="auto" w:fill="FFFFFF"/>
        </w:rPr>
        <w:t>111</w:t>
      </w:r>
      <w:r w:rsidRPr="00C8426D">
        <w:rPr>
          <w:rFonts w:ascii="Times New Roman" w:hAnsi="Times New Roman" w:cs="Times New Roman"/>
          <w:color w:val="000000" w:themeColor="text1"/>
          <w:szCs w:val="24"/>
          <w:shd w:val="clear" w:color="auto" w:fill="FFFFFF"/>
        </w:rPr>
        <w:t>: 151-165.</w:t>
      </w:r>
    </w:p>
    <w:p w14:paraId="10F1DCD6" w14:textId="50898D97" w:rsidR="000770FF" w:rsidRPr="001B6DF0" w:rsidRDefault="000A1C4C" w:rsidP="00436EF5">
      <w:pPr>
        <w:spacing w:line="240" w:lineRule="auto"/>
        <w:jc w:val="both"/>
        <w:rPr>
          <w:rFonts w:ascii="Times New Roman" w:hAnsi="Times New Roman" w:cs="Times New Roman"/>
          <w:color w:val="000000" w:themeColor="text1"/>
        </w:rPr>
      </w:pPr>
      <w:r w:rsidRPr="00C8426D">
        <w:rPr>
          <w:rFonts w:ascii="Times New Roman" w:hAnsi="Times New Roman" w:cs="Times New Roman"/>
          <w:color w:val="000000" w:themeColor="text1"/>
        </w:rPr>
        <w:t xml:space="preserve">Welna, M., </w:t>
      </w:r>
      <w:proofErr w:type="spellStart"/>
      <w:r w:rsidRPr="00C8426D">
        <w:rPr>
          <w:rFonts w:ascii="Times New Roman" w:hAnsi="Times New Roman" w:cs="Times New Roman"/>
          <w:color w:val="000000" w:themeColor="text1"/>
        </w:rPr>
        <w:t>Szymczycha</w:t>
      </w:r>
      <w:proofErr w:type="spellEnd"/>
      <w:r w:rsidRPr="00C8426D">
        <w:rPr>
          <w:rFonts w:ascii="Times New Roman" w:hAnsi="Times New Roman" w:cs="Times New Roman"/>
          <w:color w:val="000000" w:themeColor="text1"/>
        </w:rPr>
        <w:t xml:space="preserve"> </w:t>
      </w:r>
      <w:proofErr w:type="spellStart"/>
      <w:r w:rsidRPr="00C8426D">
        <w:rPr>
          <w:rFonts w:ascii="Times New Roman" w:hAnsi="Times New Roman" w:cs="Times New Roman"/>
          <w:color w:val="000000" w:themeColor="text1"/>
        </w:rPr>
        <w:t>Madeja</w:t>
      </w:r>
      <w:proofErr w:type="spellEnd"/>
      <w:r w:rsidRPr="00C8426D">
        <w:rPr>
          <w:rFonts w:ascii="Times New Roman" w:hAnsi="Times New Roman" w:cs="Times New Roman"/>
          <w:color w:val="000000" w:themeColor="text1"/>
        </w:rPr>
        <w:t>, A. and Pohl, P. (2011). Quality of the trace element analysis: sample preparation steps. </w:t>
      </w:r>
      <w:r w:rsidRPr="00C8426D">
        <w:rPr>
          <w:rFonts w:ascii="Times New Roman" w:hAnsi="Times New Roman" w:cs="Times New Roman"/>
          <w:i/>
          <w:color w:val="000000" w:themeColor="text1"/>
        </w:rPr>
        <w:t>Wide Spectra of Quality Control</w:t>
      </w:r>
      <w:r w:rsidRPr="00C8426D">
        <w:rPr>
          <w:rFonts w:ascii="Times New Roman" w:hAnsi="Times New Roman" w:cs="Times New Roman"/>
          <w:color w:val="000000" w:themeColor="text1"/>
        </w:rPr>
        <w:t xml:space="preserve">, </w:t>
      </w:r>
      <w:r w:rsidRPr="00C8426D">
        <w:rPr>
          <w:rFonts w:ascii="Times New Roman" w:hAnsi="Times New Roman" w:cs="Times New Roman"/>
          <w:b/>
          <w:color w:val="000000" w:themeColor="text1"/>
        </w:rPr>
        <w:t>1</w:t>
      </w:r>
      <w:r w:rsidRPr="00C8426D">
        <w:rPr>
          <w:rFonts w:ascii="Times New Roman" w:hAnsi="Times New Roman" w:cs="Times New Roman"/>
          <w:color w:val="000000" w:themeColor="text1"/>
        </w:rPr>
        <w:t>: 1-16.</w:t>
      </w:r>
    </w:p>
    <w:p w14:paraId="5C7FF026" w14:textId="73FBEA91" w:rsidR="000A1C4C" w:rsidRPr="000770FF" w:rsidRDefault="000A1C4C" w:rsidP="000A1C4C">
      <w:pPr>
        <w:ind w:left="1440" w:hanging="1440"/>
        <w:jc w:val="both"/>
        <w:rPr>
          <w:rFonts w:ascii="Times New Roman" w:eastAsia="Arial" w:hAnsi="Times New Roman" w:cs="Times New Roman"/>
          <w:b/>
          <w:bCs/>
          <w:snapToGrid w:val="0"/>
          <w:color w:val="000000"/>
          <w:spacing w:val="-2"/>
          <w:sz w:val="24"/>
          <w:szCs w:val="24"/>
          <w:lang w:val="en-US"/>
        </w:rPr>
      </w:pPr>
    </w:p>
    <w:p w14:paraId="332CC922" w14:textId="77777777" w:rsidR="000A1C4C" w:rsidRPr="005A5CB8" w:rsidRDefault="000A1C4C" w:rsidP="000A1C4C">
      <w:pPr>
        <w:tabs>
          <w:tab w:val="left" w:pos="709"/>
        </w:tabs>
        <w:ind w:left="1440" w:hanging="1440"/>
        <w:jc w:val="both"/>
        <w:rPr>
          <w:rFonts w:ascii="Times New Roman" w:hAnsi="Times New Roman" w:cs="Times New Roman"/>
          <w:szCs w:val="24"/>
          <w:lang w:val="en-US"/>
        </w:rPr>
      </w:pPr>
    </w:p>
    <w:p w14:paraId="582CE355" w14:textId="77777777" w:rsidR="000A1C4C" w:rsidRPr="005A5CB8" w:rsidRDefault="000A1C4C" w:rsidP="000A1C4C">
      <w:pPr>
        <w:rPr>
          <w:rFonts w:ascii="Times New Roman" w:hAnsi="Times New Roman" w:cs="Times New Roman"/>
        </w:rPr>
      </w:pPr>
    </w:p>
    <w:sectPr w:rsidR="000A1C4C" w:rsidRPr="005A5CB8" w:rsidSect="005A5CB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9C7C3" w14:textId="77777777" w:rsidR="00606048" w:rsidRDefault="00606048" w:rsidP="00B65B4A">
      <w:pPr>
        <w:spacing w:after="0" w:line="240" w:lineRule="auto"/>
      </w:pPr>
      <w:r>
        <w:separator/>
      </w:r>
    </w:p>
  </w:endnote>
  <w:endnote w:type="continuationSeparator" w:id="0">
    <w:p w14:paraId="0DA22832" w14:textId="77777777" w:rsidR="00606048" w:rsidRDefault="00606048" w:rsidP="00B6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M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318B5" w14:textId="77777777" w:rsidR="00B65B4A" w:rsidRDefault="00B65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ACEE" w14:textId="77777777" w:rsidR="00B65B4A" w:rsidRDefault="00B65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F6FAB" w14:textId="77777777" w:rsidR="00B65B4A" w:rsidRDefault="00B65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EAC37" w14:textId="77777777" w:rsidR="00606048" w:rsidRDefault="00606048" w:rsidP="00B65B4A">
      <w:pPr>
        <w:spacing w:after="0" w:line="240" w:lineRule="auto"/>
      </w:pPr>
      <w:r>
        <w:separator/>
      </w:r>
    </w:p>
  </w:footnote>
  <w:footnote w:type="continuationSeparator" w:id="0">
    <w:p w14:paraId="4C531034" w14:textId="77777777" w:rsidR="00606048" w:rsidRDefault="00606048" w:rsidP="00B65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4BF52" w14:textId="0A1E4181" w:rsidR="00B65B4A" w:rsidRDefault="00B65B4A">
    <w:pPr>
      <w:pStyle w:val="Header"/>
    </w:pPr>
    <w:r>
      <w:rPr>
        <w:noProof/>
      </w:rPr>
      <w:pict w14:anchorId="2BA8E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046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EC068" w14:textId="1E7D1144" w:rsidR="00B65B4A" w:rsidRDefault="00B65B4A">
    <w:pPr>
      <w:pStyle w:val="Header"/>
    </w:pPr>
    <w:r>
      <w:rPr>
        <w:noProof/>
      </w:rPr>
      <w:pict w14:anchorId="41E58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046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2EAB3" w14:textId="5A365A50" w:rsidR="00B65B4A" w:rsidRDefault="00B65B4A">
    <w:pPr>
      <w:pStyle w:val="Header"/>
    </w:pPr>
    <w:r>
      <w:rPr>
        <w:noProof/>
      </w:rPr>
      <w:pict w14:anchorId="2576D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046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95026"/>
    <w:multiLevelType w:val="multilevel"/>
    <w:tmpl w:val="2EF8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424BF"/>
    <w:multiLevelType w:val="hybridMultilevel"/>
    <w:tmpl w:val="F9D4D9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514"/>
    <w:rsid w:val="00005715"/>
    <w:rsid w:val="00010314"/>
    <w:rsid w:val="000770FF"/>
    <w:rsid w:val="000A1C4C"/>
    <w:rsid w:val="000A2E89"/>
    <w:rsid w:val="001575F7"/>
    <w:rsid w:val="001B34E5"/>
    <w:rsid w:val="001B6DF0"/>
    <w:rsid w:val="0026108D"/>
    <w:rsid w:val="0026694A"/>
    <w:rsid w:val="002F3F86"/>
    <w:rsid w:val="003078D9"/>
    <w:rsid w:val="00356CAC"/>
    <w:rsid w:val="003B6BAC"/>
    <w:rsid w:val="00436EF5"/>
    <w:rsid w:val="00442196"/>
    <w:rsid w:val="00505633"/>
    <w:rsid w:val="005418F0"/>
    <w:rsid w:val="005943B8"/>
    <w:rsid w:val="00594E5B"/>
    <w:rsid w:val="005A2514"/>
    <w:rsid w:val="005A5CB8"/>
    <w:rsid w:val="00606048"/>
    <w:rsid w:val="00666D79"/>
    <w:rsid w:val="006A7FD4"/>
    <w:rsid w:val="006B62D4"/>
    <w:rsid w:val="008430BC"/>
    <w:rsid w:val="0086506A"/>
    <w:rsid w:val="00930D7D"/>
    <w:rsid w:val="0098079C"/>
    <w:rsid w:val="009D243D"/>
    <w:rsid w:val="00A65037"/>
    <w:rsid w:val="00B50C6B"/>
    <w:rsid w:val="00B65B4A"/>
    <w:rsid w:val="00BC4DB5"/>
    <w:rsid w:val="00C124BC"/>
    <w:rsid w:val="00C4710A"/>
    <w:rsid w:val="00C8426D"/>
    <w:rsid w:val="00CC02EC"/>
    <w:rsid w:val="00EA482C"/>
    <w:rsid w:val="00EF4BF9"/>
    <w:rsid w:val="00FA134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A991A4"/>
  <w15:chartTrackingRefBased/>
  <w15:docId w15:val="{FD7614FB-215E-4D08-BF9D-4A606683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5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25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25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25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25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25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5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5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5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2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2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2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2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2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514"/>
    <w:rPr>
      <w:rFonts w:eastAsiaTheme="majorEastAsia" w:cstheme="majorBidi"/>
      <w:color w:val="272727" w:themeColor="text1" w:themeTint="D8"/>
    </w:rPr>
  </w:style>
  <w:style w:type="paragraph" w:styleId="Title">
    <w:name w:val="Title"/>
    <w:basedOn w:val="Normal"/>
    <w:next w:val="Normal"/>
    <w:link w:val="TitleChar"/>
    <w:uiPriority w:val="10"/>
    <w:qFormat/>
    <w:rsid w:val="005A25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5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5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514"/>
    <w:pPr>
      <w:spacing w:before="160"/>
      <w:jc w:val="center"/>
    </w:pPr>
    <w:rPr>
      <w:i/>
      <w:iCs/>
      <w:color w:val="404040" w:themeColor="text1" w:themeTint="BF"/>
    </w:rPr>
  </w:style>
  <w:style w:type="character" w:customStyle="1" w:styleId="QuoteChar">
    <w:name w:val="Quote Char"/>
    <w:basedOn w:val="DefaultParagraphFont"/>
    <w:link w:val="Quote"/>
    <w:uiPriority w:val="29"/>
    <w:rsid w:val="005A2514"/>
    <w:rPr>
      <w:i/>
      <w:iCs/>
      <w:color w:val="404040" w:themeColor="text1" w:themeTint="BF"/>
    </w:rPr>
  </w:style>
  <w:style w:type="paragraph" w:styleId="ListParagraph">
    <w:name w:val="List Paragraph"/>
    <w:basedOn w:val="Normal"/>
    <w:uiPriority w:val="34"/>
    <w:qFormat/>
    <w:rsid w:val="005A2514"/>
    <w:pPr>
      <w:ind w:left="720"/>
      <w:contextualSpacing/>
    </w:pPr>
  </w:style>
  <w:style w:type="character" w:styleId="IntenseEmphasis">
    <w:name w:val="Intense Emphasis"/>
    <w:basedOn w:val="DefaultParagraphFont"/>
    <w:uiPriority w:val="21"/>
    <w:qFormat/>
    <w:rsid w:val="005A2514"/>
    <w:rPr>
      <w:i/>
      <w:iCs/>
      <w:color w:val="0F4761" w:themeColor="accent1" w:themeShade="BF"/>
    </w:rPr>
  </w:style>
  <w:style w:type="paragraph" w:styleId="IntenseQuote">
    <w:name w:val="Intense Quote"/>
    <w:basedOn w:val="Normal"/>
    <w:next w:val="Normal"/>
    <w:link w:val="IntenseQuoteChar"/>
    <w:uiPriority w:val="30"/>
    <w:qFormat/>
    <w:rsid w:val="005A2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2514"/>
    <w:rPr>
      <w:i/>
      <w:iCs/>
      <w:color w:val="0F4761" w:themeColor="accent1" w:themeShade="BF"/>
    </w:rPr>
  </w:style>
  <w:style w:type="character" w:styleId="IntenseReference">
    <w:name w:val="Intense Reference"/>
    <w:basedOn w:val="DefaultParagraphFont"/>
    <w:uiPriority w:val="32"/>
    <w:qFormat/>
    <w:rsid w:val="005A2514"/>
    <w:rPr>
      <w:b/>
      <w:bCs/>
      <w:smallCaps/>
      <w:color w:val="0F4761" w:themeColor="accent1" w:themeShade="BF"/>
      <w:spacing w:val="5"/>
    </w:rPr>
  </w:style>
  <w:style w:type="paragraph" w:customStyle="1" w:styleId="TableParagraph">
    <w:name w:val="Table Paragraph"/>
    <w:basedOn w:val="Normal"/>
    <w:uiPriority w:val="1"/>
    <w:qFormat/>
    <w:rsid w:val="005A2514"/>
    <w:pPr>
      <w:widowControl w:val="0"/>
      <w:autoSpaceDE w:val="0"/>
      <w:autoSpaceDN w:val="0"/>
      <w:spacing w:after="0" w:line="240" w:lineRule="auto"/>
    </w:pPr>
    <w:rPr>
      <w:rFonts w:ascii="Arial MT" w:eastAsia="Arial MT" w:hAnsi="Arial MT" w:cs="Arial MT"/>
      <w:lang w:val="en-US"/>
    </w:rPr>
  </w:style>
  <w:style w:type="table" w:styleId="TableGrid">
    <w:name w:val="Table Grid"/>
    <w:basedOn w:val="TableNormal"/>
    <w:uiPriority w:val="39"/>
    <w:rsid w:val="005A2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70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10314"/>
    <w:rPr>
      <w:color w:val="467886" w:themeColor="hyperlink"/>
      <w:u w:val="single"/>
    </w:rPr>
  </w:style>
  <w:style w:type="character" w:styleId="UnresolvedMention">
    <w:name w:val="Unresolved Mention"/>
    <w:basedOn w:val="DefaultParagraphFont"/>
    <w:uiPriority w:val="99"/>
    <w:semiHidden/>
    <w:unhideWhenUsed/>
    <w:rsid w:val="00010314"/>
    <w:rPr>
      <w:color w:val="605E5C"/>
      <w:shd w:val="clear" w:color="auto" w:fill="E1DFDD"/>
    </w:rPr>
  </w:style>
  <w:style w:type="paragraph" w:styleId="Header">
    <w:name w:val="header"/>
    <w:basedOn w:val="Normal"/>
    <w:link w:val="HeaderChar"/>
    <w:uiPriority w:val="99"/>
    <w:unhideWhenUsed/>
    <w:rsid w:val="00B65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4A"/>
  </w:style>
  <w:style w:type="paragraph" w:styleId="Footer">
    <w:name w:val="footer"/>
    <w:basedOn w:val="Normal"/>
    <w:link w:val="FooterChar"/>
    <w:uiPriority w:val="99"/>
    <w:unhideWhenUsed/>
    <w:rsid w:val="00B65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8EFBC-5F33-48A6-9469-DCCA3707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12</Pages>
  <Words>5028</Words>
  <Characters>28662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mayur temghare</dc:creator>
  <cp:keywords/>
  <dc:description/>
  <cp:lastModifiedBy>SDI PC 1170</cp:lastModifiedBy>
  <cp:revision>37</cp:revision>
  <dcterms:created xsi:type="dcterms:W3CDTF">2026-02-18T05:34:00Z</dcterms:created>
  <dcterms:modified xsi:type="dcterms:W3CDTF">2026-03-10T09:31:00Z</dcterms:modified>
</cp:coreProperties>
</file>