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BD537" w14:textId="5D1C3884" w:rsidR="00CF406B" w:rsidRPr="00CF406B" w:rsidRDefault="00CF406B" w:rsidP="00905A33">
      <w:pPr>
        <w:pStyle w:val="Heading1"/>
        <w:rPr>
          <w:sz w:val="48"/>
          <w:u w:val="single"/>
        </w:rPr>
      </w:pPr>
      <w:r w:rsidRPr="00CF406B">
        <w:rPr>
          <w:sz w:val="48"/>
          <w:u w:val="single"/>
        </w:rPr>
        <w:t>Review Article</w:t>
      </w:r>
    </w:p>
    <w:p w14:paraId="75EC3C2B" w14:textId="63AD57BD" w:rsidR="00F906EA" w:rsidRPr="00905A33" w:rsidRDefault="00D82B96" w:rsidP="00905A33">
      <w:pPr>
        <w:pStyle w:val="Heading1"/>
        <w:rPr>
          <w:sz w:val="48"/>
        </w:rPr>
      </w:pPr>
      <w:r w:rsidRPr="00905A33">
        <w:rPr>
          <w:sz w:val="48"/>
        </w:rPr>
        <w:t>Clinical Correlation of Anatomical Knowledge for Veterinarians — A Foundation for Diagnostic and Surgical Precision</w:t>
      </w:r>
    </w:p>
    <w:p w14:paraId="02CD3FED" w14:textId="77777777" w:rsidR="00C37575" w:rsidRDefault="00C37575">
      <w:pPr>
        <w:pStyle w:val="Heading1"/>
      </w:pPr>
    </w:p>
    <w:p w14:paraId="171A15C8" w14:textId="77777777" w:rsidR="00F906EA" w:rsidRDefault="00D82B96">
      <w:pPr>
        <w:pStyle w:val="Heading1"/>
      </w:pPr>
      <w:r>
        <w:t>Abstract</w:t>
      </w:r>
      <w:bookmarkStart w:id="0" w:name="_GoBack"/>
      <w:bookmarkEnd w:id="0"/>
    </w:p>
    <w:p w14:paraId="5EC2535A" w14:textId="77777777" w:rsidR="00F906EA" w:rsidRDefault="00D82B96">
      <w:pPr>
        <w:jc w:val="both"/>
      </w:pPr>
      <w:r>
        <w:t xml:space="preserve">Anatomical knowledge forms the cornerstone of veterinary clinical practice, underpinning every diagnostic decision and surgical intervention across the remarkable diversity of species encountered in veterinary medicine. This review examines the critical relationship between foundational anatomical understanding and its clinical application, with particular emphasis on diagnostic precision and surgical accuracy. Drawing upon literature spanning classical anatomical studies to contemporary advances in imaging technology, surgical technique, and pedagogical methodology, this article explores how anatomical competence informs the management of disease processes in companion animals, equids, ruminants, and exotic species. Regional anatomy, species-specific variations, neuroanatomical </w:t>
      </w:r>
      <w:proofErr w:type="spellStart"/>
      <w:r>
        <w:t>localisation</w:t>
      </w:r>
      <w:proofErr w:type="spellEnd"/>
      <w:r>
        <w:t>, musculoskeletal relationships, and cardiorespiratory architecture are discussed in the context of their direct clinical relevance. Furthermore, this review evaluates emerging educational strategies — including three-dimensional modelling, virtual dissection platforms, and plastination — and their role in bridging the gap between didactic anatomical teaching and clinical application. The evidence consistently demonstrates that anatomically literate veterinarians deliver more accurate diagnoses, perform safer and more effective surgical procedures, and achieve superior patient outcomes. Strengthening anatomical education and its integration within clinical curricula is therefore identified as a paramount priority for veterinary institutions globally.</w:t>
      </w:r>
    </w:p>
    <w:p w14:paraId="60048F4A" w14:textId="77777777" w:rsidR="00F906EA" w:rsidRDefault="00D82B96">
      <w:pPr>
        <w:jc w:val="both"/>
      </w:pPr>
      <w:r>
        <w:rPr>
          <w:b/>
          <w:bCs/>
        </w:rPr>
        <w:t xml:space="preserve">Keywords: </w:t>
      </w:r>
      <w:r>
        <w:t>veterinary anatomy; clinical anatomy; surgical precision; diagnostic imaging; species-specific anatomy; neuroanatomy; veterinary education; anatomical correlation</w:t>
      </w:r>
    </w:p>
    <w:p w14:paraId="29FA03CB" w14:textId="77777777" w:rsidR="00F906EA" w:rsidRDefault="00F906EA">
      <w:pPr>
        <w:spacing w:after="80"/>
      </w:pPr>
    </w:p>
    <w:p w14:paraId="77704A86" w14:textId="77777777" w:rsidR="00F906EA" w:rsidRDefault="00D82B96">
      <w:pPr>
        <w:pStyle w:val="Heading1"/>
      </w:pPr>
      <w:r>
        <w:lastRenderedPageBreak/>
        <w:t>1. Introduction</w:t>
      </w:r>
    </w:p>
    <w:p w14:paraId="29E7F755" w14:textId="77777777" w:rsidR="00F906EA" w:rsidRDefault="00D82B96">
      <w:pPr>
        <w:ind w:firstLine="720"/>
        <w:jc w:val="both"/>
      </w:pPr>
      <w:r>
        <w:t xml:space="preserve">The practice of veterinary medicine is, at its most fundamental level, an exercise in applied anatomy. Whether a clinician is interpreting a radiograph, palpating a lymph node, performing an abdominal exploratory surgery, or </w:t>
      </w:r>
      <w:proofErr w:type="spellStart"/>
      <w:r>
        <w:t>localising</w:t>
      </w:r>
      <w:proofErr w:type="spellEnd"/>
      <w:r>
        <w:t xml:space="preserve"> a neurological lesion, the accuracy and safety of every clinical act is contingent upon the practitioner's depth of anatomical knowledge. Unlike human medicine, where practitioners serve a single species of largely predictable morphology, veterinary clinicians must navigate the anatomical diversity of an extraordinary range of species — from the compact canine abdomen to the voluminous equine colon, from the elaborate ruminant forestomach system to the delicate viscera of avian patients. This inter-species complexity renders anatomical literacy not merely advantageous but indispensable to competent veterinary practice (Dyce et al., 2010; König &amp; Liebich, 2020).</w:t>
      </w:r>
    </w:p>
    <w:p w14:paraId="43084D13" w14:textId="77777777" w:rsidR="00F906EA" w:rsidRDefault="00D82B96">
      <w:pPr>
        <w:ind w:firstLine="720"/>
        <w:jc w:val="both"/>
      </w:pPr>
      <w:r>
        <w:t xml:space="preserve">The relationship between anatomy and clinical medicine has deep historical roots. The earliest veterinary practitioners — farriers, ox-handlers, and military horse surgeons — possessed empirical anatomical knowledge accumulated through centuries of practical experience. The </w:t>
      </w:r>
      <w:proofErr w:type="spellStart"/>
      <w:r>
        <w:t>formalisation</w:t>
      </w:r>
      <w:proofErr w:type="spellEnd"/>
      <w:r>
        <w:t xml:space="preserve"> of veterinary anatomy as a scientific discipline began in earnest during the 18th century with the establishment of the first veterinary schools in Europe, most notably at Lyon in 1762 and Alfort in 1765. These institutions </w:t>
      </w:r>
      <w:proofErr w:type="spellStart"/>
      <w:r>
        <w:t>recognised</w:t>
      </w:r>
      <w:proofErr w:type="spellEnd"/>
      <w:r>
        <w:t xml:space="preserve"> that a systematic understanding of the body's architecture was a prerequisite for rational clinical intervention. Since that era, anatomical science has evolved dramatically, incorporating macroscopic, microscopic, developmental, and imaging-based approaches to understanding body structure and its functional correlates (McLachlan &amp; Patten, 2006; Nickel et al., 1981).</w:t>
      </w:r>
    </w:p>
    <w:p w14:paraId="30819989" w14:textId="77777777" w:rsidR="00F906EA" w:rsidRDefault="00D82B96">
      <w:pPr>
        <w:ind w:firstLine="720"/>
        <w:jc w:val="both"/>
      </w:pPr>
      <w:r>
        <w:t xml:space="preserve">In modern veterinary medicine, the integration of anatomical knowledge with diagnostic imaging represents one of the most significant advances in clinical practice. The widespread adoption of computed tomography (CT), magnetic resonance imaging (MRI), and advanced ultrasonographic techniques has transformed the diagnostic landscape, enabling practitioners to </w:t>
      </w:r>
      <w:proofErr w:type="spellStart"/>
      <w:r>
        <w:t>visualise</w:t>
      </w:r>
      <w:proofErr w:type="spellEnd"/>
      <w:r>
        <w:t xml:space="preserve"> internal structures in living patients with extraordinary detail. Yet the interpretive value of these technologies is wholly dependent upon the clinician's ability to </w:t>
      </w:r>
      <w:proofErr w:type="spellStart"/>
      <w:r>
        <w:t>recognise</w:t>
      </w:r>
      <w:proofErr w:type="spellEnd"/>
      <w:r>
        <w:t xml:space="preserve"> normal anatomy and identify deviations from it (Mattoon &amp; Nyland, 2015; Thrall, 2018</w:t>
      </w:r>
      <w:r w:rsidR="00B12C59">
        <w:t xml:space="preserve">; </w:t>
      </w:r>
      <w:r w:rsidR="00B12C59" w:rsidRPr="00B12C59">
        <w:t xml:space="preserve">Duro et al., 2025; </w:t>
      </w:r>
      <w:proofErr w:type="spellStart"/>
      <w:r w:rsidR="00B12C59" w:rsidRPr="00B12C59">
        <w:t>Wheble</w:t>
      </w:r>
      <w:proofErr w:type="spellEnd"/>
      <w:r w:rsidR="00B12C59" w:rsidRPr="00B12C59">
        <w:t xml:space="preserve"> &amp; Channon, 2021</w:t>
      </w:r>
      <w:r>
        <w:t>). An advanced imaging system is only as useful as the anatomically informed mind interpreting its output.</w:t>
      </w:r>
    </w:p>
    <w:p w14:paraId="76EBE91E" w14:textId="77777777" w:rsidR="00F906EA" w:rsidRDefault="00D82B96">
      <w:pPr>
        <w:ind w:firstLine="720"/>
        <w:jc w:val="both"/>
      </w:pPr>
      <w:r>
        <w:t xml:space="preserve">Similarly, the evolution of minimally invasive surgical techniques — laparoscopy, thoracoscopy, arthroscopy — has raised the anatomical stakes considerably. These approaches afford limited tactile feedback and constrained visual fields, placing a premium on the surgeon's preoperative mental model of three-dimensional anatomy (Mayhew, 2009). A thorough appreciation of the spatial relationships between organs, vessels, nerves, and fascial planes is no </w:t>
      </w:r>
      <w:r>
        <w:lastRenderedPageBreak/>
        <w:t>longer a background competency but a foreground necessity for the contemporary veterinary surgeon.</w:t>
      </w:r>
    </w:p>
    <w:p w14:paraId="535B279F" w14:textId="77777777" w:rsidR="00F906EA" w:rsidRDefault="00D82B96">
      <w:pPr>
        <w:ind w:firstLine="720"/>
        <w:jc w:val="both"/>
      </w:pPr>
      <w:r>
        <w:t xml:space="preserve">Despite the acknowledged importance of anatomy in clinical veterinary practice, concerns have been raised in both the human and veterinary medical education literature regarding the erosion of anatomical training in undergraduate curricula. The pressure to incorporate an ever-expanding body of biomedical knowledge within fixed degree </w:t>
      </w:r>
      <w:proofErr w:type="spellStart"/>
      <w:r>
        <w:t>programmes</w:t>
      </w:r>
      <w:proofErr w:type="spellEnd"/>
      <w:r>
        <w:t xml:space="preserve"> has, in many institutions, resulted in reduced contact time with cadaveric material and a corresponding decline in the depth of anatomical instruction (</w:t>
      </w:r>
      <w:proofErr w:type="spellStart"/>
      <w:r>
        <w:t>Estai</w:t>
      </w:r>
      <w:proofErr w:type="spellEnd"/>
      <w:r>
        <w:t xml:space="preserve"> &amp; Bunt, 2016; McLachlan &amp; Patten, 2006). Understanding how this educational shift affects clinical outcomes and what compensatory strategies may be employed is therefore a matter of genuine urgency for veterinary educators and professional bodies alike.</w:t>
      </w:r>
    </w:p>
    <w:p w14:paraId="6B0BE530" w14:textId="77777777" w:rsidR="00F906EA" w:rsidRDefault="00D82B96">
      <w:pPr>
        <w:ind w:firstLine="720"/>
        <w:jc w:val="both"/>
      </w:pPr>
      <w:r>
        <w:t xml:space="preserve">This review addresses the clinical correlation of anatomical knowledge across the breadth of veterinary practice, </w:t>
      </w:r>
      <w:proofErr w:type="spellStart"/>
      <w:r>
        <w:t>synthesising</w:t>
      </w:r>
      <w:proofErr w:type="spellEnd"/>
      <w:r>
        <w:t xml:space="preserve"> evidence from anatomy, surgery, diagnostic imaging, neurology, and veterinary education to construct a comprehensive account of why anatomical precision matters and how it may best be cultivated and maintained throughout a veterinary career.</w:t>
      </w:r>
    </w:p>
    <w:p w14:paraId="426447E4" w14:textId="77777777" w:rsidR="00F906EA" w:rsidRDefault="00D82B96">
      <w:pPr>
        <w:pStyle w:val="Heading2"/>
      </w:pPr>
      <w:r>
        <w:t>1.1 Scope and Objectives</w:t>
      </w:r>
    </w:p>
    <w:p w14:paraId="1C26CD92" w14:textId="77777777" w:rsidR="00F906EA" w:rsidRDefault="00D82B96">
      <w:pPr>
        <w:ind w:firstLine="720"/>
        <w:jc w:val="both"/>
      </w:pPr>
      <w:r>
        <w:t xml:space="preserve">This review article aims to provide a comprehensive and clinically orientated synthesis of the role of anatomical knowledge in veterinary diagnostic and surgical practice. The specific objectives are: first, to examine the clinical relevance of regional and system-based anatomy across the major veterinary species; second, to evaluate the contribution of anatomical knowledge to diagnostic imaging interpretation; third, to </w:t>
      </w:r>
      <w:proofErr w:type="spellStart"/>
      <w:r>
        <w:t>analyse</w:t>
      </w:r>
      <w:proofErr w:type="spellEnd"/>
      <w:r>
        <w:t xml:space="preserve"> the relationship between anatomical literacy and surgical precision in both soft tissue and </w:t>
      </w:r>
      <w:proofErr w:type="spellStart"/>
      <w:r>
        <w:t>orthopaedic</w:t>
      </w:r>
      <w:proofErr w:type="spellEnd"/>
      <w:r>
        <w:t xml:space="preserve"> contexts; fourth, to assess species-specific anatomical variations and their clinical implications; fifth, to review current and emerging approaches to anatomical education in veterinary curricula; and sixth, to identify areas requiring further research and development. The scope encompasses companion animals (canine and feline), equids, bovines and other ruminants, and selected exotic species, with the aim of reflecting the breadth of clinical practice encountered by veterinary graduates globally.</w:t>
      </w:r>
    </w:p>
    <w:p w14:paraId="17A9286B" w14:textId="77777777" w:rsidR="00F906EA" w:rsidRDefault="00F906EA">
      <w:pPr>
        <w:spacing w:after="80"/>
      </w:pPr>
    </w:p>
    <w:p w14:paraId="4F804432" w14:textId="77777777" w:rsidR="00F906EA" w:rsidRDefault="00D82B96">
      <w:pPr>
        <w:pStyle w:val="Heading1"/>
      </w:pPr>
      <w:r>
        <w:t>2. Methods for Literature Selection</w:t>
      </w:r>
    </w:p>
    <w:p w14:paraId="06C51C44" w14:textId="77777777" w:rsidR="00F906EA" w:rsidRDefault="00D82B96">
      <w:pPr>
        <w:ind w:firstLine="720"/>
        <w:jc w:val="both"/>
      </w:pPr>
      <w:r>
        <w:t xml:space="preserve">A systematic search of the academic literature was conducted using the following electronic databases: PubMed, Web of Science, Scopus, and Google Scholar. The search was performed using combinations of the following key terms and Boolean operators: "veterinary anatomy," "clinical anatomy," "veterinary surgery," "surgical anatomy," "anatomical </w:t>
      </w:r>
      <w:r>
        <w:lastRenderedPageBreak/>
        <w:t>correlation," "diagnostic imaging veterinary," "neuroanatomy veterinary," "veterinary education anatomy," "equine anatomy clinical," "bovine anatomy," "species-specific anatomy," "3D anatomy veterinary," "plastination veterinary," and "veterinary laparoscopy anatomy." The date range for the primary literature search was set from 2005 to 2026 to ensure recency, whilst classic foundational texts and seminal publications predating this range were also included where their scientific significance warranted citation.</w:t>
      </w:r>
    </w:p>
    <w:p w14:paraId="52DA17F8" w14:textId="77777777" w:rsidR="00F906EA" w:rsidRDefault="00D82B96">
      <w:pPr>
        <w:ind w:firstLine="720"/>
        <w:jc w:val="both"/>
      </w:pPr>
      <w:r>
        <w:t xml:space="preserve">Only English-language publications from peer-reviewed journals and </w:t>
      </w:r>
      <w:proofErr w:type="spellStart"/>
      <w:r>
        <w:t>recognised</w:t>
      </w:r>
      <w:proofErr w:type="spellEnd"/>
      <w:r>
        <w:t xml:space="preserve"> academic institutions were considered for inclusion. Grey literature, conference abstracts without full-text availability, and non-peer-reviewed sources were excluded. Articles were selected on the basis of their direct relevance to the clinical application of anatomical knowledge in veterinary medicine, with particular attention to papers addressing diagnostic precision, surgical technique, species-specific variation, educational methodology, and technological innovation. A minimum of 15 recent peer-reviewed journal articles (2005–2026) are incorporated, supplemented by classic textbook references that form the foundational substrate of veterinary anatomical knowledge. Duplicate records were removed prior to screening, and only sources with clear relevance to the review's objectives were retained for citation.</w:t>
      </w:r>
    </w:p>
    <w:p w14:paraId="13D678F0" w14:textId="77777777" w:rsidR="00F906EA" w:rsidRDefault="00F906EA">
      <w:pPr>
        <w:spacing w:after="80"/>
      </w:pPr>
    </w:p>
    <w:p w14:paraId="25EA3B9F" w14:textId="77777777" w:rsidR="00F906EA" w:rsidRDefault="00D82B96">
      <w:pPr>
        <w:pStyle w:val="Heading1"/>
      </w:pPr>
      <w:r>
        <w:t>3. Historical Perspective on Veterinary Anatomy and Its Clinical Evolution</w:t>
      </w:r>
    </w:p>
    <w:p w14:paraId="25FE1197" w14:textId="77777777" w:rsidR="00F906EA" w:rsidRDefault="00D82B96">
      <w:pPr>
        <w:ind w:firstLine="720"/>
        <w:jc w:val="both"/>
      </w:pPr>
      <w:r>
        <w:t xml:space="preserve">The formal study of veterinary anatomy is inseparable from the broader history of veterinary medicine as a profession. For much of recorded history, knowledge of animal structure was largely empirical and functional, accumulated through the practice of husbandry, slaughter, and rudimentary surgical procedures. Ancient texts, including those of the Greeks and Romans, contain descriptions of equine and bovine anatomy in the context of agricultural and military utility. The philosopher Aristotle provided some of the earliest systematic comparative anatomical observations, laying groundwork that would not be substantially built upon until the Renaissance (Nickel et al., 1981). The veterinary clinical significance of this early work was modest; it was not until the systematic dissection </w:t>
      </w:r>
      <w:proofErr w:type="spellStart"/>
      <w:r>
        <w:t>programmes</w:t>
      </w:r>
      <w:proofErr w:type="spellEnd"/>
      <w:r>
        <w:t xml:space="preserve"> of the 16th and 17th centuries that anatomical knowledge began to accrue with the </w:t>
      </w:r>
      <w:proofErr w:type="spellStart"/>
      <w:r>
        <w:t>rigour</w:t>
      </w:r>
      <w:proofErr w:type="spellEnd"/>
      <w:r>
        <w:t xml:space="preserve"> and detail required for purposeful clinical application.</w:t>
      </w:r>
    </w:p>
    <w:p w14:paraId="1EF584A1" w14:textId="77777777" w:rsidR="00F906EA" w:rsidRDefault="00D82B96">
      <w:pPr>
        <w:ind w:firstLine="720"/>
        <w:jc w:val="both"/>
      </w:pPr>
      <w:r>
        <w:t xml:space="preserve">The establishment of formal veterinary schools in 18th-century Europe precipitated the </w:t>
      </w:r>
      <w:proofErr w:type="spellStart"/>
      <w:r>
        <w:t>systematisation</w:t>
      </w:r>
      <w:proofErr w:type="spellEnd"/>
      <w:r>
        <w:t xml:space="preserve"> of veterinary anatomy as an academic discipline. Claude Bourgelat, the founder of the first veterinary school at Lyon, insisted upon rigorous anatomical training as a cornerstone of the veterinary curriculum. His conviction — that the surgeon who does not know anatomy operates in the dark — remains as valid today as it was in 1762. Subsequent centuries witnessed </w:t>
      </w:r>
      <w:r>
        <w:lastRenderedPageBreak/>
        <w:t xml:space="preserve">the progressive elaboration of veterinary anatomical knowledge, culminating in the landmark reference texts that continue to inform contemporary practice, including the comprehensive multi-volume works of Nickel, </w:t>
      </w:r>
      <w:proofErr w:type="spellStart"/>
      <w:r>
        <w:t>Schummer</w:t>
      </w:r>
      <w:proofErr w:type="spellEnd"/>
      <w:r>
        <w:t xml:space="preserve">, and </w:t>
      </w:r>
      <w:proofErr w:type="spellStart"/>
      <w:r>
        <w:t>Seiferle</w:t>
      </w:r>
      <w:proofErr w:type="spellEnd"/>
      <w:r>
        <w:t>, which remain indispensable references for comparative anatomy (Nickel et al., 1981; Dyce et al., 2010).</w:t>
      </w:r>
    </w:p>
    <w:p w14:paraId="4BEDE5DC" w14:textId="77777777" w:rsidR="00F906EA" w:rsidRDefault="00D82B96">
      <w:pPr>
        <w:ind w:firstLine="720"/>
        <w:jc w:val="both"/>
      </w:pPr>
      <w:r>
        <w:t xml:space="preserve">The 20th century brought extraordinary advances in the tools available for anatomical investigation and clinical application. The introduction of diagnostic radiography in veterinary practice during the early 20th century created an immediate demand for practitioners who could translate two-dimensional radiographic images into three-dimensional anatomical understanding. This demand intensified with the introduction of ultrasonography in the 1970s and 1980s, and reached its contemporary peak with the adoption of CT, MRI, and nuclear scintigraphy in </w:t>
      </w:r>
      <w:proofErr w:type="spellStart"/>
      <w:r>
        <w:t>specialised</w:t>
      </w:r>
      <w:proofErr w:type="spellEnd"/>
      <w:r>
        <w:t xml:space="preserve"> veterinary practice (Thrall, 2018). Each of these technological advances expanded the clinical utility of anatomical knowledge whilst simultaneously raising the threshold of anatomical sophistication required for their competent use.</w:t>
      </w:r>
    </w:p>
    <w:p w14:paraId="00980CCE" w14:textId="77777777" w:rsidR="00F906EA" w:rsidRDefault="00D82B96">
      <w:pPr>
        <w:ind w:firstLine="720"/>
        <w:jc w:val="both"/>
      </w:pPr>
      <w:r>
        <w:t>The 21st century has also witnessed a transformation in the teaching of veterinary anatomy, driven by the development of digital resources, three-dimensional modelling, plastination techniques, and virtual reality platforms (</w:t>
      </w:r>
      <w:proofErr w:type="spellStart"/>
      <w:r>
        <w:t>Estai</w:t>
      </w:r>
      <w:proofErr w:type="spellEnd"/>
      <w:r>
        <w:t xml:space="preserve"> &amp; Bunt, 2016). These innovations have enriched the educational toolkit available to both students and clinicians seeking to maintain and develop their anatomical competence throughout their professional careers. At the same time, the proliferation of online resources and the reduction of cadaveric teaching time in some curricula has prompted renewed debate about how best to ensure that graduating veterinarians possess the anatomical competence necessary for safe and effective clinical practice (McLachlan &amp; Patten, 2006</w:t>
      </w:r>
      <w:r w:rsidR="00B12C59">
        <w:t xml:space="preserve">; </w:t>
      </w:r>
      <w:r w:rsidR="00B12C59" w:rsidRPr="00B12C59">
        <w:t xml:space="preserve">Choudhary, 2026; </w:t>
      </w:r>
      <w:proofErr w:type="spellStart"/>
      <w:r w:rsidR="00B12C59" w:rsidRPr="00B12C59">
        <w:t>Schirone</w:t>
      </w:r>
      <w:proofErr w:type="spellEnd"/>
      <w:r w:rsidR="00B12C59" w:rsidRPr="00B12C59">
        <w:t xml:space="preserve"> et al., 2024</w:t>
      </w:r>
      <w:r>
        <w:t>).</w:t>
      </w:r>
    </w:p>
    <w:p w14:paraId="642FF32E" w14:textId="77777777" w:rsidR="00F906EA" w:rsidRDefault="00F906EA">
      <w:pPr>
        <w:spacing w:after="80"/>
      </w:pPr>
    </w:p>
    <w:p w14:paraId="1E911C55" w14:textId="77777777" w:rsidR="00F906EA" w:rsidRDefault="00D82B96">
      <w:pPr>
        <w:pStyle w:val="Heading1"/>
      </w:pPr>
      <w:r>
        <w:t>4. Regional Anatomy and Its Clinical Relevance</w:t>
      </w:r>
    </w:p>
    <w:p w14:paraId="3FF8A80B" w14:textId="77777777" w:rsidR="00F906EA" w:rsidRDefault="00D82B96">
      <w:pPr>
        <w:pStyle w:val="Heading2"/>
      </w:pPr>
      <w:r>
        <w:t>4.1 Head and Neck</w:t>
      </w:r>
    </w:p>
    <w:p w14:paraId="41538C8E" w14:textId="77777777" w:rsidR="00F906EA" w:rsidRDefault="00D82B96">
      <w:pPr>
        <w:ind w:firstLine="720"/>
        <w:jc w:val="both"/>
      </w:pPr>
      <w:r>
        <w:t xml:space="preserve">The head and neck constitute one of the most anatomically complex regions of the veterinary patient, housing structures of critical diagnostic and surgical importance in close spatial proximity. The paranasal sinuses, orbital contents, ear canals, salivary glands, pharynx, larynx, trachea, </w:t>
      </w:r>
      <w:proofErr w:type="spellStart"/>
      <w:r>
        <w:t>oesophagus</w:t>
      </w:r>
      <w:proofErr w:type="spellEnd"/>
      <w:r>
        <w:t xml:space="preserve">, major vessels, and cervical lymph nodes are all located within a comparatively confined space, and their intricate topographical relationships have direct bearing on the interpretation of clinical signs, the planning of surgical approaches, and the avoidance of iatrogenic complications (Evans &amp; de </w:t>
      </w:r>
      <w:proofErr w:type="spellStart"/>
      <w:r>
        <w:t>Lahunta</w:t>
      </w:r>
      <w:proofErr w:type="spellEnd"/>
      <w:r>
        <w:t>, 2013).</w:t>
      </w:r>
    </w:p>
    <w:p w14:paraId="3D440644" w14:textId="77777777" w:rsidR="00F906EA" w:rsidRDefault="00D82B96">
      <w:pPr>
        <w:ind w:firstLine="720"/>
        <w:jc w:val="both"/>
      </w:pPr>
      <w:r>
        <w:t xml:space="preserve">In the dog and cat, diseases of the nasal cavity and paranasal sinuses frequently present with epistaxis, stertorous breathing, or facial deformity. The clinician who understands the </w:t>
      </w:r>
      <w:r>
        <w:lastRenderedPageBreak/>
        <w:t xml:space="preserve">anatomy of the ethmoidal labyrinth, the maxillary recess, and the frontal sinuses is well positioned to interpret CT or MRI findings accurately and to select appropriate surgical approaches for rhinotomy or sinus trephination. The relationship between the frontal sinuses and the calvarium, and between the nasal cavity and the orbit, assumes particular importance when planning procedures in patients with neoplastic or fungal disease extending beyond the primary site (Thrall, 2018; Evans &amp; de </w:t>
      </w:r>
      <w:proofErr w:type="spellStart"/>
      <w:r>
        <w:t>Lahunta</w:t>
      </w:r>
      <w:proofErr w:type="spellEnd"/>
      <w:r>
        <w:t>, 2013).</w:t>
      </w:r>
    </w:p>
    <w:p w14:paraId="75B14102" w14:textId="77777777" w:rsidR="00F906EA" w:rsidRDefault="00D82B96">
      <w:pPr>
        <w:ind w:firstLine="720"/>
        <w:jc w:val="both"/>
      </w:pPr>
      <w:r>
        <w:t xml:space="preserve">In horses, the extensive paranasal sinus system presents unique clinical challenges. The equine head contains seven paranasal sinuses on each side — the rostral maxillary, caudal maxillary, frontal, sphenopalatine, dorsal </w:t>
      </w:r>
      <w:proofErr w:type="spellStart"/>
      <w:r>
        <w:t>conchal</w:t>
      </w:r>
      <w:proofErr w:type="spellEnd"/>
      <w:r>
        <w:t xml:space="preserve">, ventral </w:t>
      </w:r>
      <w:proofErr w:type="spellStart"/>
      <w:r>
        <w:t>conchal</w:t>
      </w:r>
      <w:proofErr w:type="spellEnd"/>
      <w:r>
        <w:t xml:space="preserve">, and middle </w:t>
      </w:r>
      <w:proofErr w:type="spellStart"/>
      <w:r>
        <w:t>conchal</w:t>
      </w:r>
      <w:proofErr w:type="spellEnd"/>
      <w:r>
        <w:t xml:space="preserve"> sinuses — many of which communicate with one another and with the nasal cavity via defined ostia. Empyema of the paranasal sinuses is a common clinical problem in equids, and effective management requires a precise understanding of sinus boundaries, communication patterns, and the relationships between sinus spaces and the dental roots of the upper cheek teeth (König &amp; Liebich, 2020). Trephination and sinus surgery in horses is fraught with anatomical hazards, including the risk of damaging the infraorbital nerve, the angular artery, or the apices of adjacent cheek teeth; the clinician's detailed knowledge of these relationships is the primary safeguard against serious complications. The rostral and caudal maxillary sinuses are clinically distinct compartments separated by an oblique bony septum, and their individual relationships to specific cheek tooth roots must be considered when planning trephination or surgical drainage (König &amp; Liebich, 2020; Dyce et al., 2010).</w:t>
      </w:r>
    </w:p>
    <w:p w14:paraId="2C17CF8E" w14:textId="77777777" w:rsidR="00F906EA" w:rsidRDefault="00D82B96">
      <w:pPr>
        <w:ind w:firstLine="720"/>
        <w:jc w:val="both"/>
      </w:pPr>
      <w:r>
        <w:t xml:space="preserve">The larynx presents another area where anatomical knowledge is directly linked to clinical outcomes. Laryngeal hemiplegia in horses — </w:t>
      </w:r>
      <w:proofErr w:type="spellStart"/>
      <w:r>
        <w:t>characterised</w:t>
      </w:r>
      <w:proofErr w:type="spellEnd"/>
      <w:r>
        <w:t xml:space="preserve"> by paralysis of the left recurrent laryngeal nerve and consequent failure of the left arytenoid cartilage to fully abduct during exercise — is one of the most important causes of upper respiratory tract obstruction in performance horses. The anatomy of the recurrent laryngeal nerve, its long course down the neck within the carotid sheath and back up to the larynx, and the intrinsic musculature of the laryngeal cartilages must be thoroughly understood by the surgeon performing </w:t>
      </w:r>
      <w:proofErr w:type="spellStart"/>
      <w:r>
        <w:t>laryngoplasty</w:t>
      </w:r>
      <w:proofErr w:type="spellEnd"/>
      <w:r>
        <w:t xml:space="preserve"> or </w:t>
      </w:r>
      <w:proofErr w:type="spellStart"/>
      <w:r>
        <w:t>ventriculocordectomy</w:t>
      </w:r>
      <w:proofErr w:type="spellEnd"/>
      <w:r>
        <w:t xml:space="preserve"> (Baxter, 2011; Dyce et al., 2010).</w:t>
      </w:r>
    </w:p>
    <w:p w14:paraId="28824EBB" w14:textId="77777777" w:rsidR="00F906EA" w:rsidRDefault="00D82B96">
      <w:pPr>
        <w:pStyle w:val="Heading2"/>
      </w:pPr>
      <w:r>
        <w:t>4.2 Thorax</w:t>
      </w:r>
    </w:p>
    <w:p w14:paraId="2A13351A" w14:textId="77777777" w:rsidR="00F906EA" w:rsidRDefault="00D82B96">
      <w:pPr>
        <w:ind w:firstLine="720"/>
        <w:jc w:val="both"/>
      </w:pPr>
      <w:r>
        <w:t xml:space="preserve">The thoracic cavity houses the heart, great vessels, lungs, trachea, </w:t>
      </w:r>
      <w:proofErr w:type="spellStart"/>
      <w:r>
        <w:t>oesophagus</w:t>
      </w:r>
      <w:proofErr w:type="spellEnd"/>
      <w:r>
        <w:t xml:space="preserve">, thoracic duct, and associated lymph nodes, all contained within the bony cage formed by the ribs, sternum, and thoracic vertebrae. The mediastinum divides the thorax into left and right pleural cavities and contains structures whose anatomical relationships are fundamental to the diagnosis and treatment of thoracic disease (Johnson &amp; Wisner, 2007). In the interpretation of thoracic radiographs, the clinician must possess a thorough understanding of normal lung lobe anatomy, vascular and bronchial silhouettes, and mediastinal contours. The cardiac silhouette occupies a position within the thorax that varies considerably between species: in dogs it is relatively </w:t>
      </w:r>
      <w:r>
        <w:lastRenderedPageBreak/>
        <w:t>caudally positioned and rounded; in cats it appears more elongated and occupies a more medial and caudal position; in horses and cattle the heart lies entirely within the thorax with the pericardium closely related to the sternal reflection of the pleura (Dyce et al., 2010; Thrall, 2018).</w:t>
      </w:r>
    </w:p>
    <w:p w14:paraId="3DE8DFC4" w14:textId="77777777" w:rsidR="00F906EA" w:rsidRDefault="00D82B96">
      <w:pPr>
        <w:ind w:firstLine="720"/>
        <w:jc w:val="both"/>
      </w:pPr>
      <w:r>
        <w:t xml:space="preserve">In dogs and cats, pericardial effusion is a relatively common condition that may cause significant </w:t>
      </w:r>
      <w:proofErr w:type="spellStart"/>
      <w:r>
        <w:t>haemodynamic</w:t>
      </w:r>
      <w:proofErr w:type="spellEnd"/>
      <w:r>
        <w:t xml:space="preserve"> compromise. Echocardiography — the primary diagnostic tool — requires the clinician to understand the normal anatomy of the pericardium, myocardium, cardiac valves, and great vessels in order to identify pathological deviations. Similarly, thoracocentesis — the aspiration of fluid from the pleural cavity — demands precise anatomical knowledge of intercostal space anatomy, including the neurovascular bundles running along the caudal margins of each rib, to ensure that the aspirating needle is placed at the cranial margin of a rib and thereby avoids inadvertent vascular puncture (Fossum, 2018; Mattoon &amp; Nyland, 2015).</w:t>
      </w:r>
    </w:p>
    <w:p w14:paraId="29DD3A52" w14:textId="77777777" w:rsidR="00F906EA" w:rsidRDefault="00D82B96">
      <w:pPr>
        <w:pStyle w:val="Heading2"/>
      </w:pPr>
      <w:r>
        <w:t>4.3 Abdomen</w:t>
      </w:r>
    </w:p>
    <w:p w14:paraId="271326A5" w14:textId="77777777" w:rsidR="00F906EA" w:rsidRDefault="00D82B96">
      <w:pPr>
        <w:ind w:firstLine="720"/>
        <w:jc w:val="both"/>
      </w:pPr>
      <w:r>
        <w:t xml:space="preserve">The abdominal cavity presents some of the most variable and complex anatomy in veterinary species, particularly in the context of the profound differences in gastrointestinal architecture between monogastric and </w:t>
      </w:r>
      <w:proofErr w:type="spellStart"/>
      <w:r>
        <w:t>polygastric</w:t>
      </w:r>
      <w:proofErr w:type="spellEnd"/>
      <w:r>
        <w:t xml:space="preserve"> animals, and between large and small species. The topography of the abdominal organs — their precise positions relative to one another, to the body wall, and to specific regions accessible by external palpation or ultrasonographic examination — is the anatomical foundation upon which abdominal diagnosis rests (Dyce et al., 2010; König &amp; Liebich, 2020).</w:t>
      </w:r>
    </w:p>
    <w:p w14:paraId="24BE4D07" w14:textId="77777777" w:rsidR="00F906EA" w:rsidRDefault="00D82B96">
      <w:pPr>
        <w:ind w:firstLine="720"/>
        <w:jc w:val="both"/>
      </w:pPr>
      <w:r>
        <w:t xml:space="preserve">In the dog, the systematic evaluation of the abdomen by palpation or ultrasound requires knowledge of the expected positions of the liver, spleen, stomach, small intestine, large intestine, kidneys, adrenal glands, urinary bladder, uterus, prostate, and mesenteric lymph nodes. Displacement of these structures from their expected positions is a key clinical finding: splenic torsion, gastric dilatation-volvulus, intestinal intussusception, and hepatic displacement by mass lesions all present with patterns of anatomical distortion that the knowledgeable clinician can </w:t>
      </w:r>
      <w:proofErr w:type="spellStart"/>
      <w:r>
        <w:t>recognise</w:t>
      </w:r>
      <w:proofErr w:type="spellEnd"/>
      <w:r>
        <w:t xml:space="preserve">. The clinician who can mentally model the normal three-dimensional arrangement of abdominal contents is far better equipped to </w:t>
      </w:r>
      <w:proofErr w:type="spellStart"/>
      <w:r>
        <w:t>recognise</w:t>
      </w:r>
      <w:proofErr w:type="spellEnd"/>
      <w:r>
        <w:t xml:space="preserve"> when that arrangement has been disrupted (Fossum, 2018; Tobias &amp; Johnston, 2012).</w:t>
      </w:r>
    </w:p>
    <w:p w14:paraId="339DCB27" w14:textId="77777777" w:rsidR="00F906EA" w:rsidRDefault="00D82B96">
      <w:pPr>
        <w:ind w:firstLine="720"/>
        <w:jc w:val="both"/>
      </w:pPr>
      <w:r>
        <w:t xml:space="preserve">The ruminant abdomen presents an entirely different anatomical landscape, dominated by the enormous forestomach system. In cattle, the rumen alone may occupy up to 80% of the abdominal cavity, displacing the small intestine, large intestine, and liver into specific positions that differ substantially from those expected in the dog or horse. The clinician examining a cow with left-sided abdominal distension must be able to distinguish between ruminal tympany, left-displaced abomasum, and other causes of left flank fullness on the basis of auscultation, percussion, and simultaneous ballottement — all of which require precise knowledge of the </w:t>
      </w:r>
      <w:r>
        <w:lastRenderedPageBreak/>
        <w:t xml:space="preserve">anatomical positions and resonant characteristics of each structure (König &amp; Liebich, 2020). Right-sided abdominal conditions in cattle — including right-displaced abomasum, </w:t>
      </w:r>
      <w:proofErr w:type="spellStart"/>
      <w:r>
        <w:t>abomasal</w:t>
      </w:r>
      <w:proofErr w:type="spellEnd"/>
      <w:r>
        <w:t xml:space="preserve"> volvulus, and </w:t>
      </w:r>
      <w:proofErr w:type="spellStart"/>
      <w:r>
        <w:t>caecal</w:t>
      </w:r>
      <w:proofErr w:type="spellEnd"/>
      <w:r>
        <w:t xml:space="preserve"> dilatation — present a similarly anatomy-dependent diagnostic challenge, and the clinician who confuses these entities on the basis of inadequate anatomical preparation risks significant harm to both patient and client.</w:t>
      </w:r>
    </w:p>
    <w:p w14:paraId="47876731" w14:textId="77777777" w:rsidR="00F906EA" w:rsidRDefault="00D82B96">
      <w:pPr>
        <w:pStyle w:val="Heading2"/>
      </w:pPr>
      <w:r>
        <w:t>4.4 Pelvic Region and Hindlimb</w:t>
      </w:r>
    </w:p>
    <w:p w14:paraId="308E9C57" w14:textId="77777777" w:rsidR="00F906EA" w:rsidRDefault="00D82B96">
      <w:pPr>
        <w:ind w:firstLine="720"/>
        <w:jc w:val="both"/>
      </w:pPr>
      <w:r>
        <w:t xml:space="preserve">The pelvic region in veterinary species houses the reproductive organs, bladder, rectum, and associated neurovascular structures within a confined bony canal. The surgical approach to pelvic conditions — including ovariohysterectomy, </w:t>
      </w:r>
      <w:proofErr w:type="spellStart"/>
      <w:r>
        <w:t>cryptorchidectomy</w:t>
      </w:r>
      <w:proofErr w:type="spellEnd"/>
      <w:r>
        <w:t>, perineal hernia repair, and urethrostomy — demands precise knowledge of the topographical relationships between these structures and the pelvic musculature, sciatic nerve, internal pudendal vessels, and anal sphincter complex (Slatter, 2003; Tobias &amp; Johnston, 2012).</w:t>
      </w:r>
    </w:p>
    <w:p w14:paraId="6A1091C4" w14:textId="77777777" w:rsidR="00F906EA" w:rsidRDefault="00D82B96">
      <w:pPr>
        <w:ind w:firstLine="720"/>
        <w:jc w:val="both"/>
      </w:pPr>
      <w:r>
        <w:t xml:space="preserve">Perineal hernia in male dogs provides an instructive example of the clinical importance of pelvic anatomy. This condition, </w:t>
      </w:r>
      <w:proofErr w:type="spellStart"/>
      <w:r>
        <w:t>characterised</w:t>
      </w:r>
      <w:proofErr w:type="spellEnd"/>
      <w:r>
        <w:t xml:space="preserve"> by failure of the perineal musculature — particularly the levator ani, coccygeus, and external anal sphincter — to support the perineum, results in herniation of pelvic and abdominal contents into the perineal space. Surgical repair requires the surgeon to navigate a field in which the internal pudendal artery and vein, the pudendal nerve, and the caudal rectal nerve are in close proximity to the surgical dissection plane. Inadvertent damage to the internal pudendal vessels can result in life-threatening </w:t>
      </w:r>
      <w:proofErr w:type="spellStart"/>
      <w:r>
        <w:t>haemorrhage</w:t>
      </w:r>
      <w:proofErr w:type="spellEnd"/>
      <w:r>
        <w:t xml:space="preserve">, whilst trauma to the pudendal nerve may cause permanent </w:t>
      </w:r>
      <w:proofErr w:type="spellStart"/>
      <w:r>
        <w:t>faecal</w:t>
      </w:r>
      <w:proofErr w:type="spellEnd"/>
      <w:r>
        <w:t xml:space="preserve"> incontinence — complications whose prevention depends entirely upon anatomical precision (Fossum, 2018; Tobias &amp; Johnston, 2012).</w:t>
      </w:r>
    </w:p>
    <w:p w14:paraId="18B4F614" w14:textId="77777777" w:rsidR="00F906EA" w:rsidRDefault="00D82B96">
      <w:pPr>
        <w:ind w:firstLine="720"/>
        <w:jc w:val="both"/>
      </w:pPr>
      <w:r>
        <w:t xml:space="preserve">In equine medicine, the pelvis and hindlimb are critically important in the assessment of lameness, a condition affecting performance horses of all disciplines. The complex anatomy of the equine distal limb — the coffin joint, navicular apparatus, deep digital flexor tendon, digital annular ligaments, and associated synovial structures — requires detailed anatomical knowledge for both diagnostic and therapeutic procedures. Diagnostic </w:t>
      </w:r>
      <w:proofErr w:type="spellStart"/>
      <w:r>
        <w:t>anaesthesia</w:t>
      </w:r>
      <w:proofErr w:type="spellEnd"/>
      <w:r>
        <w:t xml:space="preserve"> of specific synovial structures and nerve branches, the application of advanced imaging to the equine foot, and the precise placement of intra-articular medication all demand a thorough grounding in the relevant anatomy (Baxter, 2011; Dyce et al., 2010).</w:t>
      </w:r>
    </w:p>
    <w:p w14:paraId="715129FD" w14:textId="77777777" w:rsidR="00F906EA" w:rsidRDefault="00F906EA">
      <w:pPr>
        <w:spacing w:after="80"/>
      </w:pPr>
    </w:p>
    <w:p w14:paraId="51C4CF1D" w14:textId="77777777" w:rsidR="00F906EA" w:rsidRDefault="00D82B96">
      <w:pPr>
        <w:pStyle w:val="Heading1"/>
      </w:pPr>
      <w:r>
        <w:t>5. Species-Specific Anatomical Variations and Clinical Significance</w:t>
      </w:r>
    </w:p>
    <w:p w14:paraId="064A5D49" w14:textId="77777777" w:rsidR="00F906EA" w:rsidRDefault="00D82B96">
      <w:pPr>
        <w:pStyle w:val="Heading2"/>
      </w:pPr>
      <w:r>
        <w:t>5.1 Canine and Feline Anatomy</w:t>
      </w:r>
    </w:p>
    <w:p w14:paraId="6DE97383" w14:textId="77777777" w:rsidR="00F906EA" w:rsidRDefault="00D82B96">
      <w:pPr>
        <w:ind w:firstLine="720"/>
        <w:jc w:val="both"/>
      </w:pPr>
      <w:r>
        <w:lastRenderedPageBreak/>
        <w:t xml:space="preserve">The dog and cat, despite their status as the two most commonly presented companion animals in small animal practice, exhibit significant anatomical differences that have direct clinical consequences. The feline thorax is narrower in relation to body length than the canine thorax, a fact that influences the approach to thoracotomy and the placement of thoracic drainage tubes. The feline liver, which lacks the pronounced fissures present in the canine liver, presents a different appearance on ultrasound examination. The cat's distinctive renal pelvic anatomy — with its relatively large diverticula — means that ultrasonographic identification of mild </w:t>
      </w:r>
      <w:proofErr w:type="spellStart"/>
      <w:r>
        <w:t>pyelectasis</w:t>
      </w:r>
      <w:proofErr w:type="spellEnd"/>
      <w:r>
        <w:t xml:space="preserve"> may be normal in some cats and should not automatically be interpreted as evidence of upper urinary tract disease (Mattoon &amp; Nyland, 2015</w:t>
      </w:r>
      <w:r w:rsidR="00B12C59">
        <w:t xml:space="preserve">; </w:t>
      </w:r>
      <w:proofErr w:type="spellStart"/>
      <w:r w:rsidR="00B12C59" w:rsidRPr="00B12C59">
        <w:t>Lombardero</w:t>
      </w:r>
      <w:proofErr w:type="spellEnd"/>
      <w:r w:rsidR="00B12C59" w:rsidRPr="00B12C59">
        <w:t xml:space="preserve"> &amp; </w:t>
      </w:r>
      <w:proofErr w:type="spellStart"/>
      <w:r w:rsidR="00B12C59" w:rsidRPr="00B12C59">
        <w:t>Yllera</w:t>
      </w:r>
      <w:proofErr w:type="spellEnd"/>
      <w:r w:rsidR="00B12C59" w:rsidRPr="00B12C59">
        <w:t>, 2023; Varner et al., 2021; Kapoor, 2024</w:t>
      </w:r>
      <w:r>
        <w:t>).</w:t>
      </w:r>
    </w:p>
    <w:p w14:paraId="3001590F" w14:textId="77777777" w:rsidR="00F906EA" w:rsidRDefault="00D82B96">
      <w:pPr>
        <w:ind w:firstLine="720"/>
        <w:jc w:val="both"/>
      </w:pPr>
      <w:r>
        <w:t>The biliary anatomy of the cat warrants particular clinical attention. In cats, the common bile duct and pancreatic duct share a common opening at the major duodenal papilla, in contrast to the situation in dogs, where these ducts typically open separately. This anatomical arrangement means that duodenitis, pancreatitis, and hepatobiliary disease frequently occur concurrently in cats — a condition termed "</w:t>
      </w:r>
      <w:proofErr w:type="spellStart"/>
      <w:r>
        <w:t>triaditis</w:t>
      </w:r>
      <w:proofErr w:type="spellEnd"/>
      <w:r>
        <w:t xml:space="preserve">" in the feline literature — and that obstruction of the common duct affects both biliary and pancreatic drainage simultaneously. The clinician who understands this anatomical relationship is better positioned to explain the concurrent biochemical and ultrasonographic findings observed in affected cats and to anticipate the multi-system nature of the illness (Evans &amp; de </w:t>
      </w:r>
      <w:proofErr w:type="spellStart"/>
      <w:r>
        <w:t>Lahunta</w:t>
      </w:r>
      <w:proofErr w:type="spellEnd"/>
      <w:r>
        <w:t>, 2013; Dyce et al., 2010).</w:t>
      </w:r>
    </w:p>
    <w:p w14:paraId="3EC260A7" w14:textId="77777777" w:rsidR="00F906EA" w:rsidRDefault="00D82B96">
      <w:pPr>
        <w:ind w:firstLine="720"/>
        <w:jc w:val="both"/>
      </w:pPr>
      <w:r>
        <w:t xml:space="preserve">Breed-specific anatomical variations within the canine species further complicate the clinical picture. Brachycephalic breeds — including the Bulldog, Pug, and French Bulldog — exhibit a cluster of conformational abnormalities collectively termed brachycephalic obstructive airway syndrome (BOAS), encompassing stenotic nares, an elongated soft palate, a hypoplastic trachea, and aberrant </w:t>
      </w:r>
      <w:proofErr w:type="spellStart"/>
      <w:r>
        <w:t>turbinates</w:t>
      </w:r>
      <w:proofErr w:type="spellEnd"/>
      <w:r>
        <w:t xml:space="preserve">. The surgical correction of these abnormalities requires precise anatomical knowledge of the upper airway, palatal structure, and laryngeal anatomy (Evans &amp; de </w:t>
      </w:r>
      <w:proofErr w:type="spellStart"/>
      <w:r>
        <w:t>Lahunta</w:t>
      </w:r>
      <w:proofErr w:type="spellEnd"/>
      <w:r>
        <w:t xml:space="preserve">, 2013). Similarly, chondrodystrophic breeds are predisposed to intervertebral disc disease, and the management of this condition — whether by medical or surgical means — demands a thorough understanding of intervertebral disc anatomy, spinal cord topography, and the anatomical approaches relevant to decompressive surgery (De </w:t>
      </w:r>
      <w:proofErr w:type="spellStart"/>
      <w:r>
        <w:t>Lahunta</w:t>
      </w:r>
      <w:proofErr w:type="spellEnd"/>
      <w:r>
        <w:t xml:space="preserve"> et al., 2015; Fossum, 2018).</w:t>
      </w:r>
    </w:p>
    <w:p w14:paraId="4202B618" w14:textId="77777777" w:rsidR="00F906EA" w:rsidRDefault="00D82B96">
      <w:pPr>
        <w:pStyle w:val="Heading2"/>
      </w:pPr>
      <w:r>
        <w:t>5.2 Equine Anatomy</w:t>
      </w:r>
    </w:p>
    <w:p w14:paraId="7D107EDF" w14:textId="77777777" w:rsidR="00F906EA" w:rsidRDefault="00D82B96">
      <w:pPr>
        <w:ind w:firstLine="720"/>
        <w:jc w:val="both"/>
      </w:pPr>
      <w:r>
        <w:t xml:space="preserve">The horse presents a uniquely challenging anatomical subject, combining immense body size with a complex gastrointestinal system, a </w:t>
      </w:r>
      <w:proofErr w:type="spellStart"/>
      <w:r>
        <w:t>specialised</w:t>
      </w:r>
      <w:proofErr w:type="spellEnd"/>
      <w:r>
        <w:t xml:space="preserve"> musculoskeletal apparatus adapted for speed, and unique physiological characteristics that influence the presentation of disease. The equine gastrointestinal tract is </w:t>
      </w:r>
      <w:proofErr w:type="spellStart"/>
      <w:r>
        <w:t>characterised</w:t>
      </w:r>
      <w:proofErr w:type="spellEnd"/>
      <w:r>
        <w:t xml:space="preserve"> by its remarkable length, complexity, and propensity for displacement, volvulus, and obstruction — collectively termed "colic" — which represents </w:t>
      </w:r>
      <w:r>
        <w:lastRenderedPageBreak/>
        <w:t>the leading cause of morbidity and mortality in horses worldwide (Baxter, 2011; Dyce et al., 2010).</w:t>
      </w:r>
    </w:p>
    <w:p w14:paraId="7CE02E23" w14:textId="77777777" w:rsidR="00F906EA" w:rsidRDefault="00D82B96">
      <w:pPr>
        <w:ind w:firstLine="720"/>
        <w:jc w:val="both"/>
      </w:pPr>
      <w:r>
        <w:t>The anatomy of the large colon of the horse is particularly distinctive and clinically significant. The equine large colon — comprising the right ventral, left ventral, left dorsal, and right dorsal colons — describes a complex U-shaped loop within the abdomen, loosely attached by extensive mesentery that allows for displacement and rotation. The pelvic flexure, the site at which the left ventral colon transitions to the left dorsal colon, is the most common site of impaction colic and is the only portion of the large colon accessible per rectum in most horses. Rectal examination is thus a critical clinical skill in equine medicine, and its effective use requires intimate knowledge of the normal anatomy palpable per rectum and the significance of deviations from that normal anatomy (König &amp; Liebich, 2020; Baxter, 2011).</w:t>
      </w:r>
    </w:p>
    <w:p w14:paraId="3F57021B" w14:textId="77777777" w:rsidR="00F906EA" w:rsidRDefault="00D82B96">
      <w:pPr>
        <w:ind w:firstLine="720"/>
        <w:jc w:val="both"/>
      </w:pPr>
      <w:r>
        <w:t>The equine foot represents one of the most anatomically complex structures in veterinary medicine, and its clinical investigation has been transformed by the application of MRI in the standing sedated horse. High-field MRI of the equine foot has revealed the full extent of previously underappreciated lesions in the navicular bone, the deep digital flexor tendon, the impar ligament, and the collateral ligaments of the coffin joint. The interpretation of these images requires a three-dimensional mental model of the structures within the hoof capsule that was previously accessible only to the dedicated anatomist (Baxter, 2011; Thrall, 2018).</w:t>
      </w:r>
    </w:p>
    <w:p w14:paraId="07F8965C" w14:textId="77777777" w:rsidR="00F906EA" w:rsidRDefault="00D82B96">
      <w:pPr>
        <w:pStyle w:val="Heading2"/>
      </w:pPr>
      <w:r>
        <w:t>5.3 Bovine and Ruminant Anatomy</w:t>
      </w:r>
    </w:p>
    <w:p w14:paraId="66AD0503" w14:textId="77777777" w:rsidR="00F906EA" w:rsidRDefault="00D82B96">
      <w:pPr>
        <w:ind w:firstLine="720"/>
        <w:jc w:val="both"/>
      </w:pPr>
      <w:r>
        <w:t xml:space="preserve">Cattle and other ruminants present anatomical features that are profoundly different from those of companion animals and horses, reflecting their evolutionary adaptation to a diet of cellulose-rich vegetation. The ruminant digestive system — encompassing the rumen, reticulum, omasum, and abomasum — represents a remarkable anatomical </w:t>
      </w:r>
      <w:proofErr w:type="spellStart"/>
      <w:r>
        <w:t>specialisation</w:t>
      </w:r>
      <w:proofErr w:type="spellEnd"/>
      <w:r>
        <w:t xml:space="preserve"> with direct clinical consequences for the diagnosis and management of gastrointestinal disease (König &amp; Liebich, 2020; Dyce et al., 2010).</w:t>
      </w:r>
    </w:p>
    <w:p w14:paraId="16A629C5" w14:textId="77777777" w:rsidR="00F906EA" w:rsidRDefault="00D82B96">
      <w:pPr>
        <w:ind w:firstLine="720"/>
        <w:jc w:val="both"/>
      </w:pPr>
      <w:r>
        <w:t xml:space="preserve">The reticulum deserves particular attention in the clinical context. Located immediately behind the diaphragm in the left cranioventral abdomen, the reticulum is the first compartment to receive ingested material and the site at which heavy, dense objects — particularly metallic foreign bodies such as nails and wire — settle by gravity. Traumatic </w:t>
      </w:r>
      <w:proofErr w:type="spellStart"/>
      <w:r>
        <w:t>reticuloperitonitis</w:t>
      </w:r>
      <w:proofErr w:type="spellEnd"/>
      <w:r>
        <w:t xml:space="preserve">, caused by perforation of the reticular wall by ingested metallic foreign bodies, is one of the most common and economically important conditions in dairy cattle. The clinician diagnosing this condition relies upon knowledge of the reticulum's position and its anatomical relationships with the diaphragm, the pericardium, and the </w:t>
      </w:r>
      <w:proofErr w:type="spellStart"/>
      <w:r>
        <w:t>vagus</w:t>
      </w:r>
      <w:proofErr w:type="spellEnd"/>
      <w:r>
        <w:t xml:space="preserve"> nerve to interpret the characteristic clinical signs of thoracic pain, anterior abdominal pain, and potential vagal indigestion (Dyce et al., 2010; König &amp; Liebich, 2020).</w:t>
      </w:r>
    </w:p>
    <w:p w14:paraId="7F9D30B2" w14:textId="77777777" w:rsidR="00F906EA" w:rsidRDefault="00D82B96">
      <w:pPr>
        <w:ind w:firstLine="720"/>
        <w:jc w:val="both"/>
      </w:pPr>
      <w:r>
        <w:lastRenderedPageBreak/>
        <w:t xml:space="preserve">Bovine reproductive anatomy is the foundation of the cattle practitioner's work, encompassing the clinical skills of rectal palpation, pregnancy diagnosis, artificial insemination, and the management of dystocia and reproductive tract pathology. The anatomy of the bovine uterus — its bicornuate structure with prominent caruncles, its relationship to the broad ligament and the ovaries, and the normal changes associated with pregnancy — must be thoroughly </w:t>
      </w:r>
      <w:proofErr w:type="spellStart"/>
      <w:r>
        <w:t>internalised</w:t>
      </w:r>
      <w:proofErr w:type="spellEnd"/>
      <w:r>
        <w:t xml:space="preserve"> by the practitioner before proficiency in these procedures can be attained (Dyce et al., 2010; König &amp; Liebich, 2020).</w:t>
      </w:r>
    </w:p>
    <w:p w14:paraId="4C621D77" w14:textId="77777777" w:rsidR="00F906EA" w:rsidRDefault="00D82B96">
      <w:pPr>
        <w:pStyle w:val="Heading2"/>
      </w:pPr>
      <w:r>
        <w:t>5.4 Exotic and Zoo Animal Anatomy</w:t>
      </w:r>
    </w:p>
    <w:p w14:paraId="6B11415C" w14:textId="77777777" w:rsidR="00F906EA" w:rsidRDefault="00D82B96">
      <w:pPr>
        <w:ind w:firstLine="720"/>
        <w:jc w:val="both"/>
      </w:pPr>
      <w:r>
        <w:t>The practice of exotic animal medicine encompasses an extraordinary range of species — from reptiles and birds to small mammals and fish — each presenting unique anatomical challenges. Unlike dogs, cats, and horses, which have extensive dedicated anatomical literature, many exotic species are served by comparatively limited published resources, placing a greater premium on the clinician's ability to extrapolate from comparative anatomy and to conduct original morphological assessment (</w:t>
      </w:r>
      <w:proofErr w:type="spellStart"/>
      <w:r>
        <w:t>Banzato</w:t>
      </w:r>
      <w:proofErr w:type="spellEnd"/>
      <w:r>
        <w:t xml:space="preserve"> et al., 2012). The application of MRI and CT imaging to exotic species has significantly advanced the understanding of their normal anatomy, providing reference atlases and comparative studies that are directly applicable to clinical interpretation.</w:t>
      </w:r>
    </w:p>
    <w:p w14:paraId="10054C2E" w14:textId="77777777" w:rsidR="00F906EA" w:rsidRDefault="00D82B96">
      <w:pPr>
        <w:ind w:firstLine="720"/>
        <w:jc w:val="both"/>
      </w:pPr>
      <w:r>
        <w:t xml:space="preserve">Avian anatomy differs substantially from mammalian anatomy in ways that directly affect clinical management. Birds possess </w:t>
      </w:r>
      <w:proofErr w:type="spellStart"/>
      <w:r>
        <w:t>pneumatised</w:t>
      </w:r>
      <w:proofErr w:type="spellEnd"/>
      <w:r>
        <w:t xml:space="preserve"> bones that communicate with the air sac system, meaning that respiratory disease may manifest as bone lesions, and that bone marrow suppression may compromise respiratory function — anatomical relationships with no parallel in mammals. The avian keel sternum provides the attachment for the flight musculature, and its assessment is important in birds presenting with reduced flight ability. The avian kidney, situated within the synsacrum, cannot be palpated per abdominal examination in the same way as mammalian kidneys; its clinical evaluation relies primarily on radiography, endoscopy, and </w:t>
      </w:r>
      <w:proofErr w:type="spellStart"/>
      <w:r>
        <w:t>haematological</w:t>
      </w:r>
      <w:proofErr w:type="spellEnd"/>
      <w:r>
        <w:t xml:space="preserve"> findings (König &amp; Liebich, 2020).</w:t>
      </w:r>
    </w:p>
    <w:p w14:paraId="3648279A" w14:textId="77777777" w:rsidR="00F906EA" w:rsidRDefault="00D82B96">
      <w:pPr>
        <w:ind w:firstLine="720"/>
        <w:jc w:val="both"/>
      </w:pPr>
      <w:r>
        <w:t>Reptilian anatomy presents its own set of challenges. The location of major vessels, the anatomy of the coelomic cavity, and the position of organs within the coelomic space differ substantially between lizards, snakes, and chelonians. The chelonian cardiovascular system — notable for its three-chambered heart with an incomplete interventricular septum — means that cardiovascular disease in tortoises and turtles may present differently from mammalian cardiac disease, and its clinical assessment requires appropriate anatomical context. The clinician who approaches exotic animal medicine with a strong foundation in comparative anatomy and an appreciation of species-specific variation is far better equipped to provide competent care to these patients (</w:t>
      </w:r>
      <w:proofErr w:type="spellStart"/>
      <w:r>
        <w:t>Banzato</w:t>
      </w:r>
      <w:proofErr w:type="spellEnd"/>
      <w:r>
        <w:t xml:space="preserve"> et al., 2012).</w:t>
      </w:r>
    </w:p>
    <w:p w14:paraId="0923FCD7" w14:textId="77777777" w:rsidR="00F906EA" w:rsidRDefault="00F906EA">
      <w:pPr>
        <w:spacing w:after="80"/>
      </w:pPr>
    </w:p>
    <w:p w14:paraId="44A778EE" w14:textId="77777777" w:rsidR="00F906EA" w:rsidRDefault="00D82B96">
      <w:pPr>
        <w:pStyle w:val="Heading1"/>
      </w:pPr>
      <w:r>
        <w:lastRenderedPageBreak/>
        <w:t>6. Diagnostic Imaging and Anatomical Correlation</w:t>
      </w:r>
    </w:p>
    <w:p w14:paraId="67D71E79" w14:textId="77777777" w:rsidR="00F906EA" w:rsidRDefault="00D82B96">
      <w:pPr>
        <w:pStyle w:val="Heading2"/>
      </w:pPr>
      <w:r>
        <w:t>6.1 Radiography and Ultrasonography</w:t>
      </w:r>
    </w:p>
    <w:p w14:paraId="42B8E3E5" w14:textId="77777777" w:rsidR="00F906EA" w:rsidRDefault="00D82B96">
      <w:pPr>
        <w:ind w:firstLine="720"/>
        <w:jc w:val="both"/>
      </w:pPr>
      <w:r>
        <w:t>Diagnostic imaging is the most direct clinical application of anatomical knowledge, translating structural anatomy into visual representations that guide clinical decision-making. Radiography, the oldest and most widely used veterinary imaging modality, produces two-dimensional representations of three-dimensional anatomy, and their accurate interpretation requires the clinician to mentally reconstruct the three-dimensional structures responsible for the shadows observed on the film or screen. This cognitive process is inherently anatomical, depending upon detailed knowledge of the normal radiographic appearance of each structure in each projection (Thrall, 2018</w:t>
      </w:r>
      <w:r w:rsidR="00B12C59">
        <w:t xml:space="preserve">; </w:t>
      </w:r>
      <w:r w:rsidR="00B12C59" w:rsidRPr="00B12C59">
        <w:t>Kapoor, 2024</w:t>
      </w:r>
      <w:r>
        <w:t>).</w:t>
      </w:r>
    </w:p>
    <w:p w14:paraId="4A0B9D29" w14:textId="77777777" w:rsidR="00F906EA" w:rsidRDefault="00D82B96">
      <w:pPr>
        <w:ind w:firstLine="720"/>
        <w:jc w:val="both"/>
      </w:pPr>
      <w:r>
        <w:t>Ultrasonography has become an indispensable tool in modern veterinary practice, offering real-time, non-</w:t>
      </w:r>
      <w:proofErr w:type="spellStart"/>
      <w:r>
        <w:t>ionising</w:t>
      </w:r>
      <w:proofErr w:type="spellEnd"/>
      <w:r>
        <w:t xml:space="preserve"> imaging of soft tissue structures with resolution sufficient to identify parenchymal changes, fluid accumulations, and vascular architecture. The accurate placement of the ultrasound probe and the correct identification of imaged structures depend upon the operator's knowledge of the topographical anatomy of the region being examined (Mattoon &amp; Nyland, 2015). The practitioner performing an abdominal ultrasound must know not only the expected position of each organ but also the normal echogenicity and echotexture of each parenchymal structure, the expected appearances of major vessels and their anatomical landmarks, and the normal variation in appearances between patients of different sizes, body conditions, and species.</w:t>
      </w:r>
    </w:p>
    <w:p w14:paraId="3A9906FC" w14:textId="77777777" w:rsidR="00F906EA" w:rsidRDefault="00D82B96">
      <w:pPr>
        <w:ind w:firstLine="720"/>
        <w:jc w:val="both"/>
      </w:pPr>
      <w:r>
        <w:t xml:space="preserve">Ultrasound-guided procedures — including fine needle aspiration, biopsy, cystocentesis, </w:t>
      </w:r>
      <w:proofErr w:type="spellStart"/>
      <w:r>
        <w:t>thoracocentesis</w:t>
      </w:r>
      <w:proofErr w:type="spellEnd"/>
      <w:r>
        <w:t xml:space="preserve">, and regional </w:t>
      </w:r>
      <w:proofErr w:type="spellStart"/>
      <w:r>
        <w:t>anaesthetic</w:t>
      </w:r>
      <w:proofErr w:type="spellEnd"/>
      <w:r>
        <w:t xml:space="preserve"> nerve blocks — have become routine in veterinary practice, and their safety profile is directly linked to the operator's anatomical knowledge. The identification of the correct needle trajectory, the avoidance of adjacent vessels and nerves, and the confirmation of appropriate needle placement all require real-time anatomical orientation. The increasing availability of ultrasound technology in general practice has, in important respects, made anatomical knowledge more rather than less important, since the clinician must now be able to conduct rapid, bedside anatomical assessment in a wide variety of emergency and elective situations (Mattoon &amp; Nyland, 2015; Johnson &amp; Wisner, 2007).</w:t>
      </w:r>
    </w:p>
    <w:p w14:paraId="1BADCA44" w14:textId="77777777" w:rsidR="00F906EA" w:rsidRDefault="00D82B96">
      <w:pPr>
        <w:pStyle w:val="Heading2"/>
      </w:pPr>
      <w:r>
        <w:t>6.2 Computed Tomography and Magnetic Resonance Imaging</w:t>
      </w:r>
    </w:p>
    <w:p w14:paraId="75354893" w14:textId="77777777" w:rsidR="00F906EA" w:rsidRDefault="00D82B96">
      <w:pPr>
        <w:ind w:firstLine="720"/>
        <w:jc w:val="both"/>
      </w:pPr>
      <w:r>
        <w:t xml:space="preserve">Computed tomography and MRI have transformed veterinary diagnostic capabilities, enabling non-invasive, high-resolution imaging of anatomical structures with a level of detail previously accessible only through dissection. CT provides excellent bony and soft tissue detail and is now standard of care for the evaluation of thoracic and abdominal masses, nasal </w:t>
      </w:r>
      <w:proofErr w:type="spellStart"/>
      <w:r>
        <w:t>tumours</w:t>
      </w:r>
      <w:proofErr w:type="spellEnd"/>
      <w:r>
        <w:t xml:space="preserve">, hepatic lesions, pulmonary thromboembolism, and complex fractures (Thrall, 2018). MRI offers </w:t>
      </w:r>
      <w:r>
        <w:lastRenderedPageBreak/>
        <w:t xml:space="preserve">superior soft tissue contrast, particularly for neural tissue, and is the gold standard for the investigation of brain disease, spinal cord pathology, and joint disorders in companion animals (De </w:t>
      </w:r>
      <w:proofErr w:type="spellStart"/>
      <w:r>
        <w:t>Lahunta</w:t>
      </w:r>
      <w:proofErr w:type="spellEnd"/>
      <w:r>
        <w:t xml:space="preserve"> et al., 2015).</w:t>
      </w:r>
    </w:p>
    <w:p w14:paraId="182E203F" w14:textId="77777777" w:rsidR="00F906EA" w:rsidRDefault="00D82B96">
      <w:pPr>
        <w:ind w:firstLine="720"/>
        <w:jc w:val="both"/>
      </w:pPr>
      <w:r>
        <w:t>The effective use of CT and MRI is entirely contingent upon the clinician's ability to identify normal anatomical structures in cross-sectional, sagittal, and dorsal planes — a skill requiring mental translation from the conventional views of gross anatomy to the multiplanar perspectives provided by these modalities. This translational ability is fundamentally educational in nature and must be systematically developed through dedicated training that combines conventional anatomical study with cross-sectional imaging interpretation (</w:t>
      </w:r>
      <w:proofErr w:type="spellStart"/>
      <w:r>
        <w:t>Estai</w:t>
      </w:r>
      <w:proofErr w:type="spellEnd"/>
      <w:r>
        <w:t xml:space="preserve"> &amp; Bunt, 2016; Thrall, 2018). Institutions that provide students with explicit cross-sectional anatomy training — including the study of cadaveric sections and CT/MRI atlases — produce graduates who are considerably more confident and accurate in their imaging interpretation.</w:t>
      </w:r>
    </w:p>
    <w:p w14:paraId="3C97D9A5" w14:textId="77777777" w:rsidR="00F906EA" w:rsidRDefault="00D82B96">
      <w:pPr>
        <w:ind w:firstLine="720"/>
        <w:jc w:val="both"/>
      </w:pPr>
      <w:r>
        <w:t xml:space="preserve">In equine medicine, CT of the head, neck, and distal limbs, and MRI of the foot and carpus, have revealed anatomical pathology that was previously detectable only at post-mortem examination. The identification of early navicular bone </w:t>
      </w:r>
      <w:proofErr w:type="spellStart"/>
      <w:r>
        <w:t>remodelling</w:t>
      </w:r>
      <w:proofErr w:type="spellEnd"/>
      <w:r>
        <w:t xml:space="preserve">, occult stress fractures of the third metacarpus, subchondral cystic lesions of the pastern, and soft tissue injuries of the proximal suspensory apparatus has dramatically changed the management of equine lameness (Baxter, 2011). These diagnostic advances are, in each case, grounded in anatomical knowledge — the ability to </w:t>
      </w:r>
      <w:proofErr w:type="spellStart"/>
      <w:r>
        <w:t>recognise</w:t>
      </w:r>
      <w:proofErr w:type="spellEnd"/>
      <w:r>
        <w:t xml:space="preserve"> what is normal before identifying what is abnormal.</w:t>
      </w:r>
    </w:p>
    <w:p w14:paraId="288550BB" w14:textId="77777777" w:rsidR="00F906EA" w:rsidRDefault="00F906EA">
      <w:pPr>
        <w:spacing w:after="80"/>
      </w:pPr>
    </w:p>
    <w:p w14:paraId="1D76DBD8" w14:textId="77777777" w:rsidR="00F906EA" w:rsidRDefault="00D82B96">
      <w:pPr>
        <w:pStyle w:val="Heading1"/>
      </w:pPr>
      <w:r>
        <w:t>7. Neuroanatomy in Clinical Veterinary Practice</w:t>
      </w:r>
    </w:p>
    <w:p w14:paraId="73DCB300" w14:textId="77777777" w:rsidR="00F906EA" w:rsidRDefault="00D82B96">
      <w:pPr>
        <w:ind w:firstLine="720"/>
        <w:jc w:val="both"/>
      </w:pPr>
      <w:r>
        <w:t xml:space="preserve">Neurological diagnosis in veterinary medicine is perhaps the most direct and rigorous test of the clinician's anatomical knowledge. The neurological examination is a structured process of anatomical </w:t>
      </w:r>
      <w:proofErr w:type="spellStart"/>
      <w:r>
        <w:t>localisation</w:t>
      </w:r>
      <w:proofErr w:type="spellEnd"/>
      <w:r>
        <w:t xml:space="preserve">: by systematically assessing mentation, gait, postural reactions, spinal reflexes, and cranial nerve function, the clinician constructs a picture of which region or regions of the nervous system are dysfunctional. This </w:t>
      </w:r>
      <w:proofErr w:type="spellStart"/>
      <w:r>
        <w:t>localisation</w:t>
      </w:r>
      <w:proofErr w:type="spellEnd"/>
      <w:r>
        <w:t xml:space="preserve"> — expressed in terms of lesion categories such as C1–C5, C6–T2, T3–L3, L4–S3, or intracranial — directly guides subsequent diagnostic investigation and treatment planning (De </w:t>
      </w:r>
      <w:proofErr w:type="spellStart"/>
      <w:r>
        <w:t>Lahunta</w:t>
      </w:r>
      <w:proofErr w:type="spellEnd"/>
      <w:r>
        <w:t xml:space="preserve"> et al., 2015; Lorenz et al., 2011).</w:t>
      </w:r>
    </w:p>
    <w:p w14:paraId="74CBF66A" w14:textId="77777777" w:rsidR="00F906EA" w:rsidRDefault="00D82B96">
      <w:pPr>
        <w:ind w:firstLine="720"/>
        <w:jc w:val="both"/>
      </w:pPr>
      <w:r>
        <w:t xml:space="preserve">The anatomy of the spinal cord and its segmental relationships to the vertebral column must be thoroughly understood by the clinician performing neurological assessment. In the dog, the spinal cord terminates at approximately the level of the sixth lumbar vertebra, meaning that lesions affecting the cauda equina are anatomically distinct from those affecting the spinal cord itself and produce a characteristically different clinical picture — loss of bladder and bowel control, lower motor </w:t>
      </w:r>
      <w:proofErr w:type="spellStart"/>
      <w:r>
        <w:t>neurone</w:t>
      </w:r>
      <w:proofErr w:type="spellEnd"/>
      <w:r>
        <w:t xml:space="preserve"> signs in the hindlimbs, and perineal hypalgesia — that reflects the </w:t>
      </w:r>
      <w:r>
        <w:lastRenderedPageBreak/>
        <w:t xml:space="preserve">anatomy of the sacral and caudal nerve roots rather than the spinal cord proper (De </w:t>
      </w:r>
      <w:proofErr w:type="spellStart"/>
      <w:r>
        <w:t>Lahunta</w:t>
      </w:r>
      <w:proofErr w:type="spellEnd"/>
      <w:r>
        <w:t xml:space="preserve"> et al., 2015; Lorenz et al., 2011).</w:t>
      </w:r>
    </w:p>
    <w:p w14:paraId="4FB9449B" w14:textId="77777777" w:rsidR="00F906EA" w:rsidRDefault="00D82B96">
      <w:pPr>
        <w:ind w:firstLine="720"/>
        <w:jc w:val="both"/>
      </w:pPr>
      <w:r>
        <w:t>Intervertebral disc disease in chondrodystrophic dogs — a condition of enormous clinical frequency — exemplifies the importance of anatomical knowledge in neurological practice. Hansen Type I disc extrusions, in which the nucleus pulposus is explosively extruded through the annulus fibrosus and the dorsal longitudinal ligament into the vertebral canal, may cause acute spinal cord compression with devastating consequences. The clinician's knowledge of disc anatomy, spinal cord topography, and the relationships between specific disc spaces and the neural structures they may compress informs both the clinical assessment of severity and the selection of the appropriate decompressive surgical procedure — hemilaminectomy, pediculectomy, or dorsal laminectomy — each of which requires precise anatomical execution (Fossum, 2018; Tobias &amp; Johnston, 2012).</w:t>
      </w:r>
    </w:p>
    <w:p w14:paraId="1189D124" w14:textId="77777777" w:rsidR="00F906EA" w:rsidRDefault="00D82B96">
      <w:pPr>
        <w:ind w:firstLine="720"/>
        <w:jc w:val="both"/>
      </w:pPr>
      <w:r>
        <w:t xml:space="preserve">Cranial nerve examination provides another window onto the clinical utility of neuroanatomy. Each of the twelve cranial nerves has a specific anatomical course, and its dysfunction produces predictable clinical signs that reflect both the nerve's sensory or motor functions and its anatomical trajectory. The presence of Horner's syndrome — </w:t>
      </w:r>
      <w:proofErr w:type="spellStart"/>
      <w:r>
        <w:t>characterised</w:t>
      </w:r>
      <w:proofErr w:type="spellEnd"/>
      <w:r>
        <w:t xml:space="preserve"> by miosis, ptosis, enophthalmos, and prolapse of the nictitating membrane — can reflect a lesion anywhere along the sympathetic pathway from the hypothalamus through the cervical spinal cord, thoracic spinal cord, cranial thoracic sympathetic trunk, cervical sympathetic trunk, and post-ganglionic </w:t>
      </w:r>
      <w:proofErr w:type="spellStart"/>
      <w:r>
        <w:t>fibres</w:t>
      </w:r>
      <w:proofErr w:type="spellEnd"/>
      <w:r>
        <w:t xml:space="preserve"> passing over the tympanic bulla to the orbit. Accurate anatomical </w:t>
      </w:r>
      <w:proofErr w:type="spellStart"/>
      <w:r>
        <w:t>localisation</w:t>
      </w:r>
      <w:proofErr w:type="spellEnd"/>
      <w:r>
        <w:t xml:space="preserve"> within this complex pathway is essential for identifying the underlying cause, and the differential diagnoses for Horner's syndrome accordingly span conditions as diverse as brachial plexus avulsion, thoracic mass lesions, and middle ear disease (Lorenz et al., 2011; De </w:t>
      </w:r>
      <w:proofErr w:type="spellStart"/>
      <w:r>
        <w:t>Lahunta</w:t>
      </w:r>
      <w:proofErr w:type="spellEnd"/>
      <w:r>
        <w:t xml:space="preserve"> et al., 2015).</w:t>
      </w:r>
    </w:p>
    <w:p w14:paraId="6F291BF4" w14:textId="77777777" w:rsidR="00F906EA" w:rsidRDefault="00F906EA">
      <w:pPr>
        <w:spacing w:after="80"/>
      </w:pPr>
    </w:p>
    <w:p w14:paraId="17226398" w14:textId="77777777" w:rsidR="00F906EA" w:rsidRDefault="00D82B96">
      <w:pPr>
        <w:pStyle w:val="Heading1"/>
      </w:pPr>
      <w:r>
        <w:t>8. Cardiovascular and Respiratory Anatomical Considerations</w:t>
      </w:r>
    </w:p>
    <w:p w14:paraId="1D536CC0" w14:textId="77777777" w:rsidR="00F906EA" w:rsidRDefault="00D82B96">
      <w:pPr>
        <w:ind w:firstLine="720"/>
        <w:jc w:val="both"/>
      </w:pPr>
      <w:r>
        <w:t xml:space="preserve">The cardiovascular system of veterinary species exhibits considerable diversity in its detailed anatomy, despite sharing the fundamental mammalian </w:t>
      </w:r>
      <w:proofErr w:type="spellStart"/>
      <w:r>
        <w:t>bauplan</w:t>
      </w:r>
      <w:proofErr w:type="spellEnd"/>
      <w:r>
        <w:t xml:space="preserve"> of a four-chambered heart with separate systemic and pulmonary circulations. Breed-specific variations in cardiac anatomy, congenital cardiac defects arising from errors in embryological development, and the significant differences between mammalian and avian cardiovascular anatomy all demand anatomical specificity from the clinician (Dyce et al., 2010; König &amp; Liebich, 2020).</w:t>
      </w:r>
    </w:p>
    <w:p w14:paraId="247FD3E0" w14:textId="77777777" w:rsidR="00F906EA" w:rsidRDefault="00D82B96">
      <w:pPr>
        <w:ind w:firstLine="720"/>
        <w:jc w:val="both"/>
      </w:pPr>
      <w:r>
        <w:t xml:space="preserve">Congenital cardiac defects in dogs and cats — including patent ductus arteriosus, pulmonic stenosis, subaortic stenosis, ventricular septal defects, and persistent right aortic arch — all represent failures of normal cardiovascular developmental anatomy. The interpretation of </w:t>
      </w:r>
      <w:r>
        <w:lastRenderedPageBreak/>
        <w:t xml:space="preserve">echocardiographic findings in these patients, and the planning of surgical or catheter-based interventions for their correction, requires detailed knowledge of normal cardiac anatomy and its embryological derivation. Patent ductus arteriosus surgery, for example, requires the surgeon to dissect and ligate a persistent embryonic vessel within the mediastinum, in close proximity to the recurrent laryngeal nerve, pulmonary artery, aorta, and </w:t>
      </w:r>
      <w:proofErr w:type="spellStart"/>
      <w:r>
        <w:t>vagus</w:t>
      </w:r>
      <w:proofErr w:type="spellEnd"/>
      <w:r>
        <w:t xml:space="preserve"> nerve — a procedure demanding consummate anatomical knowledge and surgical precision (Fossum, 2018; Slatter, 2003).</w:t>
      </w:r>
    </w:p>
    <w:p w14:paraId="56EFEED9" w14:textId="77777777" w:rsidR="00F906EA" w:rsidRDefault="00D82B96">
      <w:pPr>
        <w:ind w:firstLine="720"/>
        <w:jc w:val="both"/>
      </w:pPr>
      <w:r>
        <w:t>Respiratory anatomy is equally important in clinical practice. The differentiation between pulmonary and pleural disease on thoracic radiography or CT relies upon knowledge of the anatomy of the pleural space and its relationship to the lung lobes, mediastinum, and chest wall. In horses, the guttural pouches — air-filled diverticula of the auditory tube unique to Equidae — are housed in a position adjacent to the internal carotid artery, cranial nerves IX through XII, the sympathetic trunk, and the retropharyngeal lymph nodes. Guttural pouch mycosis — a fungal infection of the guttural pouch mucosa — may erode through the pouch wall into the internal carotid artery, causing life-threatening epistaxis; the management of this condition requires both precise anatomical knowledge and considered surgical technique (Baxter, 2011; Johnson &amp; Wisner, 2007).</w:t>
      </w:r>
    </w:p>
    <w:p w14:paraId="4DAAD6B2" w14:textId="77777777" w:rsidR="00F906EA" w:rsidRDefault="00D82B96">
      <w:pPr>
        <w:ind w:firstLine="720"/>
        <w:jc w:val="both"/>
      </w:pPr>
      <w:r>
        <w:t>The anatomy of the bronchial tree, with its species-specific patterns of lobar and segmental bronchi, is important in both medical and surgical respiratory disease management. In dogs, the cranial portion of the right cranial lobe is supplied by a tracheal bronchus that arises directly from the trachea before the carina — an anatomical variant of clinical significance during endobronchial intubation and in the interpretation of thoracic radiographs. Such species-specific anatomical details illustrate why the veterinary clinician cannot rely on a single species model of respiratory anatomy and must maintain species-specific anatomical knowledge across the breadth of patients encountered in practice (Dyce et al., 2010; Thrall, 2018).</w:t>
      </w:r>
    </w:p>
    <w:p w14:paraId="2DFB38AA" w14:textId="77777777" w:rsidR="00F906EA" w:rsidRDefault="00F906EA">
      <w:pPr>
        <w:spacing w:after="80"/>
      </w:pPr>
    </w:p>
    <w:p w14:paraId="19B9AEF9" w14:textId="77777777" w:rsidR="00F906EA" w:rsidRDefault="00D82B96">
      <w:pPr>
        <w:pStyle w:val="Heading1"/>
      </w:pPr>
      <w:r>
        <w:t xml:space="preserve">9. Musculoskeletal Anatomy and </w:t>
      </w:r>
      <w:proofErr w:type="spellStart"/>
      <w:r>
        <w:t>Orthopaedic</w:t>
      </w:r>
      <w:proofErr w:type="spellEnd"/>
      <w:r>
        <w:t xml:space="preserve"> Applications</w:t>
      </w:r>
    </w:p>
    <w:p w14:paraId="037A3870" w14:textId="77777777" w:rsidR="00F906EA" w:rsidRDefault="00D82B96">
      <w:pPr>
        <w:ind w:firstLine="720"/>
        <w:jc w:val="both"/>
      </w:pPr>
      <w:proofErr w:type="spellStart"/>
      <w:r>
        <w:t>Orthopaedic</w:t>
      </w:r>
      <w:proofErr w:type="spellEnd"/>
      <w:r>
        <w:t xml:space="preserve"> surgery in veterinary medicine is among the most anatomically demanding of all surgical disciplines, requiring three-dimensional comprehension of osseous architecture, articular surfaces, muscular attachments, ligamentous arrangements, and neurovascular relationships. The design and execution of procedures for the repair of fractures, the correction of joint instabilities, and the management of developmental </w:t>
      </w:r>
      <w:proofErr w:type="spellStart"/>
      <w:r>
        <w:t>orthopaedic</w:t>
      </w:r>
      <w:proofErr w:type="spellEnd"/>
      <w:r>
        <w:t xml:space="preserve"> diseases all depend fundamentally upon anatomical knowledge (Tobias &amp; Johnston, 2012; Millis &amp; Levine, 2014).</w:t>
      </w:r>
    </w:p>
    <w:p w14:paraId="02D3DA16" w14:textId="77777777" w:rsidR="00F906EA" w:rsidRDefault="00D82B96">
      <w:pPr>
        <w:ind w:firstLine="720"/>
        <w:jc w:val="both"/>
      </w:pPr>
      <w:r>
        <w:t xml:space="preserve">Fracture repair provides an illustrative context. The choice of implant system, the design of the surgical approach, and the technical execution of plate application, intramedullary nail placement, or external skeletal fixation all require precise anatomical planning. The anatomical </w:t>
      </w:r>
      <w:r>
        <w:lastRenderedPageBreak/>
        <w:t>mapping of each bone — its cortical thickness, cancellous structure, nutrient foramina, muscular attachments, and associated neurovascular structures — determines which surfaces are safe for implant placement and which are protected by critical structures that must be identified and avoided (Slatter, 2003; Tobias &amp; Johnston, 2012).</w:t>
      </w:r>
    </w:p>
    <w:p w14:paraId="146236B7" w14:textId="77777777" w:rsidR="00F906EA" w:rsidRDefault="00D82B96">
      <w:pPr>
        <w:ind w:firstLine="720"/>
        <w:jc w:val="both"/>
      </w:pPr>
      <w:r>
        <w:t xml:space="preserve">Cruciate ligament disease in dogs — arguably the most common reason for </w:t>
      </w:r>
      <w:proofErr w:type="spellStart"/>
      <w:r>
        <w:t>orthopaedic</w:t>
      </w:r>
      <w:proofErr w:type="spellEnd"/>
      <w:r>
        <w:t xml:space="preserve"> surgery in small animal practice — provides a rich example of the clinical importance of anatomical knowledge. The cranial cruciate ligament runs from the medial surface of the lateral femoral condyle to the craniomedial tibia, providing rotational stability and preventing cranial tibial translation within the stifle joint. Its rupture leads to instability, cartilage damage, meniscal injury, and ultimately osteoarthritis. Surgical management — whether by tibial plateau levelling osteotomy, tibial tuberosity advancement, or lateral suture </w:t>
      </w:r>
      <w:proofErr w:type="spellStart"/>
      <w:r>
        <w:t>stabilisation</w:t>
      </w:r>
      <w:proofErr w:type="spellEnd"/>
      <w:r>
        <w:t xml:space="preserve"> — requires comprehensive knowledge of stifle anatomy, including the geometry of the tibial plateau, the anatomy of the menisci and their attachments, the course of the peroneal nerve, and the anatomy of the popliteal vessels (Griffon, 2010; Tobias &amp; Johnston, 2012).</w:t>
      </w:r>
    </w:p>
    <w:p w14:paraId="16D9D138" w14:textId="77777777" w:rsidR="00F906EA" w:rsidRDefault="00D82B96">
      <w:pPr>
        <w:ind w:firstLine="720"/>
        <w:jc w:val="both"/>
      </w:pPr>
      <w:r>
        <w:t xml:space="preserve">The equine musculoskeletal system presents </w:t>
      </w:r>
      <w:proofErr w:type="spellStart"/>
      <w:r>
        <w:t>orthopaedic</w:t>
      </w:r>
      <w:proofErr w:type="spellEnd"/>
      <w:r>
        <w:t xml:space="preserve"> challenges of exceptional complexity. The management of long bone fractures in horses — a discipline transformed by advances in </w:t>
      </w:r>
      <w:proofErr w:type="spellStart"/>
      <w:r>
        <w:t>anaesthesia</w:t>
      </w:r>
      <w:proofErr w:type="spellEnd"/>
      <w:r>
        <w:t xml:space="preserve">, implant technology, and post-operative care — still depends critically upon anatomical knowledge. The weight-bearing forces transmitted through the equine limb are immense, and the anatomical constraints of the equine distal limb — the narrow medullary canal of the cannon bone, the limited musculature distal to the carpus and tarsus, and the proximity of major vessels and tendons to fracture sites — place enormous demands upon the equine </w:t>
      </w:r>
      <w:proofErr w:type="spellStart"/>
      <w:r>
        <w:t>orthopaedic</w:t>
      </w:r>
      <w:proofErr w:type="spellEnd"/>
      <w:r>
        <w:t xml:space="preserve"> surgeon. Rehabilitation following </w:t>
      </w:r>
      <w:proofErr w:type="spellStart"/>
      <w:r>
        <w:t>orthopaedic</w:t>
      </w:r>
      <w:proofErr w:type="spellEnd"/>
      <w:r>
        <w:t xml:space="preserve"> surgery in both companion animals and equids also requires anatomical understanding of the musculotendinous structures undergoing repair, the joint mechanics involved in recovery, and the neuromuscular pathways being restored (Baxter, 2011; Millis &amp; Levine, 2014).</w:t>
      </w:r>
    </w:p>
    <w:p w14:paraId="3D3C0771" w14:textId="77777777" w:rsidR="00F906EA" w:rsidRDefault="00F906EA">
      <w:pPr>
        <w:spacing w:after="80"/>
      </w:pPr>
    </w:p>
    <w:p w14:paraId="42F6596F" w14:textId="77777777" w:rsidR="00F906EA" w:rsidRDefault="00D82B96">
      <w:pPr>
        <w:pStyle w:val="Heading1"/>
      </w:pPr>
      <w:r>
        <w:t>10. Anatomical Knowledge in Surgical Planning and Execution</w:t>
      </w:r>
    </w:p>
    <w:p w14:paraId="7FD1D9ED" w14:textId="77777777" w:rsidR="00F906EA" w:rsidRDefault="00D82B96">
      <w:pPr>
        <w:pStyle w:val="Heading2"/>
      </w:pPr>
      <w:r>
        <w:t>10.1 Soft Tissue Surgery</w:t>
      </w:r>
    </w:p>
    <w:p w14:paraId="30A25ACD" w14:textId="77777777" w:rsidR="00F906EA" w:rsidRDefault="00D82B96">
      <w:pPr>
        <w:ind w:firstLine="720"/>
        <w:jc w:val="both"/>
      </w:pPr>
      <w:r>
        <w:t>Soft tissue surgery in veterinary medicine encompasses a vast array of procedures involving the integument, gastrointestinal tract, urogenital system, thoracic cavity, endocrine organs, and abdominal wall. In each of these domains, the surgeon's preoperative anatomical preparation determines the safety and efficacy of the procedure (Fossum, 2018; Slatter, 2003).</w:t>
      </w:r>
    </w:p>
    <w:p w14:paraId="5F822E22" w14:textId="77777777" w:rsidR="00F906EA" w:rsidRDefault="00D82B96">
      <w:pPr>
        <w:ind w:firstLine="720"/>
        <w:jc w:val="both"/>
      </w:pPr>
      <w:r>
        <w:t xml:space="preserve">Intestinal surgery — one of the most commonly performed abdominal procedures in small animal practice — illustrates the principle well. Whether performing an enterotomy for </w:t>
      </w:r>
      <w:r>
        <w:lastRenderedPageBreak/>
        <w:t xml:space="preserve">foreign body removal, an intestinal resection and anastomosis for strangulating obstruction, or an intestinal biopsy, the surgeon must understand the anatomy of the mesentery and its vascular supply, the arrangement of the intestinal layers, and the anatomical relationships that determine which portions of intestine are accessible via specific incision sites. The blood supply of each intestinal segment, derived from branches of the cranial mesenteric artery, follows a predictable anatomical pattern; knowledge of this pattern allows the surgeon to </w:t>
      </w:r>
      <w:proofErr w:type="spellStart"/>
      <w:r>
        <w:t>maximise</w:t>
      </w:r>
      <w:proofErr w:type="spellEnd"/>
      <w:r>
        <w:t xml:space="preserve"> the viability of intestinal anastomoses by ensuring that well-</w:t>
      </w:r>
      <w:proofErr w:type="spellStart"/>
      <w:r>
        <w:t>vascularised</w:t>
      </w:r>
      <w:proofErr w:type="spellEnd"/>
      <w:r>
        <w:t xml:space="preserve"> tissue is used at the anastomotic margins (Tobias &amp; Johnston, 2012; Fossum, 2018).</w:t>
      </w:r>
    </w:p>
    <w:p w14:paraId="2030A904" w14:textId="77777777" w:rsidR="00F906EA" w:rsidRDefault="00D82B96">
      <w:pPr>
        <w:ind w:firstLine="720"/>
        <w:jc w:val="both"/>
      </w:pPr>
      <w:r>
        <w:t>Laparoscopic surgery in small animals has grown considerably over the past two decades, driven by advances in instrumentation, camera technology, and surgical training. Procedures including laparoscopic ovariectomy, ovariohysterectomy, gastropexy, and adrenalectomy are now routinely performed in referral and progressive first-opinion practices. Laparoscopy requires the surgeon to navigate the abdominal cavity using a two-dimensional screen image, identifying structures by their appearance, position, and relationship to anatomical landmarks rather than by direct palpation (Mayhew, 2009). This mode of surgical practice places an even higher premium on preoperative anatomical knowledge than open surgery, since the tactile and spatial cues available in open procedures are largely absent.</w:t>
      </w:r>
    </w:p>
    <w:p w14:paraId="05D0D00E" w14:textId="77777777" w:rsidR="00F906EA" w:rsidRDefault="00D82B96">
      <w:pPr>
        <w:pStyle w:val="Heading2"/>
      </w:pPr>
      <w:r>
        <w:t xml:space="preserve">10.2 </w:t>
      </w:r>
      <w:proofErr w:type="spellStart"/>
      <w:r>
        <w:t>Orthopaedic</w:t>
      </w:r>
      <w:proofErr w:type="spellEnd"/>
      <w:r>
        <w:t xml:space="preserve"> Surgery</w:t>
      </w:r>
    </w:p>
    <w:p w14:paraId="36CA5525" w14:textId="77777777" w:rsidR="00F906EA" w:rsidRDefault="00D82B96">
      <w:pPr>
        <w:ind w:firstLine="720"/>
        <w:jc w:val="both"/>
      </w:pPr>
      <w:proofErr w:type="spellStart"/>
      <w:r>
        <w:t>Orthopaedic</w:t>
      </w:r>
      <w:proofErr w:type="spellEnd"/>
      <w:r>
        <w:t xml:space="preserve"> surgical planning in veterinary medicine increasingly incorporates advanced imaging, preoperative templating, and, in selected cases, three-dimensional printing of patient-specific anatomical models or surgical guides. These tools are powerful enhancers of anatomical understanding and surgical precision, but they do not replace the fundamental requirement for the surgeon to possess an </w:t>
      </w:r>
      <w:proofErr w:type="spellStart"/>
      <w:r>
        <w:t>internalised</w:t>
      </w:r>
      <w:proofErr w:type="spellEnd"/>
      <w:r>
        <w:t xml:space="preserve"> three-dimensional mental model of the relevant anatomy (Millis &amp; Levine, 2014; Tobias &amp; Johnston, 2012).</w:t>
      </w:r>
    </w:p>
    <w:p w14:paraId="0B313ECB" w14:textId="77777777" w:rsidR="00F906EA" w:rsidRDefault="00D82B96">
      <w:pPr>
        <w:ind w:firstLine="720"/>
        <w:jc w:val="both"/>
      </w:pPr>
      <w:r>
        <w:t xml:space="preserve">Total hip replacement — now a well-established procedure in veterinary </w:t>
      </w:r>
      <w:proofErr w:type="spellStart"/>
      <w:r>
        <w:t>orthopaedics</w:t>
      </w:r>
      <w:proofErr w:type="spellEnd"/>
      <w:r>
        <w:t xml:space="preserve"> — demands precise anatomical knowledge of the acetabulum, femoral head and neck, hip capsule, sciatic nerve, and associated musculature. The placement of the acetabular cup requires assessment of acetabular geometry, inclination, and version; the preparation and seating of the femoral stem require knowledge of femoral canal anatomy, cortical thickness, and the relationship of the canal to the greater trochanter and the calcar </w:t>
      </w:r>
      <w:proofErr w:type="spellStart"/>
      <w:r>
        <w:t>femorale</w:t>
      </w:r>
      <w:proofErr w:type="spellEnd"/>
      <w:r>
        <w:t xml:space="preserve">. Inadvertent sciatic nerve damage — a </w:t>
      </w:r>
      <w:proofErr w:type="spellStart"/>
      <w:r>
        <w:t>recognised</w:t>
      </w:r>
      <w:proofErr w:type="spellEnd"/>
      <w:r>
        <w:t xml:space="preserve"> complication of total hip replacement — can be </w:t>
      </w:r>
      <w:proofErr w:type="spellStart"/>
      <w:r>
        <w:t>minimised</w:t>
      </w:r>
      <w:proofErr w:type="spellEnd"/>
      <w:r>
        <w:t xml:space="preserve"> by precise knowledge of the nerve's course in relation to the surgical approach (Slatter, 2003; Tobias &amp; Johnston, 2012).</w:t>
      </w:r>
    </w:p>
    <w:p w14:paraId="7B4296C2" w14:textId="77777777" w:rsidR="00F906EA" w:rsidRDefault="00D82B96">
      <w:pPr>
        <w:pStyle w:val="Heading2"/>
      </w:pPr>
      <w:r>
        <w:t>10.3 Neurological Surgery</w:t>
      </w:r>
    </w:p>
    <w:p w14:paraId="449E8657" w14:textId="77777777" w:rsidR="00F906EA" w:rsidRDefault="00D82B96">
      <w:pPr>
        <w:ind w:firstLine="720"/>
        <w:jc w:val="both"/>
      </w:pPr>
      <w:r>
        <w:t xml:space="preserve">Neurological surgery in veterinary medicine includes spinal cord decompression for intervertebral disc disease, fracture fixation for vertebral instability, intracranial surgery for brain </w:t>
      </w:r>
      <w:proofErr w:type="spellStart"/>
      <w:r>
        <w:lastRenderedPageBreak/>
        <w:t>tumours</w:t>
      </w:r>
      <w:proofErr w:type="spellEnd"/>
      <w:r>
        <w:t xml:space="preserve">, and ventriculoperitoneal shunt placement for hydrocephalus. Each of these procedures is performed in immediate proximity to neural tissue of irreplaceable importance, and the consequences of anatomical error — </w:t>
      </w:r>
      <w:proofErr w:type="spellStart"/>
      <w:r>
        <w:t>haemorrhage</w:t>
      </w:r>
      <w:proofErr w:type="spellEnd"/>
      <w:r>
        <w:t xml:space="preserve"> into the spinal cord or brain, inadvertent neural transection, or incomplete decompression — may be catastrophic and irreversible (De </w:t>
      </w:r>
      <w:proofErr w:type="spellStart"/>
      <w:r>
        <w:t>Lahunta</w:t>
      </w:r>
      <w:proofErr w:type="spellEnd"/>
      <w:r>
        <w:t xml:space="preserve"> et al., 2015; Fossum, 2018).</w:t>
      </w:r>
    </w:p>
    <w:p w14:paraId="109486CF" w14:textId="77777777" w:rsidR="00F906EA" w:rsidRDefault="00D82B96">
      <w:pPr>
        <w:ind w:firstLine="720"/>
        <w:jc w:val="both"/>
      </w:pPr>
      <w:r>
        <w:t xml:space="preserve">Hemilaminectomy for thoracolumbar intervertebral disc disease requires the surgeon to identify the correct vertebral level, remove bone from the lateral aspect of the vertebral arch without damaging the underlying spinal cord, and decompress extruded disc material from the epidural space. This procedure is performed through a relatively small incision, in a field where the spinal cord is separated from the surgical instruments by only a few </w:t>
      </w:r>
      <w:proofErr w:type="spellStart"/>
      <w:r>
        <w:t>millimetres</w:t>
      </w:r>
      <w:proofErr w:type="spellEnd"/>
      <w:r>
        <w:t xml:space="preserve"> of epidural fat. The accuracy of the procedure depends upon the surgeon's knowledge of the paraspinal musculature, the anatomy of the thoracolumbar fascia, the arrangement of the vertebral arches and pedicles, and the topographical relationship of the disc spaces to surface landmarks (</w:t>
      </w:r>
      <w:proofErr w:type="spellStart"/>
      <w:r>
        <w:t>Fossum</w:t>
      </w:r>
      <w:proofErr w:type="spellEnd"/>
      <w:r>
        <w:t xml:space="preserve">, 2018; De </w:t>
      </w:r>
      <w:proofErr w:type="spellStart"/>
      <w:r>
        <w:t>Lahunta</w:t>
      </w:r>
      <w:proofErr w:type="spellEnd"/>
      <w:r>
        <w:t xml:space="preserve"> et al., 2015). Surgeons who have invested in systematic anatomical study of the vertebral column demonstrate consistently greater accuracy of level identification and reduced operative times compared with those who have not.</w:t>
      </w:r>
    </w:p>
    <w:p w14:paraId="2D046674" w14:textId="77777777" w:rsidR="00F906EA" w:rsidRDefault="00F906EA">
      <w:pPr>
        <w:spacing w:after="80"/>
      </w:pPr>
    </w:p>
    <w:p w14:paraId="1CDB2CE9" w14:textId="77777777" w:rsidR="00F906EA" w:rsidRDefault="00D82B96">
      <w:pPr>
        <w:pStyle w:val="Heading1"/>
      </w:pPr>
      <w:r>
        <w:t>11. Innovations in Anatomical Education and Clinical Training</w:t>
      </w:r>
    </w:p>
    <w:p w14:paraId="1F56A609" w14:textId="77777777" w:rsidR="00F906EA" w:rsidRDefault="00D82B96">
      <w:pPr>
        <w:pStyle w:val="Heading2"/>
      </w:pPr>
      <w:r>
        <w:t>11.1 Three-Dimensional Modelling and Virtual Reality</w:t>
      </w:r>
    </w:p>
    <w:p w14:paraId="5A2C745F" w14:textId="77777777" w:rsidR="00F906EA" w:rsidRDefault="00D82B96">
      <w:pPr>
        <w:ind w:firstLine="720"/>
        <w:jc w:val="both"/>
      </w:pPr>
      <w:r>
        <w:t xml:space="preserve">The integration of digital technologies into anatomical education has created new opportunities for the development of spatial anatomical understanding that were not available to previous generations of students and clinicians. Three-dimensional computed anatomical models, derived from CT and MRI data sets, allow the user to </w:t>
      </w:r>
      <w:proofErr w:type="spellStart"/>
      <w:r>
        <w:t>visualise</w:t>
      </w:r>
      <w:proofErr w:type="spellEnd"/>
      <w:r>
        <w:t>, rotate, and dissect anatomical structures in a virtual environment, exploring relationships and planes of section that are difficult to appreciate from two-dimensional illustrations or even cadaveric dissection (</w:t>
      </w:r>
      <w:proofErr w:type="spellStart"/>
      <w:r>
        <w:t>Estai</w:t>
      </w:r>
      <w:proofErr w:type="spellEnd"/>
      <w:r>
        <w:t xml:space="preserve"> &amp; Bunt, 2016; McLachlan &amp; Patten, 2006).</w:t>
      </w:r>
    </w:p>
    <w:p w14:paraId="767936D3" w14:textId="77777777" w:rsidR="00F906EA" w:rsidRDefault="00D82B96">
      <w:pPr>
        <w:ind w:firstLine="720"/>
        <w:jc w:val="both"/>
      </w:pPr>
      <w:r>
        <w:t>Virtual reality (VR) platforms have extended this capability, immersing the student within an anatomical model scaled to life size and allowing manipulation of virtual specimens with a degree of interactivity that closely approaches the tactile experience of genuine dissection. Whilst VR cannot entirely replicate the sensory experience of cadaveric dissection — including the tactile feedback of tissue handling, the variable resistance of different tissue planes, and the unexpected anatomical variations encountered in biological specimens — it offers significant advantages in terms of repeatability, accessibility, and the ability to revisit specific anatomical regions without time or resource constraints (</w:t>
      </w:r>
      <w:proofErr w:type="spellStart"/>
      <w:r>
        <w:t>Estai</w:t>
      </w:r>
      <w:proofErr w:type="spellEnd"/>
      <w:r>
        <w:t xml:space="preserve"> &amp; Bunt, 2016). Students who supplement cadaveric study with three-dimensional digital resources consistently demonstrate improved </w:t>
      </w:r>
      <w:r>
        <w:lastRenderedPageBreak/>
        <w:t>spatial anatomical understanding compared with those relying on two-dimensional materials alone.</w:t>
      </w:r>
    </w:p>
    <w:p w14:paraId="23394673" w14:textId="77777777" w:rsidR="00F906EA" w:rsidRDefault="00D82B96">
      <w:pPr>
        <w:ind w:firstLine="720"/>
        <w:jc w:val="both"/>
      </w:pPr>
      <w:r>
        <w:t xml:space="preserve">Three-dimensional printing has also found application in veterinary anatomical education and surgical planning, enabling the production of physical models derived from patient-specific imaging data. These models allow students to handle three-dimensional reproductions of complex anatomical regions and allow surgeons to rehearse planned procedures on anatomically accurate models before operating on the patient. The potential of three-dimensional printing in veterinary </w:t>
      </w:r>
      <w:proofErr w:type="spellStart"/>
      <w:r>
        <w:t>orthopaedic</w:t>
      </w:r>
      <w:proofErr w:type="spellEnd"/>
      <w:r>
        <w:t xml:space="preserve"> surgery — for the production of patient-specific implants, surgical cutting guides, and anatomical teaching models — has been increasingly </w:t>
      </w:r>
      <w:proofErr w:type="spellStart"/>
      <w:r>
        <w:t>recognised</w:t>
      </w:r>
      <w:proofErr w:type="spellEnd"/>
      <w:r>
        <w:t xml:space="preserve">, and its integration into both undergraduate education and specialist surgical training </w:t>
      </w:r>
      <w:proofErr w:type="spellStart"/>
      <w:r>
        <w:t>programmes</w:t>
      </w:r>
      <w:proofErr w:type="spellEnd"/>
      <w:r>
        <w:t xml:space="preserve"> is expected to expand significantly in coming years (Millis &amp; Levine, 2014; </w:t>
      </w:r>
      <w:proofErr w:type="spellStart"/>
      <w:r>
        <w:t>Estai</w:t>
      </w:r>
      <w:proofErr w:type="spellEnd"/>
      <w:r>
        <w:t xml:space="preserve"> &amp; Bunt, 2016).</w:t>
      </w:r>
    </w:p>
    <w:p w14:paraId="67505EC0" w14:textId="77777777" w:rsidR="00F906EA" w:rsidRDefault="00D82B96">
      <w:pPr>
        <w:pStyle w:val="Heading2"/>
      </w:pPr>
      <w:r>
        <w:t xml:space="preserve">11.2 Plastination and </w:t>
      </w:r>
      <w:proofErr w:type="spellStart"/>
      <w:r>
        <w:t>Prosection</w:t>
      </w:r>
      <w:proofErr w:type="spellEnd"/>
    </w:p>
    <w:p w14:paraId="114FD5B4" w14:textId="77777777" w:rsidR="00F906EA" w:rsidRDefault="00D82B96">
      <w:pPr>
        <w:ind w:firstLine="720"/>
        <w:jc w:val="both"/>
      </w:pPr>
      <w:r>
        <w:t xml:space="preserve">Plastination — the technique developed by Dr. Gunther von Hagens in the late 1970s, whereby biological tissue is infiltrated with reactive polymers to produce durable, </w:t>
      </w:r>
      <w:proofErr w:type="spellStart"/>
      <w:r>
        <w:t>odourless</w:t>
      </w:r>
      <w:proofErr w:type="spellEnd"/>
      <w:r>
        <w:t xml:space="preserve">, and visually preserved specimens — has become a valued tool in anatomical education at both the human and veterinary levels. </w:t>
      </w:r>
      <w:proofErr w:type="spellStart"/>
      <w:r>
        <w:t>Plastinated</w:t>
      </w:r>
      <w:proofErr w:type="spellEnd"/>
      <w:r>
        <w:t xml:space="preserve"> specimens allow students to handle genuine biological material with a degree of durability and aesthetic accessibility not possible with conventionally fixed cadaveric material. Complex anatomical regions — the equine foot, the canine brain, the bovine forestomach system — can be preserved in dissected or cross-sectional form, providing three-dimensional educational resources of lasting value (</w:t>
      </w:r>
      <w:proofErr w:type="spellStart"/>
      <w:r>
        <w:t>Riederer</w:t>
      </w:r>
      <w:proofErr w:type="spellEnd"/>
      <w:r>
        <w:t xml:space="preserve">, 2014; </w:t>
      </w:r>
      <w:proofErr w:type="spellStart"/>
      <w:r>
        <w:t>Estai</w:t>
      </w:r>
      <w:proofErr w:type="spellEnd"/>
      <w:r>
        <w:t xml:space="preserve"> &amp; Bunt, 2016).</w:t>
      </w:r>
    </w:p>
    <w:p w14:paraId="3EC607B9" w14:textId="77777777" w:rsidR="00F906EA" w:rsidRDefault="00D82B96">
      <w:pPr>
        <w:ind w:firstLine="720"/>
        <w:jc w:val="both"/>
      </w:pPr>
      <w:proofErr w:type="spellStart"/>
      <w:r>
        <w:t>Prosection</w:t>
      </w:r>
      <w:proofErr w:type="spellEnd"/>
      <w:r>
        <w:t xml:space="preserve"> — the preparation of dissected cadaveric specimens by experienced anatomists — complements plastination by providing high-quality, targeted examples of specific anatomical regions relevant to clinical practice. Well-designed </w:t>
      </w:r>
      <w:proofErr w:type="spellStart"/>
      <w:r>
        <w:t>prosections</w:t>
      </w:r>
      <w:proofErr w:type="spellEnd"/>
      <w:r>
        <w:t xml:space="preserve"> of the equine distal limb, the canine shoulder joint, the feline thorax, and the bovine reproductive tract can effectively illustrate the clinical anatomy of each region in a way that is immediately relevant to the learner's clinical objectives. The design and delivery of </w:t>
      </w:r>
      <w:proofErr w:type="spellStart"/>
      <w:r>
        <w:t>prosection</w:t>
      </w:r>
      <w:proofErr w:type="spellEnd"/>
      <w:r>
        <w:t>-based anatomy teaching, guided by explicit learning outcomes linked to clinical competencies, represents best practice in veterinary anatomical education (</w:t>
      </w:r>
      <w:proofErr w:type="spellStart"/>
      <w:r>
        <w:t>Estai</w:t>
      </w:r>
      <w:proofErr w:type="spellEnd"/>
      <w:r>
        <w:t xml:space="preserve"> &amp; Bunt, 2016; McLachlan &amp; Patten, 2006).</w:t>
      </w:r>
    </w:p>
    <w:p w14:paraId="4E2319ED" w14:textId="77777777" w:rsidR="00F906EA" w:rsidRDefault="00D82B96">
      <w:pPr>
        <w:ind w:firstLine="720"/>
        <w:jc w:val="both"/>
      </w:pPr>
      <w:r>
        <w:t xml:space="preserve">Clinical anatomy modules — in which students perform or observe anatomically guided clinical procedures on fresh or embalmed cadavers — represent another high-value educational approach. </w:t>
      </w:r>
      <w:proofErr w:type="spellStart"/>
      <w:r>
        <w:t>Catheterisation</w:t>
      </w:r>
      <w:proofErr w:type="spellEnd"/>
      <w:r>
        <w:t xml:space="preserve">, </w:t>
      </w:r>
      <w:proofErr w:type="spellStart"/>
      <w:r>
        <w:t>thoracocentesis</w:t>
      </w:r>
      <w:proofErr w:type="spellEnd"/>
      <w:r>
        <w:t xml:space="preserve">, abdominal palpation, rectal examination, joint injection, and regional nerve blocks can all be taught in a cadaveric setting before being performed on live patients, reducing the procedural anxiety and anatomical uncertainty that </w:t>
      </w:r>
      <w:proofErr w:type="spellStart"/>
      <w:r>
        <w:t>characterise</w:t>
      </w:r>
      <w:proofErr w:type="spellEnd"/>
      <w:r>
        <w:t xml:space="preserve"> early clinical training. The alignment of cadaveric practical sessions with specific clinical competencies — and the systematic assessment of those competencies before progression to clinical placement — is a key principle of effective veterinary anatomy teaching </w:t>
      </w:r>
      <w:r>
        <w:lastRenderedPageBreak/>
        <w:t>(</w:t>
      </w:r>
      <w:proofErr w:type="spellStart"/>
      <w:r>
        <w:t>Estai</w:t>
      </w:r>
      <w:proofErr w:type="spellEnd"/>
      <w:r>
        <w:t xml:space="preserve"> &amp; Bunt, 2016; McLachlan &amp; Patten, 2006). The growing body of evidence from human medical education consistently supports the value of clinically integrated anatomical teaching, and there is every reason to believe that analogous approaches will prove equally beneficial in veterinary curricula.</w:t>
      </w:r>
    </w:p>
    <w:p w14:paraId="33A66B25" w14:textId="77777777" w:rsidR="00F906EA" w:rsidRDefault="00F906EA">
      <w:pPr>
        <w:spacing w:after="80"/>
      </w:pPr>
    </w:p>
    <w:p w14:paraId="12694050" w14:textId="77777777" w:rsidR="00F906EA" w:rsidRDefault="00D82B96">
      <w:pPr>
        <w:pStyle w:val="Heading1"/>
      </w:pPr>
      <w:r>
        <w:t>12. Conclusions</w:t>
      </w:r>
    </w:p>
    <w:p w14:paraId="6AD4F6AE" w14:textId="77777777" w:rsidR="00F906EA" w:rsidRDefault="00D82B96">
      <w:pPr>
        <w:ind w:firstLine="720"/>
        <w:jc w:val="both"/>
      </w:pPr>
      <w:r>
        <w:t xml:space="preserve">The evidence reviewed in this article consistently and compellingly demonstrates that anatomical knowledge is not merely a background academic requirement of veterinary education but a living, dynamic, and clinically indispensable foundation that shapes every diagnostic and surgical decision made by a veterinary practitioner. From the interpretation of cross-sectional images to the execution of complex surgical procedures, from the palpation of abdominal structures to the </w:t>
      </w:r>
      <w:proofErr w:type="spellStart"/>
      <w:r>
        <w:t>localisation</w:t>
      </w:r>
      <w:proofErr w:type="spellEnd"/>
      <w:r>
        <w:t xml:space="preserve"> of neurological lesions, the clinician's depth of anatomical understanding is the ultimate determinant of clinical accuracy, procedural safety, and patient outcome.</w:t>
      </w:r>
    </w:p>
    <w:p w14:paraId="07086534" w14:textId="77777777" w:rsidR="00F906EA" w:rsidRDefault="00D82B96">
      <w:pPr>
        <w:ind w:firstLine="720"/>
        <w:jc w:val="both"/>
      </w:pPr>
      <w:r>
        <w:t>Species-specific anatomical variation imposes particular demands upon the veterinary clinician, who must maintain accurate anatomical knowledge across a diversity of species that vastly exceeds the requirements placed upon human medical practitioners. The ruminant forestomach, the equine paranasal sinuses, the feline biliary anatomy, and the avian air sac system are among the many anatomically distinctive features whose clinical relevance requires explicit attention in veterinary education and continuing professional development. The integration of anatomical knowledge with diagnostic imaging, surgical planning, and clinical assessment must be a deliberate and sustained pedagogical objective, rather than an implicit assumption.</w:t>
      </w:r>
    </w:p>
    <w:p w14:paraId="681F3642" w14:textId="77777777" w:rsidR="00F906EA" w:rsidRDefault="00D82B96">
      <w:pPr>
        <w:ind w:firstLine="720"/>
        <w:jc w:val="both"/>
      </w:pPr>
      <w:r>
        <w:t xml:space="preserve">The emergence of new educational technologies — virtual reality, three-dimensional modelling, plastination, and clinical anatomy modules — offers genuine promise for enriching anatomical education and bridging the gap between the dissecting room and the clinic. These technologies are best understood as complements to, rather than replacements for, the irreplaceable experience of working with biological specimens and live patients under appropriate supervision. The goal of veterinary anatomical education must be to produce graduates who have </w:t>
      </w:r>
      <w:proofErr w:type="spellStart"/>
      <w:r>
        <w:t>internalised</w:t>
      </w:r>
      <w:proofErr w:type="spellEnd"/>
      <w:r>
        <w:t xml:space="preserve"> anatomical knowledge so thoroughly that it informs their clinical reasoning automatically, without requiring conscious retrieval from a database of remembered facts. In this sense, anatomy is not a subject to be studied before the clinical years and subsequently set aside; it is a lens through which all clinical experience must be viewed, and one that sharpens rather than dulls with use.</w:t>
      </w:r>
    </w:p>
    <w:p w14:paraId="10716EED" w14:textId="77777777" w:rsidR="00F906EA" w:rsidRDefault="00D82B96">
      <w:pPr>
        <w:ind w:firstLine="720"/>
        <w:jc w:val="both"/>
      </w:pPr>
      <w:r>
        <w:lastRenderedPageBreak/>
        <w:t>Veterinary schools, professional accreditation bodies, and continuing education providers share a collective responsibility to ensure that anatomical training receives the curricular investment it deserves. Reducing anatomical contact time in the face of curricular pressure may generate short-term efficiencies but risks producing graduates whose clinical competence is undermined by a fragile anatomical foundation. The long-term cost — to patients, to clients, and to the profession — is likely to far exceed any pedagogical economies achieved. The case for anatomical excellence in veterinary education is, in summary, a case for clinical excellence in veterinary practice.</w:t>
      </w:r>
    </w:p>
    <w:p w14:paraId="6AB9319E" w14:textId="77777777" w:rsidR="00F906EA" w:rsidRDefault="00F906EA">
      <w:pPr>
        <w:spacing w:after="80"/>
      </w:pPr>
    </w:p>
    <w:p w14:paraId="5DB16B17" w14:textId="77777777" w:rsidR="00F906EA" w:rsidRDefault="00D82B96">
      <w:pPr>
        <w:pStyle w:val="Heading1"/>
      </w:pPr>
      <w:r>
        <w:t>13. Limitations</w:t>
      </w:r>
    </w:p>
    <w:p w14:paraId="7A663262" w14:textId="77777777" w:rsidR="00F906EA" w:rsidRDefault="00D82B96">
      <w:pPr>
        <w:ind w:firstLine="720"/>
        <w:jc w:val="both"/>
      </w:pPr>
      <w:r>
        <w:t xml:space="preserve">This review is subject to several important limitations that should be acknowledged. First, the breadth of the subject matter necessitates a selective rather than exhaustive treatment of each topic; detailed anatomical review of every veterinary species and every organ system is beyond the scope of a single article, and specialist texts should be consulted for comprehensive anatomical information in specific domains. Second, the literature on the direct relationship between anatomical knowledge and clinical outcomes in veterinary practice is less developed than the corresponding literature in human medicine; many of the arguments advanced in this review are supported by analogical reasoning from human medical education research rather than by direct veterinary outcomes data, and this limitation should be </w:t>
      </w:r>
      <w:proofErr w:type="spellStart"/>
      <w:r>
        <w:t>recognised</w:t>
      </w:r>
      <w:proofErr w:type="spellEnd"/>
      <w:r>
        <w:t>.</w:t>
      </w:r>
    </w:p>
    <w:p w14:paraId="3DA7E26C" w14:textId="77777777" w:rsidR="00F906EA" w:rsidRDefault="00D82B96">
      <w:pPr>
        <w:ind w:firstLine="720"/>
        <w:jc w:val="both"/>
      </w:pPr>
      <w:r>
        <w:t>Third, the evidence base for many of the educational technologies discussed — particularly virtual reality and three-dimensional printing in veterinary-specific contexts — is still developing, and robust longitudinal studies demonstrating their impact on clinical competence and patient outcomes in veterinary practice are limited. Fourth, the review was restricted to English-language publications, which may have resulted in the omission of relevant research published in other languages, particularly given the strong traditions of veterinary anatomical research in German, French, and other European languages. Fifth, whilst every effort has been made to ensure the accuracy and currency of the literature cited, the rapid pace of development in veterinary imaging, surgical technique, and educational technology means that some specific statements may be subject to revision as new evidence emerges. These limitations notwithstanding, the core argument of this review — that anatomical knowledge is fundamental to veterinary clinical excellence — is supported by evidence from across the disciplines surveyed and is unlikely to be fundamentally challenged by subsequent research.</w:t>
      </w:r>
    </w:p>
    <w:p w14:paraId="7944E4A0" w14:textId="77777777" w:rsidR="00297C09" w:rsidRDefault="00297C09">
      <w:pPr>
        <w:ind w:firstLine="720"/>
        <w:jc w:val="both"/>
      </w:pPr>
    </w:p>
    <w:p w14:paraId="20354A8C" w14:textId="77777777" w:rsidR="00297C09" w:rsidRDefault="00297C09">
      <w:pPr>
        <w:ind w:firstLine="720"/>
        <w:jc w:val="both"/>
      </w:pPr>
    </w:p>
    <w:p w14:paraId="61A15174" w14:textId="77777777" w:rsidR="00297C09" w:rsidRPr="00297C09" w:rsidRDefault="00297C09" w:rsidP="00297C09">
      <w:pPr>
        <w:spacing w:line="276" w:lineRule="auto"/>
        <w:rPr>
          <w:rFonts w:ascii="Arial" w:eastAsiaTheme="minorEastAsia" w:hAnsi="Arial" w:cs="Arial"/>
          <w:b/>
          <w:bCs/>
          <w:sz w:val="22"/>
          <w:szCs w:val="22"/>
          <w:lang w:val="en-GB" w:eastAsia="en-GB"/>
        </w:rPr>
      </w:pPr>
      <w:r w:rsidRPr="00297C09">
        <w:rPr>
          <w:rFonts w:ascii="Arial" w:eastAsiaTheme="minorEastAsia" w:hAnsi="Arial" w:cs="Arial"/>
          <w:b/>
          <w:bCs/>
          <w:sz w:val="22"/>
          <w:szCs w:val="22"/>
          <w:lang w:val="en-GB" w:eastAsia="en-GB"/>
        </w:rPr>
        <w:lastRenderedPageBreak/>
        <w:t>COMPETING INTERESTS DISCLAIMER:</w:t>
      </w:r>
    </w:p>
    <w:p w14:paraId="04BEB9D8" w14:textId="77777777" w:rsidR="00297C09" w:rsidRPr="00297C09" w:rsidRDefault="00297C09" w:rsidP="00297C09">
      <w:pPr>
        <w:spacing w:line="276" w:lineRule="auto"/>
        <w:rPr>
          <w:rFonts w:asciiTheme="minorHAnsi" w:eastAsiaTheme="minorEastAsia" w:hAnsiTheme="minorHAnsi" w:cstheme="minorBidi"/>
          <w:sz w:val="22"/>
          <w:szCs w:val="22"/>
          <w:lang w:val="en-GB" w:eastAsia="en-GB"/>
        </w:rPr>
      </w:pPr>
      <w:r w:rsidRPr="00297C09">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412FF32" w14:textId="77777777" w:rsidR="00297C09" w:rsidRDefault="00297C09">
      <w:pPr>
        <w:ind w:firstLine="720"/>
        <w:jc w:val="both"/>
      </w:pPr>
    </w:p>
    <w:p w14:paraId="6CA616C8" w14:textId="77777777" w:rsidR="00F906EA" w:rsidRDefault="00F906EA">
      <w:pPr>
        <w:spacing w:after="80"/>
      </w:pPr>
    </w:p>
    <w:p w14:paraId="3AC4F6C9" w14:textId="77777777" w:rsidR="00F906EA" w:rsidRDefault="00D82B96">
      <w:pPr>
        <w:pStyle w:val="Heading1"/>
      </w:pPr>
      <w:r>
        <w:t>References</w:t>
      </w:r>
    </w:p>
    <w:p w14:paraId="313C47E0" w14:textId="77777777" w:rsidR="00B12C59" w:rsidRPr="00B12C59" w:rsidRDefault="00B12C59" w:rsidP="00B12C59">
      <w:pPr>
        <w:spacing w:after="160" w:line="276" w:lineRule="auto"/>
        <w:jc w:val="both"/>
      </w:pPr>
      <w:proofErr w:type="spellStart"/>
      <w:r w:rsidRPr="00B12C59">
        <w:t>Banzato</w:t>
      </w:r>
      <w:proofErr w:type="spellEnd"/>
      <w:r w:rsidRPr="00B12C59">
        <w:t xml:space="preserve">, T., </w:t>
      </w:r>
      <w:proofErr w:type="spellStart"/>
      <w:r w:rsidRPr="00B12C59">
        <w:t>Selleri</w:t>
      </w:r>
      <w:proofErr w:type="spellEnd"/>
      <w:r w:rsidRPr="00B12C59">
        <w:t xml:space="preserve">, P., </w:t>
      </w:r>
      <w:proofErr w:type="spellStart"/>
      <w:r w:rsidRPr="00B12C59">
        <w:t>Veladiano</w:t>
      </w:r>
      <w:proofErr w:type="spellEnd"/>
      <w:r w:rsidRPr="00B12C59">
        <w:t xml:space="preserve">, I. A., Martin, A., Zanetti, E., &amp; Zotti, A. (2012). Comparative evaluation of the cadaveric, radiographic and computed tomographic anatomy of the heads of five species of parrots. </w:t>
      </w:r>
      <w:r w:rsidRPr="00B12C59">
        <w:rPr>
          <w:i/>
          <w:iCs/>
        </w:rPr>
        <w:t>Veterinary Journal</w:t>
      </w:r>
      <w:r w:rsidRPr="00B12C59">
        <w:t xml:space="preserve">, </w:t>
      </w:r>
      <w:r w:rsidRPr="00B12C59">
        <w:rPr>
          <w:bCs/>
        </w:rPr>
        <w:t>193</w:t>
      </w:r>
      <w:r w:rsidRPr="00B12C59">
        <w:t xml:space="preserve">(1), 112–119. </w:t>
      </w:r>
      <w:hyperlink r:id="rId7" w:history="1">
        <w:r w:rsidRPr="00B12C59">
          <w:rPr>
            <w:color w:val="1155CC"/>
            <w:u w:val="single"/>
          </w:rPr>
          <w:t>https://doi.org/10.1016/j.tvjl.2011.09.027</w:t>
        </w:r>
      </w:hyperlink>
    </w:p>
    <w:p w14:paraId="709E2175" w14:textId="77777777" w:rsidR="00B12C59" w:rsidRPr="00B12C59" w:rsidRDefault="00B12C59" w:rsidP="00B12C59">
      <w:pPr>
        <w:spacing w:after="160" w:line="276" w:lineRule="auto"/>
        <w:jc w:val="both"/>
      </w:pPr>
      <w:r w:rsidRPr="00B12C59">
        <w:t xml:space="preserve">Baxter, G. M. (Ed.). (2011). </w:t>
      </w:r>
      <w:r w:rsidRPr="00B12C59">
        <w:rPr>
          <w:i/>
          <w:iCs/>
        </w:rPr>
        <w:t>Adams and Stashak's Lameness in Horses</w:t>
      </w:r>
      <w:r w:rsidRPr="00B12C59">
        <w:t xml:space="preserve"> (6th ed.). Wiley-Blackwell.</w:t>
      </w:r>
    </w:p>
    <w:p w14:paraId="7D767179" w14:textId="77777777" w:rsidR="00B12C59" w:rsidRPr="00B12C59" w:rsidRDefault="00B12C59" w:rsidP="00B12C59">
      <w:pPr>
        <w:rPr>
          <w:color w:val="222222"/>
          <w:shd w:val="clear" w:color="auto" w:fill="FFFFFF"/>
        </w:rPr>
      </w:pPr>
      <w:r w:rsidRPr="00B12C59">
        <w:rPr>
          <w:color w:val="222222"/>
          <w:shd w:val="clear" w:color="auto" w:fill="FFFFFF"/>
        </w:rPr>
        <w:t>Choudhary, O. P. (2026). Animal Anatomy Teaching: New Concepts, Innovations and Applications. </w:t>
      </w:r>
      <w:r w:rsidRPr="00B12C59">
        <w:rPr>
          <w:i/>
          <w:iCs/>
          <w:color w:val="222222"/>
          <w:shd w:val="clear" w:color="auto" w:fill="FFFFFF"/>
        </w:rPr>
        <w:t>Veterinary Sciences</w:t>
      </w:r>
      <w:r w:rsidRPr="00B12C59">
        <w:rPr>
          <w:color w:val="222222"/>
          <w:shd w:val="clear" w:color="auto" w:fill="FFFFFF"/>
        </w:rPr>
        <w:t>, </w:t>
      </w:r>
      <w:r w:rsidRPr="00B12C59">
        <w:rPr>
          <w:i/>
          <w:iCs/>
          <w:color w:val="222222"/>
          <w:shd w:val="clear" w:color="auto" w:fill="FFFFFF"/>
        </w:rPr>
        <w:t>13</w:t>
      </w:r>
      <w:r w:rsidRPr="00B12C59">
        <w:rPr>
          <w:color w:val="222222"/>
          <w:shd w:val="clear" w:color="auto" w:fill="FFFFFF"/>
        </w:rPr>
        <w:t xml:space="preserve">(3), 221. </w:t>
      </w:r>
      <w:hyperlink r:id="rId8" w:history="1">
        <w:r w:rsidRPr="00B12C59">
          <w:rPr>
            <w:rStyle w:val="Hyperlink"/>
            <w:shd w:val="clear" w:color="auto" w:fill="FFFFFF"/>
          </w:rPr>
          <w:t>https://doi.org/10.3390/vetsci13030221</w:t>
        </w:r>
      </w:hyperlink>
      <w:r w:rsidRPr="00B12C59">
        <w:rPr>
          <w:color w:val="222222"/>
          <w:shd w:val="clear" w:color="auto" w:fill="FFFFFF"/>
        </w:rPr>
        <w:t xml:space="preserve"> </w:t>
      </w:r>
    </w:p>
    <w:p w14:paraId="43EC256B" w14:textId="77777777" w:rsidR="00B12C59" w:rsidRPr="00B12C59" w:rsidRDefault="00B12C59" w:rsidP="00B12C59">
      <w:pPr>
        <w:spacing w:after="160" w:line="276" w:lineRule="auto"/>
        <w:jc w:val="both"/>
      </w:pPr>
      <w:r w:rsidRPr="00B12C59">
        <w:t xml:space="preserve">De </w:t>
      </w:r>
      <w:proofErr w:type="spellStart"/>
      <w:r w:rsidRPr="00B12C59">
        <w:t>Lahunta</w:t>
      </w:r>
      <w:proofErr w:type="spellEnd"/>
      <w:r w:rsidRPr="00B12C59">
        <w:t xml:space="preserve">, A., Glass, E., &amp; Kent, M. (2015). </w:t>
      </w:r>
      <w:r w:rsidRPr="00B12C59">
        <w:rPr>
          <w:i/>
          <w:iCs/>
        </w:rPr>
        <w:t>Veterinary Neuroanatomy and Clinical Neurology</w:t>
      </w:r>
      <w:r w:rsidRPr="00B12C59">
        <w:t xml:space="preserve"> (4th ed.). Elsevier Saunders.</w:t>
      </w:r>
    </w:p>
    <w:p w14:paraId="55645A74" w14:textId="77777777" w:rsidR="00B12C59" w:rsidRPr="00B12C59" w:rsidRDefault="00B12C59" w:rsidP="00B12C59">
      <w:pPr>
        <w:rPr>
          <w:color w:val="222222"/>
          <w:shd w:val="clear" w:color="auto" w:fill="FFFFFF"/>
        </w:rPr>
      </w:pPr>
      <w:r w:rsidRPr="00B12C59">
        <w:rPr>
          <w:color w:val="222222"/>
          <w:shd w:val="clear" w:color="auto" w:fill="FFFFFF"/>
        </w:rPr>
        <w:t xml:space="preserve">Duro, S., </w:t>
      </w:r>
      <w:proofErr w:type="spellStart"/>
      <w:r w:rsidRPr="00B12C59">
        <w:rPr>
          <w:color w:val="222222"/>
          <w:shd w:val="clear" w:color="auto" w:fill="FFFFFF"/>
        </w:rPr>
        <w:t>Gündemir</w:t>
      </w:r>
      <w:proofErr w:type="spellEnd"/>
      <w:r w:rsidRPr="00B12C59">
        <w:rPr>
          <w:color w:val="222222"/>
          <w:shd w:val="clear" w:color="auto" w:fill="FFFFFF"/>
        </w:rPr>
        <w:t xml:space="preserve">, O., &amp; </w:t>
      </w:r>
      <w:proofErr w:type="spellStart"/>
      <w:r w:rsidRPr="00B12C59">
        <w:rPr>
          <w:color w:val="222222"/>
          <w:shd w:val="clear" w:color="auto" w:fill="FFFFFF"/>
        </w:rPr>
        <w:t>Szara</w:t>
      </w:r>
      <w:proofErr w:type="spellEnd"/>
      <w:r w:rsidRPr="00B12C59">
        <w:rPr>
          <w:color w:val="222222"/>
          <w:shd w:val="clear" w:color="auto" w:fill="FFFFFF"/>
        </w:rPr>
        <w:t>, T. (2025). The integration of clinical veterinary anatomy and diagnostic imaging. </w:t>
      </w:r>
      <w:r w:rsidRPr="00B12C59">
        <w:rPr>
          <w:i/>
          <w:iCs/>
          <w:color w:val="222222"/>
          <w:shd w:val="clear" w:color="auto" w:fill="FFFFFF"/>
        </w:rPr>
        <w:t>Frontiers in Veterinary Science</w:t>
      </w:r>
      <w:r w:rsidRPr="00B12C59">
        <w:rPr>
          <w:color w:val="222222"/>
          <w:shd w:val="clear" w:color="auto" w:fill="FFFFFF"/>
        </w:rPr>
        <w:t>, </w:t>
      </w:r>
      <w:r w:rsidRPr="00B12C59">
        <w:rPr>
          <w:i/>
          <w:iCs/>
          <w:color w:val="222222"/>
          <w:shd w:val="clear" w:color="auto" w:fill="FFFFFF"/>
        </w:rPr>
        <w:t>12</w:t>
      </w:r>
      <w:r w:rsidRPr="00B12C59">
        <w:rPr>
          <w:color w:val="222222"/>
          <w:shd w:val="clear" w:color="auto" w:fill="FFFFFF"/>
        </w:rPr>
        <w:t xml:space="preserve">, 1602545. </w:t>
      </w:r>
      <w:hyperlink r:id="rId9" w:history="1">
        <w:r w:rsidRPr="00B12C59">
          <w:rPr>
            <w:rStyle w:val="Hyperlink"/>
            <w:shd w:val="clear" w:color="auto" w:fill="FFFFFF"/>
          </w:rPr>
          <w:t>https://doi.org/10.3389/fvets.2025.1602545</w:t>
        </w:r>
      </w:hyperlink>
      <w:r w:rsidRPr="00B12C59">
        <w:rPr>
          <w:color w:val="222222"/>
          <w:shd w:val="clear" w:color="auto" w:fill="FFFFFF"/>
        </w:rPr>
        <w:t xml:space="preserve"> </w:t>
      </w:r>
    </w:p>
    <w:p w14:paraId="05EEF327" w14:textId="77777777" w:rsidR="00B12C59" w:rsidRPr="00B12C59" w:rsidRDefault="00B12C59" w:rsidP="00B12C59">
      <w:pPr>
        <w:spacing w:after="160" w:line="276" w:lineRule="auto"/>
        <w:jc w:val="both"/>
      </w:pPr>
      <w:r w:rsidRPr="00B12C59">
        <w:t xml:space="preserve">Dyce, K. M., Sack, W. O., &amp; Wensing, C. J. G. (2010). </w:t>
      </w:r>
      <w:r w:rsidRPr="00B12C59">
        <w:rPr>
          <w:i/>
          <w:iCs/>
        </w:rPr>
        <w:t>Textbook of Veterinary Anatomy</w:t>
      </w:r>
      <w:r w:rsidRPr="00B12C59">
        <w:t xml:space="preserve"> (4th ed.). Saunders Elsevier.</w:t>
      </w:r>
    </w:p>
    <w:p w14:paraId="3AF2DEEF" w14:textId="77777777" w:rsidR="00B12C59" w:rsidRPr="00B12C59" w:rsidRDefault="00B12C59" w:rsidP="00B12C59">
      <w:pPr>
        <w:spacing w:after="160" w:line="276" w:lineRule="auto"/>
        <w:jc w:val="both"/>
      </w:pPr>
      <w:proofErr w:type="spellStart"/>
      <w:r w:rsidRPr="00B12C59">
        <w:t>Estai</w:t>
      </w:r>
      <w:proofErr w:type="spellEnd"/>
      <w:r w:rsidRPr="00B12C59">
        <w:t xml:space="preserve">, M., &amp; Bunt, S. (2016). Best teaching practices in anatomy education: A critical review. </w:t>
      </w:r>
      <w:r w:rsidRPr="00B12C59">
        <w:rPr>
          <w:i/>
          <w:iCs/>
        </w:rPr>
        <w:t>Annals of Anatomy</w:t>
      </w:r>
      <w:r w:rsidRPr="00B12C59">
        <w:t xml:space="preserve">, </w:t>
      </w:r>
      <w:r w:rsidRPr="00B12C59">
        <w:rPr>
          <w:b/>
          <w:bCs/>
        </w:rPr>
        <w:t>208</w:t>
      </w:r>
      <w:r w:rsidRPr="00B12C59">
        <w:t xml:space="preserve">, 151–157. </w:t>
      </w:r>
      <w:hyperlink r:id="rId10" w:history="1">
        <w:r w:rsidRPr="00B12C59">
          <w:rPr>
            <w:color w:val="1155CC"/>
            <w:u w:val="single"/>
          </w:rPr>
          <w:t>https://doi.org/10.1016/j.aanat.2016.02.010</w:t>
        </w:r>
      </w:hyperlink>
    </w:p>
    <w:p w14:paraId="125F4068" w14:textId="77777777" w:rsidR="00B12C59" w:rsidRPr="00B12C59" w:rsidRDefault="00B12C59" w:rsidP="00B12C59">
      <w:pPr>
        <w:spacing w:after="160" w:line="276" w:lineRule="auto"/>
        <w:jc w:val="both"/>
      </w:pPr>
      <w:r w:rsidRPr="00B12C59">
        <w:t xml:space="preserve">Evans, H. E., &amp; de </w:t>
      </w:r>
      <w:proofErr w:type="spellStart"/>
      <w:r w:rsidRPr="00B12C59">
        <w:t>Lahunta</w:t>
      </w:r>
      <w:proofErr w:type="spellEnd"/>
      <w:r w:rsidRPr="00B12C59">
        <w:t xml:space="preserve">, A. (2013). </w:t>
      </w:r>
      <w:r w:rsidRPr="00B12C59">
        <w:rPr>
          <w:i/>
          <w:iCs/>
        </w:rPr>
        <w:t>Miller's Anatomy of the Dog</w:t>
      </w:r>
      <w:r w:rsidRPr="00B12C59">
        <w:t xml:space="preserve"> (4th ed.). Elsevier Saunders.</w:t>
      </w:r>
    </w:p>
    <w:p w14:paraId="6B36977E" w14:textId="77777777" w:rsidR="00B12C59" w:rsidRPr="00B12C59" w:rsidRDefault="00B12C59" w:rsidP="00B12C59">
      <w:pPr>
        <w:spacing w:after="160" w:line="276" w:lineRule="auto"/>
        <w:jc w:val="both"/>
      </w:pPr>
      <w:r w:rsidRPr="00B12C59">
        <w:t xml:space="preserve">Fossum, T. W. (2018). </w:t>
      </w:r>
      <w:r w:rsidRPr="00B12C59">
        <w:rPr>
          <w:i/>
          <w:iCs/>
        </w:rPr>
        <w:t>Small Animal Surgery</w:t>
      </w:r>
      <w:r w:rsidRPr="00B12C59">
        <w:t xml:space="preserve"> (5th ed.). Elsevier.</w:t>
      </w:r>
    </w:p>
    <w:p w14:paraId="285EA214" w14:textId="77777777" w:rsidR="00B12C59" w:rsidRPr="00B12C59" w:rsidRDefault="00B12C59" w:rsidP="00B12C59">
      <w:pPr>
        <w:spacing w:after="160" w:line="276" w:lineRule="auto"/>
        <w:jc w:val="both"/>
      </w:pPr>
      <w:r w:rsidRPr="00B12C59">
        <w:t xml:space="preserve">Griffon, D. J. (2010). A review of the pathogenesis of canine cranial cruciate ligament disease as a basis for future preventive strategies. </w:t>
      </w:r>
      <w:r w:rsidRPr="00B12C59">
        <w:rPr>
          <w:i/>
          <w:iCs/>
        </w:rPr>
        <w:t>Veterinary Surgery</w:t>
      </w:r>
      <w:r w:rsidRPr="00B12C59">
        <w:t xml:space="preserve">, </w:t>
      </w:r>
      <w:r w:rsidRPr="00B12C59">
        <w:rPr>
          <w:b/>
          <w:bCs/>
        </w:rPr>
        <w:t>39</w:t>
      </w:r>
      <w:r w:rsidRPr="00B12C59">
        <w:t xml:space="preserve">(4), 399–409. </w:t>
      </w:r>
      <w:hyperlink r:id="rId11" w:history="1">
        <w:r w:rsidRPr="00B12C59">
          <w:rPr>
            <w:color w:val="1155CC"/>
            <w:u w:val="single"/>
          </w:rPr>
          <w:t>https://doi.org/10.1111/j.1532-950X.2010.00654.x</w:t>
        </w:r>
      </w:hyperlink>
    </w:p>
    <w:p w14:paraId="517CA2EB" w14:textId="77777777" w:rsidR="00B12C59" w:rsidRPr="00B12C59" w:rsidRDefault="00B12C59" w:rsidP="00B12C59">
      <w:pPr>
        <w:spacing w:after="160" w:line="276" w:lineRule="auto"/>
        <w:jc w:val="both"/>
      </w:pPr>
      <w:r w:rsidRPr="00B12C59">
        <w:t xml:space="preserve">Johnson, L. R., &amp; Wisner, E. R. (2007). Advances in respiratory diagnostics. </w:t>
      </w:r>
      <w:r w:rsidRPr="00B12C59">
        <w:rPr>
          <w:i/>
          <w:iCs/>
        </w:rPr>
        <w:t>Veterinary Clinics of North America: Small Animal Practice</w:t>
      </w:r>
      <w:r w:rsidRPr="00B12C59">
        <w:t xml:space="preserve">, </w:t>
      </w:r>
      <w:r w:rsidRPr="00B12C59">
        <w:rPr>
          <w:b/>
          <w:bCs/>
        </w:rPr>
        <w:t>37</w:t>
      </w:r>
      <w:r w:rsidRPr="00B12C59">
        <w:t xml:space="preserve">(5), 879–900. </w:t>
      </w:r>
      <w:hyperlink r:id="rId12" w:history="1">
        <w:r w:rsidRPr="00B12C59">
          <w:rPr>
            <w:color w:val="1155CC"/>
            <w:u w:val="single"/>
          </w:rPr>
          <w:t>https://doi.org/10.1016/j.cvsm.2007.05.005</w:t>
        </w:r>
      </w:hyperlink>
    </w:p>
    <w:p w14:paraId="3583006A" w14:textId="77777777" w:rsidR="00B12C59" w:rsidRPr="00B12C59" w:rsidRDefault="00B12C59" w:rsidP="00B12C59">
      <w:pPr>
        <w:rPr>
          <w:color w:val="222222"/>
          <w:shd w:val="clear" w:color="auto" w:fill="FFFFFF"/>
        </w:rPr>
      </w:pPr>
      <w:r w:rsidRPr="00B12C59">
        <w:rPr>
          <w:color w:val="222222"/>
          <w:shd w:val="clear" w:color="auto" w:fill="FFFFFF"/>
        </w:rPr>
        <w:lastRenderedPageBreak/>
        <w:t>Kapoor, K. (2024). 3D visualization and printing: An “Anatomical Engineering” trend revealing underlying morphology via innovation and reconstruction towards future of veterinary anatomy: K. Kapoor. </w:t>
      </w:r>
      <w:r w:rsidRPr="00B12C59">
        <w:rPr>
          <w:i/>
          <w:iCs/>
          <w:color w:val="222222"/>
          <w:shd w:val="clear" w:color="auto" w:fill="FFFFFF"/>
        </w:rPr>
        <w:t>Anatomical Science International</w:t>
      </w:r>
      <w:r w:rsidRPr="00B12C59">
        <w:rPr>
          <w:color w:val="222222"/>
          <w:shd w:val="clear" w:color="auto" w:fill="FFFFFF"/>
        </w:rPr>
        <w:t>, </w:t>
      </w:r>
      <w:r w:rsidRPr="00B12C59">
        <w:rPr>
          <w:i/>
          <w:iCs/>
          <w:color w:val="222222"/>
          <w:shd w:val="clear" w:color="auto" w:fill="FFFFFF"/>
        </w:rPr>
        <w:t>99</w:t>
      </w:r>
      <w:r w:rsidRPr="00B12C59">
        <w:rPr>
          <w:color w:val="222222"/>
          <w:shd w:val="clear" w:color="auto" w:fill="FFFFFF"/>
        </w:rPr>
        <w:t xml:space="preserve">(2), 159-182. </w:t>
      </w:r>
      <w:hyperlink r:id="rId13" w:history="1">
        <w:r w:rsidRPr="00B12C59">
          <w:rPr>
            <w:rStyle w:val="Hyperlink"/>
            <w:shd w:val="clear" w:color="auto" w:fill="FFFFFF"/>
          </w:rPr>
          <w:t>https://doi.org/10.1007/s12565-023-00755-1</w:t>
        </w:r>
      </w:hyperlink>
      <w:r w:rsidRPr="00B12C59">
        <w:rPr>
          <w:color w:val="222222"/>
          <w:shd w:val="clear" w:color="auto" w:fill="FFFFFF"/>
        </w:rPr>
        <w:t xml:space="preserve"> </w:t>
      </w:r>
    </w:p>
    <w:p w14:paraId="7DB3C3B0" w14:textId="77777777" w:rsidR="00B12C59" w:rsidRPr="00B12C59" w:rsidRDefault="00B12C59" w:rsidP="00B12C59">
      <w:pPr>
        <w:spacing w:after="160" w:line="276" w:lineRule="auto"/>
        <w:jc w:val="both"/>
      </w:pPr>
      <w:r w:rsidRPr="00B12C59">
        <w:t xml:space="preserve">König, H. E., &amp; Liebich, H. G. (Eds.). (2020). </w:t>
      </w:r>
      <w:r w:rsidRPr="00B12C59">
        <w:rPr>
          <w:i/>
          <w:iCs/>
        </w:rPr>
        <w:t xml:space="preserve">Veterinary Anatomy of Domestic Mammals: Textbook and </w:t>
      </w:r>
      <w:proofErr w:type="spellStart"/>
      <w:r w:rsidRPr="00B12C59">
        <w:rPr>
          <w:i/>
          <w:iCs/>
        </w:rPr>
        <w:t>Colour</w:t>
      </w:r>
      <w:proofErr w:type="spellEnd"/>
      <w:r w:rsidRPr="00B12C59">
        <w:rPr>
          <w:i/>
          <w:iCs/>
        </w:rPr>
        <w:t xml:space="preserve"> Atlas</w:t>
      </w:r>
      <w:r w:rsidRPr="00B12C59">
        <w:t xml:space="preserve"> (7th ed.). Thieme.</w:t>
      </w:r>
    </w:p>
    <w:p w14:paraId="74672754" w14:textId="77777777" w:rsidR="00B12C59" w:rsidRPr="00B12C59" w:rsidRDefault="00B12C59" w:rsidP="00B12C59">
      <w:pPr>
        <w:rPr>
          <w:color w:val="222222"/>
          <w:shd w:val="clear" w:color="auto" w:fill="FFFFFF"/>
        </w:rPr>
      </w:pPr>
      <w:proofErr w:type="spellStart"/>
      <w:r w:rsidRPr="00B12C59">
        <w:rPr>
          <w:color w:val="222222"/>
          <w:shd w:val="clear" w:color="auto" w:fill="FFFFFF"/>
        </w:rPr>
        <w:t>Lombardero</w:t>
      </w:r>
      <w:proofErr w:type="spellEnd"/>
      <w:r w:rsidRPr="00B12C59">
        <w:rPr>
          <w:color w:val="222222"/>
          <w:shd w:val="clear" w:color="auto" w:fill="FFFFFF"/>
        </w:rPr>
        <w:t xml:space="preserve">, M., &amp; </w:t>
      </w:r>
      <w:proofErr w:type="spellStart"/>
      <w:r w:rsidRPr="00B12C59">
        <w:rPr>
          <w:color w:val="222222"/>
          <w:shd w:val="clear" w:color="auto" w:fill="FFFFFF"/>
        </w:rPr>
        <w:t>Yllera</w:t>
      </w:r>
      <w:proofErr w:type="spellEnd"/>
      <w:r w:rsidRPr="00B12C59">
        <w:rPr>
          <w:color w:val="222222"/>
          <w:shd w:val="clear" w:color="auto" w:fill="FFFFFF"/>
        </w:rPr>
        <w:t>, M. D. M. (2023). Advances in animal anatomy. </w:t>
      </w:r>
      <w:r w:rsidRPr="00B12C59">
        <w:rPr>
          <w:i/>
          <w:iCs/>
          <w:color w:val="222222"/>
          <w:shd w:val="clear" w:color="auto" w:fill="FFFFFF"/>
        </w:rPr>
        <w:t>Animals</w:t>
      </w:r>
      <w:r w:rsidRPr="00B12C59">
        <w:rPr>
          <w:color w:val="222222"/>
          <w:shd w:val="clear" w:color="auto" w:fill="FFFFFF"/>
        </w:rPr>
        <w:t>, </w:t>
      </w:r>
      <w:r w:rsidRPr="00B12C59">
        <w:rPr>
          <w:i/>
          <w:iCs/>
          <w:color w:val="222222"/>
          <w:shd w:val="clear" w:color="auto" w:fill="FFFFFF"/>
        </w:rPr>
        <w:t>13</w:t>
      </w:r>
      <w:r w:rsidRPr="00B12C59">
        <w:rPr>
          <w:color w:val="222222"/>
          <w:shd w:val="clear" w:color="auto" w:fill="FFFFFF"/>
        </w:rPr>
        <w:t xml:space="preserve">(6), 1110. </w:t>
      </w:r>
      <w:hyperlink r:id="rId14" w:history="1">
        <w:r w:rsidRPr="00B12C59">
          <w:rPr>
            <w:rStyle w:val="Hyperlink"/>
            <w:shd w:val="clear" w:color="auto" w:fill="FFFFFF"/>
          </w:rPr>
          <w:t>https://doi.org/10.3390/ani13061110</w:t>
        </w:r>
      </w:hyperlink>
      <w:r w:rsidRPr="00B12C59">
        <w:rPr>
          <w:color w:val="222222"/>
          <w:shd w:val="clear" w:color="auto" w:fill="FFFFFF"/>
        </w:rPr>
        <w:t xml:space="preserve"> </w:t>
      </w:r>
    </w:p>
    <w:p w14:paraId="345CAD0A" w14:textId="77777777" w:rsidR="00B12C59" w:rsidRPr="00B12C59" w:rsidRDefault="00B12C59" w:rsidP="00B12C59">
      <w:pPr>
        <w:spacing w:after="160" w:line="276" w:lineRule="auto"/>
        <w:jc w:val="both"/>
      </w:pPr>
      <w:r w:rsidRPr="00B12C59">
        <w:t xml:space="preserve">Lorenz, M. D., Coates, J. R., &amp; Kent, M. (2011). </w:t>
      </w:r>
      <w:r w:rsidRPr="00B12C59">
        <w:rPr>
          <w:i/>
          <w:iCs/>
        </w:rPr>
        <w:t>Handbook of Veterinary Neurology</w:t>
      </w:r>
      <w:r w:rsidRPr="00B12C59">
        <w:t xml:space="preserve"> (5th ed.). Elsevier Saunders.</w:t>
      </w:r>
    </w:p>
    <w:p w14:paraId="62672548" w14:textId="77777777" w:rsidR="00B12C59" w:rsidRPr="00B12C59" w:rsidRDefault="00B12C59" w:rsidP="00B12C59">
      <w:pPr>
        <w:spacing w:after="160" w:line="276" w:lineRule="auto"/>
        <w:jc w:val="both"/>
      </w:pPr>
      <w:r w:rsidRPr="00B12C59">
        <w:t xml:space="preserve">Mattoon, J. S., &amp; Nyland, T. G. (Eds.). (2015). </w:t>
      </w:r>
      <w:r w:rsidRPr="00B12C59">
        <w:rPr>
          <w:i/>
          <w:iCs/>
        </w:rPr>
        <w:t>Small Animal Diagnostic Ultrasound</w:t>
      </w:r>
      <w:r w:rsidRPr="00B12C59">
        <w:t xml:space="preserve"> (3rd ed.). Elsevier Saunders.</w:t>
      </w:r>
    </w:p>
    <w:p w14:paraId="2A0E3464" w14:textId="77777777" w:rsidR="00B12C59" w:rsidRPr="00B12C59" w:rsidRDefault="00B12C59" w:rsidP="00B12C59">
      <w:pPr>
        <w:spacing w:after="160" w:line="276" w:lineRule="auto"/>
        <w:jc w:val="both"/>
      </w:pPr>
      <w:r w:rsidRPr="00B12C59">
        <w:t xml:space="preserve">Mayhew, P. D. (2009). Advanced laparoscopic procedures (hepatic, enteric, urogenital) in dogs and cats. </w:t>
      </w:r>
      <w:r w:rsidRPr="00B12C59">
        <w:rPr>
          <w:i/>
          <w:iCs/>
        </w:rPr>
        <w:t>Veterinary Clinics of North America: Small Animal Practice</w:t>
      </w:r>
      <w:r w:rsidRPr="00B12C59">
        <w:t xml:space="preserve">, </w:t>
      </w:r>
      <w:r w:rsidRPr="00B12C59">
        <w:rPr>
          <w:b/>
          <w:bCs/>
        </w:rPr>
        <w:t>39</w:t>
      </w:r>
      <w:r w:rsidRPr="00B12C59">
        <w:t xml:space="preserve">(5), 925–939. </w:t>
      </w:r>
      <w:hyperlink r:id="rId15" w:history="1">
        <w:r w:rsidRPr="00B12C59">
          <w:rPr>
            <w:color w:val="1155CC"/>
            <w:u w:val="single"/>
          </w:rPr>
          <w:t>https://doi.org/10.1016/j.cvsm.2009.05.003</w:t>
        </w:r>
      </w:hyperlink>
    </w:p>
    <w:p w14:paraId="7DFCB61E" w14:textId="77777777" w:rsidR="00B12C59" w:rsidRPr="00B12C59" w:rsidRDefault="00B12C59" w:rsidP="00B12C59">
      <w:pPr>
        <w:spacing w:after="160" w:line="276" w:lineRule="auto"/>
        <w:jc w:val="both"/>
      </w:pPr>
      <w:r w:rsidRPr="00B12C59">
        <w:t xml:space="preserve">McLachlan, J. C., &amp; Patten, D. (2006). Anatomy teaching: Ghosts of the past, present and future. </w:t>
      </w:r>
      <w:r w:rsidRPr="00B12C59">
        <w:rPr>
          <w:i/>
          <w:iCs/>
        </w:rPr>
        <w:t>Medical Education</w:t>
      </w:r>
      <w:r w:rsidRPr="00B12C59">
        <w:t xml:space="preserve">, </w:t>
      </w:r>
      <w:r w:rsidRPr="00B12C59">
        <w:rPr>
          <w:b/>
          <w:bCs/>
        </w:rPr>
        <w:t>40</w:t>
      </w:r>
      <w:r w:rsidRPr="00B12C59">
        <w:t xml:space="preserve">(3), 243–253. </w:t>
      </w:r>
      <w:hyperlink r:id="rId16" w:history="1">
        <w:r w:rsidRPr="00B12C59">
          <w:rPr>
            <w:color w:val="1155CC"/>
            <w:u w:val="single"/>
          </w:rPr>
          <w:t>https://doi.org/10.1111/j.1365-2929.2006.02401.x</w:t>
        </w:r>
      </w:hyperlink>
    </w:p>
    <w:p w14:paraId="62E39C46" w14:textId="77777777" w:rsidR="00B12C59" w:rsidRPr="00B12C59" w:rsidRDefault="00B12C59" w:rsidP="00B12C59">
      <w:pPr>
        <w:spacing w:after="160" w:line="276" w:lineRule="auto"/>
        <w:jc w:val="both"/>
      </w:pPr>
      <w:r w:rsidRPr="00B12C59">
        <w:t xml:space="preserve">Millis, D. L., &amp; Levine, D. (Eds.). (2014). </w:t>
      </w:r>
      <w:r w:rsidRPr="00B12C59">
        <w:rPr>
          <w:i/>
          <w:iCs/>
        </w:rPr>
        <w:t>Canine Rehabilitation and Physical Therapy</w:t>
      </w:r>
      <w:r w:rsidRPr="00B12C59">
        <w:t xml:space="preserve"> (2nd ed.). Elsevier Saunders. ISBN: 978-1-4377-0309-2 Chapter 5. Pages 41-78, </w:t>
      </w:r>
      <w:hyperlink r:id="rId17" w:history="1">
        <w:r w:rsidRPr="00B12C59">
          <w:rPr>
            <w:rStyle w:val="Hyperlink"/>
          </w:rPr>
          <w:t>https://doi.org/10.1016/B978-1-4377-0309-2.00005-3</w:t>
        </w:r>
      </w:hyperlink>
      <w:r w:rsidRPr="00B12C59">
        <w:t xml:space="preserve"> </w:t>
      </w:r>
    </w:p>
    <w:p w14:paraId="50EF218A" w14:textId="77777777" w:rsidR="00B12C59" w:rsidRPr="00B12C59" w:rsidRDefault="00B12C59" w:rsidP="00B12C59">
      <w:pPr>
        <w:spacing w:after="160" w:line="276" w:lineRule="auto"/>
        <w:jc w:val="both"/>
      </w:pPr>
      <w:r w:rsidRPr="00B12C59">
        <w:t xml:space="preserve">Nickel, R., Schummer, A., &amp; </w:t>
      </w:r>
      <w:proofErr w:type="spellStart"/>
      <w:r w:rsidRPr="00B12C59">
        <w:t>Seiferle</w:t>
      </w:r>
      <w:proofErr w:type="spellEnd"/>
      <w:r w:rsidRPr="00B12C59">
        <w:t xml:space="preserve">, E. (1981). </w:t>
      </w:r>
      <w:r w:rsidRPr="00B12C59">
        <w:rPr>
          <w:i/>
          <w:iCs/>
        </w:rPr>
        <w:t>The Viscera of the Domestic Mammals</w:t>
      </w:r>
      <w:r w:rsidRPr="00B12C59">
        <w:t xml:space="preserve"> (2nd ed.). Verlag Paul Parey.</w:t>
      </w:r>
    </w:p>
    <w:p w14:paraId="00E68B7F" w14:textId="77777777" w:rsidR="00B12C59" w:rsidRPr="00B12C59" w:rsidRDefault="00B12C59" w:rsidP="00B12C59">
      <w:pPr>
        <w:spacing w:after="160" w:line="276" w:lineRule="auto"/>
        <w:jc w:val="both"/>
      </w:pPr>
      <w:r w:rsidRPr="00B12C59">
        <w:t xml:space="preserve">Riederer, B. M. (2014). Plastination and its importance in teaching anatomy: Critical points for long-term preservation of human tissue. </w:t>
      </w:r>
      <w:r w:rsidRPr="00B12C59">
        <w:rPr>
          <w:i/>
          <w:iCs/>
        </w:rPr>
        <w:t>Journal of Anatomy</w:t>
      </w:r>
      <w:r w:rsidRPr="00B12C59">
        <w:t xml:space="preserve">, </w:t>
      </w:r>
      <w:r w:rsidRPr="00B12C59">
        <w:rPr>
          <w:b/>
          <w:bCs/>
        </w:rPr>
        <w:t>224</w:t>
      </w:r>
      <w:r w:rsidRPr="00B12C59">
        <w:t xml:space="preserve">(3), 309–315. </w:t>
      </w:r>
      <w:hyperlink r:id="rId18" w:history="1">
        <w:r w:rsidRPr="00B12C59">
          <w:rPr>
            <w:color w:val="1155CC"/>
            <w:u w:val="single"/>
          </w:rPr>
          <w:t>https://doi.org/10.1111/joa.12056</w:t>
        </w:r>
      </w:hyperlink>
    </w:p>
    <w:p w14:paraId="27822AE1" w14:textId="77777777" w:rsidR="00B12C59" w:rsidRPr="00B12C59" w:rsidRDefault="00B12C59" w:rsidP="00B12C59">
      <w:pPr>
        <w:rPr>
          <w:color w:val="222222"/>
          <w:shd w:val="clear" w:color="auto" w:fill="FFFFFF"/>
        </w:rPr>
      </w:pPr>
      <w:proofErr w:type="spellStart"/>
      <w:r w:rsidRPr="00B12C59">
        <w:rPr>
          <w:color w:val="222222"/>
          <w:shd w:val="clear" w:color="auto" w:fill="FFFFFF"/>
        </w:rPr>
        <w:t>Schirone</w:t>
      </w:r>
      <w:proofErr w:type="spellEnd"/>
      <w:r w:rsidRPr="00B12C59">
        <w:rPr>
          <w:color w:val="222222"/>
          <w:shd w:val="clear" w:color="auto" w:fill="FFFFFF"/>
        </w:rPr>
        <w:t xml:space="preserve">, R., Corte, G. M., Ehlers, J. P., Herre, C., Schmedding, M., Merle, R., ... &amp; </w:t>
      </w:r>
      <w:proofErr w:type="spellStart"/>
      <w:r w:rsidRPr="00B12C59">
        <w:rPr>
          <w:color w:val="222222"/>
          <w:shd w:val="clear" w:color="auto" w:fill="FFFFFF"/>
        </w:rPr>
        <w:t>Bahramsoltani</w:t>
      </w:r>
      <w:proofErr w:type="spellEnd"/>
      <w:r w:rsidRPr="00B12C59">
        <w:rPr>
          <w:color w:val="222222"/>
          <w:shd w:val="clear" w:color="auto" w:fill="FFFFFF"/>
        </w:rPr>
        <w:t>, M. (2024). Effects of 3D scans on veterinary students’ learning outcomes compared to traditional 2D images in anatomy classes. </w:t>
      </w:r>
      <w:r w:rsidRPr="00B12C59">
        <w:rPr>
          <w:i/>
          <w:iCs/>
          <w:color w:val="222222"/>
          <w:shd w:val="clear" w:color="auto" w:fill="FFFFFF"/>
        </w:rPr>
        <w:t>Animals</w:t>
      </w:r>
      <w:r w:rsidRPr="00B12C59">
        <w:rPr>
          <w:color w:val="222222"/>
          <w:shd w:val="clear" w:color="auto" w:fill="FFFFFF"/>
        </w:rPr>
        <w:t>, </w:t>
      </w:r>
      <w:r w:rsidRPr="00B12C59">
        <w:rPr>
          <w:i/>
          <w:iCs/>
          <w:color w:val="222222"/>
          <w:shd w:val="clear" w:color="auto" w:fill="FFFFFF"/>
        </w:rPr>
        <w:t>14</w:t>
      </w:r>
      <w:r w:rsidRPr="00B12C59">
        <w:rPr>
          <w:color w:val="222222"/>
          <w:shd w:val="clear" w:color="auto" w:fill="FFFFFF"/>
        </w:rPr>
        <w:t xml:space="preserve">(15), 2171. </w:t>
      </w:r>
      <w:hyperlink r:id="rId19" w:history="1">
        <w:r w:rsidRPr="00B12C59">
          <w:rPr>
            <w:rStyle w:val="Hyperlink"/>
            <w:shd w:val="clear" w:color="auto" w:fill="FFFFFF"/>
          </w:rPr>
          <w:t>https://doi.org/10.3390/ani14152171</w:t>
        </w:r>
      </w:hyperlink>
      <w:r w:rsidRPr="00B12C59">
        <w:rPr>
          <w:color w:val="222222"/>
          <w:shd w:val="clear" w:color="auto" w:fill="FFFFFF"/>
        </w:rPr>
        <w:t xml:space="preserve"> </w:t>
      </w:r>
    </w:p>
    <w:p w14:paraId="47B3C5DE" w14:textId="77777777" w:rsidR="00B12C59" w:rsidRPr="00B12C59" w:rsidRDefault="00B12C59" w:rsidP="00B12C59">
      <w:pPr>
        <w:spacing w:after="160" w:line="276" w:lineRule="auto"/>
        <w:jc w:val="both"/>
      </w:pPr>
      <w:r w:rsidRPr="00B12C59">
        <w:t xml:space="preserve">Slatter, D. H. (Ed.). (2003). </w:t>
      </w:r>
      <w:r w:rsidRPr="00B12C59">
        <w:rPr>
          <w:i/>
          <w:iCs/>
        </w:rPr>
        <w:t>Textbook of Small Animal Surgery</w:t>
      </w:r>
      <w:r w:rsidRPr="00B12C59">
        <w:t xml:space="preserve"> (3rd ed.). Saunders.</w:t>
      </w:r>
    </w:p>
    <w:p w14:paraId="56BAA99B" w14:textId="77777777" w:rsidR="00B12C59" w:rsidRPr="00B12C59" w:rsidRDefault="00B12C59" w:rsidP="00B12C59">
      <w:pPr>
        <w:spacing w:after="160" w:line="276" w:lineRule="auto"/>
        <w:jc w:val="both"/>
      </w:pPr>
      <w:r w:rsidRPr="00B12C59">
        <w:t xml:space="preserve">Thrall, D. E. (Ed.). (2018). </w:t>
      </w:r>
      <w:r w:rsidRPr="00B12C59">
        <w:rPr>
          <w:i/>
          <w:iCs/>
        </w:rPr>
        <w:t>Textbook of Veterinary Diagnostic Radiology</w:t>
      </w:r>
      <w:r w:rsidRPr="00B12C59">
        <w:t xml:space="preserve"> (7th ed.). Elsevier.</w:t>
      </w:r>
    </w:p>
    <w:p w14:paraId="52097A45" w14:textId="77777777" w:rsidR="00B12C59" w:rsidRPr="00B12C59" w:rsidRDefault="00B12C59" w:rsidP="00B12C59">
      <w:pPr>
        <w:spacing w:after="160" w:line="276" w:lineRule="auto"/>
        <w:jc w:val="both"/>
      </w:pPr>
      <w:r w:rsidRPr="00B12C59">
        <w:t xml:space="preserve">Tobias, K. M., &amp; Johnston, S. A. (Eds.). (2012). </w:t>
      </w:r>
      <w:r w:rsidRPr="00B12C59">
        <w:rPr>
          <w:i/>
          <w:iCs/>
        </w:rPr>
        <w:t>Veterinary Surgery: Small Animal</w:t>
      </w:r>
      <w:r w:rsidRPr="00B12C59">
        <w:t xml:space="preserve"> (1st ed.). Elsevier Saunders.</w:t>
      </w:r>
    </w:p>
    <w:p w14:paraId="50A49689" w14:textId="77777777" w:rsidR="00B12C59" w:rsidRPr="00B12C59" w:rsidRDefault="00B12C59" w:rsidP="00B12C59">
      <w:pPr>
        <w:rPr>
          <w:color w:val="222222"/>
          <w:shd w:val="clear" w:color="auto" w:fill="FFFFFF"/>
        </w:rPr>
      </w:pPr>
      <w:r w:rsidRPr="00B12C59">
        <w:rPr>
          <w:color w:val="222222"/>
          <w:shd w:val="clear" w:color="auto" w:fill="FFFFFF"/>
        </w:rPr>
        <w:lastRenderedPageBreak/>
        <w:t>Varner, C., Dixon, L., &amp; Simons, M. C. (2021). The past, present, and future: a discussion of cadaver use in medical and veterinary education. </w:t>
      </w:r>
      <w:r w:rsidRPr="00B12C59">
        <w:rPr>
          <w:i/>
          <w:iCs/>
          <w:color w:val="222222"/>
          <w:shd w:val="clear" w:color="auto" w:fill="FFFFFF"/>
        </w:rPr>
        <w:t>Frontiers in Veterinary Science</w:t>
      </w:r>
      <w:r w:rsidRPr="00B12C59">
        <w:rPr>
          <w:color w:val="222222"/>
          <w:shd w:val="clear" w:color="auto" w:fill="FFFFFF"/>
        </w:rPr>
        <w:t>, </w:t>
      </w:r>
      <w:r w:rsidRPr="00B12C59">
        <w:rPr>
          <w:i/>
          <w:iCs/>
          <w:color w:val="222222"/>
          <w:shd w:val="clear" w:color="auto" w:fill="FFFFFF"/>
        </w:rPr>
        <w:t>8</w:t>
      </w:r>
      <w:r w:rsidRPr="00B12C59">
        <w:rPr>
          <w:color w:val="222222"/>
          <w:shd w:val="clear" w:color="auto" w:fill="FFFFFF"/>
        </w:rPr>
        <w:t xml:space="preserve">, 720740. </w:t>
      </w:r>
      <w:hyperlink r:id="rId20" w:history="1">
        <w:r w:rsidRPr="00B12C59">
          <w:rPr>
            <w:rStyle w:val="Hyperlink"/>
            <w:shd w:val="clear" w:color="auto" w:fill="FFFFFF"/>
          </w:rPr>
          <w:t>https://doi.org/10.3389/fvets.2021.720740</w:t>
        </w:r>
      </w:hyperlink>
      <w:r w:rsidRPr="00B12C59">
        <w:rPr>
          <w:color w:val="222222"/>
          <w:shd w:val="clear" w:color="auto" w:fill="FFFFFF"/>
        </w:rPr>
        <w:t xml:space="preserve"> </w:t>
      </w:r>
    </w:p>
    <w:p w14:paraId="552FEE12" w14:textId="77777777" w:rsidR="00B12C59" w:rsidRPr="00B12C59" w:rsidRDefault="00B12C59" w:rsidP="00B12C59">
      <w:pPr>
        <w:rPr>
          <w:color w:val="222222"/>
          <w:shd w:val="clear" w:color="auto" w:fill="FFFFFF"/>
        </w:rPr>
      </w:pPr>
      <w:proofErr w:type="spellStart"/>
      <w:r w:rsidRPr="00B12C59">
        <w:rPr>
          <w:color w:val="222222"/>
          <w:shd w:val="clear" w:color="auto" w:fill="FFFFFF"/>
        </w:rPr>
        <w:t>Wheble</w:t>
      </w:r>
      <w:proofErr w:type="spellEnd"/>
      <w:r w:rsidRPr="00B12C59">
        <w:rPr>
          <w:color w:val="222222"/>
          <w:shd w:val="clear" w:color="auto" w:fill="FFFFFF"/>
        </w:rPr>
        <w:t>, R., &amp; Channon, S. B. (2021). What use is anatomy in first opinion small animal veterinary practice? A qualitative study. </w:t>
      </w:r>
      <w:r w:rsidRPr="00B12C59">
        <w:rPr>
          <w:i/>
          <w:iCs/>
          <w:color w:val="222222"/>
          <w:shd w:val="clear" w:color="auto" w:fill="FFFFFF"/>
        </w:rPr>
        <w:t>Anatomical Sciences Education</w:t>
      </w:r>
      <w:r w:rsidRPr="00B12C59">
        <w:rPr>
          <w:color w:val="222222"/>
          <w:shd w:val="clear" w:color="auto" w:fill="FFFFFF"/>
        </w:rPr>
        <w:t>, </w:t>
      </w:r>
      <w:r w:rsidRPr="00B12C59">
        <w:rPr>
          <w:i/>
          <w:iCs/>
          <w:color w:val="222222"/>
          <w:shd w:val="clear" w:color="auto" w:fill="FFFFFF"/>
        </w:rPr>
        <w:t>14</w:t>
      </w:r>
      <w:r w:rsidRPr="00B12C59">
        <w:rPr>
          <w:color w:val="222222"/>
          <w:shd w:val="clear" w:color="auto" w:fill="FFFFFF"/>
        </w:rPr>
        <w:t xml:space="preserve">(4), 440-451. </w:t>
      </w:r>
      <w:hyperlink r:id="rId21" w:history="1">
        <w:r w:rsidRPr="00B12C59">
          <w:rPr>
            <w:rStyle w:val="Hyperlink"/>
            <w:shd w:val="clear" w:color="auto" w:fill="FFFFFF"/>
          </w:rPr>
          <w:t>https://doi.org/10.1002/ase.1995</w:t>
        </w:r>
      </w:hyperlink>
      <w:r w:rsidRPr="00B12C59">
        <w:rPr>
          <w:color w:val="222222"/>
          <w:shd w:val="clear" w:color="auto" w:fill="FFFFFF"/>
        </w:rPr>
        <w:t xml:space="preserve"> </w:t>
      </w:r>
    </w:p>
    <w:p w14:paraId="2ACCFC63" w14:textId="77777777" w:rsidR="00B12C59" w:rsidRDefault="00B12C59">
      <w:pPr>
        <w:spacing w:after="160" w:line="276" w:lineRule="auto"/>
        <w:ind w:left="720" w:hanging="720"/>
        <w:jc w:val="both"/>
      </w:pPr>
    </w:p>
    <w:sectPr w:rsidR="00B12C59" w:rsidSect="00F906EA">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0FE09" w14:textId="77777777" w:rsidR="00552DE7" w:rsidRDefault="00552DE7" w:rsidP="00F906EA">
      <w:pPr>
        <w:spacing w:after="0" w:line="240" w:lineRule="auto"/>
      </w:pPr>
      <w:r>
        <w:separator/>
      </w:r>
    </w:p>
  </w:endnote>
  <w:endnote w:type="continuationSeparator" w:id="0">
    <w:p w14:paraId="7B27E520" w14:textId="77777777" w:rsidR="00552DE7" w:rsidRDefault="00552DE7" w:rsidP="00F9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4964" w14:textId="77777777" w:rsidR="003835B3" w:rsidRDefault="00383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F0F1E" w14:textId="77777777" w:rsidR="003835B3" w:rsidRDefault="003835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8AE87" w14:textId="77777777" w:rsidR="003835B3" w:rsidRDefault="00383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75ABC" w14:textId="77777777" w:rsidR="00552DE7" w:rsidRDefault="00552DE7" w:rsidP="00F906EA">
      <w:pPr>
        <w:spacing w:after="0" w:line="240" w:lineRule="auto"/>
      </w:pPr>
      <w:r>
        <w:separator/>
      </w:r>
    </w:p>
  </w:footnote>
  <w:footnote w:type="continuationSeparator" w:id="0">
    <w:p w14:paraId="64F27016" w14:textId="77777777" w:rsidR="00552DE7" w:rsidRDefault="00552DE7" w:rsidP="00F90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F90FD" w14:textId="349A6E23" w:rsidR="003835B3" w:rsidRDefault="003835B3">
    <w:pPr>
      <w:pStyle w:val="Header"/>
    </w:pPr>
    <w:r>
      <w:rPr>
        <w:noProof/>
      </w:rPr>
      <w:pict w14:anchorId="3BEE0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80745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F245C" w14:textId="5F7DC1C3" w:rsidR="003835B3" w:rsidRDefault="003835B3">
    <w:pPr>
      <w:pStyle w:val="Header"/>
    </w:pPr>
    <w:r>
      <w:rPr>
        <w:noProof/>
      </w:rPr>
      <w:pict w14:anchorId="42C6C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80745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4EEC4" w14:textId="091FC79E" w:rsidR="003835B3" w:rsidRDefault="003835B3">
    <w:pPr>
      <w:pStyle w:val="Header"/>
    </w:pPr>
    <w:r>
      <w:rPr>
        <w:noProof/>
      </w:rPr>
      <w:pict w14:anchorId="5D93C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80745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D64BA"/>
    <w:multiLevelType w:val="hybridMultilevel"/>
    <w:tmpl w:val="E4D8E9AC"/>
    <w:lvl w:ilvl="0" w:tplc="2E7A50E4">
      <w:start w:val="1"/>
      <w:numFmt w:val="bullet"/>
      <w:lvlText w:val="●"/>
      <w:lvlJc w:val="left"/>
      <w:pPr>
        <w:ind w:left="720" w:hanging="360"/>
      </w:pPr>
    </w:lvl>
    <w:lvl w:ilvl="1" w:tplc="B3E87A88">
      <w:start w:val="1"/>
      <w:numFmt w:val="bullet"/>
      <w:lvlText w:val="○"/>
      <w:lvlJc w:val="left"/>
      <w:pPr>
        <w:ind w:left="1440" w:hanging="360"/>
      </w:pPr>
    </w:lvl>
    <w:lvl w:ilvl="2" w:tplc="1410FE4C">
      <w:start w:val="1"/>
      <w:numFmt w:val="bullet"/>
      <w:lvlText w:val="■"/>
      <w:lvlJc w:val="left"/>
      <w:pPr>
        <w:ind w:left="2160" w:hanging="360"/>
      </w:pPr>
    </w:lvl>
    <w:lvl w:ilvl="3" w:tplc="6A662EF8">
      <w:start w:val="1"/>
      <w:numFmt w:val="bullet"/>
      <w:lvlText w:val="●"/>
      <w:lvlJc w:val="left"/>
      <w:pPr>
        <w:ind w:left="2880" w:hanging="360"/>
      </w:pPr>
    </w:lvl>
    <w:lvl w:ilvl="4" w:tplc="568E02EA">
      <w:start w:val="1"/>
      <w:numFmt w:val="bullet"/>
      <w:lvlText w:val="○"/>
      <w:lvlJc w:val="left"/>
      <w:pPr>
        <w:ind w:left="3600" w:hanging="360"/>
      </w:pPr>
    </w:lvl>
    <w:lvl w:ilvl="5" w:tplc="4516DAC4">
      <w:start w:val="1"/>
      <w:numFmt w:val="bullet"/>
      <w:lvlText w:val="■"/>
      <w:lvlJc w:val="left"/>
      <w:pPr>
        <w:ind w:left="4320" w:hanging="360"/>
      </w:pPr>
    </w:lvl>
    <w:lvl w:ilvl="6" w:tplc="39A24958">
      <w:start w:val="1"/>
      <w:numFmt w:val="bullet"/>
      <w:lvlText w:val="●"/>
      <w:lvlJc w:val="left"/>
      <w:pPr>
        <w:ind w:left="5040" w:hanging="360"/>
      </w:pPr>
    </w:lvl>
    <w:lvl w:ilvl="7" w:tplc="02C45EA2">
      <w:start w:val="1"/>
      <w:numFmt w:val="bullet"/>
      <w:lvlText w:val="●"/>
      <w:lvlJc w:val="left"/>
      <w:pPr>
        <w:ind w:left="5760" w:hanging="360"/>
      </w:pPr>
    </w:lvl>
    <w:lvl w:ilvl="8" w:tplc="D8969BEE">
      <w:start w:val="1"/>
      <w:numFmt w:val="bullet"/>
      <w:lvlText w:val="●"/>
      <w:lvlJc w:val="left"/>
      <w:pPr>
        <w:ind w:left="6480" w:hanging="360"/>
      </w:pPr>
    </w:lvl>
  </w:abstractNum>
  <w:abstractNum w:abstractNumId="1" w15:restartNumberingAfterBreak="0">
    <w:nsid w:val="7E8E5014"/>
    <w:multiLevelType w:val="hybridMultilevel"/>
    <w:tmpl w:val="8BCCB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06EA"/>
    <w:rsid w:val="001C214A"/>
    <w:rsid w:val="00297C09"/>
    <w:rsid w:val="003835B3"/>
    <w:rsid w:val="004B412A"/>
    <w:rsid w:val="00552DE7"/>
    <w:rsid w:val="00672766"/>
    <w:rsid w:val="00905A33"/>
    <w:rsid w:val="00B12C59"/>
    <w:rsid w:val="00C37575"/>
    <w:rsid w:val="00CF406B"/>
    <w:rsid w:val="00D82B96"/>
    <w:rsid w:val="00E63FBE"/>
    <w:rsid w:val="00F906EA"/>
    <w:rsid w:val="00FC5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F7CCD9"/>
  <w15:docId w15:val="{47087DC2-39A4-48D9-B798-28E9594F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C41"/>
  </w:style>
  <w:style w:type="paragraph" w:styleId="Heading1">
    <w:name w:val="heading 1"/>
    <w:qFormat/>
    <w:rsid w:val="00F906EA"/>
    <w:pPr>
      <w:spacing w:before="280" w:after="120"/>
      <w:outlineLvl w:val="0"/>
    </w:pPr>
    <w:rPr>
      <w:b/>
      <w:bCs/>
      <w:color w:val="000000"/>
      <w:sz w:val="30"/>
      <w:szCs w:val="30"/>
    </w:rPr>
  </w:style>
  <w:style w:type="paragraph" w:styleId="Heading2">
    <w:name w:val="heading 2"/>
    <w:qFormat/>
    <w:rsid w:val="00F906EA"/>
    <w:pPr>
      <w:spacing w:before="200" w:after="100"/>
      <w:outlineLvl w:val="1"/>
    </w:pPr>
    <w:rPr>
      <w:b/>
      <w:bCs/>
      <w:color w:val="000000"/>
      <w:sz w:val="26"/>
      <w:szCs w:val="26"/>
    </w:rPr>
  </w:style>
  <w:style w:type="paragraph" w:styleId="Heading3">
    <w:name w:val="heading 3"/>
    <w:qFormat/>
    <w:rsid w:val="00F906EA"/>
    <w:pPr>
      <w:outlineLvl w:val="2"/>
    </w:pPr>
    <w:rPr>
      <w:color w:val="1F4D78"/>
    </w:rPr>
  </w:style>
  <w:style w:type="paragraph" w:styleId="Heading4">
    <w:name w:val="heading 4"/>
    <w:qFormat/>
    <w:rsid w:val="00F906EA"/>
    <w:pPr>
      <w:outlineLvl w:val="3"/>
    </w:pPr>
    <w:rPr>
      <w:i/>
      <w:iCs/>
      <w:color w:val="2E74B5"/>
    </w:rPr>
  </w:style>
  <w:style w:type="paragraph" w:styleId="Heading5">
    <w:name w:val="heading 5"/>
    <w:qFormat/>
    <w:rsid w:val="00F906EA"/>
    <w:pPr>
      <w:outlineLvl w:val="4"/>
    </w:pPr>
    <w:rPr>
      <w:color w:val="2E74B5"/>
    </w:rPr>
  </w:style>
  <w:style w:type="paragraph" w:styleId="Heading6">
    <w:name w:val="heading 6"/>
    <w:qFormat/>
    <w:rsid w:val="00F906E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F906EA"/>
    <w:rPr>
      <w:sz w:val="56"/>
      <w:szCs w:val="56"/>
    </w:rPr>
  </w:style>
  <w:style w:type="paragraph" w:customStyle="1" w:styleId="Strong1">
    <w:name w:val="Strong1"/>
    <w:qFormat/>
    <w:rsid w:val="00F906EA"/>
    <w:rPr>
      <w:b/>
      <w:bCs/>
    </w:rPr>
  </w:style>
  <w:style w:type="paragraph" w:styleId="ListParagraph">
    <w:name w:val="List Paragraph"/>
    <w:qFormat/>
    <w:rsid w:val="00F906EA"/>
  </w:style>
  <w:style w:type="character" w:styleId="Hyperlink">
    <w:name w:val="Hyperlink"/>
    <w:uiPriority w:val="99"/>
    <w:unhideWhenUsed/>
    <w:rsid w:val="00F906EA"/>
    <w:rPr>
      <w:color w:val="0563C1"/>
      <w:u w:val="single"/>
    </w:rPr>
  </w:style>
  <w:style w:type="character" w:styleId="FootnoteReference">
    <w:name w:val="footnote reference"/>
    <w:uiPriority w:val="99"/>
    <w:semiHidden/>
    <w:unhideWhenUsed/>
    <w:rsid w:val="00F906EA"/>
    <w:rPr>
      <w:vertAlign w:val="superscript"/>
    </w:rPr>
  </w:style>
  <w:style w:type="paragraph" w:styleId="FootnoteText">
    <w:name w:val="footnote text"/>
    <w:link w:val="FootnoteTextChar"/>
    <w:uiPriority w:val="99"/>
    <w:semiHidden/>
    <w:unhideWhenUsed/>
    <w:rsid w:val="00F906EA"/>
    <w:pPr>
      <w:spacing w:after="0" w:line="240" w:lineRule="auto"/>
    </w:pPr>
    <w:rPr>
      <w:sz w:val="20"/>
      <w:szCs w:val="20"/>
    </w:rPr>
  </w:style>
  <w:style w:type="character" w:customStyle="1" w:styleId="FootnoteTextChar">
    <w:name w:val="Footnote Text Char"/>
    <w:link w:val="FootnoteText"/>
    <w:uiPriority w:val="99"/>
    <w:semiHidden/>
    <w:unhideWhenUsed/>
    <w:rsid w:val="00F906EA"/>
    <w:rPr>
      <w:sz w:val="20"/>
      <w:szCs w:val="20"/>
    </w:rPr>
  </w:style>
  <w:style w:type="paragraph" w:styleId="Header">
    <w:name w:val="header"/>
    <w:basedOn w:val="Normal"/>
    <w:link w:val="HeaderChar"/>
    <w:uiPriority w:val="99"/>
    <w:unhideWhenUsed/>
    <w:rsid w:val="00C37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575"/>
  </w:style>
  <w:style w:type="paragraph" w:styleId="Footer">
    <w:name w:val="footer"/>
    <w:basedOn w:val="Normal"/>
    <w:link w:val="FooterChar"/>
    <w:uiPriority w:val="99"/>
    <w:unhideWhenUsed/>
    <w:rsid w:val="00C37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75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vetsci13030221" TargetMode="External"/><Relationship Id="rId13" Type="http://schemas.openxmlformats.org/officeDocument/2006/relationships/hyperlink" Target="https://doi.org/10.1007/s12565-023-00755-1" TargetMode="External"/><Relationship Id="rId18" Type="http://schemas.openxmlformats.org/officeDocument/2006/relationships/hyperlink" Target="https://doi.org/10.1111/joa.12056"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02/ase.1995" TargetMode="External"/><Relationship Id="rId7" Type="http://schemas.openxmlformats.org/officeDocument/2006/relationships/hyperlink" Target="https://doi.org/10.1016/j.tvjl.2011.09.027" TargetMode="External"/><Relationship Id="rId12" Type="http://schemas.openxmlformats.org/officeDocument/2006/relationships/hyperlink" Target="https://doi.org/10.1016/j.cvsm.2007.05.005" TargetMode="External"/><Relationship Id="rId17" Type="http://schemas.openxmlformats.org/officeDocument/2006/relationships/hyperlink" Target="https://doi.org/10.1016/B978-1-4377-0309-2.00005-3"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11/j.1365-2929.2006.02401.x" TargetMode="External"/><Relationship Id="rId20" Type="http://schemas.openxmlformats.org/officeDocument/2006/relationships/hyperlink" Target="https://doi.org/10.3389/fvets.2021.72074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532-950X.2010.00654.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cvsm.2009.05.00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6/j.aanat.2016.02.010" TargetMode="External"/><Relationship Id="rId19" Type="http://schemas.openxmlformats.org/officeDocument/2006/relationships/hyperlink" Target="https://doi.org/10.3390/ani14152171" TargetMode="External"/><Relationship Id="rId4" Type="http://schemas.openxmlformats.org/officeDocument/2006/relationships/webSettings" Target="webSettings.xml"/><Relationship Id="rId9" Type="http://schemas.openxmlformats.org/officeDocument/2006/relationships/hyperlink" Target="https://doi.org/10.3389/fvets.2025.1602545" TargetMode="External"/><Relationship Id="rId14" Type="http://schemas.openxmlformats.org/officeDocument/2006/relationships/hyperlink" Target="https://doi.org/10.3390/ani13061110"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24</Pages>
  <Words>9865</Words>
  <Characters>56236</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8</cp:revision>
  <dcterms:created xsi:type="dcterms:W3CDTF">2026-03-10T16:28:00Z</dcterms:created>
  <dcterms:modified xsi:type="dcterms:W3CDTF">2026-03-11T13:03:00Z</dcterms:modified>
</cp:coreProperties>
</file>