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DB948" w14:textId="77777777" w:rsidR="000215D5" w:rsidRPr="000215D5" w:rsidRDefault="000215D5" w:rsidP="000215D5">
      <w:pPr>
        <w:spacing w:after="0" w:line="360" w:lineRule="auto"/>
        <w:jc w:val="right"/>
        <w:rPr>
          <w:rFonts w:ascii="Arial" w:hAnsi="Arial" w:cs="Arial"/>
          <w:b/>
          <w:bCs/>
          <w:i/>
          <w:iCs/>
          <w:sz w:val="28"/>
          <w:u w:val="single"/>
        </w:rPr>
      </w:pPr>
      <w:r w:rsidRPr="000215D5">
        <w:rPr>
          <w:rFonts w:ascii="Arial" w:hAnsi="Arial" w:cs="Arial"/>
          <w:b/>
          <w:bCs/>
          <w:i/>
          <w:iCs/>
          <w:sz w:val="28"/>
          <w:u w:val="single"/>
        </w:rPr>
        <w:t>Original Research Article</w:t>
      </w:r>
    </w:p>
    <w:p w14:paraId="78103A53" w14:textId="77777777" w:rsidR="005233FA" w:rsidRPr="009F2554" w:rsidRDefault="00002F3E" w:rsidP="00AA239E">
      <w:pPr>
        <w:spacing w:after="0" w:line="360" w:lineRule="auto"/>
        <w:jc w:val="right"/>
        <w:rPr>
          <w:rFonts w:ascii="Arial" w:hAnsi="Arial" w:cs="Arial"/>
          <w:b/>
          <w:sz w:val="28"/>
        </w:rPr>
      </w:pPr>
      <w:r w:rsidRPr="009F2554">
        <w:rPr>
          <w:rFonts w:ascii="Arial" w:hAnsi="Arial" w:cs="Arial"/>
          <w:b/>
          <w:sz w:val="28"/>
        </w:rPr>
        <w:t xml:space="preserve">Pathogenic Variability and Epidemiological Analysis of </w:t>
      </w:r>
      <w:proofErr w:type="spellStart"/>
      <w:r w:rsidRPr="009F2554">
        <w:rPr>
          <w:rFonts w:ascii="Arial" w:hAnsi="Arial" w:cs="Arial"/>
          <w:b/>
          <w:i/>
          <w:sz w:val="28"/>
        </w:rPr>
        <w:t>Phoma</w:t>
      </w:r>
      <w:proofErr w:type="spellEnd"/>
      <w:r w:rsidRPr="009F2554">
        <w:rPr>
          <w:rFonts w:ascii="Arial" w:hAnsi="Arial" w:cs="Arial"/>
          <w:b/>
          <w:i/>
          <w:sz w:val="28"/>
        </w:rPr>
        <w:t xml:space="preserve"> </w:t>
      </w:r>
      <w:proofErr w:type="spellStart"/>
      <w:r w:rsidRPr="009F2554">
        <w:rPr>
          <w:rFonts w:ascii="Arial" w:hAnsi="Arial" w:cs="Arial"/>
          <w:b/>
          <w:i/>
          <w:sz w:val="28"/>
        </w:rPr>
        <w:t>polyanthis</w:t>
      </w:r>
      <w:proofErr w:type="spellEnd"/>
      <w:r w:rsidRPr="009F2554">
        <w:rPr>
          <w:rFonts w:ascii="Arial" w:hAnsi="Arial" w:cs="Arial"/>
          <w:b/>
          <w:sz w:val="28"/>
        </w:rPr>
        <w:t xml:space="preserve"> in Tuberose</w:t>
      </w:r>
    </w:p>
    <w:p w14:paraId="522162FC" w14:textId="5E1DA874" w:rsidR="000215D5" w:rsidRDefault="000215D5" w:rsidP="00AA239E">
      <w:pPr>
        <w:spacing w:line="360" w:lineRule="auto"/>
        <w:jc w:val="right"/>
        <w:rPr>
          <w:rFonts w:ascii="Times New Roman" w:hAnsi="Times New Roman" w:cs="Times New Roman"/>
          <w:sz w:val="24"/>
        </w:rPr>
      </w:pPr>
    </w:p>
    <w:p w14:paraId="32D4592F" w14:textId="77777777" w:rsidR="006929F3" w:rsidRPr="00002F3E" w:rsidRDefault="006929F3" w:rsidP="00AA239E">
      <w:pPr>
        <w:spacing w:line="360" w:lineRule="auto"/>
        <w:jc w:val="right"/>
        <w:rPr>
          <w:rFonts w:ascii="Times New Roman" w:hAnsi="Times New Roman" w:cs="Times New Roman"/>
          <w:sz w:val="24"/>
        </w:rPr>
      </w:pPr>
      <w:bookmarkStart w:id="0" w:name="_GoBack"/>
      <w:bookmarkEnd w:id="0"/>
    </w:p>
    <w:p w14:paraId="025A2928" w14:textId="77777777" w:rsidR="00002F3E" w:rsidRPr="00AA239E" w:rsidRDefault="00AA239E" w:rsidP="00002F3E">
      <w:pPr>
        <w:spacing w:after="0" w:line="360" w:lineRule="auto"/>
        <w:rPr>
          <w:rFonts w:ascii="Arial Bold" w:hAnsi="Arial Bold" w:cs="Times New Roman"/>
          <w:b/>
        </w:rPr>
      </w:pPr>
      <w:r w:rsidRPr="00AA239E">
        <w:rPr>
          <w:rFonts w:ascii="Arial Bold" w:hAnsi="Arial Bold" w:cs="Times New Roman"/>
          <w:b/>
        </w:rPr>
        <w:t>ABSTRACT</w:t>
      </w:r>
    </w:p>
    <w:p w14:paraId="57E9A159"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Aims:</w:t>
      </w:r>
    </w:p>
    <w:p w14:paraId="38DFA78E"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 xml:space="preserve">The present investigation aimed to study the epidemiology, pathogenic variability, and virulence diversity of </w:t>
      </w:r>
      <w:proofErr w:type="spellStart"/>
      <w:r w:rsidRPr="00AA239E">
        <w:rPr>
          <w:rFonts w:ascii="Arial Bold" w:hAnsi="Arial Bold" w:cs="Times New Roman"/>
          <w:i/>
        </w:rPr>
        <w:t>Phoma</w:t>
      </w:r>
      <w:proofErr w:type="spellEnd"/>
      <w:r w:rsidRPr="00AA239E">
        <w:rPr>
          <w:rFonts w:ascii="Arial Bold" w:hAnsi="Arial Bold" w:cs="Times New Roman"/>
          <w:i/>
        </w:rPr>
        <w:t xml:space="preserve"> </w:t>
      </w:r>
      <w:proofErr w:type="spellStart"/>
      <w:r w:rsidRPr="00AA239E">
        <w:rPr>
          <w:rFonts w:ascii="Arial Bold" w:hAnsi="Arial Bold" w:cs="Times New Roman"/>
          <w:i/>
        </w:rPr>
        <w:t>polyanthis</w:t>
      </w:r>
      <w:proofErr w:type="spellEnd"/>
      <w:r w:rsidRPr="00AA239E">
        <w:rPr>
          <w:rFonts w:ascii="Arial Bold" w:hAnsi="Arial Bold" w:cs="Times New Roman"/>
        </w:rPr>
        <w:t>, the causal agent of tip blight disease of tuberose, in different districts of West Bengal, India.</w:t>
      </w:r>
    </w:p>
    <w:p w14:paraId="772BC35B"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Study Design:</w:t>
      </w:r>
    </w:p>
    <w:p w14:paraId="64F272EA"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 xml:space="preserve">A laboratory and field-based experimental study was conducted using nine isolates of </w:t>
      </w:r>
      <w:r w:rsidRPr="00AA239E">
        <w:rPr>
          <w:rFonts w:ascii="Arial Bold" w:hAnsi="Arial Bold" w:cs="Times New Roman"/>
          <w:i/>
        </w:rPr>
        <w:t xml:space="preserve">P. </w:t>
      </w:r>
      <w:proofErr w:type="spellStart"/>
      <w:r w:rsidRPr="00AA239E">
        <w:rPr>
          <w:rFonts w:ascii="Arial Bold" w:hAnsi="Arial Bold" w:cs="Times New Roman"/>
          <w:i/>
        </w:rPr>
        <w:t>polyanthis</w:t>
      </w:r>
      <w:proofErr w:type="spellEnd"/>
      <w:r w:rsidRPr="00AA239E">
        <w:rPr>
          <w:rFonts w:ascii="Arial Bold" w:hAnsi="Arial Bold" w:cs="Times New Roman"/>
        </w:rPr>
        <w:t xml:space="preserve"> collected from different geographical locations. The isolates were evaluated under controlled conditions to assess their pathogenic variability and virulence patterns.</w:t>
      </w:r>
    </w:p>
    <w:p w14:paraId="442F7AC3"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Place and Duration of Study:</w:t>
      </w:r>
    </w:p>
    <w:p w14:paraId="6C855910"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The study was carried out using isolates collected from nine districts of West Bengal, India, during the tuberose growing season.</w:t>
      </w:r>
    </w:p>
    <w:p w14:paraId="52B6ACED"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Methodology:</w:t>
      </w:r>
    </w:p>
    <w:p w14:paraId="4514F283"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 xml:space="preserve">Nine isolates of </w:t>
      </w:r>
      <w:r w:rsidRPr="00AA239E">
        <w:rPr>
          <w:rFonts w:ascii="Arial Bold" w:hAnsi="Arial Bold" w:cs="Times New Roman"/>
          <w:i/>
        </w:rPr>
        <w:t xml:space="preserve">P. </w:t>
      </w:r>
      <w:proofErr w:type="spellStart"/>
      <w:r w:rsidRPr="00AA239E">
        <w:rPr>
          <w:rFonts w:ascii="Arial Bold" w:hAnsi="Arial Bold" w:cs="Times New Roman"/>
          <w:i/>
        </w:rPr>
        <w:t>polyanthis</w:t>
      </w:r>
      <w:proofErr w:type="spellEnd"/>
      <w:r w:rsidRPr="00AA239E">
        <w:rPr>
          <w:rFonts w:ascii="Arial Bold" w:hAnsi="Arial Bold" w:cs="Times New Roman"/>
        </w:rPr>
        <w:t xml:space="preserve"> were isolated and purified from infected tuberose plants. Pathogenicity and virulence were assessed on the susceptible tuberose cultivar GKTC-4 through artificial inoculation. Lesion development and disease progression were recorded periodically to determine variability in virulence and temporal disease dynamics among isolates.</w:t>
      </w:r>
    </w:p>
    <w:p w14:paraId="4FA87371"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Results:</w:t>
      </w:r>
    </w:p>
    <w:p w14:paraId="0C618674"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Significant differences in lesion development were observed among the nine isolates. Based on lesion size and rate of disease progression, the isolates were categorized into highly virulent, moderately virulent, and less virulent groups. Disease progression analysis further revealed isolate-specific temporal patterns of lesion expansion, indicating substantial pathogenic variability across regions.</w:t>
      </w:r>
    </w:p>
    <w:p w14:paraId="146FBFCC"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Conclusion:</w:t>
      </w:r>
    </w:p>
    <w:p w14:paraId="1E1DBCAB"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 xml:space="preserve">The study confirmed considerable variability in virulence among </w:t>
      </w:r>
      <w:r w:rsidRPr="00AA239E">
        <w:rPr>
          <w:rFonts w:ascii="Arial Bold" w:hAnsi="Arial Bold" w:cs="Times New Roman"/>
          <w:i/>
        </w:rPr>
        <w:t xml:space="preserve">P. </w:t>
      </w:r>
      <w:proofErr w:type="spellStart"/>
      <w:r w:rsidRPr="00AA239E">
        <w:rPr>
          <w:rFonts w:ascii="Arial Bold" w:hAnsi="Arial Bold" w:cs="Times New Roman"/>
          <w:i/>
        </w:rPr>
        <w:t>polyanthis</w:t>
      </w:r>
      <w:proofErr w:type="spellEnd"/>
      <w:r w:rsidRPr="00AA239E">
        <w:rPr>
          <w:rFonts w:ascii="Arial Bold" w:hAnsi="Arial Bold" w:cs="Times New Roman"/>
        </w:rPr>
        <w:t xml:space="preserve"> isolates in West Bengal. Understanding isolate-specific pathogenicity is crucial for developing </w:t>
      </w:r>
      <w:r w:rsidRPr="00AA239E">
        <w:rPr>
          <w:rFonts w:ascii="Arial Bold" w:hAnsi="Arial Bold" w:cs="Times New Roman"/>
        </w:rPr>
        <w:lastRenderedPageBreak/>
        <w:t>region-specific and effective disease management strategies for sustainable tuberose cultivation.</w:t>
      </w:r>
    </w:p>
    <w:p w14:paraId="75DBB180"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Keywords:</w:t>
      </w:r>
    </w:p>
    <w:p w14:paraId="08358359" w14:textId="77777777" w:rsidR="00AA239E" w:rsidRPr="00AA239E" w:rsidRDefault="00AA239E" w:rsidP="00AA239E">
      <w:pPr>
        <w:spacing w:after="0" w:line="360" w:lineRule="auto"/>
        <w:jc w:val="both"/>
        <w:rPr>
          <w:rFonts w:ascii="Arial Bold" w:hAnsi="Arial Bold" w:cs="Times New Roman"/>
        </w:rPr>
      </w:pPr>
      <w:r w:rsidRPr="00AA239E">
        <w:rPr>
          <w:rFonts w:ascii="Arial Bold" w:hAnsi="Arial Bold" w:cs="Times New Roman"/>
        </w:rPr>
        <w:t xml:space="preserve">Tip blight, </w:t>
      </w:r>
      <w:proofErr w:type="spellStart"/>
      <w:r w:rsidRPr="00AA239E">
        <w:rPr>
          <w:rFonts w:ascii="Arial Bold" w:hAnsi="Arial Bold" w:cs="Times New Roman"/>
          <w:i/>
        </w:rPr>
        <w:t>Phoma</w:t>
      </w:r>
      <w:proofErr w:type="spellEnd"/>
      <w:r w:rsidRPr="00AA239E">
        <w:rPr>
          <w:rFonts w:ascii="Arial Bold" w:hAnsi="Arial Bold" w:cs="Times New Roman"/>
          <w:i/>
        </w:rPr>
        <w:t xml:space="preserve"> </w:t>
      </w:r>
      <w:proofErr w:type="spellStart"/>
      <w:r w:rsidRPr="00AA239E">
        <w:rPr>
          <w:rFonts w:ascii="Arial Bold" w:hAnsi="Arial Bold" w:cs="Times New Roman"/>
          <w:i/>
        </w:rPr>
        <w:t>polyanthis</w:t>
      </w:r>
      <w:proofErr w:type="spellEnd"/>
      <w:r w:rsidRPr="00AA239E">
        <w:rPr>
          <w:rFonts w:ascii="Arial Bold" w:hAnsi="Arial Bold" w:cs="Times New Roman"/>
        </w:rPr>
        <w:t>, Tuberose, Pathogenic variability, Virulence diversity, Lesion development, Disease progression, West Bengal</w:t>
      </w:r>
      <w:r>
        <w:rPr>
          <w:rFonts w:ascii="Arial Bold" w:hAnsi="Arial Bold" w:cs="Times New Roman"/>
        </w:rPr>
        <w:t>.</w:t>
      </w:r>
    </w:p>
    <w:p w14:paraId="07FCACF3" w14:textId="77777777" w:rsidR="00002F3E" w:rsidRPr="00046A4B" w:rsidRDefault="00046A4B" w:rsidP="00AA239E">
      <w:pPr>
        <w:spacing w:after="0" w:line="360" w:lineRule="auto"/>
        <w:jc w:val="both"/>
        <w:rPr>
          <w:rFonts w:ascii="Arial Bold" w:hAnsi="Arial Bold" w:cs="Times New Roman"/>
          <w:b/>
        </w:rPr>
      </w:pPr>
      <w:r w:rsidRPr="00046A4B">
        <w:rPr>
          <w:rFonts w:ascii="Arial Bold" w:hAnsi="Arial Bold" w:cs="Times New Roman"/>
          <w:b/>
        </w:rPr>
        <w:t>INTRODUCTION</w:t>
      </w:r>
    </w:p>
    <w:p w14:paraId="0383A1ED" w14:textId="77777777" w:rsidR="00002F3E" w:rsidRPr="00046A4B" w:rsidRDefault="00002F3E" w:rsidP="00765C1F">
      <w:pPr>
        <w:spacing w:after="0" w:line="360" w:lineRule="auto"/>
        <w:jc w:val="both"/>
        <w:rPr>
          <w:rFonts w:ascii="Arial" w:hAnsi="Arial" w:cs="Arial"/>
          <w:sz w:val="20"/>
        </w:rPr>
      </w:pPr>
      <w:r w:rsidRPr="00046A4B">
        <w:rPr>
          <w:rFonts w:ascii="Arial" w:hAnsi="Arial" w:cs="Arial"/>
          <w:sz w:val="20"/>
        </w:rPr>
        <w:t>Tuberose (</w:t>
      </w:r>
      <w:r w:rsidRPr="00046A4B">
        <w:rPr>
          <w:rFonts w:ascii="Arial" w:hAnsi="Arial" w:cs="Arial"/>
          <w:i/>
          <w:sz w:val="20"/>
        </w:rPr>
        <w:t>Polianthes tuberosa</w:t>
      </w:r>
      <w:r w:rsidRPr="00046A4B">
        <w:rPr>
          <w:rFonts w:ascii="Arial" w:hAnsi="Arial" w:cs="Arial"/>
          <w:sz w:val="20"/>
        </w:rPr>
        <w:t xml:space="preserve"> L.) is an important ornamental crop cultivated for cut flowers, loose flowers, and essential oil extraction. West Bengal is a leading producer, but intensive cultivation has led to the emergence of several diseases, including tip blight caused by </w:t>
      </w:r>
      <w:proofErr w:type="spellStart"/>
      <w:r w:rsidRPr="00046A4B">
        <w:rPr>
          <w:rFonts w:ascii="Arial" w:hAnsi="Arial" w:cs="Arial"/>
          <w:i/>
          <w:sz w:val="20"/>
        </w:rPr>
        <w:t>Phoma</w:t>
      </w:r>
      <w:proofErr w:type="spellEnd"/>
      <w:r w:rsidRPr="00046A4B">
        <w:rPr>
          <w:rFonts w:ascii="Arial" w:hAnsi="Arial" w:cs="Arial"/>
          <w:i/>
          <w:sz w:val="20"/>
        </w:rPr>
        <w:t xml:space="preserve"> </w:t>
      </w:r>
      <w:proofErr w:type="spellStart"/>
      <w:r w:rsidRPr="00046A4B">
        <w:rPr>
          <w:rFonts w:ascii="Arial" w:hAnsi="Arial" w:cs="Arial"/>
          <w:i/>
          <w:sz w:val="20"/>
        </w:rPr>
        <w:t>polyanthis</w:t>
      </w:r>
      <w:proofErr w:type="spellEnd"/>
      <w:r w:rsidRPr="00046A4B">
        <w:rPr>
          <w:rFonts w:ascii="Arial" w:hAnsi="Arial" w:cs="Arial"/>
          <w:sz w:val="20"/>
        </w:rPr>
        <w:t xml:space="preserve">. Characterized by necrosis of leaf tips, the disease reduces photosynthetic area and overall yield. Despite reports of occurrence, comprehensive information on epidemiology, pathogenic variability, and virulence of </w:t>
      </w:r>
      <w:r w:rsidRPr="00046A4B">
        <w:rPr>
          <w:rFonts w:ascii="Arial" w:hAnsi="Arial" w:cs="Arial"/>
          <w:i/>
          <w:sz w:val="20"/>
        </w:rPr>
        <w:t xml:space="preserve">P. </w:t>
      </w:r>
      <w:proofErr w:type="spellStart"/>
      <w:r w:rsidRPr="00046A4B">
        <w:rPr>
          <w:rFonts w:ascii="Arial" w:hAnsi="Arial" w:cs="Arial"/>
          <w:i/>
          <w:sz w:val="20"/>
        </w:rPr>
        <w:t>polyanthis</w:t>
      </w:r>
      <w:proofErr w:type="spellEnd"/>
      <w:r w:rsidRPr="00046A4B">
        <w:rPr>
          <w:rFonts w:ascii="Arial" w:hAnsi="Arial" w:cs="Arial"/>
          <w:sz w:val="20"/>
        </w:rPr>
        <w:t xml:space="preserve"> isolates from West Bengal is lacking. This study aims to fill this gap and provide insights for effective disease management.</w:t>
      </w:r>
    </w:p>
    <w:p w14:paraId="6BE7A4B0" w14:textId="77777777" w:rsidR="00002F3E" w:rsidRPr="00002F3E" w:rsidRDefault="00046A4B" w:rsidP="00002F3E">
      <w:pPr>
        <w:spacing w:after="0"/>
        <w:rPr>
          <w:rFonts w:ascii="Times New Roman" w:hAnsi="Times New Roman" w:cs="Times New Roman"/>
          <w:b/>
          <w:sz w:val="24"/>
        </w:rPr>
      </w:pPr>
      <w:r w:rsidRPr="00046A4B">
        <w:rPr>
          <w:rFonts w:ascii="Arial Bold" w:hAnsi="Arial Bold" w:cs="Times New Roman"/>
          <w:b/>
        </w:rPr>
        <w:t>MATERIALS AND METHODS</w:t>
      </w:r>
    </w:p>
    <w:p w14:paraId="30A5D87E" w14:textId="77777777" w:rsidR="00002F3E" w:rsidRPr="00046A4B" w:rsidRDefault="00002F3E" w:rsidP="00002F3E">
      <w:pPr>
        <w:spacing w:after="0" w:line="360" w:lineRule="auto"/>
        <w:rPr>
          <w:rFonts w:ascii="Arial" w:hAnsi="Arial" w:cs="Arial"/>
          <w:b/>
        </w:rPr>
      </w:pPr>
      <w:r w:rsidRPr="00046A4B">
        <w:rPr>
          <w:rFonts w:ascii="Arial" w:hAnsi="Arial" w:cs="Arial"/>
          <w:b/>
        </w:rPr>
        <w:t>2.1 Sample Collection and Isolation</w:t>
      </w:r>
    </w:p>
    <w:p w14:paraId="656F2A9E" w14:textId="77777777" w:rsidR="00002F3E" w:rsidRPr="00046A4B" w:rsidRDefault="00002F3E" w:rsidP="00C851C6">
      <w:pPr>
        <w:spacing w:after="0" w:line="360" w:lineRule="auto"/>
        <w:jc w:val="both"/>
        <w:rPr>
          <w:rFonts w:ascii="Arial" w:hAnsi="Arial" w:cs="Arial"/>
          <w:sz w:val="20"/>
        </w:rPr>
      </w:pPr>
      <w:r w:rsidRPr="00046A4B">
        <w:rPr>
          <w:rFonts w:ascii="Arial" w:hAnsi="Arial" w:cs="Arial"/>
          <w:sz w:val="20"/>
        </w:rPr>
        <w:t>Tuberose leaves showing tip blight symptoms were collected from nine districts of West Bengal during September–October 2023. Diseased tissues were surface sterilized and plated on Potato Dextrose Agar (PDA). Pure cultures were obtained via hyphal tip isolation.</w:t>
      </w:r>
    </w:p>
    <w:p w14:paraId="74C2EF39" w14:textId="77777777" w:rsidR="00002F3E" w:rsidRPr="00046A4B" w:rsidRDefault="00002F3E" w:rsidP="00002F3E">
      <w:pPr>
        <w:spacing w:after="0" w:line="360" w:lineRule="auto"/>
        <w:rPr>
          <w:rFonts w:ascii="Arial" w:hAnsi="Arial" w:cs="Arial"/>
          <w:b/>
        </w:rPr>
      </w:pPr>
      <w:r w:rsidRPr="00046A4B">
        <w:rPr>
          <w:rFonts w:ascii="Arial" w:hAnsi="Arial" w:cs="Arial"/>
          <w:b/>
        </w:rPr>
        <w:t>2.2 Pathogenicity and Virulence Assessment</w:t>
      </w:r>
    </w:p>
    <w:p w14:paraId="75605943" w14:textId="77777777" w:rsidR="00002F3E" w:rsidRPr="00046A4B" w:rsidRDefault="00002F3E" w:rsidP="00C851C6">
      <w:pPr>
        <w:spacing w:after="0" w:line="360" w:lineRule="auto"/>
        <w:jc w:val="both"/>
        <w:rPr>
          <w:rFonts w:ascii="Arial" w:hAnsi="Arial" w:cs="Arial"/>
          <w:sz w:val="20"/>
        </w:rPr>
      </w:pPr>
      <w:r w:rsidRPr="00046A4B">
        <w:rPr>
          <w:rFonts w:ascii="Arial" w:hAnsi="Arial" w:cs="Arial"/>
          <w:sz w:val="20"/>
        </w:rPr>
        <w:t>Pathogenicity tests were conducted on GKTC-4 cultivar under controlled conditions. Leaves were inoculated with spore suspensions of the nine isolates, and lesion length was recorded at 24-hour intervals up to 120 hours.</w:t>
      </w:r>
    </w:p>
    <w:p w14:paraId="0C4D4D6A" w14:textId="77777777" w:rsidR="00002F3E" w:rsidRPr="00046A4B" w:rsidRDefault="00002F3E" w:rsidP="00002F3E">
      <w:pPr>
        <w:spacing w:after="0" w:line="360" w:lineRule="auto"/>
        <w:rPr>
          <w:rFonts w:ascii="Arial" w:hAnsi="Arial" w:cs="Arial"/>
          <w:b/>
        </w:rPr>
      </w:pPr>
      <w:r w:rsidRPr="00046A4B">
        <w:rPr>
          <w:rFonts w:ascii="Arial" w:hAnsi="Arial" w:cs="Arial"/>
          <w:b/>
        </w:rPr>
        <w:t>2.3 Disease Progression and Lesion Growth Rate</w:t>
      </w:r>
    </w:p>
    <w:p w14:paraId="0C9F888B" w14:textId="77777777" w:rsidR="00002F3E" w:rsidRPr="00046A4B" w:rsidRDefault="00002F3E" w:rsidP="00002F3E">
      <w:pPr>
        <w:spacing w:after="0" w:line="360" w:lineRule="auto"/>
        <w:rPr>
          <w:rFonts w:ascii="Arial" w:hAnsi="Arial" w:cs="Arial"/>
          <w:sz w:val="20"/>
        </w:rPr>
      </w:pPr>
      <w:r w:rsidRPr="00046A4B">
        <w:rPr>
          <w:rFonts w:ascii="Arial" w:hAnsi="Arial" w:cs="Arial"/>
          <w:sz w:val="20"/>
        </w:rPr>
        <w:t>Increment in mean diseased lesion length (LDLI) was calculated to assess isolate-specific disease progression dynamics.</w:t>
      </w:r>
    </w:p>
    <w:p w14:paraId="5F45F657" w14:textId="77777777" w:rsidR="00002F3E" w:rsidRPr="00046A4B" w:rsidRDefault="00046A4B" w:rsidP="00002F3E">
      <w:pPr>
        <w:spacing w:after="0" w:line="360" w:lineRule="auto"/>
        <w:rPr>
          <w:rFonts w:ascii="Arial Bold" w:hAnsi="Arial Bold" w:cs="Times New Roman"/>
          <w:b/>
        </w:rPr>
      </w:pPr>
      <w:r w:rsidRPr="00046A4B">
        <w:rPr>
          <w:rFonts w:ascii="Arial Bold" w:hAnsi="Arial Bold" w:cs="Times New Roman"/>
          <w:b/>
        </w:rPr>
        <w:t>RESULTS</w:t>
      </w:r>
    </w:p>
    <w:p w14:paraId="1A084A24" w14:textId="77777777" w:rsidR="00002F3E" w:rsidRPr="00046A4B" w:rsidRDefault="00002F3E" w:rsidP="00002F3E">
      <w:pPr>
        <w:spacing w:after="0" w:line="360" w:lineRule="auto"/>
        <w:rPr>
          <w:rFonts w:ascii="Arial" w:hAnsi="Arial" w:cs="Arial"/>
          <w:b/>
          <w:szCs w:val="20"/>
        </w:rPr>
      </w:pPr>
      <w:r w:rsidRPr="00046A4B">
        <w:rPr>
          <w:rFonts w:ascii="Arial" w:hAnsi="Arial" w:cs="Arial"/>
          <w:b/>
          <w:szCs w:val="20"/>
        </w:rPr>
        <w:t>3.1 Disease Collection and Lesion Analysis</w:t>
      </w:r>
    </w:p>
    <w:p w14:paraId="4B10F515" w14:textId="77777777" w:rsidR="00046A4B" w:rsidRDefault="00046A4B" w:rsidP="00B5028B">
      <w:pPr>
        <w:pStyle w:val="NormalWeb"/>
        <w:spacing w:before="0" w:beforeAutospacing="0" w:after="0" w:afterAutospacing="0" w:line="360" w:lineRule="auto"/>
        <w:jc w:val="both"/>
        <w:rPr>
          <w:rFonts w:ascii="Arial" w:hAnsi="Arial" w:cs="Arial"/>
          <w:sz w:val="20"/>
          <w:szCs w:val="20"/>
        </w:rPr>
      </w:pPr>
    </w:p>
    <w:p w14:paraId="649714B2" w14:textId="77777777" w:rsidR="00046A4B" w:rsidRPr="00046A4B" w:rsidRDefault="00046A4B" w:rsidP="00046A4B">
      <w:pPr>
        <w:spacing w:line="360" w:lineRule="auto"/>
        <w:ind w:right="-306"/>
        <w:jc w:val="both"/>
        <w:rPr>
          <w:rFonts w:ascii="Arial" w:hAnsi="Arial" w:cs="Arial"/>
          <w:sz w:val="20"/>
          <w:szCs w:val="20"/>
        </w:rPr>
      </w:pPr>
      <w:r w:rsidRPr="00046A4B">
        <w:rPr>
          <w:rFonts w:ascii="Arial" w:hAnsi="Arial" w:cs="Arial"/>
          <w:b/>
          <w:bCs/>
          <w:sz w:val="20"/>
          <w:szCs w:val="20"/>
        </w:rPr>
        <w:t>Table 1: Name of tuberose tip blight pathogen isolates as well as name of places, districts and tuberose cultivars from where tip blight diseased sample of particular PDI were collected.</w:t>
      </w:r>
      <w:r w:rsidRPr="00046A4B">
        <w:rPr>
          <w:rFonts w:ascii="Arial" w:hAnsi="Arial" w:cs="Arial"/>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827"/>
        <w:gridCol w:w="2519"/>
        <w:gridCol w:w="2418"/>
        <w:gridCol w:w="1813"/>
        <w:gridCol w:w="1913"/>
      </w:tblGrid>
      <w:tr w:rsidR="00046A4B" w:rsidRPr="00046A4B" w14:paraId="5D2E3DAB" w14:textId="77777777" w:rsidTr="00F91971">
        <w:tc>
          <w:tcPr>
            <w:tcW w:w="435" w:type="pct"/>
          </w:tcPr>
          <w:p w14:paraId="1301EA5A"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Sl. No.</w:t>
            </w:r>
          </w:p>
        </w:tc>
        <w:tc>
          <w:tcPr>
            <w:tcW w:w="1327" w:type="pct"/>
          </w:tcPr>
          <w:p w14:paraId="4B883192"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Name of the isolates</w:t>
            </w:r>
          </w:p>
        </w:tc>
        <w:tc>
          <w:tcPr>
            <w:tcW w:w="1274" w:type="pct"/>
          </w:tcPr>
          <w:p w14:paraId="42E294B1"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Places and districts of tip blight diseased samples collection</w:t>
            </w:r>
          </w:p>
        </w:tc>
        <w:tc>
          <w:tcPr>
            <w:tcW w:w="955" w:type="pct"/>
          </w:tcPr>
          <w:p w14:paraId="096F1E4D"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Name of the tuberose cultivars</w:t>
            </w:r>
          </w:p>
        </w:tc>
        <w:tc>
          <w:tcPr>
            <w:tcW w:w="1008" w:type="pct"/>
          </w:tcPr>
          <w:p w14:paraId="06EA14D7"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PDI of tip blight affected plants</w:t>
            </w:r>
          </w:p>
        </w:tc>
      </w:tr>
      <w:tr w:rsidR="00046A4B" w:rsidRPr="00046A4B" w14:paraId="23A4DAD6" w14:textId="77777777" w:rsidTr="00F91971">
        <w:tc>
          <w:tcPr>
            <w:tcW w:w="435" w:type="pct"/>
          </w:tcPr>
          <w:p w14:paraId="5200A07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1.</w:t>
            </w:r>
          </w:p>
        </w:tc>
        <w:tc>
          <w:tcPr>
            <w:tcW w:w="1327" w:type="pct"/>
          </w:tcPr>
          <w:p w14:paraId="7D19AD4E"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Birbhum</w:t>
            </w:r>
          </w:p>
        </w:tc>
        <w:tc>
          <w:tcPr>
            <w:tcW w:w="1274" w:type="pct"/>
          </w:tcPr>
          <w:p w14:paraId="5D1A77A1"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Viswa Bharati University Campus, Birbhum</w:t>
            </w:r>
          </w:p>
        </w:tc>
        <w:tc>
          <w:tcPr>
            <w:tcW w:w="955" w:type="pct"/>
          </w:tcPr>
          <w:p w14:paraId="5B6C43B6"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Subhasini</w:t>
            </w:r>
          </w:p>
        </w:tc>
        <w:tc>
          <w:tcPr>
            <w:tcW w:w="1008" w:type="pct"/>
          </w:tcPr>
          <w:p w14:paraId="636E905B"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59.01  (</w:t>
            </w:r>
            <w:proofErr w:type="gramEnd"/>
            <w:r w:rsidRPr="00046A4B">
              <w:rPr>
                <w:rFonts w:ascii="Arial" w:hAnsi="Arial" w:cs="Arial"/>
                <w:sz w:val="20"/>
                <w:szCs w:val="20"/>
              </w:rPr>
              <w:t>49.68)*</w:t>
            </w:r>
          </w:p>
        </w:tc>
      </w:tr>
      <w:tr w:rsidR="00046A4B" w:rsidRPr="00046A4B" w14:paraId="12845B5F" w14:textId="77777777" w:rsidTr="00F91971">
        <w:tc>
          <w:tcPr>
            <w:tcW w:w="435" w:type="pct"/>
          </w:tcPr>
          <w:p w14:paraId="066C0D2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2.</w:t>
            </w:r>
          </w:p>
        </w:tc>
        <w:tc>
          <w:tcPr>
            <w:tcW w:w="1327" w:type="pct"/>
          </w:tcPr>
          <w:p w14:paraId="7A422B1F"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Hooghly</w:t>
            </w:r>
          </w:p>
        </w:tc>
        <w:tc>
          <w:tcPr>
            <w:tcW w:w="1274" w:type="pct"/>
          </w:tcPr>
          <w:p w14:paraId="577D31CE" w14:textId="77777777" w:rsidR="00046A4B" w:rsidRPr="00046A4B" w:rsidRDefault="00046A4B" w:rsidP="00F91971">
            <w:pPr>
              <w:spacing w:after="0" w:line="360" w:lineRule="auto"/>
              <w:rPr>
                <w:rFonts w:ascii="Arial" w:hAnsi="Arial" w:cs="Arial"/>
                <w:sz w:val="20"/>
                <w:szCs w:val="20"/>
              </w:rPr>
            </w:pPr>
            <w:proofErr w:type="spellStart"/>
            <w:r w:rsidRPr="00046A4B">
              <w:rPr>
                <w:rFonts w:ascii="Arial" w:hAnsi="Arial" w:cs="Arial"/>
                <w:sz w:val="20"/>
                <w:szCs w:val="20"/>
              </w:rPr>
              <w:t>Dhaniakhali</w:t>
            </w:r>
            <w:proofErr w:type="spellEnd"/>
            <w:r w:rsidRPr="00046A4B">
              <w:rPr>
                <w:rFonts w:ascii="Arial" w:hAnsi="Arial" w:cs="Arial"/>
                <w:sz w:val="20"/>
                <w:szCs w:val="20"/>
              </w:rPr>
              <w:t>, Hooghly</w:t>
            </w:r>
          </w:p>
        </w:tc>
        <w:tc>
          <w:tcPr>
            <w:tcW w:w="955" w:type="pct"/>
          </w:tcPr>
          <w:p w14:paraId="78EC9B40"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Prajjal</w:t>
            </w:r>
          </w:p>
        </w:tc>
        <w:tc>
          <w:tcPr>
            <w:tcW w:w="1008" w:type="pct"/>
          </w:tcPr>
          <w:p w14:paraId="280CEA47"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23.11  (</w:t>
            </w:r>
            <w:proofErr w:type="gramEnd"/>
            <w:r w:rsidRPr="00046A4B">
              <w:rPr>
                <w:rFonts w:ascii="Arial" w:hAnsi="Arial" w:cs="Arial"/>
                <w:sz w:val="20"/>
                <w:szCs w:val="20"/>
              </w:rPr>
              <w:t>29.10)</w:t>
            </w:r>
          </w:p>
        </w:tc>
      </w:tr>
      <w:tr w:rsidR="00046A4B" w:rsidRPr="00046A4B" w14:paraId="59B22496" w14:textId="77777777" w:rsidTr="00F91971">
        <w:tc>
          <w:tcPr>
            <w:tcW w:w="435" w:type="pct"/>
          </w:tcPr>
          <w:p w14:paraId="7AB1FA1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lastRenderedPageBreak/>
              <w:t>3.</w:t>
            </w:r>
          </w:p>
        </w:tc>
        <w:tc>
          <w:tcPr>
            <w:tcW w:w="1327" w:type="pct"/>
          </w:tcPr>
          <w:p w14:paraId="18D529FE"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Burdwan</w:t>
            </w:r>
          </w:p>
        </w:tc>
        <w:tc>
          <w:tcPr>
            <w:tcW w:w="1274" w:type="pct"/>
          </w:tcPr>
          <w:p w14:paraId="44B8A7B3"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BCKV Burdwan Campus, Burdwan</w:t>
            </w:r>
          </w:p>
        </w:tc>
        <w:tc>
          <w:tcPr>
            <w:tcW w:w="955" w:type="pct"/>
          </w:tcPr>
          <w:p w14:paraId="7B06613B"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Calcutta Single</w:t>
            </w:r>
          </w:p>
        </w:tc>
        <w:tc>
          <w:tcPr>
            <w:tcW w:w="1008" w:type="pct"/>
          </w:tcPr>
          <w:p w14:paraId="3ECD0128"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47.91  (</w:t>
            </w:r>
            <w:proofErr w:type="gramEnd"/>
            <w:r w:rsidRPr="00046A4B">
              <w:rPr>
                <w:rFonts w:ascii="Arial" w:hAnsi="Arial" w:cs="Arial"/>
                <w:sz w:val="20"/>
                <w:szCs w:val="20"/>
              </w:rPr>
              <w:t>43.67)</w:t>
            </w:r>
          </w:p>
        </w:tc>
      </w:tr>
      <w:tr w:rsidR="00046A4B" w:rsidRPr="00046A4B" w14:paraId="75CA4BEC" w14:textId="77777777" w:rsidTr="00F91971">
        <w:tc>
          <w:tcPr>
            <w:tcW w:w="435" w:type="pct"/>
          </w:tcPr>
          <w:p w14:paraId="22326C28"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4.</w:t>
            </w:r>
          </w:p>
        </w:tc>
        <w:tc>
          <w:tcPr>
            <w:tcW w:w="1327" w:type="pct"/>
          </w:tcPr>
          <w:p w14:paraId="036BEFF6" w14:textId="77777777" w:rsidR="00046A4B" w:rsidRPr="00046A4B" w:rsidRDefault="00046A4B" w:rsidP="00F91971">
            <w:pPr>
              <w:spacing w:after="0" w:line="360" w:lineRule="auto"/>
              <w:rPr>
                <w:rFonts w:ascii="Arial" w:hAnsi="Arial" w:cs="Arial"/>
                <w:b/>
                <w:color w:val="000000"/>
                <w:sz w:val="20"/>
                <w:szCs w:val="20"/>
              </w:rPr>
            </w:pPr>
            <w:proofErr w:type="spellStart"/>
            <w:r w:rsidRPr="00046A4B">
              <w:rPr>
                <w:rFonts w:ascii="Arial" w:hAnsi="Arial" w:cs="Arial"/>
                <w:b/>
                <w:color w:val="000000"/>
                <w:sz w:val="20"/>
                <w:szCs w:val="20"/>
              </w:rPr>
              <w:t>Purba</w:t>
            </w:r>
            <w:proofErr w:type="spellEnd"/>
            <w:r w:rsidRPr="00046A4B">
              <w:rPr>
                <w:rFonts w:ascii="Arial" w:hAnsi="Arial" w:cs="Arial"/>
                <w:b/>
                <w:color w:val="000000"/>
                <w:sz w:val="20"/>
                <w:szCs w:val="20"/>
              </w:rPr>
              <w:t xml:space="preserve"> </w:t>
            </w:r>
            <w:proofErr w:type="spellStart"/>
            <w:r w:rsidRPr="00046A4B">
              <w:rPr>
                <w:rFonts w:ascii="Arial" w:hAnsi="Arial" w:cs="Arial"/>
                <w:b/>
                <w:color w:val="000000"/>
                <w:sz w:val="20"/>
                <w:szCs w:val="20"/>
              </w:rPr>
              <w:t>Medinipur</w:t>
            </w:r>
            <w:proofErr w:type="spellEnd"/>
          </w:p>
        </w:tc>
        <w:tc>
          <w:tcPr>
            <w:tcW w:w="1274" w:type="pct"/>
          </w:tcPr>
          <w:p w14:paraId="5EE15109" w14:textId="77777777" w:rsidR="00046A4B" w:rsidRPr="00046A4B" w:rsidRDefault="00046A4B" w:rsidP="00F91971">
            <w:pPr>
              <w:spacing w:after="0" w:line="360" w:lineRule="auto"/>
              <w:rPr>
                <w:rFonts w:ascii="Arial" w:hAnsi="Arial" w:cs="Arial"/>
                <w:sz w:val="20"/>
                <w:szCs w:val="20"/>
              </w:rPr>
            </w:pPr>
            <w:proofErr w:type="spellStart"/>
            <w:r w:rsidRPr="00046A4B">
              <w:rPr>
                <w:rFonts w:ascii="Arial" w:hAnsi="Arial" w:cs="Arial"/>
                <w:sz w:val="20"/>
                <w:szCs w:val="20"/>
              </w:rPr>
              <w:t>Radhamohanpur</w:t>
            </w:r>
            <w:proofErr w:type="spellEnd"/>
            <w:r w:rsidRPr="00046A4B">
              <w:rPr>
                <w:rFonts w:ascii="Arial" w:hAnsi="Arial" w:cs="Arial"/>
                <w:sz w:val="20"/>
                <w:szCs w:val="20"/>
              </w:rPr>
              <w:t xml:space="preserve">,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p>
        </w:tc>
        <w:tc>
          <w:tcPr>
            <w:tcW w:w="955" w:type="pct"/>
          </w:tcPr>
          <w:p w14:paraId="04EEA79B"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Prajjal</w:t>
            </w:r>
          </w:p>
        </w:tc>
        <w:tc>
          <w:tcPr>
            <w:tcW w:w="1008" w:type="pct"/>
          </w:tcPr>
          <w:p w14:paraId="52A096E9"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20.00  (</w:t>
            </w:r>
            <w:proofErr w:type="gramEnd"/>
            <w:r w:rsidRPr="00046A4B">
              <w:rPr>
                <w:rFonts w:ascii="Arial" w:hAnsi="Arial" w:cs="Arial"/>
                <w:sz w:val="20"/>
                <w:szCs w:val="20"/>
              </w:rPr>
              <w:t>26.55)</w:t>
            </w:r>
          </w:p>
        </w:tc>
      </w:tr>
      <w:tr w:rsidR="00046A4B" w:rsidRPr="00046A4B" w14:paraId="62CD93E8" w14:textId="77777777" w:rsidTr="00F91971">
        <w:tc>
          <w:tcPr>
            <w:tcW w:w="435" w:type="pct"/>
          </w:tcPr>
          <w:p w14:paraId="6CCF906C"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5.</w:t>
            </w:r>
          </w:p>
        </w:tc>
        <w:tc>
          <w:tcPr>
            <w:tcW w:w="1327" w:type="pct"/>
          </w:tcPr>
          <w:p w14:paraId="71E46A74" w14:textId="77777777" w:rsidR="00046A4B" w:rsidRPr="00046A4B" w:rsidRDefault="00046A4B" w:rsidP="00F91971">
            <w:pPr>
              <w:spacing w:after="0" w:line="360" w:lineRule="auto"/>
              <w:rPr>
                <w:rFonts w:ascii="Arial" w:hAnsi="Arial" w:cs="Arial"/>
                <w:b/>
                <w:color w:val="000000"/>
                <w:sz w:val="20"/>
                <w:szCs w:val="20"/>
              </w:rPr>
            </w:pPr>
            <w:proofErr w:type="spellStart"/>
            <w:r w:rsidRPr="00046A4B">
              <w:rPr>
                <w:rFonts w:ascii="Arial" w:hAnsi="Arial" w:cs="Arial"/>
                <w:b/>
                <w:color w:val="000000"/>
                <w:sz w:val="20"/>
                <w:szCs w:val="20"/>
              </w:rPr>
              <w:t>Coochbehar</w:t>
            </w:r>
            <w:proofErr w:type="spellEnd"/>
          </w:p>
        </w:tc>
        <w:tc>
          <w:tcPr>
            <w:tcW w:w="1274" w:type="pct"/>
          </w:tcPr>
          <w:p w14:paraId="62D4E1A5"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 xml:space="preserve">UBKV, </w:t>
            </w:r>
            <w:proofErr w:type="spellStart"/>
            <w:r w:rsidRPr="00046A4B">
              <w:rPr>
                <w:rFonts w:ascii="Arial" w:hAnsi="Arial" w:cs="Arial"/>
                <w:sz w:val="20"/>
                <w:szCs w:val="20"/>
              </w:rPr>
              <w:t>Pundibari</w:t>
            </w:r>
            <w:proofErr w:type="spellEnd"/>
            <w:r w:rsidRPr="00046A4B">
              <w:rPr>
                <w:rFonts w:ascii="Arial" w:hAnsi="Arial" w:cs="Arial"/>
                <w:sz w:val="20"/>
                <w:szCs w:val="20"/>
              </w:rPr>
              <w:t xml:space="preserve">, </w:t>
            </w:r>
            <w:proofErr w:type="spellStart"/>
            <w:r w:rsidRPr="00046A4B">
              <w:rPr>
                <w:rFonts w:ascii="Arial" w:hAnsi="Arial" w:cs="Arial"/>
                <w:sz w:val="20"/>
                <w:szCs w:val="20"/>
              </w:rPr>
              <w:t>Coochbehar</w:t>
            </w:r>
            <w:proofErr w:type="spellEnd"/>
          </w:p>
        </w:tc>
        <w:tc>
          <w:tcPr>
            <w:tcW w:w="955" w:type="pct"/>
          </w:tcPr>
          <w:p w14:paraId="1BE15A60"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Subhasini</w:t>
            </w:r>
          </w:p>
        </w:tc>
        <w:tc>
          <w:tcPr>
            <w:tcW w:w="1008" w:type="pct"/>
          </w:tcPr>
          <w:p w14:paraId="2F54C9C7"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64.05  (</w:t>
            </w:r>
            <w:proofErr w:type="gramEnd"/>
            <w:r w:rsidRPr="00046A4B">
              <w:rPr>
                <w:rFonts w:ascii="Arial" w:hAnsi="Arial" w:cs="Arial"/>
                <w:sz w:val="20"/>
                <w:szCs w:val="20"/>
              </w:rPr>
              <w:t>53.23)</w:t>
            </w:r>
          </w:p>
        </w:tc>
      </w:tr>
      <w:tr w:rsidR="00046A4B" w:rsidRPr="00046A4B" w14:paraId="0EE23855" w14:textId="77777777" w:rsidTr="00F91971">
        <w:tc>
          <w:tcPr>
            <w:tcW w:w="435" w:type="pct"/>
          </w:tcPr>
          <w:p w14:paraId="03B02977"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6.</w:t>
            </w:r>
          </w:p>
        </w:tc>
        <w:tc>
          <w:tcPr>
            <w:tcW w:w="1327" w:type="pct"/>
          </w:tcPr>
          <w:p w14:paraId="18336937"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Howrah</w:t>
            </w:r>
          </w:p>
        </w:tc>
        <w:tc>
          <w:tcPr>
            <w:tcW w:w="1274" w:type="pct"/>
          </w:tcPr>
          <w:p w14:paraId="07581230" w14:textId="77777777" w:rsidR="00046A4B" w:rsidRPr="00046A4B" w:rsidRDefault="00046A4B" w:rsidP="00F91971">
            <w:pPr>
              <w:spacing w:after="0" w:line="360" w:lineRule="auto"/>
              <w:rPr>
                <w:rFonts w:ascii="Arial" w:hAnsi="Arial" w:cs="Arial"/>
                <w:sz w:val="20"/>
                <w:szCs w:val="20"/>
              </w:rPr>
            </w:pPr>
            <w:proofErr w:type="spellStart"/>
            <w:r w:rsidRPr="00046A4B">
              <w:rPr>
                <w:rFonts w:ascii="Arial" w:hAnsi="Arial" w:cs="Arial"/>
                <w:sz w:val="20"/>
                <w:szCs w:val="20"/>
              </w:rPr>
              <w:t>Dhulagar</w:t>
            </w:r>
            <w:proofErr w:type="spellEnd"/>
            <w:r w:rsidRPr="00046A4B">
              <w:rPr>
                <w:rFonts w:ascii="Arial" w:hAnsi="Arial" w:cs="Arial"/>
                <w:sz w:val="20"/>
                <w:szCs w:val="20"/>
              </w:rPr>
              <w:t>, Howrah</w:t>
            </w:r>
          </w:p>
        </w:tc>
        <w:tc>
          <w:tcPr>
            <w:tcW w:w="955" w:type="pct"/>
          </w:tcPr>
          <w:p w14:paraId="58BE7F8C"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Prajjal</w:t>
            </w:r>
          </w:p>
        </w:tc>
        <w:tc>
          <w:tcPr>
            <w:tcW w:w="1008" w:type="pct"/>
          </w:tcPr>
          <w:p w14:paraId="1F2FFBF9"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22.79  (</w:t>
            </w:r>
            <w:proofErr w:type="gramEnd"/>
            <w:r w:rsidRPr="00046A4B">
              <w:rPr>
                <w:rFonts w:ascii="Arial" w:hAnsi="Arial" w:cs="Arial"/>
                <w:sz w:val="20"/>
                <w:szCs w:val="20"/>
              </w:rPr>
              <w:t>28.59)</w:t>
            </w:r>
          </w:p>
        </w:tc>
      </w:tr>
      <w:tr w:rsidR="00046A4B" w:rsidRPr="00046A4B" w14:paraId="71501C93" w14:textId="77777777" w:rsidTr="00F91971">
        <w:tc>
          <w:tcPr>
            <w:tcW w:w="435" w:type="pct"/>
          </w:tcPr>
          <w:p w14:paraId="1797C330"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7.</w:t>
            </w:r>
          </w:p>
        </w:tc>
        <w:tc>
          <w:tcPr>
            <w:tcW w:w="1327" w:type="pct"/>
          </w:tcPr>
          <w:p w14:paraId="3427C5A8"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Bankura</w:t>
            </w:r>
          </w:p>
        </w:tc>
        <w:tc>
          <w:tcPr>
            <w:tcW w:w="1274" w:type="pct"/>
          </w:tcPr>
          <w:p w14:paraId="74D680DD" w14:textId="77777777" w:rsidR="00046A4B" w:rsidRPr="00046A4B" w:rsidRDefault="00046A4B" w:rsidP="00F91971">
            <w:pPr>
              <w:spacing w:after="0" w:line="360" w:lineRule="auto"/>
              <w:rPr>
                <w:rFonts w:ascii="Arial" w:hAnsi="Arial" w:cs="Arial"/>
                <w:sz w:val="20"/>
                <w:szCs w:val="20"/>
              </w:rPr>
            </w:pPr>
            <w:proofErr w:type="spellStart"/>
            <w:r w:rsidRPr="00046A4B">
              <w:rPr>
                <w:rFonts w:ascii="Arial" w:hAnsi="Arial" w:cs="Arial"/>
                <w:sz w:val="20"/>
                <w:szCs w:val="20"/>
              </w:rPr>
              <w:t>Chhatna</w:t>
            </w:r>
            <w:proofErr w:type="spellEnd"/>
            <w:r w:rsidRPr="00046A4B">
              <w:rPr>
                <w:rFonts w:ascii="Arial" w:hAnsi="Arial" w:cs="Arial"/>
                <w:sz w:val="20"/>
                <w:szCs w:val="20"/>
              </w:rPr>
              <w:t>, Bankura</w:t>
            </w:r>
          </w:p>
        </w:tc>
        <w:tc>
          <w:tcPr>
            <w:tcW w:w="955" w:type="pct"/>
          </w:tcPr>
          <w:p w14:paraId="641A9F62"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Sringer</w:t>
            </w:r>
          </w:p>
        </w:tc>
        <w:tc>
          <w:tcPr>
            <w:tcW w:w="1008" w:type="pct"/>
          </w:tcPr>
          <w:p w14:paraId="6C61719A"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38.89  (</w:t>
            </w:r>
            <w:proofErr w:type="gramEnd"/>
            <w:r w:rsidRPr="00046A4B">
              <w:rPr>
                <w:rFonts w:ascii="Arial" w:hAnsi="Arial" w:cs="Arial"/>
                <w:sz w:val="20"/>
                <w:szCs w:val="20"/>
              </w:rPr>
              <w:t>37.85)</w:t>
            </w:r>
          </w:p>
        </w:tc>
      </w:tr>
      <w:tr w:rsidR="00046A4B" w:rsidRPr="00046A4B" w14:paraId="1BCEB8B8" w14:textId="77777777" w:rsidTr="00F91971">
        <w:tc>
          <w:tcPr>
            <w:tcW w:w="435" w:type="pct"/>
          </w:tcPr>
          <w:p w14:paraId="29652884"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8.</w:t>
            </w:r>
          </w:p>
        </w:tc>
        <w:tc>
          <w:tcPr>
            <w:tcW w:w="1327" w:type="pct"/>
          </w:tcPr>
          <w:p w14:paraId="28D02633"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color w:val="000000"/>
                <w:sz w:val="20"/>
                <w:szCs w:val="20"/>
              </w:rPr>
              <w:t>24 Parganas (S)</w:t>
            </w:r>
          </w:p>
        </w:tc>
        <w:tc>
          <w:tcPr>
            <w:tcW w:w="1274" w:type="pct"/>
          </w:tcPr>
          <w:p w14:paraId="545628A0"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Diamond Harbour, 24 Parganas (S)</w:t>
            </w:r>
          </w:p>
        </w:tc>
        <w:tc>
          <w:tcPr>
            <w:tcW w:w="955" w:type="pct"/>
          </w:tcPr>
          <w:p w14:paraId="08616183"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Sringer</w:t>
            </w:r>
          </w:p>
        </w:tc>
        <w:tc>
          <w:tcPr>
            <w:tcW w:w="1008" w:type="pct"/>
          </w:tcPr>
          <w:p w14:paraId="1AE69AD6"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39.24  (</w:t>
            </w:r>
            <w:proofErr w:type="gramEnd"/>
            <w:r w:rsidRPr="00046A4B">
              <w:rPr>
                <w:rFonts w:ascii="Arial" w:hAnsi="Arial" w:cs="Arial"/>
                <w:sz w:val="20"/>
                <w:szCs w:val="20"/>
              </w:rPr>
              <w:t>38.86)</w:t>
            </w:r>
          </w:p>
        </w:tc>
      </w:tr>
      <w:tr w:rsidR="00046A4B" w:rsidRPr="00046A4B" w14:paraId="45976FCE" w14:textId="77777777" w:rsidTr="00F91971">
        <w:tc>
          <w:tcPr>
            <w:tcW w:w="435" w:type="pct"/>
          </w:tcPr>
          <w:p w14:paraId="64912E6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9.</w:t>
            </w:r>
          </w:p>
        </w:tc>
        <w:tc>
          <w:tcPr>
            <w:tcW w:w="1327" w:type="pct"/>
          </w:tcPr>
          <w:p w14:paraId="30AF05A8"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Nadia</w:t>
            </w:r>
          </w:p>
        </w:tc>
        <w:tc>
          <w:tcPr>
            <w:tcW w:w="1274" w:type="pct"/>
          </w:tcPr>
          <w:p w14:paraId="4578D3C0"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 xml:space="preserve">BCKV Horticultural Research Farm, </w:t>
            </w:r>
            <w:proofErr w:type="spellStart"/>
            <w:r w:rsidRPr="00046A4B">
              <w:rPr>
                <w:rFonts w:ascii="Arial" w:hAnsi="Arial" w:cs="Arial"/>
                <w:sz w:val="20"/>
                <w:szCs w:val="20"/>
              </w:rPr>
              <w:t>Mondouri</w:t>
            </w:r>
            <w:proofErr w:type="spellEnd"/>
            <w:r w:rsidRPr="00046A4B">
              <w:rPr>
                <w:rFonts w:ascii="Arial" w:hAnsi="Arial" w:cs="Arial"/>
                <w:sz w:val="20"/>
                <w:szCs w:val="20"/>
              </w:rPr>
              <w:t>, Nadia</w:t>
            </w:r>
          </w:p>
        </w:tc>
        <w:tc>
          <w:tcPr>
            <w:tcW w:w="955" w:type="pct"/>
          </w:tcPr>
          <w:p w14:paraId="47603ECC" w14:textId="77777777" w:rsidR="00046A4B" w:rsidRPr="00046A4B" w:rsidRDefault="00046A4B" w:rsidP="00F91971">
            <w:pPr>
              <w:spacing w:after="0" w:line="360" w:lineRule="auto"/>
              <w:rPr>
                <w:rFonts w:ascii="Arial" w:hAnsi="Arial" w:cs="Arial"/>
                <w:sz w:val="20"/>
                <w:szCs w:val="20"/>
              </w:rPr>
            </w:pPr>
            <w:r w:rsidRPr="00046A4B">
              <w:rPr>
                <w:rFonts w:ascii="Arial" w:hAnsi="Arial" w:cs="Arial"/>
                <w:sz w:val="20"/>
                <w:szCs w:val="20"/>
              </w:rPr>
              <w:t>GKTC -4</w:t>
            </w:r>
          </w:p>
        </w:tc>
        <w:tc>
          <w:tcPr>
            <w:tcW w:w="1008" w:type="pct"/>
          </w:tcPr>
          <w:p w14:paraId="5255EDFA" w14:textId="77777777" w:rsidR="00046A4B" w:rsidRPr="00046A4B" w:rsidRDefault="00046A4B" w:rsidP="00F91971">
            <w:pPr>
              <w:spacing w:after="0" w:line="360" w:lineRule="auto"/>
              <w:jc w:val="center"/>
              <w:rPr>
                <w:rFonts w:ascii="Arial" w:hAnsi="Arial" w:cs="Arial"/>
                <w:sz w:val="20"/>
                <w:szCs w:val="20"/>
              </w:rPr>
            </w:pPr>
            <w:proofErr w:type="gramStart"/>
            <w:r w:rsidRPr="00046A4B">
              <w:rPr>
                <w:rFonts w:ascii="Arial" w:hAnsi="Arial" w:cs="Arial"/>
                <w:sz w:val="20"/>
                <w:szCs w:val="20"/>
              </w:rPr>
              <w:t>78.31  (</w:t>
            </w:r>
            <w:proofErr w:type="gramEnd"/>
            <w:r w:rsidRPr="00046A4B">
              <w:rPr>
                <w:rFonts w:ascii="Arial" w:hAnsi="Arial" w:cs="Arial"/>
                <w:sz w:val="20"/>
                <w:szCs w:val="20"/>
              </w:rPr>
              <w:t>61.99)</w:t>
            </w:r>
          </w:p>
        </w:tc>
      </w:tr>
      <w:tr w:rsidR="00046A4B" w:rsidRPr="00046A4B" w14:paraId="7AE83669" w14:textId="77777777" w:rsidTr="00F91971">
        <w:tc>
          <w:tcPr>
            <w:tcW w:w="435" w:type="pct"/>
          </w:tcPr>
          <w:p w14:paraId="5DA8FF76" w14:textId="77777777" w:rsidR="00046A4B" w:rsidRPr="00046A4B" w:rsidRDefault="00046A4B" w:rsidP="00F91971">
            <w:pPr>
              <w:spacing w:after="0" w:line="360" w:lineRule="auto"/>
              <w:rPr>
                <w:rFonts w:ascii="Arial" w:hAnsi="Arial" w:cs="Arial"/>
                <w:b/>
                <w:bCs/>
                <w:sz w:val="20"/>
                <w:szCs w:val="20"/>
              </w:rPr>
            </w:pPr>
          </w:p>
        </w:tc>
        <w:tc>
          <w:tcPr>
            <w:tcW w:w="1327" w:type="pct"/>
          </w:tcPr>
          <w:p w14:paraId="375D329A" w14:textId="77777777" w:rsidR="00046A4B" w:rsidRPr="00046A4B" w:rsidRDefault="00046A4B" w:rsidP="00F91971">
            <w:pPr>
              <w:spacing w:after="0" w:line="360" w:lineRule="auto"/>
              <w:rPr>
                <w:rFonts w:ascii="Arial" w:hAnsi="Arial" w:cs="Arial"/>
                <w:b/>
                <w:color w:val="000000"/>
                <w:sz w:val="20"/>
                <w:szCs w:val="20"/>
              </w:rPr>
            </w:pPr>
          </w:p>
        </w:tc>
        <w:tc>
          <w:tcPr>
            <w:tcW w:w="1274" w:type="pct"/>
          </w:tcPr>
          <w:p w14:paraId="0D6B0488" w14:textId="77777777" w:rsidR="00046A4B" w:rsidRPr="00046A4B" w:rsidRDefault="00046A4B" w:rsidP="00F91971">
            <w:pPr>
              <w:spacing w:after="0" w:line="360" w:lineRule="auto"/>
              <w:rPr>
                <w:rFonts w:ascii="Arial" w:hAnsi="Arial" w:cs="Arial"/>
                <w:sz w:val="20"/>
                <w:szCs w:val="20"/>
              </w:rPr>
            </w:pPr>
          </w:p>
        </w:tc>
        <w:tc>
          <w:tcPr>
            <w:tcW w:w="955" w:type="pct"/>
          </w:tcPr>
          <w:p w14:paraId="5D998CED" w14:textId="77777777" w:rsidR="00046A4B" w:rsidRPr="00046A4B" w:rsidRDefault="00046A4B" w:rsidP="00F91971">
            <w:pPr>
              <w:spacing w:after="0" w:line="360" w:lineRule="auto"/>
              <w:rPr>
                <w:rFonts w:ascii="Arial" w:hAnsi="Arial" w:cs="Arial"/>
                <w:sz w:val="20"/>
                <w:szCs w:val="20"/>
              </w:rPr>
            </w:pPr>
          </w:p>
        </w:tc>
        <w:tc>
          <w:tcPr>
            <w:tcW w:w="1008" w:type="pct"/>
          </w:tcPr>
          <w:p w14:paraId="66C050CA" w14:textId="77777777" w:rsidR="00046A4B" w:rsidRPr="00046A4B" w:rsidRDefault="00046A4B" w:rsidP="00F91971">
            <w:pPr>
              <w:spacing w:after="0" w:line="360" w:lineRule="auto"/>
              <w:jc w:val="center"/>
              <w:rPr>
                <w:rFonts w:ascii="Arial" w:hAnsi="Arial" w:cs="Arial"/>
                <w:sz w:val="20"/>
                <w:szCs w:val="20"/>
              </w:rPr>
            </w:pPr>
          </w:p>
        </w:tc>
      </w:tr>
      <w:tr w:rsidR="00046A4B" w:rsidRPr="00046A4B" w14:paraId="59146607" w14:textId="77777777" w:rsidTr="00F91971">
        <w:tc>
          <w:tcPr>
            <w:tcW w:w="435" w:type="pct"/>
          </w:tcPr>
          <w:p w14:paraId="397C62F7" w14:textId="77777777" w:rsidR="00046A4B" w:rsidRPr="00046A4B" w:rsidRDefault="00046A4B" w:rsidP="00F91971">
            <w:pPr>
              <w:spacing w:after="0" w:line="360" w:lineRule="auto"/>
              <w:rPr>
                <w:rFonts w:ascii="Arial" w:hAnsi="Arial" w:cs="Arial"/>
                <w:b/>
                <w:sz w:val="20"/>
                <w:szCs w:val="20"/>
              </w:rPr>
            </w:pPr>
          </w:p>
        </w:tc>
        <w:tc>
          <w:tcPr>
            <w:tcW w:w="1327" w:type="pct"/>
          </w:tcPr>
          <w:p w14:paraId="73ED6B47" w14:textId="77777777" w:rsidR="00046A4B" w:rsidRPr="00046A4B" w:rsidRDefault="00046A4B" w:rsidP="00F91971">
            <w:pPr>
              <w:spacing w:after="0" w:line="360" w:lineRule="auto"/>
              <w:rPr>
                <w:rFonts w:ascii="Arial" w:hAnsi="Arial" w:cs="Arial"/>
                <w:b/>
                <w:sz w:val="20"/>
                <w:szCs w:val="20"/>
              </w:rPr>
            </w:pPr>
            <w:proofErr w:type="spellStart"/>
            <w:r w:rsidRPr="00046A4B">
              <w:rPr>
                <w:rFonts w:ascii="Arial" w:hAnsi="Arial" w:cs="Arial"/>
                <w:b/>
                <w:sz w:val="20"/>
                <w:szCs w:val="20"/>
              </w:rPr>
              <w:t>SEm</w:t>
            </w:r>
            <w:proofErr w:type="spellEnd"/>
            <w:r w:rsidRPr="00046A4B">
              <w:rPr>
                <w:rFonts w:ascii="Arial" w:hAnsi="Arial" w:cs="Arial"/>
                <w:b/>
                <w:sz w:val="20"/>
                <w:szCs w:val="20"/>
              </w:rPr>
              <w:t xml:space="preserve"> ±</w:t>
            </w:r>
          </w:p>
        </w:tc>
        <w:tc>
          <w:tcPr>
            <w:tcW w:w="1274" w:type="pct"/>
          </w:tcPr>
          <w:p w14:paraId="763982EB" w14:textId="77777777" w:rsidR="00046A4B" w:rsidRPr="00046A4B" w:rsidRDefault="00046A4B" w:rsidP="00F91971">
            <w:pPr>
              <w:spacing w:after="0" w:line="360" w:lineRule="auto"/>
              <w:rPr>
                <w:rFonts w:ascii="Arial" w:hAnsi="Arial" w:cs="Arial"/>
                <w:sz w:val="20"/>
                <w:szCs w:val="20"/>
              </w:rPr>
            </w:pPr>
          </w:p>
        </w:tc>
        <w:tc>
          <w:tcPr>
            <w:tcW w:w="955" w:type="pct"/>
          </w:tcPr>
          <w:p w14:paraId="17606297" w14:textId="77777777" w:rsidR="00046A4B" w:rsidRPr="00046A4B" w:rsidRDefault="00046A4B" w:rsidP="00F91971">
            <w:pPr>
              <w:spacing w:after="0" w:line="360" w:lineRule="auto"/>
              <w:rPr>
                <w:rFonts w:ascii="Arial" w:hAnsi="Arial" w:cs="Arial"/>
                <w:sz w:val="20"/>
                <w:szCs w:val="20"/>
              </w:rPr>
            </w:pPr>
          </w:p>
        </w:tc>
        <w:tc>
          <w:tcPr>
            <w:tcW w:w="1008" w:type="pct"/>
          </w:tcPr>
          <w:p w14:paraId="67B30003" w14:textId="77777777" w:rsidR="00046A4B" w:rsidRPr="00046A4B" w:rsidRDefault="00046A4B" w:rsidP="00F91971">
            <w:pPr>
              <w:spacing w:after="0" w:line="360" w:lineRule="auto"/>
              <w:jc w:val="center"/>
              <w:rPr>
                <w:rFonts w:ascii="Arial" w:hAnsi="Arial" w:cs="Arial"/>
                <w:sz w:val="20"/>
                <w:szCs w:val="20"/>
              </w:rPr>
            </w:pPr>
            <w:r w:rsidRPr="00046A4B">
              <w:rPr>
                <w:rFonts w:ascii="Arial" w:hAnsi="Arial" w:cs="Arial"/>
                <w:sz w:val="20"/>
                <w:szCs w:val="20"/>
              </w:rPr>
              <w:t>0.14</w:t>
            </w:r>
          </w:p>
        </w:tc>
      </w:tr>
      <w:tr w:rsidR="00046A4B" w:rsidRPr="00046A4B" w14:paraId="0D1D5F3C" w14:textId="77777777" w:rsidTr="00F91971">
        <w:tc>
          <w:tcPr>
            <w:tcW w:w="435" w:type="pct"/>
          </w:tcPr>
          <w:p w14:paraId="7E9B0CCE" w14:textId="77777777" w:rsidR="00046A4B" w:rsidRPr="00046A4B" w:rsidRDefault="00046A4B" w:rsidP="00F91971">
            <w:pPr>
              <w:spacing w:after="0" w:line="360" w:lineRule="auto"/>
              <w:rPr>
                <w:rFonts w:ascii="Arial" w:hAnsi="Arial" w:cs="Arial"/>
                <w:b/>
                <w:sz w:val="20"/>
                <w:szCs w:val="20"/>
              </w:rPr>
            </w:pPr>
          </w:p>
        </w:tc>
        <w:tc>
          <w:tcPr>
            <w:tcW w:w="1327" w:type="pct"/>
          </w:tcPr>
          <w:p w14:paraId="1D473B1E"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CD 0.05</w:t>
            </w:r>
          </w:p>
        </w:tc>
        <w:tc>
          <w:tcPr>
            <w:tcW w:w="1274" w:type="pct"/>
          </w:tcPr>
          <w:p w14:paraId="50B3A02D" w14:textId="77777777" w:rsidR="00046A4B" w:rsidRPr="00046A4B" w:rsidRDefault="00046A4B" w:rsidP="00F91971">
            <w:pPr>
              <w:spacing w:after="0" w:line="360" w:lineRule="auto"/>
              <w:rPr>
                <w:rFonts w:ascii="Arial" w:hAnsi="Arial" w:cs="Arial"/>
                <w:sz w:val="20"/>
                <w:szCs w:val="20"/>
              </w:rPr>
            </w:pPr>
          </w:p>
        </w:tc>
        <w:tc>
          <w:tcPr>
            <w:tcW w:w="955" w:type="pct"/>
          </w:tcPr>
          <w:p w14:paraId="1614B39E" w14:textId="77777777" w:rsidR="00046A4B" w:rsidRPr="00046A4B" w:rsidRDefault="00046A4B" w:rsidP="00F91971">
            <w:pPr>
              <w:spacing w:after="0" w:line="360" w:lineRule="auto"/>
              <w:rPr>
                <w:rFonts w:ascii="Arial" w:hAnsi="Arial" w:cs="Arial"/>
                <w:sz w:val="20"/>
                <w:szCs w:val="20"/>
              </w:rPr>
            </w:pPr>
          </w:p>
        </w:tc>
        <w:tc>
          <w:tcPr>
            <w:tcW w:w="1008" w:type="pct"/>
          </w:tcPr>
          <w:p w14:paraId="333B8300" w14:textId="77777777" w:rsidR="00046A4B" w:rsidRPr="00046A4B" w:rsidRDefault="00046A4B" w:rsidP="00F91971">
            <w:pPr>
              <w:spacing w:after="0" w:line="360" w:lineRule="auto"/>
              <w:jc w:val="center"/>
              <w:rPr>
                <w:rFonts w:ascii="Arial" w:hAnsi="Arial" w:cs="Arial"/>
                <w:sz w:val="20"/>
                <w:szCs w:val="20"/>
              </w:rPr>
            </w:pPr>
            <w:r w:rsidRPr="00046A4B">
              <w:rPr>
                <w:rFonts w:ascii="Arial" w:hAnsi="Arial" w:cs="Arial"/>
                <w:sz w:val="20"/>
                <w:szCs w:val="20"/>
              </w:rPr>
              <w:t>0.43</w:t>
            </w:r>
          </w:p>
        </w:tc>
      </w:tr>
    </w:tbl>
    <w:p w14:paraId="3ADB382B" w14:textId="77777777" w:rsidR="00046A4B" w:rsidRPr="00046A4B" w:rsidRDefault="00046A4B" w:rsidP="00046A4B">
      <w:pPr>
        <w:spacing w:before="120" w:after="0" w:line="240" w:lineRule="auto"/>
        <w:jc w:val="both"/>
        <w:rPr>
          <w:rFonts w:ascii="Arial" w:hAnsi="Arial" w:cs="Arial"/>
          <w:bCs/>
          <w:sz w:val="20"/>
          <w:szCs w:val="20"/>
        </w:rPr>
      </w:pPr>
      <w:r w:rsidRPr="00046A4B">
        <w:rPr>
          <w:rFonts w:ascii="Arial" w:hAnsi="Arial" w:cs="Arial"/>
          <w:bCs/>
          <w:sz w:val="20"/>
          <w:szCs w:val="20"/>
        </w:rPr>
        <w:t xml:space="preserve">     *Figure within parenthesis indicates arc-sine transformed value; PDI = Percent disease index</w:t>
      </w:r>
    </w:p>
    <w:p w14:paraId="0706AC61" w14:textId="77777777" w:rsidR="00046A4B" w:rsidRDefault="00046A4B" w:rsidP="00B5028B">
      <w:pPr>
        <w:pStyle w:val="NormalWeb"/>
        <w:spacing w:before="0" w:beforeAutospacing="0" w:after="0" w:afterAutospacing="0" w:line="360" w:lineRule="auto"/>
        <w:jc w:val="both"/>
        <w:rPr>
          <w:rFonts w:ascii="Arial" w:hAnsi="Arial" w:cs="Arial"/>
          <w:sz w:val="20"/>
          <w:szCs w:val="20"/>
        </w:rPr>
      </w:pPr>
    </w:p>
    <w:p w14:paraId="260FC827" w14:textId="77777777" w:rsidR="00B5028B" w:rsidRPr="00046A4B" w:rsidRDefault="00B5028B"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 xml:space="preserve">Nine </w:t>
      </w:r>
      <w:proofErr w:type="spellStart"/>
      <w:r w:rsidRPr="00046A4B">
        <w:rPr>
          <w:rStyle w:val="Emphasis"/>
          <w:rFonts w:ascii="Arial" w:hAnsi="Arial" w:cs="Arial"/>
          <w:sz w:val="20"/>
          <w:szCs w:val="20"/>
        </w:rPr>
        <w:t>Phoma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polyanthis</w:t>
      </w:r>
      <w:proofErr w:type="spellEnd"/>
      <w:r w:rsidRPr="00046A4B">
        <w:rPr>
          <w:rFonts w:ascii="Arial" w:hAnsi="Arial" w:cs="Arial"/>
          <w:sz w:val="20"/>
          <w:szCs w:val="20"/>
        </w:rPr>
        <w:t xml:space="preserve"> isolates were collected from tip blight-affected tuberose leaves during September–October 2013 from nine districts of West Bengal and named after their respective districts (Table </w:t>
      </w:r>
      <w:r w:rsidR="00212EBE" w:rsidRPr="00046A4B">
        <w:rPr>
          <w:rFonts w:ascii="Arial" w:hAnsi="Arial" w:cs="Arial"/>
          <w:sz w:val="20"/>
          <w:szCs w:val="20"/>
        </w:rPr>
        <w:t>1</w:t>
      </w:r>
      <w:r w:rsidRPr="00046A4B">
        <w:rPr>
          <w:rFonts w:ascii="Arial" w:hAnsi="Arial" w:cs="Arial"/>
          <w:sz w:val="20"/>
          <w:szCs w:val="20"/>
        </w:rPr>
        <w:t xml:space="preserve">). The cultivars and their corresponding PDI values recorded from three plants per replication were: </w:t>
      </w:r>
      <w:proofErr w:type="spellStart"/>
      <w:r w:rsidRPr="00046A4B">
        <w:rPr>
          <w:rFonts w:ascii="Arial" w:hAnsi="Arial" w:cs="Arial"/>
          <w:sz w:val="20"/>
          <w:szCs w:val="20"/>
        </w:rPr>
        <w:t>Subhasini</w:t>
      </w:r>
      <w:proofErr w:type="spellEnd"/>
      <w:r w:rsidRPr="00046A4B">
        <w:rPr>
          <w:rFonts w:ascii="Arial" w:hAnsi="Arial" w:cs="Arial"/>
          <w:sz w:val="20"/>
          <w:szCs w:val="20"/>
        </w:rPr>
        <w:t xml:space="preserve"> (Birbhum 59%, </w:t>
      </w:r>
      <w:proofErr w:type="spellStart"/>
      <w:r w:rsidRPr="00046A4B">
        <w:rPr>
          <w:rFonts w:ascii="Arial" w:hAnsi="Arial" w:cs="Arial"/>
          <w:sz w:val="20"/>
          <w:szCs w:val="20"/>
        </w:rPr>
        <w:t>Coochbehar</w:t>
      </w:r>
      <w:proofErr w:type="spellEnd"/>
      <w:r w:rsidRPr="00046A4B">
        <w:rPr>
          <w:rFonts w:ascii="Arial" w:hAnsi="Arial" w:cs="Arial"/>
          <w:sz w:val="20"/>
          <w:szCs w:val="20"/>
        </w:rPr>
        <w:t xml:space="preserve"> 64.1%), </w:t>
      </w:r>
      <w:proofErr w:type="spellStart"/>
      <w:r w:rsidRPr="00046A4B">
        <w:rPr>
          <w:rFonts w:ascii="Arial" w:hAnsi="Arial" w:cs="Arial"/>
          <w:sz w:val="20"/>
          <w:szCs w:val="20"/>
        </w:rPr>
        <w:t>Prajjal</w:t>
      </w:r>
      <w:proofErr w:type="spellEnd"/>
      <w:r w:rsidRPr="00046A4B">
        <w:rPr>
          <w:rFonts w:ascii="Arial" w:hAnsi="Arial" w:cs="Arial"/>
          <w:sz w:val="20"/>
          <w:szCs w:val="20"/>
        </w:rPr>
        <w:t xml:space="preserve"> (Hooghly 23.1%,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xml:space="preserve"> 20.0%, Howrah 22.8%), Sringer (Bankura 38.9%, 24 Parganas (S) 39.2%), and Calcutta Single (Burdwan 47.9%) and GKTC-4 (Nadia 78.3%). GKTC-4 exhibited the highest PDI, while Prajjal showed the lowest.</w:t>
      </w:r>
    </w:p>
    <w:p w14:paraId="467E3B83" w14:textId="77777777" w:rsidR="00765C1F" w:rsidRPr="00046A4B" w:rsidRDefault="00B5028B"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All isolates were used for experiments on radial growth, growth rate, dry biomass, colony morphology, virulence, in vitro enzyme activity, and fungicide sensitivity, with detailed results presented below</w:t>
      </w:r>
      <w:r w:rsidR="00765C1F" w:rsidRPr="00046A4B">
        <w:rPr>
          <w:rFonts w:ascii="Arial" w:hAnsi="Arial" w:cs="Arial"/>
          <w:sz w:val="20"/>
          <w:szCs w:val="20"/>
        </w:rPr>
        <w:t>.</w:t>
      </w:r>
    </w:p>
    <w:p w14:paraId="73BDE508" w14:textId="77777777" w:rsidR="00765C1F" w:rsidRPr="00046A4B" w:rsidRDefault="00B5028B" w:rsidP="00765C1F">
      <w:pPr>
        <w:pStyle w:val="Normal1"/>
        <w:spacing w:line="360" w:lineRule="auto"/>
        <w:jc w:val="both"/>
        <w:rPr>
          <w:rFonts w:eastAsia="Times New Roman"/>
          <w:b/>
          <w:szCs w:val="20"/>
        </w:rPr>
      </w:pPr>
      <w:r w:rsidRPr="00046A4B">
        <w:rPr>
          <w:rFonts w:eastAsia="Times New Roman"/>
          <w:b/>
          <w:szCs w:val="20"/>
        </w:rPr>
        <w:t>3</w:t>
      </w:r>
      <w:r w:rsidR="00765C1F" w:rsidRPr="00046A4B">
        <w:rPr>
          <w:rFonts w:eastAsia="Times New Roman"/>
          <w:b/>
          <w:szCs w:val="20"/>
        </w:rPr>
        <w:t>.2</w:t>
      </w:r>
      <w:r w:rsidRPr="00046A4B">
        <w:rPr>
          <w:rFonts w:eastAsia="Times New Roman"/>
          <w:b/>
          <w:szCs w:val="20"/>
        </w:rPr>
        <w:t xml:space="preserve">. </w:t>
      </w:r>
      <w:r w:rsidR="00765C1F" w:rsidRPr="00046A4B">
        <w:rPr>
          <w:rFonts w:eastAsia="Times New Roman"/>
          <w:b/>
          <w:szCs w:val="20"/>
        </w:rPr>
        <w:t xml:space="preserve">Establishment of pathogenicity and measuring virulence by determining mean diseased lesion length on the leaves of GKTC – 4 </w:t>
      </w:r>
      <w:proofErr w:type="gramStart"/>
      <w:r w:rsidR="00765C1F" w:rsidRPr="00046A4B">
        <w:rPr>
          <w:rFonts w:eastAsia="Times New Roman"/>
          <w:b/>
          <w:szCs w:val="20"/>
        </w:rPr>
        <w:t>cultivar</w:t>
      </w:r>
      <w:proofErr w:type="gramEnd"/>
      <w:r w:rsidR="00765C1F" w:rsidRPr="00046A4B">
        <w:rPr>
          <w:rFonts w:eastAsia="Times New Roman"/>
          <w:b/>
          <w:szCs w:val="20"/>
        </w:rPr>
        <w:t xml:space="preserve"> inoculated with nine </w:t>
      </w:r>
      <w:r w:rsidR="00765C1F" w:rsidRPr="00046A4B">
        <w:rPr>
          <w:rFonts w:eastAsia="Times New Roman"/>
          <w:b/>
          <w:i/>
          <w:szCs w:val="20"/>
        </w:rPr>
        <w:t xml:space="preserve">P. </w:t>
      </w:r>
      <w:proofErr w:type="spellStart"/>
      <w:r w:rsidR="00765C1F" w:rsidRPr="00046A4B">
        <w:rPr>
          <w:rFonts w:eastAsia="Times New Roman"/>
          <w:b/>
          <w:i/>
          <w:szCs w:val="20"/>
        </w:rPr>
        <w:t>polyanthis</w:t>
      </w:r>
      <w:proofErr w:type="spellEnd"/>
      <w:r w:rsidR="00765C1F" w:rsidRPr="00046A4B">
        <w:rPr>
          <w:rFonts w:eastAsia="Times New Roman"/>
          <w:b/>
          <w:i/>
          <w:szCs w:val="20"/>
        </w:rPr>
        <w:t xml:space="preserve"> </w:t>
      </w:r>
      <w:r w:rsidR="00765C1F" w:rsidRPr="00046A4B">
        <w:rPr>
          <w:rFonts w:eastAsia="Times New Roman"/>
          <w:b/>
          <w:szCs w:val="20"/>
        </w:rPr>
        <w:t>isolates and documented at 24 hours interval:</w:t>
      </w:r>
    </w:p>
    <w:p w14:paraId="570858F1" w14:textId="77777777" w:rsidR="00046A4B" w:rsidRPr="00046A4B" w:rsidRDefault="00046A4B" w:rsidP="00046A4B">
      <w:pPr>
        <w:spacing w:line="360" w:lineRule="auto"/>
        <w:jc w:val="both"/>
        <w:rPr>
          <w:rFonts w:ascii="Arial" w:hAnsi="Arial" w:cs="Arial"/>
          <w:b/>
          <w:bCs/>
          <w:sz w:val="20"/>
          <w:szCs w:val="20"/>
        </w:rPr>
      </w:pPr>
      <w:r w:rsidRPr="00046A4B">
        <w:rPr>
          <w:rFonts w:ascii="Arial" w:hAnsi="Arial" w:cs="Arial"/>
          <w:b/>
          <w:bCs/>
          <w:sz w:val="20"/>
          <w:szCs w:val="20"/>
        </w:rPr>
        <w:t xml:space="preserve">Table 2: Mean diseased lesion length (in cm) caused by </w:t>
      </w:r>
      <w:proofErr w:type="spellStart"/>
      <w:r w:rsidRPr="00046A4B">
        <w:rPr>
          <w:rFonts w:ascii="Arial" w:hAnsi="Arial" w:cs="Arial"/>
          <w:b/>
          <w:bCs/>
          <w:i/>
          <w:sz w:val="20"/>
          <w:szCs w:val="20"/>
        </w:rPr>
        <w:t>Phoma</w:t>
      </w:r>
      <w:proofErr w:type="spellEnd"/>
      <w:r w:rsidRPr="00046A4B">
        <w:rPr>
          <w:rFonts w:ascii="Arial" w:hAnsi="Arial" w:cs="Arial"/>
          <w:b/>
          <w:bCs/>
          <w:i/>
          <w:sz w:val="20"/>
          <w:szCs w:val="20"/>
        </w:rPr>
        <w:t xml:space="preserve"> </w:t>
      </w:r>
      <w:proofErr w:type="spellStart"/>
      <w:r w:rsidRPr="00046A4B">
        <w:rPr>
          <w:rFonts w:ascii="Arial" w:hAnsi="Arial" w:cs="Arial"/>
          <w:b/>
          <w:bCs/>
          <w:i/>
          <w:sz w:val="20"/>
          <w:szCs w:val="20"/>
        </w:rPr>
        <w:t>polyanthis</w:t>
      </w:r>
      <w:proofErr w:type="spellEnd"/>
      <w:r w:rsidRPr="00046A4B">
        <w:rPr>
          <w:rFonts w:ascii="Arial" w:hAnsi="Arial" w:cs="Arial"/>
          <w:b/>
          <w:bCs/>
          <w:i/>
          <w:sz w:val="20"/>
          <w:szCs w:val="20"/>
        </w:rPr>
        <w:t xml:space="preserve"> </w:t>
      </w:r>
      <w:r w:rsidRPr="00046A4B">
        <w:rPr>
          <w:rFonts w:ascii="Arial" w:hAnsi="Arial" w:cs="Arial"/>
          <w:b/>
          <w:bCs/>
          <w:sz w:val="20"/>
          <w:szCs w:val="20"/>
        </w:rPr>
        <w:t xml:space="preserve">isolates at 24 hours interval on GKTC – 4 </w:t>
      </w:r>
      <w:proofErr w:type="gramStart"/>
      <w:r w:rsidRPr="00046A4B">
        <w:rPr>
          <w:rFonts w:ascii="Arial" w:hAnsi="Arial" w:cs="Arial"/>
          <w:b/>
          <w:bCs/>
          <w:sz w:val="20"/>
          <w:szCs w:val="20"/>
        </w:rPr>
        <w:t>cultivar</w:t>
      </w:r>
      <w:proofErr w:type="gramEnd"/>
      <w:r w:rsidRPr="00046A4B">
        <w:rPr>
          <w:rFonts w:ascii="Arial" w:hAnsi="Arial" w:cs="Arial"/>
          <w:b/>
          <w:bCs/>
          <w:sz w:val="20"/>
          <w:szCs w:val="20"/>
        </w:rPr>
        <w:t xml:space="preserve"> under laboratory condition.</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571"/>
        <w:gridCol w:w="1787"/>
        <w:gridCol w:w="1350"/>
        <w:gridCol w:w="1260"/>
        <w:gridCol w:w="1260"/>
        <w:gridCol w:w="1080"/>
        <w:gridCol w:w="1116"/>
      </w:tblGrid>
      <w:tr w:rsidR="00046A4B" w:rsidRPr="00046A4B" w14:paraId="4C8D24F7" w14:textId="77777777" w:rsidTr="00F91971">
        <w:tc>
          <w:tcPr>
            <w:tcW w:w="571" w:type="dxa"/>
          </w:tcPr>
          <w:p w14:paraId="76490B43"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Sl. No.</w:t>
            </w:r>
          </w:p>
        </w:tc>
        <w:tc>
          <w:tcPr>
            <w:tcW w:w="1787" w:type="dxa"/>
          </w:tcPr>
          <w:p w14:paraId="6B41F0E3"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Name of the isolates</w:t>
            </w:r>
          </w:p>
        </w:tc>
        <w:tc>
          <w:tcPr>
            <w:tcW w:w="1350" w:type="dxa"/>
          </w:tcPr>
          <w:p w14:paraId="5BC335DD"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MDLL at 24 hours</w:t>
            </w:r>
          </w:p>
        </w:tc>
        <w:tc>
          <w:tcPr>
            <w:tcW w:w="1260" w:type="dxa"/>
          </w:tcPr>
          <w:p w14:paraId="6AF653CC"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MDLL at 48 hours</w:t>
            </w:r>
          </w:p>
        </w:tc>
        <w:tc>
          <w:tcPr>
            <w:tcW w:w="1260" w:type="dxa"/>
          </w:tcPr>
          <w:p w14:paraId="06F9A443"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MDLL at 72 hours</w:t>
            </w:r>
          </w:p>
        </w:tc>
        <w:tc>
          <w:tcPr>
            <w:tcW w:w="1080" w:type="dxa"/>
          </w:tcPr>
          <w:p w14:paraId="321F483A"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MDLL at 96 hours</w:t>
            </w:r>
          </w:p>
        </w:tc>
        <w:tc>
          <w:tcPr>
            <w:tcW w:w="1116" w:type="dxa"/>
          </w:tcPr>
          <w:p w14:paraId="7522A126" w14:textId="77777777" w:rsidR="00046A4B" w:rsidRPr="00046A4B" w:rsidRDefault="00046A4B" w:rsidP="00F91971">
            <w:pPr>
              <w:spacing w:after="0" w:line="360" w:lineRule="auto"/>
              <w:rPr>
                <w:rFonts w:ascii="Arial" w:hAnsi="Arial" w:cs="Arial"/>
                <w:b/>
                <w:color w:val="FF0000"/>
                <w:sz w:val="20"/>
                <w:szCs w:val="20"/>
              </w:rPr>
            </w:pPr>
            <w:r w:rsidRPr="00046A4B">
              <w:rPr>
                <w:rFonts w:ascii="Arial" w:hAnsi="Arial" w:cs="Arial"/>
                <w:b/>
                <w:sz w:val="20"/>
                <w:szCs w:val="20"/>
              </w:rPr>
              <w:t>MDLL at 120 hours</w:t>
            </w:r>
          </w:p>
        </w:tc>
      </w:tr>
      <w:tr w:rsidR="00046A4B" w:rsidRPr="00046A4B" w14:paraId="52A07429" w14:textId="77777777" w:rsidTr="00F91971">
        <w:tc>
          <w:tcPr>
            <w:tcW w:w="571" w:type="dxa"/>
          </w:tcPr>
          <w:p w14:paraId="5DD002C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1.</w:t>
            </w:r>
          </w:p>
        </w:tc>
        <w:tc>
          <w:tcPr>
            <w:tcW w:w="1787" w:type="dxa"/>
          </w:tcPr>
          <w:p w14:paraId="100861F8"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Birbhum</w:t>
            </w:r>
          </w:p>
        </w:tc>
        <w:tc>
          <w:tcPr>
            <w:tcW w:w="1350" w:type="dxa"/>
          </w:tcPr>
          <w:p w14:paraId="2CA3255C"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0.25*</w:t>
            </w:r>
          </w:p>
        </w:tc>
        <w:tc>
          <w:tcPr>
            <w:tcW w:w="1260" w:type="dxa"/>
          </w:tcPr>
          <w:p w14:paraId="09DD1217"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0.25*</w:t>
            </w:r>
          </w:p>
        </w:tc>
        <w:tc>
          <w:tcPr>
            <w:tcW w:w="1260" w:type="dxa"/>
          </w:tcPr>
          <w:p w14:paraId="010BC3C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w:t>
            </w:r>
          </w:p>
        </w:tc>
        <w:tc>
          <w:tcPr>
            <w:tcW w:w="1080" w:type="dxa"/>
          </w:tcPr>
          <w:p w14:paraId="3B61EDA7"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7.5</w:t>
            </w:r>
          </w:p>
        </w:tc>
        <w:tc>
          <w:tcPr>
            <w:tcW w:w="1116" w:type="dxa"/>
          </w:tcPr>
          <w:p w14:paraId="36E6E30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10.5</w:t>
            </w:r>
          </w:p>
        </w:tc>
      </w:tr>
      <w:tr w:rsidR="00046A4B" w:rsidRPr="00046A4B" w14:paraId="3F795481" w14:textId="77777777" w:rsidTr="00F91971">
        <w:tc>
          <w:tcPr>
            <w:tcW w:w="571" w:type="dxa"/>
          </w:tcPr>
          <w:p w14:paraId="709522F5"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2.</w:t>
            </w:r>
          </w:p>
        </w:tc>
        <w:tc>
          <w:tcPr>
            <w:tcW w:w="1787" w:type="dxa"/>
          </w:tcPr>
          <w:p w14:paraId="246AF795"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Hooghly</w:t>
            </w:r>
          </w:p>
        </w:tc>
        <w:tc>
          <w:tcPr>
            <w:tcW w:w="1350" w:type="dxa"/>
          </w:tcPr>
          <w:p w14:paraId="36A8DC3B"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4.5</w:t>
            </w:r>
          </w:p>
        </w:tc>
        <w:tc>
          <w:tcPr>
            <w:tcW w:w="1260" w:type="dxa"/>
          </w:tcPr>
          <w:p w14:paraId="071599C1"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7.5</w:t>
            </w:r>
          </w:p>
        </w:tc>
        <w:tc>
          <w:tcPr>
            <w:tcW w:w="1260" w:type="dxa"/>
          </w:tcPr>
          <w:p w14:paraId="62B83E2E"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9.5</w:t>
            </w:r>
          </w:p>
        </w:tc>
        <w:tc>
          <w:tcPr>
            <w:tcW w:w="1080" w:type="dxa"/>
          </w:tcPr>
          <w:p w14:paraId="513645F9"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11.5</w:t>
            </w:r>
          </w:p>
        </w:tc>
        <w:tc>
          <w:tcPr>
            <w:tcW w:w="1116" w:type="dxa"/>
          </w:tcPr>
          <w:p w14:paraId="2A274470"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15.5</w:t>
            </w:r>
          </w:p>
        </w:tc>
      </w:tr>
      <w:tr w:rsidR="00046A4B" w:rsidRPr="00046A4B" w14:paraId="167EDACA" w14:textId="77777777" w:rsidTr="00F91971">
        <w:tc>
          <w:tcPr>
            <w:tcW w:w="571" w:type="dxa"/>
          </w:tcPr>
          <w:p w14:paraId="2CABAE35"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3.</w:t>
            </w:r>
          </w:p>
        </w:tc>
        <w:tc>
          <w:tcPr>
            <w:tcW w:w="1787" w:type="dxa"/>
          </w:tcPr>
          <w:p w14:paraId="5146FCD2"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Burdwan</w:t>
            </w:r>
          </w:p>
        </w:tc>
        <w:tc>
          <w:tcPr>
            <w:tcW w:w="1350" w:type="dxa"/>
          </w:tcPr>
          <w:p w14:paraId="2B5DEEC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w:t>
            </w:r>
          </w:p>
        </w:tc>
        <w:tc>
          <w:tcPr>
            <w:tcW w:w="1260" w:type="dxa"/>
          </w:tcPr>
          <w:p w14:paraId="4D9D8CF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7.5</w:t>
            </w:r>
          </w:p>
        </w:tc>
        <w:tc>
          <w:tcPr>
            <w:tcW w:w="1260" w:type="dxa"/>
          </w:tcPr>
          <w:p w14:paraId="3035258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12.5</w:t>
            </w:r>
          </w:p>
        </w:tc>
        <w:tc>
          <w:tcPr>
            <w:tcW w:w="1080" w:type="dxa"/>
          </w:tcPr>
          <w:p w14:paraId="01ECE74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14</w:t>
            </w:r>
          </w:p>
        </w:tc>
        <w:tc>
          <w:tcPr>
            <w:tcW w:w="1116" w:type="dxa"/>
          </w:tcPr>
          <w:p w14:paraId="7870B28E"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16.5</w:t>
            </w:r>
          </w:p>
        </w:tc>
      </w:tr>
      <w:tr w:rsidR="00046A4B" w:rsidRPr="00046A4B" w14:paraId="4C91BCD8" w14:textId="77777777" w:rsidTr="00F91971">
        <w:tc>
          <w:tcPr>
            <w:tcW w:w="571" w:type="dxa"/>
          </w:tcPr>
          <w:p w14:paraId="1B9C42D7"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lastRenderedPageBreak/>
              <w:t>4.</w:t>
            </w:r>
          </w:p>
        </w:tc>
        <w:tc>
          <w:tcPr>
            <w:tcW w:w="1787" w:type="dxa"/>
          </w:tcPr>
          <w:p w14:paraId="54BCE235" w14:textId="77777777" w:rsidR="00046A4B" w:rsidRPr="00046A4B" w:rsidRDefault="00046A4B" w:rsidP="00F91971">
            <w:pPr>
              <w:spacing w:after="0" w:line="360" w:lineRule="auto"/>
              <w:rPr>
                <w:rFonts w:ascii="Arial" w:hAnsi="Arial" w:cs="Arial"/>
                <w:b/>
                <w:color w:val="000000"/>
                <w:sz w:val="20"/>
                <w:szCs w:val="20"/>
              </w:rPr>
            </w:pPr>
            <w:proofErr w:type="spellStart"/>
            <w:r w:rsidRPr="00046A4B">
              <w:rPr>
                <w:rFonts w:ascii="Arial" w:hAnsi="Arial" w:cs="Arial"/>
                <w:b/>
                <w:color w:val="000000"/>
                <w:sz w:val="20"/>
                <w:szCs w:val="20"/>
              </w:rPr>
              <w:t>Purba</w:t>
            </w:r>
            <w:proofErr w:type="spellEnd"/>
            <w:r w:rsidRPr="00046A4B">
              <w:rPr>
                <w:rFonts w:ascii="Arial" w:hAnsi="Arial" w:cs="Arial"/>
                <w:b/>
                <w:color w:val="000000"/>
                <w:sz w:val="20"/>
                <w:szCs w:val="20"/>
              </w:rPr>
              <w:t xml:space="preserve"> </w:t>
            </w:r>
            <w:proofErr w:type="spellStart"/>
            <w:r w:rsidRPr="00046A4B">
              <w:rPr>
                <w:rFonts w:ascii="Arial" w:hAnsi="Arial" w:cs="Arial"/>
                <w:b/>
                <w:color w:val="000000"/>
                <w:sz w:val="20"/>
                <w:szCs w:val="20"/>
              </w:rPr>
              <w:t>Medinipur</w:t>
            </w:r>
            <w:proofErr w:type="spellEnd"/>
          </w:p>
        </w:tc>
        <w:tc>
          <w:tcPr>
            <w:tcW w:w="1350" w:type="dxa"/>
          </w:tcPr>
          <w:p w14:paraId="6D3EFC9E"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0.25*</w:t>
            </w:r>
          </w:p>
        </w:tc>
        <w:tc>
          <w:tcPr>
            <w:tcW w:w="1260" w:type="dxa"/>
          </w:tcPr>
          <w:p w14:paraId="246E32C9"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4.5</w:t>
            </w:r>
          </w:p>
        </w:tc>
        <w:tc>
          <w:tcPr>
            <w:tcW w:w="1260" w:type="dxa"/>
          </w:tcPr>
          <w:p w14:paraId="329F066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7.5</w:t>
            </w:r>
          </w:p>
        </w:tc>
        <w:tc>
          <w:tcPr>
            <w:tcW w:w="1080" w:type="dxa"/>
          </w:tcPr>
          <w:p w14:paraId="19C4D4BD"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10.5</w:t>
            </w:r>
          </w:p>
        </w:tc>
        <w:tc>
          <w:tcPr>
            <w:tcW w:w="1116" w:type="dxa"/>
          </w:tcPr>
          <w:p w14:paraId="2F22292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16</w:t>
            </w:r>
          </w:p>
        </w:tc>
      </w:tr>
      <w:tr w:rsidR="00046A4B" w:rsidRPr="00046A4B" w14:paraId="39F7BC96" w14:textId="77777777" w:rsidTr="00F91971">
        <w:tc>
          <w:tcPr>
            <w:tcW w:w="571" w:type="dxa"/>
          </w:tcPr>
          <w:p w14:paraId="0E069818"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5.</w:t>
            </w:r>
          </w:p>
        </w:tc>
        <w:tc>
          <w:tcPr>
            <w:tcW w:w="1787" w:type="dxa"/>
          </w:tcPr>
          <w:p w14:paraId="2E057A3B" w14:textId="77777777" w:rsidR="00046A4B" w:rsidRPr="00046A4B" w:rsidRDefault="00046A4B" w:rsidP="00F91971">
            <w:pPr>
              <w:spacing w:after="0" w:line="360" w:lineRule="auto"/>
              <w:rPr>
                <w:rFonts w:ascii="Arial" w:hAnsi="Arial" w:cs="Arial"/>
                <w:b/>
                <w:color w:val="000000"/>
                <w:sz w:val="20"/>
                <w:szCs w:val="20"/>
              </w:rPr>
            </w:pPr>
            <w:proofErr w:type="spellStart"/>
            <w:r w:rsidRPr="00046A4B">
              <w:rPr>
                <w:rFonts w:ascii="Arial" w:hAnsi="Arial" w:cs="Arial"/>
                <w:b/>
                <w:color w:val="000000"/>
                <w:sz w:val="20"/>
                <w:szCs w:val="20"/>
              </w:rPr>
              <w:t>Coochbehar</w:t>
            </w:r>
            <w:proofErr w:type="spellEnd"/>
          </w:p>
        </w:tc>
        <w:tc>
          <w:tcPr>
            <w:tcW w:w="1350" w:type="dxa"/>
          </w:tcPr>
          <w:p w14:paraId="232EF50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0.25*</w:t>
            </w:r>
          </w:p>
        </w:tc>
        <w:tc>
          <w:tcPr>
            <w:tcW w:w="1260" w:type="dxa"/>
          </w:tcPr>
          <w:p w14:paraId="5B7B3EAC"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2.5</w:t>
            </w:r>
          </w:p>
        </w:tc>
        <w:tc>
          <w:tcPr>
            <w:tcW w:w="1260" w:type="dxa"/>
          </w:tcPr>
          <w:p w14:paraId="2220359C"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5.5</w:t>
            </w:r>
          </w:p>
        </w:tc>
        <w:tc>
          <w:tcPr>
            <w:tcW w:w="1080" w:type="dxa"/>
          </w:tcPr>
          <w:p w14:paraId="48B57571"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8.5</w:t>
            </w:r>
          </w:p>
        </w:tc>
        <w:tc>
          <w:tcPr>
            <w:tcW w:w="1116" w:type="dxa"/>
          </w:tcPr>
          <w:p w14:paraId="74674CBC"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11.5</w:t>
            </w:r>
          </w:p>
        </w:tc>
      </w:tr>
      <w:tr w:rsidR="00046A4B" w:rsidRPr="00046A4B" w14:paraId="17A5A8E3" w14:textId="77777777" w:rsidTr="00F91971">
        <w:tc>
          <w:tcPr>
            <w:tcW w:w="571" w:type="dxa"/>
          </w:tcPr>
          <w:p w14:paraId="700A9CBB"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6.</w:t>
            </w:r>
          </w:p>
        </w:tc>
        <w:tc>
          <w:tcPr>
            <w:tcW w:w="1787" w:type="dxa"/>
          </w:tcPr>
          <w:p w14:paraId="622BB4C2"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Howrah</w:t>
            </w:r>
          </w:p>
        </w:tc>
        <w:tc>
          <w:tcPr>
            <w:tcW w:w="1350" w:type="dxa"/>
          </w:tcPr>
          <w:p w14:paraId="41C2560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0.25*</w:t>
            </w:r>
          </w:p>
        </w:tc>
        <w:tc>
          <w:tcPr>
            <w:tcW w:w="1260" w:type="dxa"/>
          </w:tcPr>
          <w:p w14:paraId="576A7B45"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3.5</w:t>
            </w:r>
          </w:p>
        </w:tc>
        <w:tc>
          <w:tcPr>
            <w:tcW w:w="1260" w:type="dxa"/>
          </w:tcPr>
          <w:p w14:paraId="2B07D92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6.5</w:t>
            </w:r>
          </w:p>
        </w:tc>
        <w:tc>
          <w:tcPr>
            <w:tcW w:w="1080" w:type="dxa"/>
          </w:tcPr>
          <w:p w14:paraId="6722E497"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14.5</w:t>
            </w:r>
          </w:p>
        </w:tc>
        <w:tc>
          <w:tcPr>
            <w:tcW w:w="1116" w:type="dxa"/>
          </w:tcPr>
          <w:p w14:paraId="40A867DF"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20.5</w:t>
            </w:r>
          </w:p>
        </w:tc>
      </w:tr>
      <w:tr w:rsidR="00046A4B" w:rsidRPr="00046A4B" w14:paraId="48A8E855" w14:textId="77777777" w:rsidTr="00F91971">
        <w:tc>
          <w:tcPr>
            <w:tcW w:w="571" w:type="dxa"/>
          </w:tcPr>
          <w:p w14:paraId="494CBBE5"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7.</w:t>
            </w:r>
          </w:p>
        </w:tc>
        <w:tc>
          <w:tcPr>
            <w:tcW w:w="1787" w:type="dxa"/>
          </w:tcPr>
          <w:p w14:paraId="1FD11935"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Bankura</w:t>
            </w:r>
          </w:p>
        </w:tc>
        <w:tc>
          <w:tcPr>
            <w:tcW w:w="1350" w:type="dxa"/>
          </w:tcPr>
          <w:p w14:paraId="33C0D800"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w:t>
            </w:r>
          </w:p>
        </w:tc>
        <w:tc>
          <w:tcPr>
            <w:tcW w:w="1260" w:type="dxa"/>
          </w:tcPr>
          <w:p w14:paraId="082B585D"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7.5</w:t>
            </w:r>
          </w:p>
        </w:tc>
        <w:tc>
          <w:tcPr>
            <w:tcW w:w="1260" w:type="dxa"/>
          </w:tcPr>
          <w:p w14:paraId="01E98B8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14.5</w:t>
            </w:r>
          </w:p>
        </w:tc>
        <w:tc>
          <w:tcPr>
            <w:tcW w:w="1080" w:type="dxa"/>
          </w:tcPr>
          <w:p w14:paraId="779A862B"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20.5</w:t>
            </w:r>
          </w:p>
        </w:tc>
        <w:tc>
          <w:tcPr>
            <w:tcW w:w="1116" w:type="dxa"/>
          </w:tcPr>
          <w:p w14:paraId="7E1A0E70"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29.5</w:t>
            </w:r>
          </w:p>
        </w:tc>
      </w:tr>
      <w:tr w:rsidR="00046A4B" w:rsidRPr="00046A4B" w14:paraId="7E5C1943" w14:textId="77777777" w:rsidTr="00F91971">
        <w:tc>
          <w:tcPr>
            <w:tcW w:w="571" w:type="dxa"/>
          </w:tcPr>
          <w:p w14:paraId="12E5D248"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8.</w:t>
            </w:r>
          </w:p>
        </w:tc>
        <w:tc>
          <w:tcPr>
            <w:tcW w:w="1787" w:type="dxa"/>
          </w:tcPr>
          <w:p w14:paraId="15C0DFF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color w:val="000000"/>
                <w:sz w:val="20"/>
                <w:szCs w:val="20"/>
              </w:rPr>
              <w:t>24 Parganas (S)</w:t>
            </w:r>
          </w:p>
        </w:tc>
        <w:tc>
          <w:tcPr>
            <w:tcW w:w="1350" w:type="dxa"/>
          </w:tcPr>
          <w:p w14:paraId="235D997F"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4.5</w:t>
            </w:r>
          </w:p>
        </w:tc>
        <w:tc>
          <w:tcPr>
            <w:tcW w:w="1260" w:type="dxa"/>
          </w:tcPr>
          <w:p w14:paraId="58D65389"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6.5</w:t>
            </w:r>
          </w:p>
        </w:tc>
        <w:tc>
          <w:tcPr>
            <w:tcW w:w="1260" w:type="dxa"/>
          </w:tcPr>
          <w:p w14:paraId="314F83A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10.5</w:t>
            </w:r>
          </w:p>
        </w:tc>
        <w:tc>
          <w:tcPr>
            <w:tcW w:w="1080" w:type="dxa"/>
          </w:tcPr>
          <w:p w14:paraId="527AE2E1"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12.5</w:t>
            </w:r>
          </w:p>
        </w:tc>
        <w:tc>
          <w:tcPr>
            <w:tcW w:w="1116" w:type="dxa"/>
          </w:tcPr>
          <w:p w14:paraId="4F5EAE9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18.5</w:t>
            </w:r>
          </w:p>
        </w:tc>
      </w:tr>
      <w:tr w:rsidR="00046A4B" w:rsidRPr="00046A4B" w14:paraId="3D00AF1D" w14:textId="77777777" w:rsidTr="00F91971">
        <w:tc>
          <w:tcPr>
            <w:tcW w:w="571" w:type="dxa"/>
          </w:tcPr>
          <w:p w14:paraId="2E4213B4"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9.</w:t>
            </w:r>
          </w:p>
        </w:tc>
        <w:tc>
          <w:tcPr>
            <w:tcW w:w="1787" w:type="dxa"/>
          </w:tcPr>
          <w:p w14:paraId="37FABDAD"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Nadia</w:t>
            </w:r>
          </w:p>
        </w:tc>
        <w:tc>
          <w:tcPr>
            <w:tcW w:w="1350" w:type="dxa"/>
          </w:tcPr>
          <w:p w14:paraId="294B752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w:t>
            </w:r>
          </w:p>
        </w:tc>
        <w:tc>
          <w:tcPr>
            <w:tcW w:w="1260" w:type="dxa"/>
          </w:tcPr>
          <w:p w14:paraId="4EDA5B2B"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5.5</w:t>
            </w:r>
          </w:p>
        </w:tc>
        <w:tc>
          <w:tcPr>
            <w:tcW w:w="1260" w:type="dxa"/>
          </w:tcPr>
          <w:p w14:paraId="29E86015"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10.5</w:t>
            </w:r>
          </w:p>
        </w:tc>
        <w:tc>
          <w:tcPr>
            <w:tcW w:w="1080" w:type="dxa"/>
          </w:tcPr>
          <w:p w14:paraId="52BAC8D7"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17.5</w:t>
            </w:r>
          </w:p>
        </w:tc>
        <w:tc>
          <w:tcPr>
            <w:tcW w:w="1116" w:type="dxa"/>
          </w:tcPr>
          <w:p w14:paraId="62B7B752"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24.5</w:t>
            </w:r>
          </w:p>
        </w:tc>
      </w:tr>
      <w:tr w:rsidR="00046A4B" w:rsidRPr="00046A4B" w14:paraId="6614DB33" w14:textId="77777777" w:rsidTr="00F91971">
        <w:tc>
          <w:tcPr>
            <w:tcW w:w="571" w:type="dxa"/>
          </w:tcPr>
          <w:p w14:paraId="5E4ABBB5" w14:textId="77777777" w:rsidR="00046A4B" w:rsidRPr="00046A4B" w:rsidRDefault="00046A4B" w:rsidP="00F91971">
            <w:pPr>
              <w:spacing w:after="0" w:line="360" w:lineRule="auto"/>
              <w:rPr>
                <w:rFonts w:ascii="Arial" w:hAnsi="Arial" w:cs="Arial"/>
                <w:b/>
                <w:bCs/>
                <w:sz w:val="20"/>
                <w:szCs w:val="20"/>
              </w:rPr>
            </w:pPr>
          </w:p>
        </w:tc>
        <w:tc>
          <w:tcPr>
            <w:tcW w:w="1787" w:type="dxa"/>
          </w:tcPr>
          <w:p w14:paraId="740FF63A" w14:textId="77777777" w:rsidR="00046A4B" w:rsidRPr="00046A4B" w:rsidRDefault="00046A4B" w:rsidP="00F91971">
            <w:pPr>
              <w:spacing w:after="0" w:line="360" w:lineRule="auto"/>
              <w:rPr>
                <w:rFonts w:ascii="Arial" w:hAnsi="Arial" w:cs="Arial"/>
                <w:b/>
                <w:color w:val="000000"/>
                <w:sz w:val="20"/>
                <w:szCs w:val="20"/>
              </w:rPr>
            </w:pPr>
          </w:p>
        </w:tc>
        <w:tc>
          <w:tcPr>
            <w:tcW w:w="1350" w:type="dxa"/>
          </w:tcPr>
          <w:p w14:paraId="2366095B" w14:textId="77777777" w:rsidR="00046A4B" w:rsidRPr="00046A4B" w:rsidRDefault="00046A4B" w:rsidP="00F91971">
            <w:pPr>
              <w:spacing w:after="0" w:line="360" w:lineRule="auto"/>
              <w:jc w:val="center"/>
              <w:rPr>
                <w:rFonts w:ascii="Arial" w:hAnsi="Arial" w:cs="Arial"/>
                <w:color w:val="000000"/>
                <w:sz w:val="20"/>
                <w:szCs w:val="20"/>
              </w:rPr>
            </w:pPr>
          </w:p>
        </w:tc>
        <w:tc>
          <w:tcPr>
            <w:tcW w:w="1260" w:type="dxa"/>
          </w:tcPr>
          <w:p w14:paraId="1C81AC52" w14:textId="77777777" w:rsidR="00046A4B" w:rsidRPr="00046A4B" w:rsidRDefault="00046A4B" w:rsidP="00F91971">
            <w:pPr>
              <w:spacing w:after="0" w:line="360" w:lineRule="auto"/>
              <w:jc w:val="center"/>
              <w:rPr>
                <w:rFonts w:ascii="Arial" w:hAnsi="Arial" w:cs="Arial"/>
                <w:color w:val="000000"/>
                <w:sz w:val="20"/>
                <w:szCs w:val="20"/>
              </w:rPr>
            </w:pPr>
          </w:p>
        </w:tc>
        <w:tc>
          <w:tcPr>
            <w:tcW w:w="1260" w:type="dxa"/>
          </w:tcPr>
          <w:p w14:paraId="35BC8B79" w14:textId="77777777" w:rsidR="00046A4B" w:rsidRPr="00046A4B" w:rsidRDefault="00046A4B" w:rsidP="00F91971">
            <w:pPr>
              <w:spacing w:after="0" w:line="360" w:lineRule="auto"/>
              <w:jc w:val="center"/>
              <w:rPr>
                <w:rFonts w:ascii="Arial" w:hAnsi="Arial" w:cs="Arial"/>
                <w:color w:val="000000"/>
                <w:sz w:val="20"/>
                <w:szCs w:val="20"/>
              </w:rPr>
            </w:pPr>
          </w:p>
        </w:tc>
        <w:tc>
          <w:tcPr>
            <w:tcW w:w="1080" w:type="dxa"/>
          </w:tcPr>
          <w:p w14:paraId="1D3F77F4" w14:textId="77777777" w:rsidR="00046A4B" w:rsidRPr="00046A4B" w:rsidRDefault="00046A4B" w:rsidP="00F91971">
            <w:pPr>
              <w:spacing w:after="0" w:line="360" w:lineRule="auto"/>
              <w:jc w:val="center"/>
              <w:rPr>
                <w:rFonts w:ascii="Arial" w:hAnsi="Arial" w:cs="Arial"/>
                <w:color w:val="000000"/>
                <w:sz w:val="20"/>
                <w:szCs w:val="20"/>
              </w:rPr>
            </w:pPr>
          </w:p>
        </w:tc>
        <w:tc>
          <w:tcPr>
            <w:tcW w:w="1116" w:type="dxa"/>
          </w:tcPr>
          <w:p w14:paraId="26E97AB3" w14:textId="77777777" w:rsidR="00046A4B" w:rsidRPr="00046A4B" w:rsidRDefault="00046A4B" w:rsidP="00F91971">
            <w:pPr>
              <w:spacing w:after="0" w:line="360" w:lineRule="auto"/>
              <w:jc w:val="center"/>
              <w:rPr>
                <w:rFonts w:ascii="Arial" w:hAnsi="Arial" w:cs="Arial"/>
                <w:color w:val="000000"/>
                <w:sz w:val="20"/>
                <w:szCs w:val="20"/>
              </w:rPr>
            </w:pPr>
          </w:p>
        </w:tc>
      </w:tr>
      <w:tr w:rsidR="00046A4B" w:rsidRPr="00046A4B" w14:paraId="08BD1647" w14:textId="77777777" w:rsidTr="00F91971">
        <w:tc>
          <w:tcPr>
            <w:tcW w:w="571" w:type="dxa"/>
          </w:tcPr>
          <w:p w14:paraId="492A19E1" w14:textId="77777777" w:rsidR="00046A4B" w:rsidRPr="00046A4B" w:rsidRDefault="00046A4B" w:rsidP="00F91971">
            <w:pPr>
              <w:spacing w:after="0" w:line="360" w:lineRule="auto"/>
              <w:rPr>
                <w:rFonts w:ascii="Arial" w:hAnsi="Arial" w:cs="Arial"/>
                <w:b/>
                <w:sz w:val="20"/>
                <w:szCs w:val="20"/>
              </w:rPr>
            </w:pPr>
          </w:p>
        </w:tc>
        <w:tc>
          <w:tcPr>
            <w:tcW w:w="1787" w:type="dxa"/>
          </w:tcPr>
          <w:p w14:paraId="6F2FAB38" w14:textId="77777777" w:rsidR="00046A4B" w:rsidRPr="00046A4B" w:rsidRDefault="00046A4B" w:rsidP="00F91971">
            <w:pPr>
              <w:spacing w:after="0" w:line="360" w:lineRule="auto"/>
              <w:rPr>
                <w:rFonts w:ascii="Arial" w:hAnsi="Arial" w:cs="Arial"/>
                <w:b/>
                <w:sz w:val="20"/>
                <w:szCs w:val="20"/>
              </w:rPr>
            </w:pPr>
            <w:proofErr w:type="spellStart"/>
            <w:r w:rsidRPr="00046A4B">
              <w:rPr>
                <w:rFonts w:ascii="Arial" w:hAnsi="Arial" w:cs="Arial"/>
                <w:b/>
                <w:sz w:val="20"/>
                <w:szCs w:val="20"/>
              </w:rPr>
              <w:t>SEm</w:t>
            </w:r>
            <w:proofErr w:type="spellEnd"/>
            <w:r w:rsidRPr="00046A4B">
              <w:rPr>
                <w:rFonts w:ascii="Arial" w:hAnsi="Arial" w:cs="Arial"/>
                <w:b/>
                <w:sz w:val="20"/>
                <w:szCs w:val="20"/>
              </w:rPr>
              <w:t xml:space="preserve"> ±</w:t>
            </w:r>
          </w:p>
        </w:tc>
        <w:tc>
          <w:tcPr>
            <w:tcW w:w="1350" w:type="dxa"/>
          </w:tcPr>
          <w:p w14:paraId="12C8856C"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0.22</w:t>
            </w:r>
          </w:p>
        </w:tc>
        <w:tc>
          <w:tcPr>
            <w:tcW w:w="1260" w:type="dxa"/>
          </w:tcPr>
          <w:p w14:paraId="31B3404D"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0.15</w:t>
            </w:r>
          </w:p>
        </w:tc>
        <w:tc>
          <w:tcPr>
            <w:tcW w:w="1260" w:type="dxa"/>
          </w:tcPr>
          <w:p w14:paraId="44B68910"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0.19</w:t>
            </w:r>
          </w:p>
        </w:tc>
        <w:tc>
          <w:tcPr>
            <w:tcW w:w="1080" w:type="dxa"/>
          </w:tcPr>
          <w:p w14:paraId="29B50268"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0.17</w:t>
            </w:r>
          </w:p>
        </w:tc>
        <w:tc>
          <w:tcPr>
            <w:tcW w:w="1116" w:type="dxa"/>
          </w:tcPr>
          <w:p w14:paraId="202A1039"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0.06</w:t>
            </w:r>
          </w:p>
        </w:tc>
      </w:tr>
      <w:tr w:rsidR="00046A4B" w:rsidRPr="00046A4B" w14:paraId="5ABC9A5A" w14:textId="77777777" w:rsidTr="00F91971">
        <w:tc>
          <w:tcPr>
            <w:tcW w:w="571" w:type="dxa"/>
          </w:tcPr>
          <w:p w14:paraId="590C64C7" w14:textId="77777777" w:rsidR="00046A4B" w:rsidRPr="00046A4B" w:rsidRDefault="00046A4B" w:rsidP="00F91971">
            <w:pPr>
              <w:spacing w:after="0" w:line="360" w:lineRule="auto"/>
              <w:rPr>
                <w:rFonts w:ascii="Arial" w:hAnsi="Arial" w:cs="Arial"/>
                <w:b/>
                <w:sz w:val="20"/>
                <w:szCs w:val="20"/>
              </w:rPr>
            </w:pPr>
          </w:p>
        </w:tc>
        <w:tc>
          <w:tcPr>
            <w:tcW w:w="1787" w:type="dxa"/>
          </w:tcPr>
          <w:p w14:paraId="4B830EF8"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CD 0.05</w:t>
            </w:r>
          </w:p>
        </w:tc>
        <w:tc>
          <w:tcPr>
            <w:tcW w:w="1350" w:type="dxa"/>
          </w:tcPr>
          <w:p w14:paraId="7DE2106A"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0.65</w:t>
            </w:r>
          </w:p>
        </w:tc>
        <w:tc>
          <w:tcPr>
            <w:tcW w:w="1260" w:type="dxa"/>
          </w:tcPr>
          <w:p w14:paraId="649CA7EB"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0.45</w:t>
            </w:r>
          </w:p>
        </w:tc>
        <w:tc>
          <w:tcPr>
            <w:tcW w:w="1260" w:type="dxa"/>
          </w:tcPr>
          <w:p w14:paraId="68E2D47C"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0.56</w:t>
            </w:r>
          </w:p>
        </w:tc>
        <w:tc>
          <w:tcPr>
            <w:tcW w:w="1080" w:type="dxa"/>
          </w:tcPr>
          <w:p w14:paraId="60FE8B63"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0.50</w:t>
            </w:r>
          </w:p>
        </w:tc>
        <w:tc>
          <w:tcPr>
            <w:tcW w:w="1116" w:type="dxa"/>
          </w:tcPr>
          <w:p w14:paraId="203635D9" w14:textId="77777777" w:rsidR="00046A4B" w:rsidRPr="00046A4B" w:rsidRDefault="00046A4B" w:rsidP="00F91971">
            <w:pPr>
              <w:spacing w:after="0" w:line="240" w:lineRule="auto"/>
              <w:rPr>
                <w:rFonts w:ascii="Arial" w:hAnsi="Arial" w:cs="Arial"/>
                <w:color w:val="000000"/>
                <w:sz w:val="20"/>
                <w:szCs w:val="20"/>
              </w:rPr>
            </w:pPr>
            <w:r w:rsidRPr="00046A4B">
              <w:rPr>
                <w:rFonts w:ascii="Arial" w:hAnsi="Arial" w:cs="Arial"/>
                <w:color w:val="000000"/>
                <w:sz w:val="20"/>
                <w:szCs w:val="20"/>
              </w:rPr>
              <w:t>0.17</w:t>
            </w:r>
          </w:p>
        </w:tc>
      </w:tr>
    </w:tbl>
    <w:p w14:paraId="107A4457" w14:textId="77777777" w:rsidR="00046A4B" w:rsidRPr="00046A4B" w:rsidRDefault="00046A4B" w:rsidP="00046A4B">
      <w:pPr>
        <w:spacing w:before="120" w:after="0"/>
        <w:rPr>
          <w:rFonts w:ascii="Arial" w:hAnsi="Arial" w:cs="Arial"/>
          <w:sz w:val="20"/>
          <w:szCs w:val="20"/>
        </w:rPr>
      </w:pPr>
      <w:r w:rsidRPr="00046A4B">
        <w:rPr>
          <w:rFonts w:ascii="Arial" w:hAnsi="Arial" w:cs="Arial"/>
          <w:sz w:val="20"/>
          <w:szCs w:val="20"/>
        </w:rPr>
        <w:t xml:space="preserve">* The 0.00 values of above table have been replaced with 0.25 for statistical analysis; </w:t>
      </w:r>
    </w:p>
    <w:p w14:paraId="3D9C88AF" w14:textId="77777777" w:rsidR="00046A4B" w:rsidRPr="00046A4B" w:rsidRDefault="00046A4B" w:rsidP="00046A4B">
      <w:pPr>
        <w:rPr>
          <w:rFonts w:ascii="Arial" w:hAnsi="Arial" w:cs="Arial"/>
          <w:sz w:val="20"/>
          <w:szCs w:val="20"/>
        </w:rPr>
      </w:pPr>
      <w:r w:rsidRPr="00046A4B">
        <w:rPr>
          <w:rFonts w:ascii="Arial" w:hAnsi="Arial" w:cs="Arial"/>
          <w:sz w:val="20"/>
          <w:szCs w:val="20"/>
        </w:rPr>
        <w:t xml:space="preserve">   MDLL = Mean diseased lesion length</w:t>
      </w:r>
    </w:p>
    <w:p w14:paraId="39347B90" w14:textId="77777777" w:rsidR="00765C1F" w:rsidRPr="00046A4B" w:rsidRDefault="00772E2A" w:rsidP="00765C1F">
      <w:pPr>
        <w:pStyle w:val="Normal1"/>
        <w:spacing w:line="360" w:lineRule="auto"/>
        <w:jc w:val="both"/>
        <w:rPr>
          <w:rFonts w:eastAsia="Times New Roman"/>
          <w:sz w:val="20"/>
          <w:szCs w:val="20"/>
        </w:rPr>
      </w:pPr>
      <w:r w:rsidRPr="00046A4B">
        <w:rPr>
          <w:sz w:val="20"/>
          <w:szCs w:val="20"/>
        </w:rPr>
        <w:t xml:space="preserve">Mean diseased lesion length (MDLL) on GKTC–4 leaves inoculated with nine </w:t>
      </w:r>
      <w:proofErr w:type="spellStart"/>
      <w:r w:rsidRPr="00046A4B">
        <w:rPr>
          <w:rStyle w:val="Emphasis"/>
          <w:sz w:val="20"/>
          <w:szCs w:val="20"/>
        </w:rPr>
        <w:t>Phoma</w:t>
      </w:r>
      <w:proofErr w:type="spellEnd"/>
      <w:r w:rsidRPr="00046A4B">
        <w:rPr>
          <w:rStyle w:val="Emphasis"/>
          <w:sz w:val="20"/>
          <w:szCs w:val="20"/>
        </w:rPr>
        <w:t xml:space="preserve"> </w:t>
      </w:r>
      <w:proofErr w:type="spellStart"/>
      <w:r w:rsidRPr="00046A4B">
        <w:rPr>
          <w:rStyle w:val="Emphasis"/>
          <w:sz w:val="20"/>
          <w:szCs w:val="20"/>
        </w:rPr>
        <w:t>polyanthis</w:t>
      </w:r>
      <w:proofErr w:type="spellEnd"/>
      <w:r w:rsidRPr="00046A4B">
        <w:rPr>
          <w:sz w:val="20"/>
          <w:szCs w:val="20"/>
        </w:rPr>
        <w:t xml:space="preserve"> isolates was recorded at 24-hour intervals up to 120 hours (</w:t>
      </w:r>
      <w:r w:rsidRPr="00046A4B">
        <w:rPr>
          <w:b/>
          <w:sz w:val="20"/>
          <w:szCs w:val="20"/>
        </w:rPr>
        <w:t xml:space="preserve">Table </w:t>
      </w:r>
      <w:r w:rsidR="00212EBE" w:rsidRPr="00046A4B">
        <w:rPr>
          <w:b/>
          <w:sz w:val="20"/>
          <w:szCs w:val="20"/>
        </w:rPr>
        <w:t>2</w:t>
      </w:r>
      <w:r w:rsidRPr="00046A4B">
        <w:rPr>
          <w:sz w:val="20"/>
          <w:szCs w:val="20"/>
        </w:rPr>
        <w:t xml:space="preserve">). At 24 hours, four isolates (Birbhum, </w:t>
      </w:r>
      <w:proofErr w:type="spellStart"/>
      <w:r w:rsidRPr="00046A4B">
        <w:rPr>
          <w:sz w:val="20"/>
          <w:szCs w:val="20"/>
        </w:rPr>
        <w:t>Purba</w:t>
      </w:r>
      <w:proofErr w:type="spellEnd"/>
      <w:r w:rsidRPr="00046A4B">
        <w:rPr>
          <w:sz w:val="20"/>
          <w:szCs w:val="20"/>
        </w:rPr>
        <w:t xml:space="preserve"> </w:t>
      </w:r>
      <w:proofErr w:type="spellStart"/>
      <w:r w:rsidRPr="00046A4B">
        <w:rPr>
          <w:sz w:val="20"/>
          <w:szCs w:val="20"/>
        </w:rPr>
        <w:t>Medinipur</w:t>
      </w:r>
      <w:proofErr w:type="spellEnd"/>
      <w:r w:rsidRPr="00046A4B">
        <w:rPr>
          <w:sz w:val="20"/>
          <w:szCs w:val="20"/>
        </w:rPr>
        <w:t xml:space="preserve">, </w:t>
      </w:r>
      <w:proofErr w:type="spellStart"/>
      <w:r w:rsidRPr="00046A4B">
        <w:rPr>
          <w:sz w:val="20"/>
          <w:szCs w:val="20"/>
        </w:rPr>
        <w:t>Coochbehar</w:t>
      </w:r>
      <w:proofErr w:type="spellEnd"/>
      <w:r w:rsidRPr="00046A4B">
        <w:rPr>
          <w:sz w:val="20"/>
          <w:szCs w:val="20"/>
        </w:rPr>
        <w:t xml:space="preserve">, Howrah) showed no lesion development, while the remaining five showed slight lesions. By 48 hours, Birbhum remained inactive, whereas the highest lesion length (7.5 cm) was observed in Hooghly, Burdwan, and Bankura isolates; the lowest (2.5 cm) in </w:t>
      </w:r>
      <w:proofErr w:type="spellStart"/>
      <w:r w:rsidRPr="00046A4B">
        <w:rPr>
          <w:sz w:val="20"/>
          <w:szCs w:val="20"/>
        </w:rPr>
        <w:t>Coochbehar</w:t>
      </w:r>
      <w:proofErr w:type="spellEnd"/>
      <w:r w:rsidRPr="00046A4B">
        <w:rPr>
          <w:sz w:val="20"/>
          <w:szCs w:val="20"/>
        </w:rPr>
        <w:t xml:space="preserve">. At 72 hours, Bankura (14.5 cm) and Burdwan (12.5 cm) had the highest MDLL, Birbhum the lowest (5.0 cm). At 96 hours, Bankura (20.5 cm) and Nadia (17.5 cm) were highest; Birbhum lowest (7.5 cm). At 120 hours, maximum MDLL was recorded for Bankura (29.5 cm) and Nadia (24.5 cm), moderate for Howrah (20.5 cm), 24 Parganas (S) (18.5 cm), Burdwan (16.5 cm), </w:t>
      </w:r>
      <w:proofErr w:type="spellStart"/>
      <w:r w:rsidRPr="00046A4B">
        <w:rPr>
          <w:sz w:val="20"/>
          <w:szCs w:val="20"/>
        </w:rPr>
        <w:t>Purba</w:t>
      </w:r>
      <w:proofErr w:type="spellEnd"/>
      <w:r w:rsidRPr="00046A4B">
        <w:rPr>
          <w:sz w:val="20"/>
          <w:szCs w:val="20"/>
        </w:rPr>
        <w:t xml:space="preserve"> </w:t>
      </w:r>
      <w:proofErr w:type="spellStart"/>
      <w:r w:rsidRPr="00046A4B">
        <w:rPr>
          <w:sz w:val="20"/>
          <w:szCs w:val="20"/>
        </w:rPr>
        <w:t>Medinipur</w:t>
      </w:r>
      <w:proofErr w:type="spellEnd"/>
      <w:r w:rsidRPr="00046A4B">
        <w:rPr>
          <w:sz w:val="20"/>
          <w:szCs w:val="20"/>
        </w:rPr>
        <w:t xml:space="preserve"> (16.0 cm), Hooghly (15.5 cm), and lowest for Birbhum (10.5 cm) and </w:t>
      </w:r>
      <w:proofErr w:type="spellStart"/>
      <w:r w:rsidRPr="00046A4B">
        <w:rPr>
          <w:sz w:val="20"/>
          <w:szCs w:val="20"/>
        </w:rPr>
        <w:t>Coochbehar</w:t>
      </w:r>
      <w:proofErr w:type="spellEnd"/>
      <w:r w:rsidRPr="00046A4B">
        <w:rPr>
          <w:sz w:val="20"/>
          <w:szCs w:val="20"/>
        </w:rPr>
        <w:t xml:space="preserve"> (11.5 cm). Based on these results, Bankura and Nadia isolates were classified as virulent, Howrah, 24 Parganas (S), Burdwan, </w:t>
      </w:r>
      <w:proofErr w:type="spellStart"/>
      <w:r w:rsidRPr="00046A4B">
        <w:rPr>
          <w:sz w:val="20"/>
          <w:szCs w:val="20"/>
        </w:rPr>
        <w:t>Purba</w:t>
      </w:r>
      <w:proofErr w:type="spellEnd"/>
      <w:r w:rsidRPr="00046A4B">
        <w:rPr>
          <w:sz w:val="20"/>
          <w:szCs w:val="20"/>
        </w:rPr>
        <w:t xml:space="preserve"> </w:t>
      </w:r>
      <w:proofErr w:type="spellStart"/>
      <w:r w:rsidRPr="00046A4B">
        <w:rPr>
          <w:sz w:val="20"/>
          <w:szCs w:val="20"/>
        </w:rPr>
        <w:t>Medinipur</w:t>
      </w:r>
      <w:proofErr w:type="spellEnd"/>
      <w:r w:rsidRPr="00046A4B">
        <w:rPr>
          <w:sz w:val="20"/>
          <w:szCs w:val="20"/>
        </w:rPr>
        <w:t xml:space="preserve">, and Hooghly as moderately virulent, and Birbhum and </w:t>
      </w:r>
      <w:proofErr w:type="spellStart"/>
      <w:r w:rsidRPr="00046A4B">
        <w:rPr>
          <w:sz w:val="20"/>
          <w:szCs w:val="20"/>
        </w:rPr>
        <w:t>Coochbehar</w:t>
      </w:r>
      <w:proofErr w:type="spellEnd"/>
      <w:r w:rsidRPr="00046A4B">
        <w:rPr>
          <w:sz w:val="20"/>
          <w:szCs w:val="20"/>
        </w:rPr>
        <w:t xml:space="preserve"> as less virulent</w:t>
      </w:r>
      <w:r w:rsidR="00765C1F" w:rsidRPr="00046A4B">
        <w:rPr>
          <w:rFonts w:eastAsia="Times New Roman"/>
          <w:sz w:val="20"/>
          <w:szCs w:val="20"/>
        </w:rPr>
        <w:t>.</w:t>
      </w:r>
    </w:p>
    <w:p w14:paraId="2D7522EC" w14:textId="77777777" w:rsidR="00765C1F" w:rsidRPr="00987F08" w:rsidRDefault="00B5028B" w:rsidP="00765C1F">
      <w:pPr>
        <w:pStyle w:val="Normal1"/>
        <w:spacing w:line="360" w:lineRule="auto"/>
        <w:jc w:val="both"/>
        <w:rPr>
          <w:rFonts w:eastAsia="Times New Roman"/>
          <w:b/>
          <w:szCs w:val="20"/>
        </w:rPr>
      </w:pPr>
      <w:r w:rsidRPr="00987F08">
        <w:rPr>
          <w:rFonts w:eastAsia="Times New Roman"/>
          <w:b/>
          <w:szCs w:val="20"/>
        </w:rPr>
        <w:t>3</w:t>
      </w:r>
      <w:r w:rsidR="00765C1F" w:rsidRPr="00987F08">
        <w:rPr>
          <w:rFonts w:eastAsia="Times New Roman"/>
          <w:b/>
          <w:szCs w:val="20"/>
        </w:rPr>
        <w:t>.</w:t>
      </w:r>
      <w:r w:rsidRPr="00987F08">
        <w:rPr>
          <w:rFonts w:eastAsia="Times New Roman"/>
          <w:b/>
          <w:szCs w:val="20"/>
        </w:rPr>
        <w:t xml:space="preserve"> </w:t>
      </w:r>
      <w:r w:rsidR="00765C1F" w:rsidRPr="00987F08">
        <w:rPr>
          <w:rFonts w:eastAsia="Times New Roman"/>
          <w:b/>
          <w:szCs w:val="20"/>
        </w:rPr>
        <w:t xml:space="preserve">3. Mean diseased lesion length increment on the leaves of GKTC – 4 </w:t>
      </w:r>
      <w:proofErr w:type="gramStart"/>
      <w:r w:rsidR="00765C1F" w:rsidRPr="00987F08">
        <w:rPr>
          <w:rFonts w:eastAsia="Times New Roman"/>
          <w:b/>
          <w:szCs w:val="20"/>
        </w:rPr>
        <w:t>cultivar</w:t>
      </w:r>
      <w:proofErr w:type="gramEnd"/>
      <w:r w:rsidR="00765C1F" w:rsidRPr="00987F08">
        <w:rPr>
          <w:rFonts w:eastAsia="Times New Roman"/>
          <w:b/>
          <w:szCs w:val="20"/>
        </w:rPr>
        <w:t xml:space="preserve"> caused by inoculation with nine </w:t>
      </w:r>
      <w:proofErr w:type="spellStart"/>
      <w:r w:rsidR="00765C1F" w:rsidRPr="00987F08">
        <w:rPr>
          <w:rFonts w:eastAsia="Times New Roman"/>
          <w:b/>
          <w:i/>
          <w:szCs w:val="20"/>
        </w:rPr>
        <w:t>Phoma</w:t>
      </w:r>
      <w:proofErr w:type="spellEnd"/>
      <w:r w:rsidR="00765C1F" w:rsidRPr="00987F08">
        <w:rPr>
          <w:rFonts w:eastAsia="Times New Roman"/>
          <w:b/>
          <w:i/>
          <w:szCs w:val="20"/>
        </w:rPr>
        <w:t xml:space="preserve"> </w:t>
      </w:r>
      <w:proofErr w:type="spellStart"/>
      <w:r w:rsidR="00765C1F" w:rsidRPr="00987F08">
        <w:rPr>
          <w:rFonts w:eastAsia="Times New Roman"/>
          <w:b/>
          <w:i/>
          <w:szCs w:val="20"/>
        </w:rPr>
        <w:t>polyanthis</w:t>
      </w:r>
      <w:proofErr w:type="spellEnd"/>
      <w:r w:rsidR="00765C1F" w:rsidRPr="00987F08">
        <w:rPr>
          <w:rFonts w:eastAsia="Times New Roman"/>
          <w:b/>
          <w:i/>
          <w:szCs w:val="20"/>
        </w:rPr>
        <w:t xml:space="preserve"> </w:t>
      </w:r>
      <w:r w:rsidR="00765C1F" w:rsidRPr="00987F08">
        <w:rPr>
          <w:rFonts w:eastAsia="Times New Roman"/>
          <w:b/>
          <w:szCs w:val="20"/>
        </w:rPr>
        <w:t>isolates and documented between two observations:</w:t>
      </w:r>
    </w:p>
    <w:p w14:paraId="01C988E3" w14:textId="77777777" w:rsidR="00765C1F" w:rsidRDefault="00B5028B" w:rsidP="00765C1F">
      <w:pPr>
        <w:pStyle w:val="Normal1"/>
        <w:spacing w:line="360" w:lineRule="auto"/>
        <w:jc w:val="both"/>
        <w:rPr>
          <w:sz w:val="20"/>
          <w:szCs w:val="20"/>
        </w:rPr>
      </w:pPr>
      <w:r w:rsidRPr="00046A4B">
        <w:rPr>
          <w:sz w:val="20"/>
          <w:szCs w:val="20"/>
        </w:rPr>
        <w:t xml:space="preserve">Mean diseased lesion length increment (LDLI) on GKTC–4 leaves inoculated with nine </w:t>
      </w:r>
      <w:proofErr w:type="spellStart"/>
      <w:r w:rsidRPr="00046A4B">
        <w:rPr>
          <w:rStyle w:val="Emphasis"/>
          <w:sz w:val="20"/>
          <w:szCs w:val="20"/>
        </w:rPr>
        <w:t>Phoma</w:t>
      </w:r>
      <w:proofErr w:type="spellEnd"/>
      <w:r w:rsidRPr="00046A4B">
        <w:rPr>
          <w:rStyle w:val="Emphasis"/>
          <w:sz w:val="20"/>
          <w:szCs w:val="20"/>
        </w:rPr>
        <w:t xml:space="preserve"> </w:t>
      </w:r>
      <w:proofErr w:type="spellStart"/>
      <w:r w:rsidRPr="00046A4B">
        <w:rPr>
          <w:rStyle w:val="Emphasis"/>
          <w:sz w:val="20"/>
          <w:szCs w:val="20"/>
        </w:rPr>
        <w:t>polyanthis</w:t>
      </w:r>
      <w:proofErr w:type="spellEnd"/>
      <w:r w:rsidRPr="00046A4B">
        <w:rPr>
          <w:sz w:val="20"/>
          <w:szCs w:val="20"/>
        </w:rPr>
        <w:t xml:space="preserve"> isolates was recorded between successive observations up to 120 hours (</w:t>
      </w:r>
      <w:r w:rsidRPr="00046A4B">
        <w:rPr>
          <w:b/>
          <w:sz w:val="20"/>
          <w:szCs w:val="20"/>
        </w:rPr>
        <w:t xml:space="preserve">Table </w:t>
      </w:r>
      <w:r w:rsidR="00212EBE" w:rsidRPr="00046A4B">
        <w:rPr>
          <w:b/>
          <w:sz w:val="20"/>
          <w:szCs w:val="20"/>
        </w:rPr>
        <w:t>3</w:t>
      </w:r>
      <w:r w:rsidRPr="00046A4B">
        <w:rPr>
          <w:sz w:val="20"/>
          <w:szCs w:val="20"/>
        </w:rPr>
        <w:t xml:space="preserve">). Between 24–48 hours, Birbhum showed no lesion development, while increments in other isolates ranged from 0.25–4.25 cm/24 h, highest in </w:t>
      </w:r>
      <w:proofErr w:type="spellStart"/>
      <w:r w:rsidRPr="00046A4B">
        <w:rPr>
          <w:sz w:val="20"/>
          <w:szCs w:val="20"/>
        </w:rPr>
        <w:t>Purba</w:t>
      </w:r>
      <w:proofErr w:type="spellEnd"/>
      <w:r w:rsidRPr="00046A4B">
        <w:rPr>
          <w:sz w:val="20"/>
          <w:szCs w:val="20"/>
        </w:rPr>
        <w:t xml:space="preserve"> </w:t>
      </w:r>
      <w:proofErr w:type="spellStart"/>
      <w:r w:rsidRPr="00046A4B">
        <w:rPr>
          <w:sz w:val="20"/>
          <w:szCs w:val="20"/>
        </w:rPr>
        <w:t>Medinipur</w:t>
      </w:r>
      <w:proofErr w:type="spellEnd"/>
      <w:r w:rsidRPr="00046A4B">
        <w:rPr>
          <w:sz w:val="20"/>
          <w:szCs w:val="20"/>
        </w:rPr>
        <w:t xml:space="preserve"> and lowest in Birbhum. Between 48–72 hours, LDLI varied from 2–7 cm/24 h, with Bankura highest (7 cm/24 h) and Hooghly lowest (2 cm/24 h)</w:t>
      </w:r>
      <w:r w:rsidR="00212EBE" w:rsidRPr="00046A4B">
        <w:rPr>
          <w:sz w:val="20"/>
          <w:szCs w:val="20"/>
        </w:rPr>
        <w:t>.</w:t>
      </w:r>
    </w:p>
    <w:p w14:paraId="2B951514" w14:textId="77777777" w:rsidR="00046A4B" w:rsidRPr="00046A4B" w:rsidRDefault="00046A4B" w:rsidP="00046A4B">
      <w:pPr>
        <w:ind w:right="-126"/>
        <w:jc w:val="both"/>
        <w:rPr>
          <w:rFonts w:ascii="Arial" w:hAnsi="Arial" w:cs="Arial"/>
          <w:b/>
          <w:bCs/>
          <w:sz w:val="20"/>
          <w:szCs w:val="20"/>
        </w:rPr>
      </w:pPr>
      <w:r w:rsidRPr="00046A4B">
        <w:rPr>
          <w:rFonts w:ascii="Arial" w:hAnsi="Arial" w:cs="Arial"/>
          <w:b/>
          <w:bCs/>
          <w:sz w:val="20"/>
          <w:szCs w:val="20"/>
        </w:rPr>
        <w:t xml:space="preserve">Table 3: Diseased lesion length increment (in cm/ 24 hours) caused by </w:t>
      </w:r>
      <w:proofErr w:type="spellStart"/>
      <w:r w:rsidRPr="00046A4B">
        <w:rPr>
          <w:rFonts w:ascii="Arial" w:hAnsi="Arial" w:cs="Arial"/>
          <w:b/>
          <w:bCs/>
          <w:i/>
          <w:sz w:val="20"/>
          <w:szCs w:val="20"/>
        </w:rPr>
        <w:t>Phoma</w:t>
      </w:r>
      <w:proofErr w:type="spellEnd"/>
      <w:r w:rsidRPr="00046A4B">
        <w:rPr>
          <w:rFonts w:ascii="Arial" w:hAnsi="Arial" w:cs="Arial"/>
          <w:b/>
          <w:bCs/>
          <w:i/>
          <w:sz w:val="20"/>
          <w:szCs w:val="20"/>
        </w:rPr>
        <w:t xml:space="preserve"> </w:t>
      </w:r>
      <w:proofErr w:type="spellStart"/>
      <w:r w:rsidRPr="00046A4B">
        <w:rPr>
          <w:rFonts w:ascii="Arial" w:hAnsi="Arial" w:cs="Arial"/>
          <w:b/>
          <w:bCs/>
          <w:i/>
          <w:sz w:val="20"/>
          <w:szCs w:val="20"/>
        </w:rPr>
        <w:t>polyanthis</w:t>
      </w:r>
      <w:proofErr w:type="spellEnd"/>
      <w:r w:rsidRPr="00046A4B">
        <w:rPr>
          <w:rFonts w:ascii="Arial" w:hAnsi="Arial" w:cs="Arial"/>
          <w:b/>
          <w:bCs/>
          <w:i/>
          <w:sz w:val="20"/>
          <w:szCs w:val="20"/>
        </w:rPr>
        <w:t xml:space="preserve"> </w:t>
      </w:r>
      <w:r w:rsidRPr="00046A4B">
        <w:rPr>
          <w:rFonts w:ascii="Arial" w:hAnsi="Arial" w:cs="Arial"/>
          <w:b/>
          <w:bCs/>
          <w:sz w:val="20"/>
          <w:szCs w:val="20"/>
        </w:rPr>
        <w:t xml:space="preserve">isolates on GKTC – 4 </w:t>
      </w:r>
      <w:proofErr w:type="gramStart"/>
      <w:r w:rsidRPr="00046A4B">
        <w:rPr>
          <w:rFonts w:ascii="Arial" w:hAnsi="Arial" w:cs="Arial"/>
          <w:b/>
          <w:bCs/>
          <w:sz w:val="20"/>
          <w:szCs w:val="20"/>
        </w:rPr>
        <w:t>cultivar</w:t>
      </w:r>
      <w:proofErr w:type="gramEnd"/>
      <w:r w:rsidRPr="00046A4B">
        <w:rPr>
          <w:rFonts w:ascii="Arial" w:hAnsi="Arial" w:cs="Arial"/>
          <w:b/>
          <w:bCs/>
          <w:sz w:val="20"/>
          <w:szCs w:val="20"/>
        </w:rPr>
        <w:t xml:space="preserve"> in between two observations under laboratory condition.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809"/>
        <w:gridCol w:w="2279"/>
        <w:gridCol w:w="1497"/>
        <w:gridCol w:w="1580"/>
        <w:gridCol w:w="1580"/>
        <w:gridCol w:w="1497"/>
      </w:tblGrid>
      <w:tr w:rsidR="00046A4B" w:rsidRPr="00046A4B" w14:paraId="408EDF7E" w14:textId="77777777" w:rsidTr="00F91971">
        <w:tc>
          <w:tcPr>
            <w:tcW w:w="809" w:type="dxa"/>
          </w:tcPr>
          <w:p w14:paraId="115664FB"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Sl. No.</w:t>
            </w:r>
          </w:p>
        </w:tc>
        <w:tc>
          <w:tcPr>
            <w:tcW w:w="2279" w:type="dxa"/>
          </w:tcPr>
          <w:p w14:paraId="3A6CAAF4"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Name of the isolates</w:t>
            </w:r>
          </w:p>
        </w:tc>
        <w:tc>
          <w:tcPr>
            <w:tcW w:w="1497" w:type="dxa"/>
          </w:tcPr>
          <w:p w14:paraId="75E72E33"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LDLI between 24 - 48 hours</w:t>
            </w:r>
          </w:p>
        </w:tc>
        <w:tc>
          <w:tcPr>
            <w:tcW w:w="1580" w:type="dxa"/>
          </w:tcPr>
          <w:p w14:paraId="40E45962"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 xml:space="preserve">LDLI </w:t>
            </w:r>
            <w:proofErr w:type="gramStart"/>
            <w:r w:rsidRPr="00046A4B">
              <w:rPr>
                <w:rFonts w:ascii="Arial" w:hAnsi="Arial" w:cs="Arial"/>
                <w:b/>
                <w:sz w:val="20"/>
                <w:szCs w:val="20"/>
              </w:rPr>
              <w:t>between  48</w:t>
            </w:r>
            <w:proofErr w:type="gramEnd"/>
            <w:r w:rsidRPr="00046A4B">
              <w:rPr>
                <w:rFonts w:ascii="Arial" w:hAnsi="Arial" w:cs="Arial"/>
                <w:b/>
                <w:sz w:val="20"/>
                <w:szCs w:val="20"/>
              </w:rPr>
              <w:t xml:space="preserve"> – 72 hours</w:t>
            </w:r>
          </w:p>
        </w:tc>
        <w:tc>
          <w:tcPr>
            <w:tcW w:w="1580" w:type="dxa"/>
          </w:tcPr>
          <w:p w14:paraId="1345CC03"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LDLI between   72 - 96 hours</w:t>
            </w:r>
          </w:p>
        </w:tc>
        <w:tc>
          <w:tcPr>
            <w:tcW w:w="1497" w:type="dxa"/>
          </w:tcPr>
          <w:p w14:paraId="77B04689"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 xml:space="preserve">LDLI </w:t>
            </w:r>
            <w:proofErr w:type="gramStart"/>
            <w:r w:rsidRPr="00046A4B">
              <w:rPr>
                <w:rFonts w:ascii="Arial" w:hAnsi="Arial" w:cs="Arial"/>
                <w:b/>
                <w:sz w:val="20"/>
                <w:szCs w:val="20"/>
              </w:rPr>
              <w:t>between  96</w:t>
            </w:r>
            <w:proofErr w:type="gramEnd"/>
            <w:r w:rsidRPr="00046A4B">
              <w:rPr>
                <w:rFonts w:ascii="Arial" w:hAnsi="Arial" w:cs="Arial"/>
                <w:b/>
                <w:sz w:val="20"/>
                <w:szCs w:val="20"/>
              </w:rPr>
              <w:t xml:space="preserve"> - 120 hours</w:t>
            </w:r>
          </w:p>
        </w:tc>
      </w:tr>
      <w:tr w:rsidR="00046A4B" w:rsidRPr="00046A4B" w14:paraId="25C84D0F" w14:textId="77777777" w:rsidTr="00F91971">
        <w:tc>
          <w:tcPr>
            <w:tcW w:w="809" w:type="dxa"/>
          </w:tcPr>
          <w:p w14:paraId="4420CA00"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1.</w:t>
            </w:r>
          </w:p>
        </w:tc>
        <w:tc>
          <w:tcPr>
            <w:tcW w:w="2279" w:type="dxa"/>
          </w:tcPr>
          <w:p w14:paraId="38F24B0D"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Birbhum</w:t>
            </w:r>
          </w:p>
        </w:tc>
        <w:tc>
          <w:tcPr>
            <w:tcW w:w="1497" w:type="dxa"/>
          </w:tcPr>
          <w:p w14:paraId="4235FE86"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0.25*</w:t>
            </w:r>
          </w:p>
        </w:tc>
        <w:tc>
          <w:tcPr>
            <w:tcW w:w="1580" w:type="dxa"/>
          </w:tcPr>
          <w:p w14:paraId="2C723B7D"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4.75</w:t>
            </w:r>
          </w:p>
        </w:tc>
        <w:tc>
          <w:tcPr>
            <w:tcW w:w="1580" w:type="dxa"/>
          </w:tcPr>
          <w:p w14:paraId="3560F7F6"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2.50</w:t>
            </w:r>
          </w:p>
        </w:tc>
        <w:tc>
          <w:tcPr>
            <w:tcW w:w="1497" w:type="dxa"/>
          </w:tcPr>
          <w:p w14:paraId="64157221"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r>
      <w:tr w:rsidR="00046A4B" w:rsidRPr="00046A4B" w14:paraId="7EF46A08" w14:textId="77777777" w:rsidTr="00F91971">
        <w:tc>
          <w:tcPr>
            <w:tcW w:w="809" w:type="dxa"/>
          </w:tcPr>
          <w:p w14:paraId="1040EF9A"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lastRenderedPageBreak/>
              <w:t>2.</w:t>
            </w:r>
          </w:p>
        </w:tc>
        <w:tc>
          <w:tcPr>
            <w:tcW w:w="2279" w:type="dxa"/>
          </w:tcPr>
          <w:p w14:paraId="26348E6F"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Hooghly</w:t>
            </w:r>
          </w:p>
        </w:tc>
        <w:tc>
          <w:tcPr>
            <w:tcW w:w="1497" w:type="dxa"/>
          </w:tcPr>
          <w:p w14:paraId="49490799"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c>
          <w:tcPr>
            <w:tcW w:w="1580" w:type="dxa"/>
          </w:tcPr>
          <w:p w14:paraId="11B5592B"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2.00</w:t>
            </w:r>
          </w:p>
        </w:tc>
        <w:tc>
          <w:tcPr>
            <w:tcW w:w="1580" w:type="dxa"/>
          </w:tcPr>
          <w:p w14:paraId="752A7F4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2.00</w:t>
            </w:r>
          </w:p>
        </w:tc>
        <w:tc>
          <w:tcPr>
            <w:tcW w:w="1497" w:type="dxa"/>
          </w:tcPr>
          <w:p w14:paraId="7A6139D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4.00</w:t>
            </w:r>
          </w:p>
        </w:tc>
      </w:tr>
      <w:tr w:rsidR="00046A4B" w:rsidRPr="00046A4B" w14:paraId="309286B2" w14:textId="77777777" w:rsidTr="00F91971">
        <w:tc>
          <w:tcPr>
            <w:tcW w:w="809" w:type="dxa"/>
          </w:tcPr>
          <w:p w14:paraId="0194A407"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3.</w:t>
            </w:r>
          </w:p>
        </w:tc>
        <w:tc>
          <w:tcPr>
            <w:tcW w:w="2279" w:type="dxa"/>
          </w:tcPr>
          <w:p w14:paraId="3E656268"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Burdwan</w:t>
            </w:r>
          </w:p>
        </w:tc>
        <w:tc>
          <w:tcPr>
            <w:tcW w:w="1497" w:type="dxa"/>
          </w:tcPr>
          <w:p w14:paraId="527CFCA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2.50</w:t>
            </w:r>
          </w:p>
        </w:tc>
        <w:tc>
          <w:tcPr>
            <w:tcW w:w="1580" w:type="dxa"/>
          </w:tcPr>
          <w:p w14:paraId="1FF5AC46"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5.00</w:t>
            </w:r>
          </w:p>
        </w:tc>
        <w:tc>
          <w:tcPr>
            <w:tcW w:w="1580" w:type="dxa"/>
          </w:tcPr>
          <w:p w14:paraId="2EDEBAD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1.50</w:t>
            </w:r>
          </w:p>
        </w:tc>
        <w:tc>
          <w:tcPr>
            <w:tcW w:w="1497" w:type="dxa"/>
          </w:tcPr>
          <w:p w14:paraId="31B2B9E6"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2.50</w:t>
            </w:r>
          </w:p>
        </w:tc>
      </w:tr>
      <w:tr w:rsidR="00046A4B" w:rsidRPr="00046A4B" w14:paraId="12693951" w14:textId="77777777" w:rsidTr="00F91971">
        <w:tc>
          <w:tcPr>
            <w:tcW w:w="809" w:type="dxa"/>
          </w:tcPr>
          <w:p w14:paraId="004621DA"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4.</w:t>
            </w:r>
          </w:p>
        </w:tc>
        <w:tc>
          <w:tcPr>
            <w:tcW w:w="2279" w:type="dxa"/>
          </w:tcPr>
          <w:p w14:paraId="1D8D4ABD" w14:textId="77777777" w:rsidR="00046A4B" w:rsidRPr="00046A4B" w:rsidRDefault="00046A4B" w:rsidP="00F91971">
            <w:pPr>
              <w:spacing w:after="0" w:line="360" w:lineRule="auto"/>
              <w:rPr>
                <w:rFonts w:ascii="Arial" w:hAnsi="Arial" w:cs="Arial"/>
                <w:b/>
                <w:color w:val="000000"/>
                <w:sz w:val="20"/>
                <w:szCs w:val="20"/>
              </w:rPr>
            </w:pPr>
            <w:proofErr w:type="spellStart"/>
            <w:r w:rsidRPr="00046A4B">
              <w:rPr>
                <w:rFonts w:ascii="Arial" w:hAnsi="Arial" w:cs="Arial"/>
                <w:b/>
                <w:color w:val="000000"/>
                <w:sz w:val="20"/>
                <w:szCs w:val="20"/>
              </w:rPr>
              <w:t>Purba</w:t>
            </w:r>
            <w:proofErr w:type="spellEnd"/>
            <w:r w:rsidRPr="00046A4B">
              <w:rPr>
                <w:rFonts w:ascii="Arial" w:hAnsi="Arial" w:cs="Arial"/>
                <w:b/>
                <w:color w:val="000000"/>
                <w:sz w:val="20"/>
                <w:szCs w:val="20"/>
              </w:rPr>
              <w:t xml:space="preserve"> </w:t>
            </w:r>
            <w:proofErr w:type="spellStart"/>
            <w:r w:rsidRPr="00046A4B">
              <w:rPr>
                <w:rFonts w:ascii="Arial" w:hAnsi="Arial" w:cs="Arial"/>
                <w:b/>
                <w:color w:val="000000"/>
                <w:sz w:val="20"/>
                <w:szCs w:val="20"/>
              </w:rPr>
              <w:t>Medinipur</w:t>
            </w:r>
            <w:proofErr w:type="spellEnd"/>
          </w:p>
        </w:tc>
        <w:tc>
          <w:tcPr>
            <w:tcW w:w="1497" w:type="dxa"/>
          </w:tcPr>
          <w:p w14:paraId="50790462"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4.25</w:t>
            </w:r>
          </w:p>
        </w:tc>
        <w:tc>
          <w:tcPr>
            <w:tcW w:w="1580" w:type="dxa"/>
          </w:tcPr>
          <w:p w14:paraId="4DAA160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c>
          <w:tcPr>
            <w:tcW w:w="1580" w:type="dxa"/>
          </w:tcPr>
          <w:p w14:paraId="111B7F4F"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c>
          <w:tcPr>
            <w:tcW w:w="1497" w:type="dxa"/>
          </w:tcPr>
          <w:p w14:paraId="66EFA3BB"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5.50</w:t>
            </w:r>
          </w:p>
        </w:tc>
      </w:tr>
      <w:tr w:rsidR="00046A4B" w:rsidRPr="00046A4B" w14:paraId="0ED08B34" w14:textId="77777777" w:rsidTr="00F91971">
        <w:tc>
          <w:tcPr>
            <w:tcW w:w="809" w:type="dxa"/>
          </w:tcPr>
          <w:p w14:paraId="69C89FFB"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5.</w:t>
            </w:r>
          </w:p>
        </w:tc>
        <w:tc>
          <w:tcPr>
            <w:tcW w:w="2279" w:type="dxa"/>
          </w:tcPr>
          <w:p w14:paraId="50AE4BEE" w14:textId="77777777" w:rsidR="00046A4B" w:rsidRPr="00046A4B" w:rsidRDefault="00046A4B" w:rsidP="00F91971">
            <w:pPr>
              <w:spacing w:after="0" w:line="360" w:lineRule="auto"/>
              <w:rPr>
                <w:rFonts w:ascii="Arial" w:hAnsi="Arial" w:cs="Arial"/>
                <w:b/>
                <w:color w:val="000000"/>
                <w:sz w:val="20"/>
                <w:szCs w:val="20"/>
              </w:rPr>
            </w:pPr>
            <w:proofErr w:type="spellStart"/>
            <w:r w:rsidRPr="00046A4B">
              <w:rPr>
                <w:rFonts w:ascii="Arial" w:hAnsi="Arial" w:cs="Arial"/>
                <w:b/>
                <w:color w:val="000000"/>
                <w:sz w:val="20"/>
                <w:szCs w:val="20"/>
              </w:rPr>
              <w:t>Coochbehar</w:t>
            </w:r>
            <w:proofErr w:type="spellEnd"/>
          </w:p>
        </w:tc>
        <w:tc>
          <w:tcPr>
            <w:tcW w:w="1497" w:type="dxa"/>
          </w:tcPr>
          <w:p w14:paraId="49A3CAF1"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2.25</w:t>
            </w:r>
          </w:p>
        </w:tc>
        <w:tc>
          <w:tcPr>
            <w:tcW w:w="1580" w:type="dxa"/>
          </w:tcPr>
          <w:p w14:paraId="2BAD657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c>
          <w:tcPr>
            <w:tcW w:w="1580" w:type="dxa"/>
          </w:tcPr>
          <w:p w14:paraId="3619EE2E"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c>
          <w:tcPr>
            <w:tcW w:w="1497" w:type="dxa"/>
          </w:tcPr>
          <w:p w14:paraId="1BD328C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r>
      <w:tr w:rsidR="00046A4B" w:rsidRPr="00046A4B" w14:paraId="0FE2B237" w14:textId="77777777" w:rsidTr="00F91971">
        <w:tc>
          <w:tcPr>
            <w:tcW w:w="809" w:type="dxa"/>
          </w:tcPr>
          <w:p w14:paraId="7178F7BE"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6.</w:t>
            </w:r>
          </w:p>
        </w:tc>
        <w:tc>
          <w:tcPr>
            <w:tcW w:w="2279" w:type="dxa"/>
          </w:tcPr>
          <w:p w14:paraId="48C53A85"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Howrah</w:t>
            </w:r>
          </w:p>
        </w:tc>
        <w:tc>
          <w:tcPr>
            <w:tcW w:w="1497" w:type="dxa"/>
          </w:tcPr>
          <w:p w14:paraId="5162DBF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3.25</w:t>
            </w:r>
          </w:p>
        </w:tc>
        <w:tc>
          <w:tcPr>
            <w:tcW w:w="1580" w:type="dxa"/>
          </w:tcPr>
          <w:p w14:paraId="589CFF19"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3.00</w:t>
            </w:r>
          </w:p>
        </w:tc>
        <w:tc>
          <w:tcPr>
            <w:tcW w:w="1580" w:type="dxa"/>
          </w:tcPr>
          <w:p w14:paraId="19F34BA9"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8.00</w:t>
            </w:r>
          </w:p>
        </w:tc>
        <w:tc>
          <w:tcPr>
            <w:tcW w:w="1497" w:type="dxa"/>
          </w:tcPr>
          <w:p w14:paraId="25AA4340"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6.00</w:t>
            </w:r>
          </w:p>
        </w:tc>
      </w:tr>
      <w:tr w:rsidR="00046A4B" w:rsidRPr="00046A4B" w14:paraId="3FEE327D" w14:textId="77777777" w:rsidTr="00F91971">
        <w:tc>
          <w:tcPr>
            <w:tcW w:w="809" w:type="dxa"/>
          </w:tcPr>
          <w:p w14:paraId="06DB91CB"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7.</w:t>
            </w:r>
          </w:p>
        </w:tc>
        <w:tc>
          <w:tcPr>
            <w:tcW w:w="2279" w:type="dxa"/>
          </w:tcPr>
          <w:p w14:paraId="3074D9DC"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Bankura</w:t>
            </w:r>
          </w:p>
        </w:tc>
        <w:tc>
          <w:tcPr>
            <w:tcW w:w="1497" w:type="dxa"/>
          </w:tcPr>
          <w:p w14:paraId="0DD6A0D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3.50</w:t>
            </w:r>
          </w:p>
        </w:tc>
        <w:tc>
          <w:tcPr>
            <w:tcW w:w="1580" w:type="dxa"/>
          </w:tcPr>
          <w:p w14:paraId="7DE542B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7.00</w:t>
            </w:r>
          </w:p>
        </w:tc>
        <w:tc>
          <w:tcPr>
            <w:tcW w:w="1580" w:type="dxa"/>
          </w:tcPr>
          <w:p w14:paraId="5F3DC59E"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6.00</w:t>
            </w:r>
          </w:p>
        </w:tc>
        <w:tc>
          <w:tcPr>
            <w:tcW w:w="1497" w:type="dxa"/>
          </w:tcPr>
          <w:p w14:paraId="5FD3158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9.00</w:t>
            </w:r>
          </w:p>
        </w:tc>
      </w:tr>
      <w:tr w:rsidR="00046A4B" w:rsidRPr="00046A4B" w14:paraId="34B17A58" w14:textId="77777777" w:rsidTr="00F91971">
        <w:tc>
          <w:tcPr>
            <w:tcW w:w="809" w:type="dxa"/>
          </w:tcPr>
          <w:p w14:paraId="3013B9B5"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8.</w:t>
            </w:r>
          </w:p>
        </w:tc>
        <w:tc>
          <w:tcPr>
            <w:tcW w:w="2279" w:type="dxa"/>
          </w:tcPr>
          <w:p w14:paraId="7FC8157D"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color w:val="000000"/>
                <w:sz w:val="20"/>
                <w:szCs w:val="20"/>
              </w:rPr>
              <w:t>24 Parganas (S)</w:t>
            </w:r>
          </w:p>
        </w:tc>
        <w:tc>
          <w:tcPr>
            <w:tcW w:w="1497" w:type="dxa"/>
          </w:tcPr>
          <w:p w14:paraId="39ED5A37"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2.00</w:t>
            </w:r>
          </w:p>
        </w:tc>
        <w:tc>
          <w:tcPr>
            <w:tcW w:w="1580" w:type="dxa"/>
          </w:tcPr>
          <w:p w14:paraId="61AAC8EB"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4.00</w:t>
            </w:r>
          </w:p>
        </w:tc>
        <w:tc>
          <w:tcPr>
            <w:tcW w:w="1580" w:type="dxa"/>
          </w:tcPr>
          <w:p w14:paraId="6FEAD08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2.00</w:t>
            </w:r>
          </w:p>
        </w:tc>
        <w:tc>
          <w:tcPr>
            <w:tcW w:w="1497" w:type="dxa"/>
          </w:tcPr>
          <w:p w14:paraId="1E4E1612"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6.00</w:t>
            </w:r>
          </w:p>
        </w:tc>
      </w:tr>
      <w:tr w:rsidR="00046A4B" w:rsidRPr="00046A4B" w14:paraId="7099E8D1" w14:textId="77777777" w:rsidTr="00F91971">
        <w:tc>
          <w:tcPr>
            <w:tcW w:w="809" w:type="dxa"/>
          </w:tcPr>
          <w:p w14:paraId="17AF5897" w14:textId="77777777" w:rsidR="00046A4B" w:rsidRPr="00046A4B" w:rsidRDefault="00046A4B" w:rsidP="00F91971">
            <w:pPr>
              <w:spacing w:after="0" w:line="360" w:lineRule="auto"/>
              <w:rPr>
                <w:rFonts w:ascii="Arial" w:hAnsi="Arial" w:cs="Arial"/>
                <w:b/>
                <w:bCs/>
                <w:sz w:val="20"/>
                <w:szCs w:val="20"/>
              </w:rPr>
            </w:pPr>
            <w:r w:rsidRPr="00046A4B">
              <w:rPr>
                <w:rFonts w:ascii="Arial" w:hAnsi="Arial" w:cs="Arial"/>
                <w:b/>
                <w:bCs/>
                <w:sz w:val="20"/>
                <w:szCs w:val="20"/>
              </w:rPr>
              <w:t>9.</w:t>
            </w:r>
          </w:p>
        </w:tc>
        <w:tc>
          <w:tcPr>
            <w:tcW w:w="2279" w:type="dxa"/>
          </w:tcPr>
          <w:p w14:paraId="3CE64B6F" w14:textId="77777777" w:rsidR="00046A4B" w:rsidRPr="00046A4B" w:rsidRDefault="00046A4B" w:rsidP="00F91971">
            <w:pPr>
              <w:spacing w:after="0" w:line="360" w:lineRule="auto"/>
              <w:rPr>
                <w:rFonts w:ascii="Arial" w:hAnsi="Arial" w:cs="Arial"/>
                <w:b/>
                <w:color w:val="000000"/>
                <w:sz w:val="20"/>
                <w:szCs w:val="20"/>
              </w:rPr>
            </w:pPr>
            <w:r w:rsidRPr="00046A4B">
              <w:rPr>
                <w:rFonts w:ascii="Arial" w:hAnsi="Arial" w:cs="Arial"/>
                <w:b/>
                <w:color w:val="000000"/>
                <w:sz w:val="20"/>
                <w:szCs w:val="20"/>
              </w:rPr>
              <w:t>Nadia</w:t>
            </w:r>
          </w:p>
        </w:tc>
        <w:tc>
          <w:tcPr>
            <w:tcW w:w="1497" w:type="dxa"/>
          </w:tcPr>
          <w:p w14:paraId="69E8AC1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0.50</w:t>
            </w:r>
          </w:p>
        </w:tc>
        <w:tc>
          <w:tcPr>
            <w:tcW w:w="1580" w:type="dxa"/>
          </w:tcPr>
          <w:p w14:paraId="1E1F45ED"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5.00</w:t>
            </w:r>
          </w:p>
        </w:tc>
        <w:tc>
          <w:tcPr>
            <w:tcW w:w="1580" w:type="dxa"/>
          </w:tcPr>
          <w:p w14:paraId="30CA5ED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7.00</w:t>
            </w:r>
          </w:p>
        </w:tc>
        <w:tc>
          <w:tcPr>
            <w:tcW w:w="1497" w:type="dxa"/>
          </w:tcPr>
          <w:p w14:paraId="5EA4BAAA"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7.00</w:t>
            </w:r>
          </w:p>
        </w:tc>
      </w:tr>
      <w:tr w:rsidR="00046A4B" w:rsidRPr="00046A4B" w14:paraId="45F2888E" w14:textId="77777777" w:rsidTr="00F91971">
        <w:tc>
          <w:tcPr>
            <w:tcW w:w="809" w:type="dxa"/>
          </w:tcPr>
          <w:p w14:paraId="5B858AB1" w14:textId="77777777" w:rsidR="00046A4B" w:rsidRPr="00046A4B" w:rsidRDefault="00046A4B" w:rsidP="00F91971">
            <w:pPr>
              <w:spacing w:after="0" w:line="360" w:lineRule="auto"/>
              <w:rPr>
                <w:rFonts w:ascii="Arial" w:hAnsi="Arial" w:cs="Arial"/>
                <w:b/>
                <w:bCs/>
                <w:sz w:val="20"/>
                <w:szCs w:val="20"/>
              </w:rPr>
            </w:pPr>
          </w:p>
        </w:tc>
        <w:tc>
          <w:tcPr>
            <w:tcW w:w="2279" w:type="dxa"/>
          </w:tcPr>
          <w:p w14:paraId="2D269061" w14:textId="77777777" w:rsidR="00046A4B" w:rsidRPr="00046A4B" w:rsidRDefault="00046A4B" w:rsidP="00F91971">
            <w:pPr>
              <w:spacing w:after="0" w:line="360" w:lineRule="auto"/>
              <w:rPr>
                <w:rFonts w:ascii="Arial" w:hAnsi="Arial" w:cs="Arial"/>
                <w:b/>
                <w:color w:val="000000"/>
                <w:sz w:val="20"/>
                <w:szCs w:val="20"/>
              </w:rPr>
            </w:pPr>
          </w:p>
        </w:tc>
        <w:tc>
          <w:tcPr>
            <w:tcW w:w="1497" w:type="dxa"/>
          </w:tcPr>
          <w:p w14:paraId="3B7D982E" w14:textId="77777777" w:rsidR="00046A4B" w:rsidRPr="00046A4B" w:rsidRDefault="00046A4B" w:rsidP="00F91971">
            <w:pPr>
              <w:spacing w:after="0" w:line="360" w:lineRule="auto"/>
              <w:jc w:val="center"/>
              <w:rPr>
                <w:rFonts w:ascii="Arial" w:hAnsi="Arial" w:cs="Arial"/>
                <w:color w:val="000000"/>
                <w:sz w:val="20"/>
                <w:szCs w:val="20"/>
              </w:rPr>
            </w:pPr>
          </w:p>
        </w:tc>
        <w:tc>
          <w:tcPr>
            <w:tcW w:w="1580" w:type="dxa"/>
          </w:tcPr>
          <w:p w14:paraId="5C43E65D" w14:textId="77777777" w:rsidR="00046A4B" w:rsidRPr="00046A4B" w:rsidRDefault="00046A4B" w:rsidP="00F91971">
            <w:pPr>
              <w:spacing w:after="0" w:line="360" w:lineRule="auto"/>
              <w:jc w:val="center"/>
              <w:rPr>
                <w:rFonts w:ascii="Arial" w:hAnsi="Arial" w:cs="Arial"/>
                <w:color w:val="000000"/>
                <w:sz w:val="20"/>
                <w:szCs w:val="20"/>
              </w:rPr>
            </w:pPr>
          </w:p>
        </w:tc>
        <w:tc>
          <w:tcPr>
            <w:tcW w:w="1580" w:type="dxa"/>
          </w:tcPr>
          <w:p w14:paraId="33E96CD4" w14:textId="77777777" w:rsidR="00046A4B" w:rsidRPr="00046A4B" w:rsidRDefault="00046A4B" w:rsidP="00F91971">
            <w:pPr>
              <w:spacing w:after="0" w:line="360" w:lineRule="auto"/>
              <w:jc w:val="center"/>
              <w:rPr>
                <w:rFonts w:ascii="Arial" w:hAnsi="Arial" w:cs="Arial"/>
                <w:color w:val="000000"/>
                <w:sz w:val="20"/>
                <w:szCs w:val="20"/>
              </w:rPr>
            </w:pPr>
          </w:p>
        </w:tc>
        <w:tc>
          <w:tcPr>
            <w:tcW w:w="1497" w:type="dxa"/>
          </w:tcPr>
          <w:p w14:paraId="1D00E233" w14:textId="77777777" w:rsidR="00046A4B" w:rsidRPr="00046A4B" w:rsidRDefault="00046A4B" w:rsidP="00F91971">
            <w:pPr>
              <w:spacing w:after="0" w:line="360" w:lineRule="auto"/>
              <w:jc w:val="center"/>
              <w:rPr>
                <w:rFonts w:ascii="Arial" w:hAnsi="Arial" w:cs="Arial"/>
                <w:color w:val="000000"/>
                <w:sz w:val="20"/>
                <w:szCs w:val="20"/>
              </w:rPr>
            </w:pPr>
          </w:p>
        </w:tc>
      </w:tr>
      <w:tr w:rsidR="00046A4B" w:rsidRPr="00046A4B" w14:paraId="57F724A1" w14:textId="77777777" w:rsidTr="00F91971">
        <w:tc>
          <w:tcPr>
            <w:tcW w:w="809" w:type="dxa"/>
          </w:tcPr>
          <w:p w14:paraId="046D9B1D" w14:textId="77777777" w:rsidR="00046A4B" w:rsidRPr="00046A4B" w:rsidRDefault="00046A4B" w:rsidP="00F91971">
            <w:pPr>
              <w:spacing w:after="0" w:line="360" w:lineRule="auto"/>
              <w:rPr>
                <w:rFonts w:ascii="Arial" w:hAnsi="Arial" w:cs="Arial"/>
                <w:b/>
                <w:sz w:val="20"/>
                <w:szCs w:val="20"/>
              </w:rPr>
            </w:pPr>
          </w:p>
        </w:tc>
        <w:tc>
          <w:tcPr>
            <w:tcW w:w="2279" w:type="dxa"/>
          </w:tcPr>
          <w:p w14:paraId="7BE44DBF" w14:textId="77777777" w:rsidR="00046A4B" w:rsidRPr="00046A4B" w:rsidRDefault="00046A4B" w:rsidP="00F91971">
            <w:pPr>
              <w:spacing w:after="0" w:line="360" w:lineRule="auto"/>
              <w:rPr>
                <w:rFonts w:ascii="Arial" w:hAnsi="Arial" w:cs="Arial"/>
                <w:b/>
                <w:sz w:val="20"/>
                <w:szCs w:val="20"/>
              </w:rPr>
            </w:pPr>
            <w:proofErr w:type="spellStart"/>
            <w:r w:rsidRPr="00046A4B">
              <w:rPr>
                <w:rFonts w:ascii="Arial" w:hAnsi="Arial" w:cs="Arial"/>
                <w:b/>
                <w:sz w:val="20"/>
                <w:szCs w:val="20"/>
              </w:rPr>
              <w:t>SEm</w:t>
            </w:r>
            <w:proofErr w:type="spellEnd"/>
            <w:r w:rsidRPr="00046A4B">
              <w:rPr>
                <w:rFonts w:ascii="Arial" w:hAnsi="Arial" w:cs="Arial"/>
                <w:b/>
                <w:sz w:val="20"/>
                <w:szCs w:val="20"/>
              </w:rPr>
              <w:t xml:space="preserve"> ±</w:t>
            </w:r>
          </w:p>
        </w:tc>
        <w:tc>
          <w:tcPr>
            <w:tcW w:w="1497" w:type="dxa"/>
          </w:tcPr>
          <w:p w14:paraId="00878AA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0.12</w:t>
            </w:r>
          </w:p>
        </w:tc>
        <w:tc>
          <w:tcPr>
            <w:tcW w:w="1580" w:type="dxa"/>
          </w:tcPr>
          <w:p w14:paraId="6ADF02A8"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0.31</w:t>
            </w:r>
          </w:p>
        </w:tc>
        <w:tc>
          <w:tcPr>
            <w:tcW w:w="1580" w:type="dxa"/>
          </w:tcPr>
          <w:p w14:paraId="0875C6A5"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0.35</w:t>
            </w:r>
          </w:p>
        </w:tc>
        <w:tc>
          <w:tcPr>
            <w:tcW w:w="1497" w:type="dxa"/>
          </w:tcPr>
          <w:p w14:paraId="29525E4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0.23</w:t>
            </w:r>
          </w:p>
        </w:tc>
      </w:tr>
      <w:tr w:rsidR="00046A4B" w:rsidRPr="00046A4B" w14:paraId="42F5A709" w14:textId="77777777" w:rsidTr="00F91971">
        <w:tc>
          <w:tcPr>
            <w:tcW w:w="809" w:type="dxa"/>
          </w:tcPr>
          <w:p w14:paraId="3F450ABB" w14:textId="77777777" w:rsidR="00046A4B" w:rsidRPr="00046A4B" w:rsidRDefault="00046A4B" w:rsidP="00F91971">
            <w:pPr>
              <w:spacing w:after="0" w:line="360" w:lineRule="auto"/>
              <w:rPr>
                <w:rFonts w:ascii="Arial" w:hAnsi="Arial" w:cs="Arial"/>
                <w:b/>
                <w:sz w:val="20"/>
                <w:szCs w:val="20"/>
              </w:rPr>
            </w:pPr>
          </w:p>
        </w:tc>
        <w:tc>
          <w:tcPr>
            <w:tcW w:w="2279" w:type="dxa"/>
          </w:tcPr>
          <w:p w14:paraId="56B98465" w14:textId="77777777" w:rsidR="00046A4B" w:rsidRPr="00046A4B" w:rsidRDefault="00046A4B" w:rsidP="00F91971">
            <w:pPr>
              <w:spacing w:after="0" w:line="360" w:lineRule="auto"/>
              <w:rPr>
                <w:rFonts w:ascii="Arial" w:hAnsi="Arial" w:cs="Arial"/>
                <w:b/>
                <w:sz w:val="20"/>
                <w:szCs w:val="20"/>
              </w:rPr>
            </w:pPr>
            <w:r w:rsidRPr="00046A4B">
              <w:rPr>
                <w:rFonts w:ascii="Arial" w:hAnsi="Arial" w:cs="Arial"/>
                <w:b/>
                <w:sz w:val="20"/>
                <w:szCs w:val="20"/>
              </w:rPr>
              <w:t>CD 0.05</w:t>
            </w:r>
          </w:p>
        </w:tc>
        <w:tc>
          <w:tcPr>
            <w:tcW w:w="1497" w:type="dxa"/>
          </w:tcPr>
          <w:p w14:paraId="2618F614"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0.35</w:t>
            </w:r>
          </w:p>
        </w:tc>
        <w:tc>
          <w:tcPr>
            <w:tcW w:w="1580" w:type="dxa"/>
          </w:tcPr>
          <w:p w14:paraId="26A5198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0.92</w:t>
            </w:r>
          </w:p>
        </w:tc>
        <w:tc>
          <w:tcPr>
            <w:tcW w:w="1580" w:type="dxa"/>
          </w:tcPr>
          <w:p w14:paraId="26D06B91"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1.04</w:t>
            </w:r>
          </w:p>
        </w:tc>
        <w:tc>
          <w:tcPr>
            <w:tcW w:w="1497" w:type="dxa"/>
          </w:tcPr>
          <w:p w14:paraId="24BB5D43" w14:textId="77777777" w:rsidR="00046A4B" w:rsidRPr="00046A4B" w:rsidRDefault="00046A4B" w:rsidP="00F91971">
            <w:pPr>
              <w:spacing w:after="0" w:line="240" w:lineRule="auto"/>
              <w:jc w:val="center"/>
              <w:rPr>
                <w:rFonts w:ascii="Arial" w:hAnsi="Arial" w:cs="Arial"/>
                <w:color w:val="000000"/>
                <w:sz w:val="20"/>
                <w:szCs w:val="20"/>
              </w:rPr>
            </w:pPr>
            <w:r w:rsidRPr="00046A4B">
              <w:rPr>
                <w:rFonts w:ascii="Arial" w:hAnsi="Arial" w:cs="Arial"/>
                <w:color w:val="000000"/>
                <w:sz w:val="20"/>
                <w:szCs w:val="20"/>
              </w:rPr>
              <w:t>0.69</w:t>
            </w:r>
          </w:p>
        </w:tc>
      </w:tr>
    </w:tbl>
    <w:p w14:paraId="6515D9FC" w14:textId="77777777" w:rsidR="00046A4B" w:rsidRPr="00046A4B" w:rsidRDefault="00046A4B" w:rsidP="00046A4B">
      <w:pPr>
        <w:spacing w:before="120" w:after="0"/>
        <w:jc w:val="both"/>
        <w:rPr>
          <w:rFonts w:ascii="Arial" w:hAnsi="Arial" w:cs="Arial"/>
          <w:sz w:val="20"/>
          <w:szCs w:val="20"/>
        </w:rPr>
      </w:pPr>
      <w:r w:rsidRPr="00046A4B">
        <w:rPr>
          <w:rFonts w:ascii="Arial" w:hAnsi="Arial" w:cs="Arial"/>
          <w:sz w:val="20"/>
          <w:szCs w:val="20"/>
        </w:rPr>
        <w:t>*The 0.00 values of above table have been replaced with 0.25 for statistical analysis.</w:t>
      </w:r>
    </w:p>
    <w:p w14:paraId="125890F6" w14:textId="77777777" w:rsidR="00046A4B" w:rsidRPr="00046A4B" w:rsidRDefault="00046A4B" w:rsidP="00046A4B">
      <w:pPr>
        <w:pStyle w:val="Normal1"/>
        <w:tabs>
          <w:tab w:val="left" w:pos="2340"/>
        </w:tabs>
        <w:spacing w:line="360" w:lineRule="auto"/>
        <w:jc w:val="both"/>
        <w:rPr>
          <w:rFonts w:eastAsia="Times New Roman"/>
          <w:sz w:val="20"/>
          <w:szCs w:val="20"/>
        </w:rPr>
      </w:pPr>
      <w:r w:rsidRPr="00046A4B">
        <w:rPr>
          <w:sz w:val="20"/>
          <w:szCs w:val="20"/>
        </w:rPr>
        <w:t xml:space="preserve">    LDLI = Length of diseased lesion increment</w:t>
      </w:r>
    </w:p>
    <w:p w14:paraId="6ABDDCDF" w14:textId="77777777" w:rsidR="00002F3E" w:rsidRPr="00046A4B" w:rsidRDefault="00B5028B" w:rsidP="00765C1F">
      <w:pPr>
        <w:spacing w:after="0" w:line="360" w:lineRule="auto"/>
        <w:jc w:val="both"/>
        <w:rPr>
          <w:rFonts w:ascii="Arial" w:hAnsi="Arial" w:cs="Arial"/>
          <w:sz w:val="20"/>
          <w:szCs w:val="20"/>
        </w:rPr>
      </w:pPr>
      <w:r w:rsidRPr="00046A4B">
        <w:rPr>
          <w:rFonts w:ascii="Arial" w:hAnsi="Arial" w:cs="Arial"/>
          <w:sz w:val="20"/>
          <w:szCs w:val="20"/>
        </w:rPr>
        <w:t xml:space="preserve">Between 72–96 hours, mean diseased lesion length increment (LDLI) ranged from 1.5–8.0 cm/24 h, highest in Howrah and lowest in Burdwan. Between 96–120 hours, LDLI ranged from 2.5–9.0 cm/24 h, with Bankura highest and Burdwan lowest. Peak LDLI varied among isolates: Birbhum (4.75 cm), Burdwan (5.0 cm), and </w:t>
      </w:r>
      <w:proofErr w:type="spellStart"/>
      <w:r w:rsidRPr="00046A4B">
        <w:rPr>
          <w:rFonts w:ascii="Arial" w:hAnsi="Arial" w:cs="Arial"/>
          <w:sz w:val="20"/>
          <w:szCs w:val="20"/>
        </w:rPr>
        <w:t>Coochbehar</w:t>
      </w:r>
      <w:proofErr w:type="spellEnd"/>
      <w:r w:rsidRPr="00046A4B">
        <w:rPr>
          <w:rFonts w:ascii="Arial" w:hAnsi="Arial" w:cs="Arial"/>
          <w:sz w:val="20"/>
          <w:szCs w:val="20"/>
        </w:rPr>
        <w:t xml:space="preserve"> (3.0 cm) peaked at 48–72 h; Howrah (8.0 cm) and Nadia (7.0 cm) at 72–96 h; Hooghly (4.0 cm),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xml:space="preserve"> (5.5 cm), Bankura (9.0 cm), and 24 Parganas (S) (6.0 cm) at 96–120 h</w:t>
      </w:r>
      <w:r w:rsidR="00212EBE" w:rsidRPr="00046A4B">
        <w:rPr>
          <w:rFonts w:ascii="Arial" w:hAnsi="Arial" w:cs="Arial"/>
          <w:sz w:val="20"/>
          <w:szCs w:val="20"/>
        </w:rPr>
        <w:t>.</w:t>
      </w:r>
    </w:p>
    <w:p w14:paraId="10CF3700" w14:textId="77777777" w:rsidR="00002F3E" w:rsidRPr="00046A4B" w:rsidRDefault="00046A4B" w:rsidP="00772E2A">
      <w:pPr>
        <w:spacing w:after="0" w:line="360" w:lineRule="auto"/>
        <w:jc w:val="both"/>
        <w:rPr>
          <w:rFonts w:ascii="Arial Bold" w:hAnsi="Arial Bold" w:cs="Times New Roman"/>
          <w:b/>
        </w:rPr>
      </w:pPr>
      <w:r w:rsidRPr="00046A4B">
        <w:rPr>
          <w:rFonts w:ascii="Arial Bold" w:hAnsi="Arial Bold" w:cs="Times New Roman"/>
          <w:b/>
        </w:rPr>
        <w:t>DISCUSSION</w:t>
      </w:r>
    </w:p>
    <w:p w14:paraId="787DA242" w14:textId="77777777" w:rsidR="00B5028B" w:rsidRPr="00046A4B" w:rsidRDefault="00B5028B" w:rsidP="00B5028B">
      <w:pPr>
        <w:pStyle w:val="Normal1"/>
        <w:spacing w:line="360" w:lineRule="auto"/>
        <w:jc w:val="both"/>
        <w:rPr>
          <w:rFonts w:eastAsia="Times New Roman"/>
          <w:color w:val="000000" w:themeColor="text1"/>
          <w:sz w:val="20"/>
          <w:szCs w:val="20"/>
        </w:rPr>
      </w:pPr>
      <w:r w:rsidRPr="00046A4B">
        <w:rPr>
          <w:sz w:val="20"/>
          <w:szCs w:val="20"/>
        </w:rPr>
        <w:t xml:space="preserve">Nine </w:t>
      </w:r>
      <w:proofErr w:type="spellStart"/>
      <w:r w:rsidRPr="00046A4B">
        <w:rPr>
          <w:rStyle w:val="Emphasis"/>
          <w:sz w:val="20"/>
          <w:szCs w:val="20"/>
        </w:rPr>
        <w:t>Phoma</w:t>
      </w:r>
      <w:proofErr w:type="spellEnd"/>
      <w:r w:rsidRPr="00046A4B">
        <w:rPr>
          <w:rStyle w:val="Emphasis"/>
          <w:sz w:val="20"/>
          <w:szCs w:val="20"/>
        </w:rPr>
        <w:t xml:space="preserve"> </w:t>
      </w:r>
      <w:proofErr w:type="spellStart"/>
      <w:r w:rsidRPr="00046A4B">
        <w:rPr>
          <w:rStyle w:val="Emphasis"/>
          <w:sz w:val="20"/>
          <w:szCs w:val="20"/>
        </w:rPr>
        <w:t>polyanthis</w:t>
      </w:r>
      <w:proofErr w:type="spellEnd"/>
      <w:r w:rsidRPr="00046A4B">
        <w:rPr>
          <w:sz w:val="20"/>
          <w:szCs w:val="20"/>
        </w:rPr>
        <w:t xml:space="preserve"> isolates used in the study were obtained from tip blight–affected leaves of five tuberose cultivars collected from nine districts of West Bengal. Among the cultivars, Subhasini from Birbhum and </w:t>
      </w:r>
      <w:proofErr w:type="spellStart"/>
      <w:r w:rsidRPr="00046A4B">
        <w:rPr>
          <w:sz w:val="20"/>
          <w:szCs w:val="20"/>
        </w:rPr>
        <w:t>Coochbehar</w:t>
      </w:r>
      <w:proofErr w:type="spellEnd"/>
      <w:r w:rsidRPr="00046A4B">
        <w:rPr>
          <w:sz w:val="20"/>
          <w:szCs w:val="20"/>
        </w:rPr>
        <w:t xml:space="preserve"> recorded PDI values of 59.0% and 64.0%, respectively. The Prajjal cultivar from Hooghly, </w:t>
      </w:r>
      <w:proofErr w:type="spellStart"/>
      <w:r w:rsidRPr="00046A4B">
        <w:rPr>
          <w:sz w:val="20"/>
          <w:szCs w:val="20"/>
        </w:rPr>
        <w:t>Purba</w:t>
      </w:r>
      <w:proofErr w:type="spellEnd"/>
      <w:r w:rsidRPr="00046A4B">
        <w:rPr>
          <w:sz w:val="20"/>
          <w:szCs w:val="20"/>
        </w:rPr>
        <w:t xml:space="preserve"> </w:t>
      </w:r>
      <w:proofErr w:type="spellStart"/>
      <w:r w:rsidRPr="00046A4B">
        <w:rPr>
          <w:sz w:val="20"/>
          <w:szCs w:val="20"/>
        </w:rPr>
        <w:t>Medinipur</w:t>
      </w:r>
      <w:proofErr w:type="spellEnd"/>
      <w:r w:rsidRPr="00046A4B">
        <w:rPr>
          <w:sz w:val="20"/>
          <w:szCs w:val="20"/>
        </w:rPr>
        <w:t xml:space="preserve"> and Howrah exhibited comparatively lower PDI values of 23.1%, 20.0% and 22.8%, respectively. Sringer cultivar from Bankura and 24 Parganas (S) showed moderate disease incidence with PDI values of 38.9% and 39.2%, respectively. Calcutta Single from Burdwan and GKTC-4 from Nadia recorded PDI values of 47.9% and 78.3%, respectively. Among all cultivars, GKTC-4 exhibited the highest PDI, whereas Prajjal showed the lowest disease incidence</w:t>
      </w:r>
      <w:r w:rsidRPr="00046A4B">
        <w:rPr>
          <w:rFonts w:eastAsia="Times New Roman"/>
          <w:color w:val="000000" w:themeColor="text1"/>
          <w:sz w:val="20"/>
          <w:szCs w:val="20"/>
        </w:rPr>
        <w:t>.</w:t>
      </w:r>
    </w:p>
    <w:p w14:paraId="06C6C513" w14:textId="77777777" w:rsidR="00B5028B" w:rsidRPr="00046A4B" w:rsidRDefault="00B5028B"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 xml:space="preserve">All </w:t>
      </w:r>
      <w:proofErr w:type="spellStart"/>
      <w:r w:rsidRPr="00046A4B">
        <w:rPr>
          <w:rStyle w:val="Emphasis"/>
          <w:rFonts w:ascii="Arial" w:hAnsi="Arial" w:cs="Arial"/>
          <w:sz w:val="20"/>
          <w:szCs w:val="20"/>
        </w:rPr>
        <w:t>Phoma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polyanthis</w:t>
      </w:r>
      <w:proofErr w:type="spellEnd"/>
      <w:r w:rsidRPr="00046A4B">
        <w:rPr>
          <w:rFonts w:ascii="Arial" w:hAnsi="Arial" w:cs="Arial"/>
          <w:sz w:val="20"/>
          <w:szCs w:val="20"/>
        </w:rPr>
        <w:t xml:space="preserve"> isolates obtained from tuberose tip blight–affected samples collected across different districts were used to study variation in radial growth, radial growth rate, dry biomass production, colony morphology, virulence, in vitro enzyme activity and fungicide sensitivity. The detailed results are presented below.</w:t>
      </w:r>
    </w:p>
    <w:p w14:paraId="12833090" w14:textId="77777777" w:rsidR="00B5028B" w:rsidRPr="00046A4B" w:rsidRDefault="00B5028B"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 xml:space="preserve">Pathogenicity and virulence of the nine </w:t>
      </w:r>
      <w:r w:rsidRPr="00046A4B">
        <w:rPr>
          <w:rStyle w:val="Emphasis"/>
          <w:rFonts w:ascii="Arial" w:hAnsi="Arial" w:cs="Arial"/>
          <w:sz w:val="20"/>
          <w:szCs w:val="20"/>
        </w:rPr>
        <w:t xml:space="preserve">P. </w:t>
      </w:r>
      <w:proofErr w:type="spellStart"/>
      <w:r w:rsidRPr="00046A4B">
        <w:rPr>
          <w:rStyle w:val="Emphasis"/>
          <w:rFonts w:ascii="Arial" w:hAnsi="Arial" w:cs="Arial"/>
          <w:sz w:val="20"/>
          <w:szCs w:val="20"/>
        </w:rPr>
        <w:t>polyanthis</w:t>
      </w:r>
      <w:proofErr w:type="spellEnd"/>
      <w:r w:rsidRPr="00046A4B">
        <w:rPr>
          <w:rFonts w:ascii="Arial" w:hAnsi="Arial" w:cs="Arial"/>
          <w:sz w:val="20"/>
          <w:szCs w:val="20"/>
        </w:rPr>
        <w:t xml:space="preserve"> isolates were established on the susceptible tuberose cultivar GKTC-4 by recording mean diseased lesion length at 24-hour intervals up to 120 hours (Table </w:t>
      </w:r>
      <w:r w:rsidR="00212EBE" w:rsidRPr="00046A4B">
        <w:rPr>
          <w:rFonts w:ascii="Arial" w:hAnsi="Arial" w:cs="Arial"/>
          <w:sz w:val="20"/>
          <w:szCs w:val="20"/>
        </w:rPr>
        <w:t>2</w:t>
      </w:r>
      <w:r w:rsidRPr="00046A4B">
        <w:rPr>
          <w:rFonts w:ascii="Arial" w:hAnsi="Arial" w:cs="Arial"/>
          <w:sz w:val="20"/>
          <w:szCs w:val="20"/>
        </w:rPr>
        <w:t xml:space="preserve">). No lesion development was observed up to 24 hours after inoculation with Birbhum, </w:t>
      </w:r>
      <w:proofErr w:type="spellStart"/>
      <w:r w:rsidRPr="00046A4B">
        <w:rPr>
          <w:rFonts w:ascii="Arial" w:hAnsi="Arial" w:cs="Arial"/>
          <w:sz w:val="20"/>
          <w:szCs w:val="20"/>
        </w:rPr>
        <w:t>Coochbehar</w:t>
      </w:r>
      <w:proofErr w:type="spellEnd"/>
      <w:r w:rsidRPr="00046A4B">
        <w:rPr>
          <w:rFonts w:ascii="Arial" w:hAnsi="Arial" w:cs="Arial"/>
          <w:sz w:val="20"/>
          <w:szCs w:val="20"/>
        </w:rPr>
        <w:t xml:space="preserve">,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xml:space="preserve"> and Howrah isolates, and the Birbhum isolate failed to produce lesions even at 48 hours. By 72 hours, all isolates produced characteristic lesions, with maximum lesion length </w:t>
      </w:r>
      <w:r w:rsidRPr="00046A4B">
        <w:rPr>
          <w:rFonts w:ascii="Arial" w:hAnsi="Arial" w:cs="Arial"/>
          <w:sz w:val="20"/>
          <w:szCs w:val="20"/>
        </w:rPr>
        <w:lastRenderedPageBreak/>
        <w:t xml:space="preserve">caused by Bankura (14.5 cm) and minimum by Birbhum (5.0 cm). This trend continued up to 120 hours, when Bankura produced the highest lesion length (29.5 cm), followed by Nadia (24.5 cm). Moderate lesion development was observed in Howrah (20.5 cm), 24 Parganas (S) (18.5 cm), Burdwan (16.5 cm),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xml:space="preserve"> (16.0 cm) and Hooghly (15.5 cm), while Birbhum (10.5 cm) and </w:t>
      </w:r>
      <w:proofErr w:type="spellStart"/>
      <w:r w:rsidRPr="00046A4B">
        <w:rPr>
          <w:rFonts w:ascii="Arial" w:hAnsi="Arial" w:cs="Arial"/>
          <w:sz w:val="20"/>
          <w:szCs w:val="20"/>
        </w:rPr>
        <w:t>Coochbehar</w:t>
      </w:r>
      <w:proofErr w:type="spellEnd"/>
      <w:r w:rsidRPr="00046A4B">
        <w:rPr>
          <w:rFonts w:ascii="Arial" w:hAnsi="Arial" w:cs="Arial"/>
          <w:sz w:val="20"/>
          <w:szCs w:val="20"/>
        </w:rPr>
        <w:t xml:space="preserve"> (11.5 cm) recorded the lowest values.</w:t>
      </w:r>
    </w:p>
    <w:p w14:paraId="4DEAC2CD" w14:textId="77777777" w:rsidR="00B5028B" w:rsidRPr="00046A4B" w:rsidRDefault="00B5028B"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 xml:space="preserve">Based on lesion development, Bankura and Nadia isolates were categorized as virulent; Howrah, 24 Parganas (S), Burdwan,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xml:space="preserve"> and Hooghly as moderately virulent; and Birbhum and </w:t>
      </w:r>
      <w:proofErr w:type="spellStart"/>
      <w:r w:rsidRPr="00046A4B">
        <w:rPr>
          <w:rFonts w:ascii="Arial" w:hAnsi="Arial" w:cs="Arial"/>
          <w:sz w:val="20"/>
          <w:szCs w:val="20"/>
        </w:rPr>
        <w:t>Coochbehar</w:t>
      </w:r>
      <w:proofErr w:type="spellEnd"/>
      <w:r w:rsidRPr="00046A4B">
        <w:rPr>
          <w:rFonts w:ascii="Arial" w:hAnsi="Arial" w:cs="Arial"/>
          <w:sz w:val="20"/>
          <w:szCs w:val="20"/>
        </w:rPr>
        <w:t xml:space="preserve"> as less virulent. Although similar pathogenicity studies on </w:t>
      </w:r>
      <w:r w:rsidRPr="00046A4B">
        <w:rPr>
          <w:rStyle w:val="Emphasis"/>
          <w:rFonts w:ascii="Arial" w:hAnsi="Arial" w:cs="Arial"/>
          <w:sz w:val="20"/>
          <w:szCs w:val="20"/>
        </w:rPr>
        <w:t xml:space="preserve">P. </w:t>
      </w:r>
      <w:proofErr w:type="spellStart"/>
      <w:r w:rsidRPr="00046A4B">
        <w:rPr>
          <w:rStyle w:val="Emphasis"/>
          <w:rFonts w:ascii="Arial" w:hAnsi="Arial" w:cs="Arial"/>
          <w:sz w:val="20"/>
          <w:szCs w:val="20"/>
        </w:rPr>
        <w:t>polyanthis</w:t>
      </w:r>
      <w:proofErr w:type="spellEnd"/>
      <w:r w:rsidRPr="00046A4B">
        <w:rPr>
          <w:rFonts w:ascii="Arial" w:hAnsi="Arial" w:cs="Arial"/>
          <w:sz w:val="20"/>
          <w:szCs w:val="20"/>
        </w:rPr>
        <w:t xml:space="preserve"> infecting tuberose are lacking, comparable virulence-based grouping of isolates has been reported for </w:t>
      </w:r>
      <w:proofErr w:type="spellStart"/>
      <w:r w:rsidRPr="00046A4B">
        <w:rPr>
          <w:rStyle w:val="Emphasis"/>
          <w:rFonts w:ascii="Arial" w:hAnsi="Arial" w:cs="Arial"/>
          <w:sz w:val="20"/>
          <w:szCs w:val="20"/>
        </w:rPr>
        <w:t>Phoma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terrestris</w:t>
      </w:r>
      <w:proofErr w:type="spellEnd"/>
      <w:r w:rsidRPr="00046A4B">
        <w:rPr>
          <w:rFonts w:ascii="Arial" w:hAnsi="Arial" w:cs="Arial"/>
          <w:sz w:val="20"/>
          <w:szCs w:val="20"/>
        </w:rPr>
        <w:t xml:space="preserve"> (</w:t>
      </w:r>
      <w:proofErr w:type="spellStart"/>
      <w:r w:rsidRPr="00046A4B">
        <w:rPr>
          <w:rFonts w:ascii="Arial" w:hAnsi="Arial" w:cs="Arial"/>
          <w:sz w:val="20"/>
          <w:szCs w:val="20"/>
        </w:rPr>
        <w:t>Levic</w:t>
      </w:r>
      <w:proofErr w:type="spellEnd"/>
      <w:r w:rsidRPr="00046A4B">
        <w:rPr>
          <w:rFonts w:ascii="Arial" w:hAnsi="Arial" w:cs="Arial"/>
          <w:sz w:val="20"/>
          <w:szCs w:val="20"/>
        </w:rPr>
        <w:t xml:space="preserve"> </w:t>
      </w:r>
      <w:r w:rsidRPr="00046A4B">
        <w:rPr>
          <w:rFonts w:ascii="Arial" w:hAnsi="Arial" w:cs="Arial"/>
          <w:i/>
          <w:sz w:val="20"/>
          <w:szCs w:val="20"/>
        </w:rPr>
        <w:t>et al</w:t>
      </w:r>
      <w:r w:rsidRPr="00046A4B">
        <w:rPr>
          <w:rFonts w:ascii="Arial" w:hAnsi="Arial" w:cs="Arial"/>
          <w:sz w:val="20"/>
          <w:szCs w:val="20"/>
        </w:rPr>
        <w:t xml:space="preserve">., 2012), </w:t>
      </w:r>
      <w:proofErr w:type="spellStart"/>
      <w:r w:rsidRPr="00046A4B">
        <w:rPr>
          <w:rStyle w:val="Emphasis"/>
          <w:rFonts w:ascii="Arial" w:hAnsi="Arial" w:cs="Arial"/>
          <w:sz w:val="20"/>
          <w:szCs w:val="20"/>
        </w:rPr>
        <w:t>Rhizoctonia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solani</w:t>
      </w:r>
      <w:proofErr w:type="spellEnd"/>
      <w:r w:rsidRPr="00046A4B">
        <w:rPr>
          <w:rFonts w:ascii="Arial" w:hAnsi="Arial" w:cs="Arial"/>
          <w:sz w:val="20"/>
          <w:szCs w:val="20"/>
        </w:rPr>
        <w:t xml:space="preserve"> (Das, 2008), </w:t>
      </w:r>
      <w:proofErr w:type="spellStart"/>
      <w:r w:rsidRPr="00046A4B">
        <w:rPr>
          <w:rStyle w:val="Emphasis"/>
          <w:rFonts w:ascii="Arial" w:hAnsi="Arial" w:cs="Arial"/>
          <w:sz w:val="20"/>
          <w:szCs w:val="20"/>
        </w:rPr>
        <w:t>Phoma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putaminum</w:t>
      </w:r>
      <w:proofErr w:type="spellEnd"/>
      <w:r w:rsidRPr="00046A4B">
        <w:rPr>
          <w:rFonts w:ascii="Arial" w:hAnsi="Arial" w:cs="Arial"/>
          <w:sz w:val="20"/>
          <w:szCs w:val="20"/>
        </w:rPr>
        <w:t xml:space="preserve"> and </w:t>
      </w:r>
      <w:r w:rsidRPr="00046A4B">
        <w:rPr>
          <w:rStyle w:val="Emphasis"/>
          <w:rFonts w:ascii="Arial" w:hAnsi="Arial" w:cs="Arial"/>
          <w:sz w:val="20"/>
          <w:szCs w:val="20"/>
        </w:rPr>
        <w:t xml:space="preserve">P. </w:t>
      </w:r>
      <w:proofErr w:type="spellStart"/>
      <w:r w:rsidRPr="00046A4B">
        <w:rPr>
          <w:rStyle w:val="Emphasis"/>
          <w:rFonts w:ascii="Arial" w:hAnsi="Arial" w:cs="Arial"/>
          <w:sz w:val="20"/>
          <w:szCs w:val="20"/>
        </w:rPr>
        <w:t>macrostoma</w:t>
      </w:r>
      <w:proofErr w:type="spellEnd"/>
      <w:r w:rsidRPr="00046A4B">
        <w:rPr>
          <w:rFonts w:ascii="Arial" w:hAnsi="Arial" w:cs="Arial"/>
          <w:sz w:val="20"/>
          <w:szCs w:val="20"/>
        </w:rPr>
        <w:t xml:space="preserve"> var. </w:t>
      </w:r>
      <w:proofErr w:type="spellStart"/>
      <w:r w:rsidRPr="00046A4B">
        <w:rPr>
          <w:rStyle w:val="Emphasis"/>
          <w:rFonts w:ascii="Arial" w:hAnsi="Arial" w:cs="Arial"/>
          <w:sz w:val="20"/>
          <w:szCs w:val="20"/>
        </w:rPr>
        <w:t>incolorata</w:t>
      </w:r>
      <w:proofErr w:type="spellEnd"/>
      <w:r w:rsidRPr="00046A4B">
        <w:rPr>
          <w:rFonts w:ascii="Arial" w:hAnsi="Arial" w:cs="Arial"/>
          <w:sz w:val="20"/>
          <w:szCs w:val="20"/>
        </w:rPr>
        <w:t xml:space="preserve"> (Badillo-Vargas </w:t>
      </w:r>
      <w:r w:rsidRPr="00046A4B">
        <w:rPr>
          <w:rFonts w:ascii="Arial" w:hAnsi="Arial" w:cs="Arial"/>
          <w:i/>
          <w:sz w:val="20"/>
          <w:szCs w:val="20"/>
        </w:rPr>
        <w:t>et al.,</w:t>
      </w:r>
      <w:r w:rsidRPr="00046A4B">
        <w:rPr>
          <w:rFonts w:ascii="Arial" w:hAnsi="Arial" w:cs="Arial"/>
          <w:sz w:val="20"/>
          <w:szCs w:val="20"/>
        </w:rPr>
        <w:t xml:space="preserve"> 2008), and </w:t>
      </w:r>
      <w:proofErr w:type="spellStart"/>
      <w:r w:rsidRPr="00046A4B">
        <w:rPr>
          <w:rStyle w:val="Emphasis"/>
          <w:rFonts w:ascii="Arial" w:hAnsi="Arial" w:cs="Arial"/>
          <w:sz w:val="20"/>
          <w:szCs w:val="20"/>
        </w:rPr>
        <w:t>Phoma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macdonaldii</w:t>
      </w:r>
      <w:proofErr w:type="spellEnd"/>
      <w:r w:rsidRPr="00046A4B">
        <w:rPr>
          <w:rFonts w:ascii="Arial" w:hAnsi="Arial" w:cs="Arial"/>
          <w:sz w:val="20"/>
          <w:szCs w:val="20"/>
        </w:rPr>
        <w:t xml:space="preserve"> (</w:t>
      </w:r>
      <w:proofErr w:type="spellStart"/>
      <w:r w:rsidRPr="00046A4B">
        <w:rPr>
          <w:rFonts w:ascii="Arial" w:hAnsi="Arial" w:cs="Arial"/>
          <w:sz w:val="20"/>
          <w:szCs w:val="20"/>
        </w:rPr>
        <w:t>Roustaee</w:t>
      </w:r>
      <w:proofErr w:type="spellEnd"/>
      <w:r w:rsidRPr="00046A4B">
        <w:rPr>
          <w:rFonts w:ascii="Arial" w:hAnsi="Arial" w:cs="Arial"/>
          <w:sz w:val="20"/>
          <w:szCs w:val="20"/>
        </w:rPr>
        <w:t xml:space="preserve"> </w:t>
      </w:r>
      <w:r w:rsidRPr="00046A4B">
        <w:rPr>
          <w:rFonts w:ascii="Arial" w:hAnsi="Arial" w:cs="Arial"/>
          <w:i/>
          <w:sz w:val="20"/>
          <w:szCs w:val="20"/>
        </w:rPr>
        <w:t>et al</w:t>
      </w:r>
      <w:r w:rsidRPr="00046A4B">
        <w:rPr>
          <w:rFonts w:ascii="Arial" w:hAnsi="Arial" w:cs="Arial"/>
          <w:sz w:val="20"/>
          <w:szCs w:val="20"/>
        </w:rPr>
        <w:t>., 2000), supporting the present findings</w:t>
      </w:r>
      <w:r w:rsidRPr="00046A4B">
        <w:rPr>
          <w:rFonts w:ascii="Arial" w:hAnsi="Arial" w:cs="Arial"/>
          <w:color w:val="000000" w:themeColor="text1"/>
          <w:sz w:val="20"/>
          <w:szCs w:val="20"/>
        </w:rPr>
        <w:t>.</w:t>
      </w:r>
    </w:p>
    <w:p w14:paraId="42401F0B" w14:textId="77777777" w:rsidR="00002F3E" w:rsidRPr="00046A4B" w:rsidRDefault="00212EBE"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 xml:space="preserve">Mean diseased lesion length increment on leaves of GKTC-4 cultivar inoculated with nine </w:t>
      </w:r>
      <w:proofErr w:type="spellStart"/>
      <w:r w:rsidRPr="00046A4B">
        <w:rPr>
          <w:rStyle w:val="Emphasis"/>
          <w:rFonts w:ascii="Arial" w:hAnsi="Arial" w:cs="Arial"/>
          <w:sz w:val="20"/>
          <w:szCs w:val="20"/>
        </w:rPr>
        <w:t>Phoma</w:t>
      </w:r>
      <w:proofErr w:type="spellEnd"/>
      <w:r w:rsidRPr="00046A4B">
        <w:rPr>
          <w:rStyle w:val="Emphasis"/>
          <w:rFonts w:ascii="Arial" w:hAnsi="Arial" w:cs="Arial"/>
          <w:sz w:val="20"/>
          <w:szCs w:val="20"/>
        </w:rPr>
        <w:t xml:space="preserve"> </w:t>
      </w:r>
      <w:proofErr w:type="spellStart"/>
      <w:r w:rsidRPr="00046A4B">
        <w:rPr>
          <w:rStyle w:val="Emphasis"/>
          <w:rFonts w:ascii="Arial" w:hAnsi="Arial" w:cs="Arial"/>
          <w:sz w:val="20"/>
          <w:szCs w:val="20"/>
        </w:rPr>
        <w:t>polyanthis</w:t>
      </w:r>
      <w:proofErr w:type="spellEnd"/>
      <w:r w:rsidRPr="00046A4B">
        <w:rPr>
          <w:rFonts w:ascii="Arial" w:hAnsi="Arial" w:cs="Arial"/>
          <w:sz w:val="20"/>
          <w:szCs w:val="20"/>
        </w:rPr>
        <w:t xml:space="preserve"> isolates was recorded up to 120 hours. Lesion increment varied from 0.25–4.25 cm per 24 hours during 24–48 hours, with the highest increment in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xml:space="preserve"> and the lowest in Nadia isolate; from 2–7 cm per 24 hours during 48–72 hours, with maximum in Bankura and minimum in Hooghly isolates; from 1.5–8.0 cm per 24 hours during 72–96 hours, with the highest in Howrah and lowest in Burdwan isolates; and from 2.5–9.0 cm per 24 hours during 96–120 hours, with maximum in Bankura and minimum in Burdwan isolates. Peak lesion increment occurred during 48–72 hours in Birbhum, Burdwan and </w:t>
      </w:r>
      <w:proofErr w:type="spellStart"/>
      <w:r w:rsidRPr="00046A4B">
        <w:rPr>
          <w:rFonts w:ascii="Arial" w:hAnsi="Arial" w:cs="Arial"/>
          <w:sz w:val="20"/>
          <w:szCs w:val="20"/>
        </w:rPr>
        <w:t>Coochbehar</w:t>
      </w:r>
      <w:proofErr w:type="spellEnd"/>
      <w:r w:rsidRPr="00046A4B">
        <w:rPr>
          <w:rFonts w:ascii="Arial" w:hAnsi="Arial" w:cs="Arial"/>
          <w:sz w:val="20"/>
          <w:szCs w:val="20"/>
        </w:rPr>
        <w:t xml:space="preserve"> isolates; during 72–96 hours in Howrah and Nadia isolates; and during 96–120 hours in Hooghly, </w:t>
      </w:r>
      <w:proofErr w:type="spellStart"/>
      <w:r w:rsidRPr="00046A4B">
        <w:rPr>
          <w:rFonts w:ascii="Arial" w:hAnsi="Arial" w:cs="Arial"/>
          <w:sz w:val="20"/>
          <w:szCs w:val="20"/>
        </w:rPr>
        <w:t>Purba</w:t>
      </w:r>
      <w:proofErr w:type="spellEnd"/>
      <w:r w:rsidRPr="00046A4B">
        <w:rPr>
          <w:rFonts w:ascii="Arial" w:hAnsi="Arial" w:cs="Arial"/>
          <w:sz w:val="20"/>
          <w:szCs w:val="20"/>
        </w:rPr>
        <w:t xml:space="preserve"> </w:t>
      </w:r>
      <w:proofErr w:type="spellStart"/>
      <w:r w:rsidRPr="00046A4B">
        <w:rPr>
          <w:rFonts w:ascii="Arial" w:hAnsi="Arial" w:cs="Arial"/>
          <w:sz w:val="20"/>
          <w:szCs w:val="20"/>
        </w:rPr>
        <w:t>Medinipur</w:t>
      </w:r>
      <w:proofErr w:type="spellEnd"/>
      <w:r w:rsidRPr="00046A4B">
        <w:rPr>
          <w:rFonts w:ascii="Arial" w:hAnsi="Arial" w:cs="Arial"/>
          <w:sz w:val="20"/>
          <w:szCs w:val="20"/>
        </w:rPr>
        <w:t>, Bankura and 24 Parganas (S) isolates. Relevant supporting literature to substantiate these observations could not be retrieved</w:t>
      </w:r>
      <w:r w:rsidR="00002F3E" w:rsidRPr="00046A4B">
        <w:rPr>
          <w:rFonts w:ascii="Arial" w:hAnsi="Arial" w:cs="Arial"/>
          <w:sz w:val="20"/>
          <w:szCs w:val="20"/>
        </w:rPr>
        <w:t>.</w:t>
      </w:r>
    </w:p>
    <w:p w14:paraId="30F3CA67" w14:textId="77777777" w:rsidR="00212EBE" w:rsidRPr="00046A4B" w:rsidRDefault="00212EBE" w:rsidP="00B5028B">
      <w:pPr>
        <w:pStyle w:val="NormalWeb"/>
        <w:spacing w:before="0" w:beforeAutospacing="0" w:after="0" w:afterAutospacing="0" w:line="360" w:lineRule="auto"/>
        <w:jc w:val="both"/>
        <w:rPr>
          <w:rFonts w:ascii="Arial" w:hAnsi="Arial" w:cs="Arial"/>
          <w:sz w:val="20"/>
          <w:szCs w:val="20"/>
        </w:rPr>
      </w:pPr>
      <w:r w:rsidRPr="00046A4B">
        <w:rPr>
          <w:rFonts w:ascii="Arial" w:hAnsi="Arial" w:cs="Arial"/>
          <w:sz w:val="20"/>
          <w:szCs w:val="20"/>
        </w:rPr>
        <w:t xml:space="preserve">Although fungi are ubiquitous, adaptable to diverse environments, and nutritionally versatile, many exhibit specific nutritional preferences. Consequently, selective culture media are often required for their isolation, cultivation, preservation, and for microscopic, biochemical, physiological, and molecular characterization. The nutrient composition of culture media markedly influences vegetative growth parameters such as radial growth, biomass production, colony morphology, pigmentation, and sporulation, provided other environmental factors (pH, temperature, light, moisture, and atmospheric composition) remain constant (Northolt and Bullerman, 1982; Kuhn and Ghannoum, 2003; Kumara and Rawal, 2008). Despite advances in molecular techniques, morphological characterization based on vegetative and reproductive structures remains a fundamental and classical approach in fungal taxonomy and nomenclature (Davis, 1995; </w:t>
      </w:r>
      <w:proofErr w:type="spellStart"/>
      <w:r w:rsidRPr="00046A4B">
        <w:rPr>
          <w:rFonts w:ascii="Arial" w:hAnsi="Arial" w:cs="Arial"/>
          <w:sz w:val="20"/>
          <w:szCs w:val="20"/>
        </w:rPr>
        <w:t>Guarro</w:t>
      </w:r>
      <w:proofErr w:type="spellEnd"/>
      <w:r w:rsidRPr="00046A4B">
        <w:rPr>
          <w:rFonts w:ascii="Arial" w:hAnsi="Arial" w:cs="Arial"/>
          <w:sz w:val="20"/>
          <w:szCs w:val="20"/>
        </w:rPr>
        <w:t xml:space="preserve"> </w:t>
      </w:r>
      <w:r w:rsidRPr="00046A4B">
        <w:rPr>
          <w:rStyle w:val="Emphasis"/>
          <w:rFonts w:ascii="Arial" w:hAnsi="Arial" w:cs="Arial"/>
          <w:sz w:val="20"/>
          <w:szCs w:val="20"/>
        </w:rPr>
        <w:t>et al.</w:t>
      </w:r>
      <w:r w:rsidRPr="00046A4B">
        <w:rPr>
          <w:rFonts w:ascii="Arial" w:hAnsi="Arial" w:cs="Arial"/>
          <w:sz w:val="20"/>
          <w:szCs w:val="20"/>
        </w:rPr>
        <w:t xml:space="preserve">, 1999; Diba </w:t>
      </w:r>
      <w:r w:rsidRPr="00046A4B">
        <w:rPr>
          <w:rStyle w:val="Emphasis"/>
          <w:rFonts w:ascii="Arial" w:hAnsi="Arial" w:cs="Arial"/>
          <w:sz w:val="20"/>
          <w:szCs w:val="20"/>
        </w:rPr>
        <w:t>et al.</w:t>
      </w:r>
      <w:r w:rsidRPr="00046A4B">
        <w:rPr>
          <w:rFonts w:ascii="Arial" w:hAnsi="Arial" w:cs="Arial"/>
          <w:sz w:val="20"/>
          <w:szCs w:val="20"/>
        </w:rPr>
        <w:t xml:space="preserve">, 2007; Zain </w:t>
      </w:r>
      <w:r w:rsidRPr="00046A4B">
        <w:rPr>
          <w:rStyle w:val="Emphasis"/>
          <w:rFonts w:ascii="Arial" w:hAnsi="Arial" w:cs="Arial"/>
          <w:sz w:val="20"/>
          <w:szCs w:val="20"/>
        </w:rPr>
        <w:t>et al.</w:t>
      </w:r>
      <w:r w:rsidRPr="00046A4B">
        <w:rPr>
          <w:rFonts w:ascii="Arial" w:hAnsi="Arial" w:cs="Arial"/>
          <w:sz w:val="20"/>
          <w:szCs w:val="20"/>
        </w:rPr>
        <w:t>, 2009). Morphological or physiological variability among fungal genera, species, or isolates ultimately reflects underlying molecular differences, underscoring the continued relevance of morphological characterization</w:t>
      </w:r>
    </w:p>
    <w:p w14:paraId="13A8B05B" w14:textId="77777777" w:rsidR="00002F3E" w:rsidRPr="00046A4B" w:rsidRDefault="00046A4B" w:rsidP="00772E2A">
      <w:pPr>
        <w:spacing w:after="0" w:line="360" w:lineRule="auto"/>
        <w:jc w:val="both"/>
        <w:rPr>
          <w:rFonts w:ascii="Arial Bold" w:hAnsi="Arial Bold" w:cs="Times New Roman"/>
          <w:b/>
        </w:rPr>
      </w:pPr>
      <w:r w:rsidRPr="00046A4B">
        <w:rPr>
          <w:rFonts w:ascii="Arial Bold" w:hAnsi="Arial Bold" w:cs="Times New Roman"/>
          <w:b/>
        </w:rPr>
        <w:t>FUTURE SCOPE</w:t>
      </w:r>
    </w:p>
    <w:p w14:paraId="49824BDB" w14:textId="77777777" w:rsidR="00212EBE" w:rsidRPr="00046A4B" w:rsidRDefault="00212EBE" w:rsidP="00212EBE">
      <w:pPr>
        <w:pStyle w:val="NormalWeb"/>
        <w:spacing w:before="0" w:beforeAutospacing="0" w:after="0" w:afterAutospacing="0" w:line="360" w:lineRule="auto"/>
        <w:jc w:val="both"/>
        <w:rPr>
          <w:rFonts w:ascii="Arial" w:hAnsi="Arial" w:cs="Arial"/>
          <w:sz w:val="20"/>
        </w:rPr>
      </w:pPr>
      <w:r w:rsidRPr="00046A4B">
        <w:rPr>
          <w:rFonts w:ascii="Arial" w:hAnsi="Arial" w:cs="Arial"/>
          <w:sz w:val="20"/>
        </w:rPr>
        <w:t xml:space="preserve">The present study revealed marked variability in virulence among </w:t>
      </w:r>
      <w:proofErr w:type="spellStart"/>
      <w:r w:rsidRPr="00046A4B">
        <w:rPr>
          <w:rStyle w:val="Emphasis"/>
          <w:rFonts w:ascii="Arial" w:hAnsi="Arial" w:cs="Arial"/>
          <w:sz w:val="20"/>
        </w:rPr>
        <w:t>Phoma</w:t>
      </w:r>
      <w:proofErr w:type="spellEnd"/>
      <w:r w:rsidRPr="00046A4B">
        <w:rPr>
          <w:rStyle w:val="Emphasis"/>
          <w:rFonts w:ascii="Arial" w:hAnsi="Arial" w:cs="Arial"/>
          <w:sz w:val="20"/>
        </w:rPr>
        <w:t xml:space="preserve"> </w:t>
      </w:r>
      <w:proofErr w:type="spellStart"/>
      <w:r w:rsidRPr="00046A4B">
        <w:rPr>
          <w:rStyle w:val="Emphasis"/>
          <w:rFonts w:ascii="Arial" w:hAnsi="Arial" w:cs="Arial"/>
          <w:sz w:val="20"/>
        </w:rPr>
        <w:t>polyanthis</w:t>
      </w:r>
      <w:proofErr w:type="spellEnd"/>
      <w:r w:rsidRPr="00046A4B">
        <w:rPr>
          <w:rFonts w:ascii="Arial" w:hAnsi="Arial" w:cs="Arial"/>
          <w:sz w:val="20"/>
        </w:rPr>
        <w:t xml:space="preserve"> isolates and differential susceptibility of tuberose cultivars. Future research should focus on screening wider tuberose germplasm to identify resistant sources for breeding tip blight–resistant varieties. Molecular </w:t>
      </w:r>
      <w:r w:rsidRPr="00046A4B">
        <w:rPr>
          <w:rFonts w:ascii="Arial" w:hAnsi="Arial" w:cs="Arial"/>
          <w:sz w:val="20"/>
        </w:rPr>
        <w:lastRenderedPageBreak/>
        <w:t>characterization of pathogen isolates is needed to understand genetic diversity and virulence determinants. Isolate-specific information can aid in developing integrated disease management strategies combining fungicides, cultural practices and biological control. Studies on pathogen–host interactions may elucidate defense mechanisms and support novel control approaches. Long-term epidemiological investigations could help develop predictive models for effective disease forecasting and management.</w:t>
      </w:r>
    </w:p>
    <w:p w14:paraId="26A4DE43" w14:textId="77777777" w:rsidR="00002F3E" w:rsidRPr="00987F08" w:rsidRDefault="00987F08" w:rsidP="00E77C5A">
      <w:pPr>
        <w:pStyle w:val="NormalWeb"/>
        <w:spacing w:before="0" w:beforeAutospacing="0" w:after="0" w:afterAutospacing="0" w:line="360" w:lineRule="auto"/>
        <w:jc w:val="both"/>
        <w:rPr>
          <w:rFonts w:ascii="Arial Bold" w:eastAsiaTheme="minorEastAsia" w:hAnsi="Arial Bold"/>
          <w:b/>
          <w:sz w:val="22"/>
          <w:szCs w:val="22"/>
        </w:rPr>
      </w:pPr>
      <w:r w:rsidRPr="00987F08">
        <w:rPr>
          <w:rFonts w:ascii="Arial Bold" w:eastAsiaTheme="minorEastAsia" w:hAnsi="Arial Bold"/>
          <w:b/>
          <w:sz w:val="22"/>
          <w:szCs w:val="22"/>
        </w:rPr>
        <w:t>REFERENCES</w:t>
      </w:r>
    </w:p>
    <w:p w14:paraId="1DEF71AE" w14:textId="77777777" w:rsidR="00E77C5A" w:rsidRPr="00987F08" w:rsidRDefault="00E77C5A" w:rsidP="00E77C5A">
      <w:pPr>
        <w:pStyle w:val="Normal1"/>
        <w:spacing w:line="360" w:lineRule="auto"/>
        <w:ind w:left="720" w:hanging="720"/>
        <w:jc w:val="both"/>
        <w:rPr>
          <w:rFonts w:eastAsia="Times New Roman"/>
          <w:color w:val="000000" w:themeColor="text1"/>
          <w:sz w:val="24"/>
          <w:szCs w:val="24"/>
        </w:rPr>
      </w:pPr>
      <w:r w:rsidRPr="00987F08">
        <w:rPr>
          <w:rFonts w:eastAsia="Times New Roman"/>
          <w:color w:val="000000" w:themeColor="text1"/>
          <w:sz w:val="24"/>
          <w:szCs w:val="24"/>
        </w:rPr>
        <w:t xml:space="preserve">Badillo-Vargas, I.  E., Rivera -Vargas, L. I. and Calle-Bellido, J.  </w:t>
      </w:r>
      <w:r w:rsidR="00987F08" w:rsidRPr="00987F08">
        <w:rPr>
          <w:rFonts w:eastAsia="Times New Roman"/>
          <w:color w:val="000000" w:themeColor="text1"/>
          <w:sz w:val="24"/>
          <w:szCs w:val="24"/>
        </w:rPr>
        <w:t>(</w:t>
      </w:r>
      <w:r w:rsidRPr="00987F08">
        <w:rPr>
          <w:rFonts w:eastAsia="Times New Roman"/>
          <w:color w:val="000000" w:themeColor="text1"/>
          <w:sz w:val="24"/>
          <w:szCs w:val="24"/>
        </w:rPr>
        <w:t>2008</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Morphological, pathogenic and molecular characterization of </w:t>
      </w:r>
      <w:proofErr w:type="spellStart"/>
      <w:r w:rsidRPr="00987F08">
        <w:rPr>
          <w:rFonts w:eastAsia="Times New Roman"/>
          <w:i/>
          <w:color w:val="000000" w:themeColor="text1"/>
          <w:sz w:val="24"/>
          <w:szCs w:val="24"/>
        </w:rPr>
        <w:t>Phoma</w:t>
      </w:r>
      <w:proofErr w:type="spellEnd"/>
      <w:r w:rsidRPr="00987F08">
        <w:rPr>
          <w:rFonts w:eastAsia="Times New Roman"/>
          <w:i/>
          <w:color w:val="000000" w:themeColor="text1"/>
          <w:sz w:val="24"/>
          <w:szCs w:val="24"/>
        </w:rPr>
        <w:t xml:space="preserve"> </w:t>
      </w:r>
      <w:r w:rsidRPr="00987F08">
        <w:rPr>
          <w:rFonts w:eastAsia="Times New Roman"/>
          <w:color w:val="000000" w:themeColor="text1"/>
          <w:sz w:val="24"/>
          <w:szCs w:val="24"/>
        </w:rPr>
        <w:t xml:space="preserve">spp. isolated from onion field soils in Puerto Rico. </w:t>
      </w:r>
      <w:r w:rsidRPr="00987F08">
        <w:rPr>
          <w:rFonts w:eastAsia="Times New Roman"/>
          <w:i/>
          <w:color w:val="000000" w:themeColor="text1"/>
          <w:sz w:val="24"/>
          <w:szCs w:val="24"/>
        </w:rPr>
        <w:t>Journal of Agriculture, University of Puerto Rico</w:t>
      </w:r>
      <w:r w:rsidRPr="00987F08">
        <w:rPr>
          <w:rFonts w:eastAsia="Times New Roman"/>
          <w:color w:val="000000" w:themeColor="text1"/>
          <w:sz w:val="24"/>
          <w:szCs w:val="24"/>
        </w:rPr>
        <w:t xml:space="preserve">.  </w:t>
      </w:r>
      <w:r w:rsidRPr="00987F08">
        <w:rPr>
          <w:rFonts w:eastAsia="Times New Roman"/>
          <w:b/>
          <w:color w:val="000000" w:themeColor="text1"/>
          <w:sz w:val="24"/>
          <w:szCs w:val="24"/>
        </w:rPr>
        <w:t>92(1-2</w:t>
      </w:r>
      <w:proofErr w:type="gramStart"/>
      <w:r w:rsidRPr="00987F08">
        <w:rPr>
          <w:rFonts w:eastAsia="Times New Roman"/>
          <w:b/>
          <w:color w:val="000000" w:themeColor="text1"/>
          <w:sz w:val="24"/>
          <w:szCs w:val="24"/>
        </w:rPr>
        <w:t xml:space="preserve">) </w:t>
      </w:r>
      <w:r w:rsidRPr="00987F08">
        <w:rPr>
          <w:rFonts w:eastAsia="Times New Roman"/>
          <w:color w:val="000000" w:themeColor="text1"/>
          <w:sz w:val="24"/>
          <w:szCs w:val="24"/>
        </w:rPr>
        <w:t>:</w:t>
      </w:r>
      <w:proofErr w:type="gramEnd"/>
      <w:r w:rsidRPr="00987F08">
        <w:rPr>
          <w:rFonts w:eastAsia="Times New Roman"/>
          <w:b/>
          <w:color w:val="000000" w:themeColor="text1"/>
          <w:sz w:val="24"/>
          <w:szCs w:val="24"/>
        </w:rPr>
        <w:t xml:space="preserve"> </w:t>
      </w:r>
      <w:r w:rsidRPr="00987F08">
        <w:rPr>
          <w:rFonts w:eastAsia="Times New Roman"/>
          <w:color w:val="000000" w:themeColor="text1"/>
          <w:sz w:val="24"/>
          <w:szCs w:val="24"/>
        </w:rPr>
        <w:t>73 - 86.</w:t>
      </w:r>
    </w:p>
    <w:p w14:paraId="05E8E2AD" w14:textId="77777777" w:rsidR="00E77C5A" w:rsidRPr="00987F08" w:rsidRDefault="00E77C5A" w:rsidP="00987F08">
      <w:pPr>
        <w:pStyle w:val="Normal1"/>
        <w:spacing w:after="240"/>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Das, A. </w:t>
      </w:r>
      <w:r w:rsidR="00987F08" w:rsidRPr="00987F08">
        <w:rPr>
          <w:rFonts w:eastAsia="Times New Roman"/>
          <w:color w:val="000000" w:themeColor="text1"/>
          <w:sz w:val="24"/>
          <w:szCs w:val="24"/>
        </w:rPr>
        <w:t>(</w:t>
      </w:r>
      <w:r w:rsidRPr="00987F08">
        <w:rPr>
          <w:rFonts w:eastAsia="Times New Roman"/>
          <w:color w:val="000000" w:themeColor="text1"/>
          <w:sz w:val="24"/>
          <w:szCs w:val="24"/>
        </w:rPr>
        <w:t>2008</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w:t>
      </w:r>
      <w:r w:rsidRPr="00987F08">
        <w:rPr>
          <w:rFonts w:eastAsia="Times New Roman"/>
          <w:i/>
          <w:color w:val="000000" w:themeColor="text1"/>
          <w:sz w:val="24"/>
          <w:szCs w:val="24"/>
        </w:rPr>
        <w:t xml:space="preserve">Studies on the Isolates of </w:t>
      </w:r>
      <w:proofErr w:type="spellStart"/>
      <w:r w:rsidRPr="00987F08">
        <w:rPr>
          <w:rFonts w:eastAsia="Times New Roman"/>
          <w:i/>
          <w:color w:val="000000" w:themeColor="text1"/>
          <w:sz w:val="24"/>
          <w:szCs w:val="24"/>
        </w:rPr>
        <w:t>Rhizoctonia</w:t>
      </w:r>
      <w:proofErr w:type="spellEnd"/>
      <w:r w:rsidRPr="00987F08">
        <w:rPr>
          <w:rFonts w:eastAsia="Times New Roman"/>
          <w:i/>
          <w:color w:val="000000" w:themeColor="text1"/>
          <w:sz w:val="24"/>
          <w:szCs w:val="24"/>
        </w:rPr>
        <w:t xml:space="preserve"> </w:t>
      </w:r>
      <w:proofErr w:type="spellStart"/>
      <w:r w:rsidRPr="00987F08">
        <w:rPr>
          <w:rFonts w:eastAsia="Times New Roman"/>
          <w:i/>
          <w:color w:val="000000" w:themeColor="text1"/>
          <w:sz w:val="24"/>
          <w:szCs w:val="24"/>
        </w:rPr>
        <w:t>solani</w:t>
      </w:r>
      <w:proofErr w:type="spellEnd"/>
      <w:r w:rsidRPr="00987F08">
        <w:rPr>
          <w:rFonts w:eastAsia="Times New Roman"/>
          <w:i/>
          <w:color w:val="000000" w:themeColor="text1"/>
          <w:sz w:val="24"/>
          <w:szCs w:val="24"/>
        </w:rPr>
        <w:t xml:space="preserve"> and Other Fungal       </w:t>
      </w:r>
      <w:r w:rsidRPr="00987F08">
        <w:rPr>
          <w:rFonts w:eastAsia="Times New Roman"/>
          <w:i/>
          <w:color w:val="000000" w:themeColor="text1"/>
          <w:sz w:val="24"/>
          <w:szCs w:val="24"/>
        </w:rPr>
        <w:tab/>
        <w:t>Pathogens Associated with Rice Sheath Blight and Spots</w:t>
      </w:r>
      <w:r w:rsidRPr="00987F08">
        <w:rPr>
          <w:rFonts w:eastAsia="Times New Roman"/>
          <w:color w:val="000000" w:themeColor="text1"/>
          <w:sz w:val="24"/>
          <w:szCs w:val="24"/>
        </w:rPr>
        <w:t xml:space="preserve">. M. Sc. (Ag.). Plant Pathology Dissertation, B. C. K. V., </w:t>
      </w:r>
      <w:proofErr w:type="spellStart"/>
      <w:r w:rsidRPr="00987F08">
        <w:rPr>
          <w:rFonts w:eastAsia="Times New Roman"/>
          <w:color w:val="000000" w:themeColor="text1"/>
          <w:sz w:val="24"/>
          <w:szCs w:val="24"/>
        </w:rPr>
        <w:t>Mohanpur</w:t>
      </w:r>
      <w:proofErr w:type="spellEnd"/>
      <w:r w:rsidRPr="00987F08">
        <w:rPr>
          <w:rFonts w:eastAsia="Times New Roman"/>
          <w:color w:val="000000" w:themeColor="text1"/>
          <w:sz w:val="24"/>
          <w:szCs w:val="24"/>
        </w:rPr>
        <w:t xml:space="preserve">. </w:t>
      </w:r>
      <w:r w:rsidRPr="00987F08">
        <w:rPr>
          <w:rFonts w:eastAsia="Times New Roman"/>
          <w:b/>
          <w:color w:val="000000" w:themeColor="text1"/>
          <w:sz w:val="24"/>
          <w:szCs w:val="24"/>
        </w:rPr>
        <w:t>p.</w:t>
      </w:r>
      <w:r w:rsidRPr="00987F08">
        <w:rPr>
          <w:rFonts w:eastAsia="Times New Roman"/>
          <w:color w:val="000000" w:themeColor="text1"/>
          <w:sz w:val="24"/>
          <w:szCs w:val="24"/>
        </w:rPr>
        <w:t xml:space="preserve"> 81.</w:t>
      </w:r>
    </w:p>
    <w:p w14:paraId="524CBEBE" w14:textId="77777777" w:rsidR="00E77C5A" w:rsidRPr="00987F08" w:rsidRDefault="00E77C5A" w:rsidP="00E77C5A">
      <w:pPr>
        <w:pStyle w:val="Normal1"/>
        <w:spacing w:line="360" w:lineRule="auto"/>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Davis, J.I. </w:t>
      </w:r>
      <w:r w:rsidR="00987F08" w:rsidRPr="00987F08">
        <w:rPr>
          <w:rFonts w:eastAsia="Times New Roman"/>
          <w:color w:val="000000" w:themeColor="text1"/>
          <w:sz w:val="24"/>
          <w:szCs w:val="24"/>
        </w:rPr>
        <w:t>(</w:t>
      </w:r>
      <w:r w:rsidRPr="00987F08">
        <w:rPr>
          <w:rFonts w:eastAsia="Times New Roman"/>
          <w:color w:val="000000" w:themeColor="text1"/>
          <w:sz w:val="24"/>
          <w:szCs w:val="24"/>
        </w:rPr>
        <w:t>1995</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Species concepts and phylogenetic analysis. </w:t>
      </w:r>
      <w:r w:rsidRPr="00987F08">
        <w:rPr>
          <w:rFonts w:eastAsia="Times New Roman"/>
          <w:i/>
          <w:color w:val="000000" w:themeColor="text1"/>
          <w:sz w:val="24"/>
          <w:szCs w:val="24"/>
        </w:rPr>
        <w:t xml:space="preserve">Introduction Syst. Bot. </w:t>
      </w:r>
      <w:proofErr w:type="gramStart"/>
      <w:r w:rsidRPr="00987F08">
        <w:rPr>
          <w:rFonts w:eastAsia="Times New Roman"/>
          <w:b/>
          <w:color w:val="000000" w:themeColor="text1"/>
          <w:sz w:val="24"/>
          <w:szCs w:val="24"/>
        </w:rPr>
        <w:t xml:space="preserve">20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555 - 559.</w:t>
      </w:r>
    </w:p>
    <w:p w14:paraId="653E6C31" w14:textId="77777777" w:rsidR="00E77C5A" w:rsidRPr="00987F08" w:rsidRDefault="00E77C5A" w:rsidP="00E77C5A">
      <w:pPr>
        <w:pStyle w:val="Normal1"/>
        <w:spacing w:line="360" w:lineRule="auto"/>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Diba, K., </w:t>
      </w:r>
      <w:proofErr w:type="spellStart"/>
      <w:r w:rsidRPr="00987F08">
        <w:rPr>
          <w:rFonts w:eastAsia="Times New Roman"/>
          <w:color w:val="000000" w:themeColor="text1"/>
          <w:sz w:val="24"/>
          <w:szCs w:val="24"/>
        </w:rPr>
        <w:t>Kordbacheh</w:t>
      </w:r>
      <w:proofErr w:type="spellEnd"/>
      <w:r w:rsidRPr="00987F08">
        <w:rPr>
          <w:rFonts w:eastAsia="Times New Roman"/>
          <w:color w:val="000000" w:themeColor="text1"/>
          <w:sz w:val="24"/>
          <w:szCs w:val="24"/>
        </w:rPr>
        <w:t xml:space="preserve">, P., </w:t>
      </w:r>
      <w:proofErr w:type="spellStart"/>
      <w:r w:rsidRPr="00987F08">
        <w:rPr>
          <w:rFonts w:eastAsia="Times New Roman"/>
          <w:color w:val="000000" w:themeColor="text1"/>
          <w:sz w:val="24"/>
          <w:szCs w:val="24"/>
        </w:rPr>
        <w:t>Mirhendi</w:t>
      </w:r>
      <w:proofErr w:type="spellEnd"/>
      <w:r w:rsidRPr="00987F08">
        <w:rPr>
          <w:rFonts w:eastAsia="Times New Roman"/>
          <w:color w:val="000000" w:themeColor="text1"/>
          <w:sz w:val="24"/>
          <w:szCs w:val="24"/>
        </w:rPr>
        <w:t xml:space="preserve">, S. H., Rezaie, S. and Mahmoudi, M. </w:t>
      </w:r>
      <w:r w:rsidR="00987F08" w:rsidRPr="00987F08">
        <w:rPr>
          <w:rFonts w:eastAsia="Times New Roman"/>
          <w:color w:val="000000" w:themeColor="text1"/>
          <w:sz w:val="24"/>
          <w:szCs w:val="24"/>
        </w:rPr>
        <w:t>(</w:t>
      </w:r>
      <w:r w:rsidRPr="00987F08">
        <w:rPr>
          <w:rFonts w:eastAsia="Times New Roman"/>
          <w:color w:val="000000" w:themeColor="text1"/>
          <w:sz w:val="24"/>
          <w:szCs w:val="24"/>
        </w:rPr>
        <w:t>2007</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Identification of </w:t>
      </w:r>
      <w:r w:rsidRPr="00987F08">
        <w:rPr>
          <w:rFonts w:eastAsia="Times New Roman"/>
          <w:i/>
          <w:color w:val="000000" w:themeColor="text1"/>
          <w:sz w:val="24"/>
          <w:szCs w:val="24"/>
        </w:rPr>
        <w:t xml:space="preserve">Aspergillus </w:t>
      </w:r>
      <w:r w:rsidRPr="00987F08">
        <w:rPr>
          <w:rFonts w:eastAsia="Times New Roman"/>
          <w:color w:val="000000" w:themeColor="text1"/>
          <w:sz w:val="24"/>
          <w:szCs w:val="24"/>
        </w:rPr>
        <w:t xml:space="preserve">species using morphological characteristics. </w:t>
      </w:r>
      <w:r w:rsidRPr="00987F08">
        <w:rPr>
          <w:rFonts w:eastAsia="Times New Roman"/>
          <w:i/>
          <w:color w:val="000000" w:themeColor="text1"/>
          <w:sz w:val="24"/>
          <w:szCs w:val="24"/>
        </w:rPr>
        <w:t xml:space="preserve">Pak. J. Med. Sci. </w:t>
      </w:r>
      <w:r w:rsidRPr="00987F08">
        <w:rPr>
          <w:rFonts w:eastAsia="Times New Roman"/>
          <w:b/>
          <w:color w:val="000000" w:themeColor="text1"/>
          <w:sz w:val="24"/>
          <w:szCs w:val="24"/>
        </w:rPr>
        <w:t>23(6</w:t>
      </w:r>
      <w:proofErr w:type="gramStart"/>
      <w:r w:rsidRPr="00987F08">
        <w:rPr>
          <w:rFonts w:eastAsia="Times New Roman"/>
          <w:b/>
          <w:color w:val="000000" w:themeColor="text1"/>
          <w:sz w:val="24"/>
          <w:szCs w:val="24"/>
        </w:rPr>
        <w:t xml:space="preserve">)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867 - 872.</w:t>
      </w:r>
    </w:p>
    <w:p w14:paraId="26C98698" w14:textId="77777777" w:rsidR="00E77C5A" w:rsidRPr="00987F08" w:rsidRDefault="00E77C5A" w:rsidP="00E77C5A">
      <w:pPr>
        <w:pStyle w:val="Normal1"/>
        <w:spacing w:line="360" w:lineRule="auto"/>
        <w:ind w:left="709" w:hanging="709"/>
        <w:jc w:val="both"/>
        <w:rPr>
          <w:rFonts w:eastAsia="Times New Roman"/>
          <w:color w:val="000000" w:themeColor="text1"/>
          <w:sz w:val="24"/>
          <w:szCs w:val="24"/>
        </w:rPr>
      </w:pPr>
      <w:proofErr w:type="spellStart"/>
      <w:r w:rsidRPr="00987F08">
        <w:rPr>
          <w:rFonts w:eastAsia="Times New Roman"/>
          <w:color w:val="000000" w:themeColor="text1"/>
          <w:sz w:val="24"/>
          <w:szCs w:val="24"/>
        </w:rPr>
        <w:t>Guarro</w:t>
      </w:r>
      <w:proofErr w:type="spellEnd"/>
      <w:r w:rsidRPr="00987F08">
        <w:rPr>
          <w:rFonts w:eastAsia="Times New Roman"/>
          <w:color w:val="000000" w:themeColor="text1"/>
          <w:sz w:val="24"/>
          <w:szCs w:val="24"/>
        </w:rPr>
        <w:t xml:space="preserve">, J., </w:t>
      </w:r>
      <w:proofErr w:type="spellStart"/>
      <w:r w:rsidRPr="00987F08">
        <w:rPr>
          <w:rFonts w:eastAsia="Times New Roman"/>
          <w:color w:val="000000" w:themeColor="text1"/>
          <w:sz w:val="24"/>
          <w:szCs w:val="24"/>
        </w:rPr>
        <w:t>Josepa</w:t>
      </w:r>
      <w:proofErr w:type="spellEnd"/>
      <w:r w:rsidRPr="00987F08">
        <w:rPr>
          <w:rFonts w:eastAsia="Times New Roman"/>
          <w:color w:val="000000" w:themeColor="text1"/>
          <w:sz w:val="24"/>
          <w:szCs w:val="24"/>
        </w:rPr>
        <w:t xml:space="preserve">, G. and </w:t>
      </w:r>
      <w:proofErr w:type="spellStart"/>
      <w:r w:rsidRPr="00987F08">
        <w:rPr>
          <w:rFonts w:eastAsia="Times New Roman"/>
          <w:color w:val="000000" w:themeColor="text1"/>
          <w:sz w:val="24"/>
          <w:szCs w:val="24"/>
        </w:rPr>
        <w:t>Stchigel</w:t>
      </w:r>
      <w:proofErr w:type="spellEnd"/>
      <w:r w:rsidRPr="00987F08">
        <w:rPr>
          <w:rFonts w:eastAsia="Times New Roman"/>
          <w:color w:val="000000" w:themeColor="text1"/>
          <w:sz w:val="24"/>
          <w:szCs w:val="24"/>
        </w:rPr>
        <w:t xml:space="preserve">, A. M. </w:t>
      </w:r>
      <w:r w:rsidR="00987F08" w:rsidRPr="00987F08">
        <w:rPr>
          <w:rFonts w:eastAsia="Times New Roman"/>
          <w:color w:val="000000" w:themeColor="text1"/>
          <w:sz w:val="24"/>
          <w:szCs w:val="24"/>
        </w:rPr>
        <w:t>(</w:t>
      </w:r>
      <w:r w:rsidRPr="00987F08">
        <w:rPr>
          <w:rFonts w:eastAsia="Times New Roman"/>
          <w:color w:val="000000" w:themeColor="text1"/>
          <w:sz w:val="24"/>
          <w:szCs w:val="24"/>
        </w:rPr>
        <w:t>1999</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Developments in fungal taxonomy.      </w:t>
      </w:r>
      <w:r w:rsidRPr="00987F08">
        <w:rPr>
          <w:rFonts w:eastAsia="Times New Roman"/>
          <w:color w:val="000000" w:themeColor="text1"/>
          <w:sz w:val="24"/>
          <w:szCs w:val="24"/>
        </w:rPr>
        <w:tab/>
      </w:r>
      <w:r w:rsidRPr="00987F08">
        <w:rPr>
          <w:rFonts w:eastAsia="Times New Roman"/>
          <w:i/>
          <w:color w:val="000000" w:themeColor="text1"/>
          <w:sz w:val="24"/>
          <w:szCs w:val="24"/>
        </w:rPr>
        <w:t xml:space="preserve">Clin. Microbiol. Rev. </w:t>
      </w:r>
      <w:proofErr w:type="gramStart"/>
      <w:r w:rsidRPr="00987F08">
        <w:rPr>
          <w:rFonts w:eastAsia="Times New Roman"/>
          <w:b/>
          <w:color w:val="000000" w:themeColor="text1"/>
          <w:sz w:val="24"/>
          <w:szCs w:val="24"/>
        </w:rPr>
        <w:t xml:space="preserve">12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454 - 500.</w:t>
      </w:r>
    </w:p>
    <w:p w14:paraId="1C3D3330" w14:textId="77777777" w:rsidR="00E77C5A" w:rsidRPr="00987F08" w:rsidRDefault="00E77C5A" w:rsidP="00E77C5A">
      <w:pPr>
        <w:pStyle w:val="Normal1"/>
        <w:spacing w:after="240" w:line="360" w:lineRule="auto"/>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Kuhn, D. M. and </w:t>
      </w:r>
      <w:proofErr w:type="spellStart"/>
      <w:r w:rsidRPr="00987F08">
        <w:rPr>
          <w:rFonts w:eastAsia="Times New Roman"/>
          <w:color w:val="000000" w:themeColor="text1"/>
          <w:sz w:val="24"/>
          <w:szCs w:val="24"/>
        </w:rPr>
        <w:t>Ghonnoum</w:t>
      </w:r>
      <w:proofErr w:type="spellEnd"/>
      <w:r w:rsidRPr="00987F08">
        <w:rPr>
          <w:rFonts w:eastAsia="Times New Roman"/>
          <w:color w:val="000000" w:themeColor="text1"/>
          <w:sz w:val="24"/>
          <w:szCs w:val="24"/>
        </w:rPr>
        <w:t xml:space="preserve">, M. A. </w:t>
      </w:r>
      <w:r w:rsidR="00987F08" w:rsidRPr="00987F08">
        <w:rPr>
          <w:rFonts w:eastAsia="Times New Roman"/>
          <w:color w:val="000000" w:themeColor="text1"/>
          <w:sz w:val="24"/>
          <w:szCs w:val="24"/>
        </w:rPr>
        <w:t>(</w:t>
      </w:r>
      <w:r w:rsidRPr="00987F08">
        <w:rPr>
          <w:rFonts w:eastAsia="Times New Roman"/>
          <w:color w:val="000000" w:themeColor="text1"/>
          <w:sz w:val="24"/>
          <w:szCs w:val="24"/>
        </w:rPr>
        <w:t>2003</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Indoor mold, toxigenic fungi and      </w:t>
      </w:r>
      <w:r w:rsidRPr="00987F08">
        <w:rPr>
          <w:rFonts w:eastAsia="Times New Roman"/>
          <w:color w:val="000000" w:themeColor="text1"/>
          <w:sz w:val="24"/>
          <w:szCs w:val="24"/>
        </w:rPr>
        <w:tab/>
      </w:r>
      <w:proofErr w:type="spellStart"/>
      <w:r w:rsidRPr="00987F08">
        <w:rPr>
          <w:rFonts w:eastAsia="Times New Roman"/>
          <w:i/>
          <w:color w:val="000000" w:themeColor="text1"/>
          <w:sz w:val="24"/>
          <w:szCs w:val="24"/>
        </w:rPr>
        <w:t>Stachybotrys</w:t>
      </w:r>
      <w:proofErr w:type="spellEnd"/>
      <w:r w:rsidRPr="00987F08">
        <w:rPr>
          <w:rFonts w:eastAsia="Times New Roman"/>
          <w:i/>
          <w:color w:val="000000" w:themeColor="text1"/>
          <w:sz w:val="24"/>
          <w:szCs w:val="24"/>
        </w:rPr>
        <w:t xml:space="preserve"> </w:t>
      </w:r>
      <w:proofErr w:type="spellStart"/>
      <w:r w:rsidRPr="00987F08">
        <w:rPr>
          <w:rFonts w:eastAsia="Times New Roman"/>
          <w:i/>
          <w:color w:val="000000" w:themeColor="text1"/>
          <w:sz w:val="24"/>
          <w:szCs w:val="24"/>
        </w:rPr>
        <w:t>Chartarum</w:t>
      </w:r>
      <w:proofErr w:type="spellEnd"/>
      <w:r w:rsidRPr="00987F08">
        <w:rPr>
          <w:rFonts w:eastAsia="Times New Roman"/>
          <w:color w:val="000000" w:themeColor="text1"/>
          <w:sz w:val="24"/>
          <w:szCs w:val="24"/>
        </w:rPr>
        <w:t xml:space="preserve">: Infectious disease perspective. </w:t>
      </w:r>
      <w:r w:rsidRPr="00987F08">
        <w:rPr>
          <w:rFonts w:eastAsia="Times New Roman"/>
          <w:i/>
          <w:color w:val="000000" w:themeColor="text1"/>
          <w:sz w:val="24"/>
          <w:szCs w:val="24"/>
        </w:rPr>
        <w:t>Clin. Microbiol. Rev.</w:t>
      </w:r>
      <w:r w:rsidRPr="00987F08">
        <w:rPr>
          <w:rFonts w:eastAsia="Times New Roman"/>
          <w:b/>
          <w:color w:val="000000" w:themeColor="text1"/>
          <w:sz w:val="24"/>
          <w:szCs w:val="24"/>
        </w:rPr>
        <w:t>16(1</w:t>
      </w:r>
      <w:proofErr w:type="gramStart"/>
      <w:r w:rsidRPr="00987F08">
        <w:rPr>
          <w:rFonts w:eastAsia="Times New Roman"/>
          <w:b/>
          <w:color w:val="000000" w:themeColor="text1"/>
          <w:sz w:val="24"/>
          <w:szCs w:val="24"/>
        </w:rPr>
        <w:t xml:space="preserve">)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144 - 172.</w:t>
      </w:r>
    </w:p>
    <w:p w14:paraId="72E1743A" w14:textId="77777777" w:rsidR="00E77C5A" w:rsidRPr="00987F08" w:rsidRDefault="00E77C5A" w:rsidP="00E77C5A">
      <w:pPr>
        <w:pStyle w:val="Normal1"/>
        <w:spacing w:line="360" w:lineRule="auto"/>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Kumara, K.L.W. and Rawal, R. D. </w:t>
      </w:r>
      <w:r w:rsidR="00987F08" w:rsidRPr="00987F08">
        <w:rPr>
          <w:rFonts w:eastAsia="Times New Roman"/>
          <w:color w:val="000000" w:themeColor="text1"/>
          <w:sz w:val="24"/>
          <w:szCs w:val="24"/>
        </w:rPr>
        <w:t>(</w:t>
      </w:r>
      <w:r w:rsidRPr="00987F08">
        <w:rPr>
          <w:rFonts w:eastAsia="Times New Roman"/>
          <w:color w:val="000000" w:themeColor="text1"/>
          <w:sz w:val="24"/>
          <w:szCs w:val="24"/>
        </w:rPr>
        <w:t>2008</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Influence of carbon, nitrogen temperature and pH on the growth and sporulation of some Indian isolates of </w:t>
      </w:r>
      <w:r w:rsidRPr="00987F08">
        <w:rPr>
          <w:rFonts w:eastAsia="Times New Roman"/>
          <w:i/>
          <w:color w:val="000000" w:themeColor="text1"/>
          <w:sz w:val="24"/>
          <w:szCs w:val="24"/>
        </w:rPr>
        <w:t xml:space="preserve">Colletotrichum </w:t>
      </w:r>
      <w:proofErr w:type="spellStart"/>
      <w:r w:rsidRPr="00987F08">
        <w:rPr>
          <w:rFonts w:eastAsia="Times New Roman"/>
          <w:i/>
          <w:color w:val="000000" w:themeColor="text1"/>
          <w:sz w:val="24"/>
          <w:szCs w:val="24"/>
        </w:rPr>
        <w:t>gloeosporioides</w:t>
      </w:r>
      <w:proofErr w:type="spellEnd"/>
      <w:r w:rsidRPr="00987F08">
        <w:rPr>
          <w:rFonts w:eastAsia="Times New Roman"/>
          <w:color w:val="000000" w:themeColor="text1"/>
          <w:sz w:val="24"/>
          <w:szCs w:val="24"/>
        </w:rPr>
        <w:t xml:space="preserve"> causing anthracnose disease of papaya</w:t>
      </w:r>
      <w:proofErr w:type="gramStart"/>
      <w:r w:rsidRPr="00987F08">
        <w:rPr>
          <w:rFonts w:eastAsia="Times New Roman"/>
          <w:color w:val="000000" w:themeColor="text1"/>
          <w:sz w:val="24"/>
          <w:szCs w:val="24"/>
        </w:rPr>
        <w:t xml:space="preserve">   (</w:t>
      </w:r>
      <w:proofErr w:type="gramEnd"/>
      <w:r w:rsidRPr="00987F08">
        <w:rPr>
          <w:rFonts w:eastAsia="Times New Roman"/>
          <w:i/>
          <w:color w:val="000000" w:themeColor="text1"/>
          <w:sz w:val="24"/>
          <w:szCs w:val="24"/>
        </w:rPr>
        <w:t>Carica papaya</w:t>
      </w:r>
      <w:r w:rsidRPr="00987F08">
        <w:rPr>
          <w:rFonts w:eastAsia="Times New Roman"/>
          <w:color w:val="000000" w:themeColor="text1"/>
          <w:sz w:val="24"/>
          <w:szCs w:val="24"/>
        </w:rPr>
        <w:t xml:space="preserve"> L). </w:t>
      </w:r>
      <w:r w:rsidRPr="00987F08">
        <w:rPr>
          <w:rFonts w:eastAsia="Times New Roman"/>
          <w:i/>
          <w:color w:val="000000" w:themeColor="text1"/>
          <w:sz w:val="24"/>
          <w:szCs w:val="24"/>
        </w:rPr>
        <w:t xml:space="preserve">Trop. Agric. Res. Ext. </w:t>
      </w:r>
      <w:proofErr w:type="gramStart"/>
      <w:r w:rsidRPr="00987F08">
        <w:rPr>
          <w:rFonts w:eastAsia="Times New Roman"/>
          <w:b/>
          <w:color w:val="000000" w:themeColor="text1"/>
          <w:sz w:val="24"/>
          <w:szCs w:val="24"/>
        </w:rPr>
        <w:t xml:space="preserve">11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7 - 12.</w:t>
      </w:r>
    </w:p>
    <w:p w14:paraId="4E34D353" w14:textId="77777777" w:rsidR="00E77C5A" w:rsidRPr="00987F08" w:rsidRDefault="00E77C5A" w:rsidP="00E77C5A">
      <w:pPr>
        <w:pStyle w:val="Normal1"/>
        <w:spacing w:line="360" w:lineRule="auto"/>
        <w:ind w:left="720" w:hanging="720"/>
        <w:jc w:val="both"/>
        <w:rPr>
          <w:rFonts w:eastAsia="Times New Roman"/>
          <w:color w:val="000000" w:themeColor="text1"/>
          <w:sz w:val="24"/>
          <w:szCs w:val="24"/>
        </w:rPr>
      </w:pPr>
      <w:proofErr w:type="spellStart"/>
      <w:r w:rsidRPr="00987F08">
        <w:rPr>
          <w:rFonts w:eastAsia="Times New Roman"/>
          <w:color w:val="000000" w:themeColor="text1"/>
          <w:sz w:val="24"/>
          <w:szCs w:val="24"/>
        </w:rPr>
        <w:t>Lević</w:t>
      </w:r>
      <w:proofErr w:type="spellEnd"/>
      <w:r w:rsidRPr="00987F08">
        <w:rPr>
          <w:rFonts w:eastAsia="Times New Roman"/>
          <w:color w:val="000000" w:themeColor="text1"/>
          <w:sz w:val="24"/>
          <w:szCs w:val="24"/>
        </w:rPr>
        <w:t xml:space="preserve">, J., Petrović, T., Stanković, S. and Ivanović, D. </w:t>
      </w:r>
      <w:r w:rsidR="00987F08" w:rsidRPr="00987F08">
        <w:rPr>
          <w:rFonts w:eastAsia="Times New Roman"/>
          <w:color w:val="000000" w:themeColor="text1"/>
          <w:sz w:val="24"/>
          <w:szCs w:val="24"/>
        </w:rPr>
        <w:t>(</w:t>
      </w:r>
      <w:r w:rsidRPr="00987F08">
        <w:rPr>
          <w:rFonts w:eastAsia="Times New Roman"/>
          <w:color w:val="000000" w:themeColor="text1"/>
          <w:sz w:val="24"/>
          <w:szCs w:val="24"/>
        </w:rPr>
        <w:t>2012</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Pathogenicity of </w:t>
      </w:r>
      <w:r w:rsidRPr="00987F08">
        <w:rPr>
          <w:rFonts w:eastAsia="Times New Roman"/>
          <w:i/>
          <w:color w:val="000000" w:themeColor="text1"/>
          <w:sz w:val="24"/>
          <w:szCs w:val="24"/>
        </w:rPr>
        <w:t xml:space="preserve">P.    </w:t>
      </w:r>
      <w:r w:rsidRPr="00987F08">
        <w:rPr>
          <w:rFonts w:eastAsia="Times New Roman"/>
          <w:i/>
          <w:color w:val="000000" w:themeColor="text1"/>
          <w:sz w:val="24"/>
          <w:szCs w:val="24"/>
        </w:rPr>
        <w:tab/>
        <w:t>terrestris</w:t>
      </w:r>
      <w:r w:rsidRPr="00987F08">
        <w:rPr>
          <w:rFonts w:eastAsia="Times New Roman"/>
          <w:color w:val="000000" w:themeColor="text1"/>
          <w:sz w:val="24"/>
          <w:szCs w:val="24"/>
        </w:rPr>
        <w:t xml:space="preserve"> on maize seedlings. </w:t>
      </w:r>
      <w:proofErr w:type="spellStart"/>
      <w:r w:rsidRPr="00987F08">
        <w:rPr>
          <w:rFonts w:eastAsia="Times New Roman"/>
          <w:i/>
          <w:color w:val="000000" w:themeColor="text1"/>
          <w:sz w:val="24"/>
          <w:szCs w:val="24"/>
        </w:rPr>
        <w:t>Pestic</w:t>
      </w:r>
      <w:proofErr w:type="spellEnd"/>
      <w:r w:rsidRPr="00987F08">
        <w:rPr>
          <w:rFonts w:eastAsia="Times New Roman"/>
          <w:i/>
          <w:color w:val="000000" w:themeColor="text1"/>
          <w:sz w:val="24"/>
          <w:szCs w:val="24"/>
        </w:rPr>
        <w:t xml:space="preserve">. </w:t>
      </w:r>
      <w:proofErr w:type="spellStart"/>
      <w:r w:rsidRPr="00987F08">
        <w:rPr>
          <w:rFonts w:eastAsia="Times New Roman"/>
          <w:i/>
          <w:color w:val="000000" w:themeColor="text1"/>
          <w:sz w:val="24"/>
          <w:szCs w:val="24"/>
        </w:rPr>
        <w:t>Phytomed</w:t>
      </w:r>
      <w:proofErr w:type="spellEnd"/>
      <w:r w:rsidRPr="00987F08">
        <w:rPr>
          <w:rFonts w:eastAsia="Times New Roman"/>
          <w:color w:val="000000" w:themeColor="text1"/>
          <w:sz w:val="24"/>
          <w:szCs w:val="24"/>
        </w:rPr>
        <w:t xml:space="preserve">. </w:t>
      </w:r>
      <w:r w:rsidRPr="00987F08">
        <w:rPr>
          <w:rFonts w:eastAsia="Times New Roman"/>
          <w:b/>
          <w:color w:val="000000" w:themeColor="text1"/>
          <w:sz w:val="24"/>
          <w:szCs w:val="24"/>
        </w:rPr>
        <w:t>27(3</w:t>
      </w:r>
      <w:proofErr w:type="gramStart"/>
      <w:r w:rsidRPr="00987F08">
        <w:rPr>
          <w:rFonts w:eastAsia="Times New Roman"/>
          <w:b/>
          <w:color w:val="000000" w:themeColor="text1"/>
          <w:sz w:val="24"/>
          <w:szCs w:val="24"/>
        </w:rPr>
        <w:t xml:space="preserve">)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213 – 217.</w:t>
      </w:r>
    </w:p>
    <w:p w14:paraId="5B9BF38A" w14:textId="77777777" w:rsidR="00E77C5A" w:rsidRPr="00987F08" w:rsidRDefault="00E77C5A" w:rsidP="00E77C5A">
      <w:pPr>
        <w:pStyle w:val="Normal1"/>
        <w:spacing w:line="360" w:lineRule="auto"/>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Northolt, M. D. and Bullerman, L. B. </w:t>
      </w:r>
      <w:r w:rsidR="00987F08" w:rsidRPr="00987F08">
        <w:rPr>
          <w:rFonts w:eastAsia="Times New Roman"/>
          <w:color w:val="000000" w:themeColor="text1"/>
          <w:sz w:val="24"/>
          <w:szCs w:val="24"/>
        </w:rPr>
        <w:t>(</w:t>
      </w:r>
      <w:r w:rsidRPr="00987F08">
        <w:rPr>
          <w:rFonts w:eastAsia="Times New Roman"/>
          <w:color w:val="000000" w:themeColor="text1"/>
          <w:sz w:val="24"/>
          <w:szCs w:val="24"/>
        </w:rPr>
        <w:t>1982</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Prevention of mold growth and toxin </w:t>
      </w:r>
      <w:r w:rsidRPr="00987F08">
        <w:rPr>
          <w:rFonts w:eastAsia="Times New Roman"/>
          <w:color w:val="000000" w:themeColor="text1"/>
          <w:sz w:val="24"/>
          <w:szCs w:val="24"/>
        </w:rPr>
        <w:tab/>
        <w:t xml:space="preserve">production through control of environmental condition. </w:t>
      </w:r>
      <w:r w:rsidRPr="00987F08">
        <w:rPr>
          <w:rFonts w:eastAsia="Times New Roman"/>
          <w:i/>
          <w:color w:val="000000" w:themeColor="text1"/>
          <w:sz w:val="24"/>
          <w:szCs w:val="24"/>
        </w:rPr>
        <w:t xml:space="preserve">J. Food Prot. </w:t>
      </w:r>
      <w:proofErr w:type="gramStart"/>
      <w:r w:rsidRPr="00987F08">
        <w:rPr>
          <w:rFonts w:eastAsia="Times New Roman"/>
          <w:b/>
          <w:color w:val="000000" w:themeColor="text1"/>
          <w:sz w:val="24"/>
          <w:szCs w:val="24"/>
        </w:rPr>
        <w:t xml:space="preserve">6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519 - 526.</w:t>
      </w:r>
    </w:p>
    <w:p w14:paraId="08DACD8D" w14:textId="77777777" w:rsidR="00E77C5A" w:rsidRPr="00987F08" w:rsidRDefault="00E77C5A" w:rsidP="00E77C5A">
      <w:pPr>
        <w:pStyle w:val="Normal1"/>
        <w:spacing w:line="360" w:lineRule="auto"/>
        <w:ind w:left="709" w:hanging="709"/>
        <w:jc w:val="both"/>
        <w:rPr>
          <w:rFonts w:eastAsia="Times New Roman"/>
          <w:color w:val="000000" w:themeColor="text1"/>
          <w:sz w:val="24"/>
          <w:szCs w:val="24"/>
        </w:rPr>
      </w:pPr>
      <w:proofErr w:type="spellStart"/>
      <w:r w:rsidRPr="00987F08">
        <w:rPr>
          <w:rFonts w:eastAsia="Times New Roman"/>
          <w:color w:val="000000" w:themeColor="text1"/>
          <w:sz w:val="24"/>
          <w:szCs w:val="24"/>
        </w:rPr>
        <w:lastRenderedPageBreak/>
        <w:t>Roustaee</w:t>
      </w:r>
      <w:proofErr w:type="spellEnd"/>
      <w:r w:rsidRPr="00987F08">
        <w:rPr>
          <w:rFonts w:eastAsia="Times New Roman"/>
          <w:color w:val="000000" w:themeColor="text1"/>
          <w:sz w:val="24"/>
          <w:szCs w:val="24"/>
        </w:rPr>
        <w:t xml:space="preserve">, A., Costes, S., Dechamp Guillaume, G. and Barrault, G. </w:t>
      </w:r>
      <w:r w:rsidR="00987F08" w:rsidRPr="00987F08">
        <w:rPr>
          <w:rFonts w:eastAsia="Times New Roman"/>
          <w:color w:val="000000" w:themeColor="text1"/>
          <w:sz w:val="24"/>
          <w:szCs w:val="24"/>
        </w:rPr>
        <w:t>(</w:t>
      </w:r>
      <w:r w:rsidRPr="00987F08">
        <w:rPr>
          <w:rFonts w:eastAsia="Times New Roman"/>
          <w:color w:val="000000" w:themeColor="text1"/>
          <w:sz w:val="24"/>
          <w:szCs w:val="24"/>
        </w:rPr>
        <w:t>2000</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Phenotypic    variability of </w:t>
      </w:r>
      <w:r w:rsidRPr="00987F08">
        <w:rPr>
          <w:rFonts w:eastAsia="Times New Roman"/>
          <w:i/>
          <w:color w:val="000000" w:themeColor="text1"/>
          <w:sz w:val="24"/>
          <w:szCs w:val="24"/>
        </w:rPr>
        <w:t xml:space="preserve">Leptosphaeria </w:t>
      </w:r>
      <w:proofErr w:type="spellStart"/>
      <w:r w:rsidRPr="00987F08">
        <w:rPr>
          <w:rFonts w:eastAsia="Times New Roman"/>
          <w:i/>
          <w:color w:val="000000" w:themeColor="text1"/>
          <w:sz w:val="24"/>
          <w:szCs w:val="24"/>
        </w:rPr>
        <w:t>lindquistii</w:t>
      </w:r>
      <w:proofErr w:type="spellEnd"/>
      <w:r w:rsidRPr="00987F08">
        <w:rPr>
          <w:rFonts w:eastAsia="Times New Roman"/>
          <w:color w:val="000000" w:themeColor="text1"/>
          <w:sz w:val="24"/>
          <w:szCs w:val="24"/>
        </w:rPr>
        <w:t xml:space="preserve"> (anamorph: </w:t>
      </w:r>
      <w:proofErr w:type="spellStart"/>
      <w:r w:rsidRPr="00987F08">
        <w:rPr>
          <w:rFonts w:eastAsia="Times New Roman"/>
          <w:i/>
          <w:color w:val="000000" w:themeColor="text1"/>
          <w:sz w:val="24"/>
          <w:szCs w:val="24"/>
        </w:rPr>
        <w:t>Phoma</w:t>
      </w:r>
      <w:proofErr w:type="spellEnd"/>
      <w:r w:rsidRPr="00987F08">
        <w:rPr>
          <w:rFonts w:eastAsia="Times New Roman"/>
          <w:i/>
          <w:color w:val="000000" w:themeColor="text1"/>
          <w:sz w:val="24"/>
          <w:szCs w:val="24"/>
        </w:rPr>
        <w:t xml:space="preserve"> </w:t>
      </w:r>
      <w:proofErr w:type="spellStart"/>
      <w:r w:rsidRPr="00987F08">
        <w:rPr>
          <w:rFonts w:eastAsia="Times New Roman"/>
          <w:i/>
          <w:color w:val="000000" w:themeColor="text1"/>
          <w:sz w:val="24"/>
          <w:szCs w:val="24"/>
        </w:rPr>
        <w:t>macdonaldii</w:t>
      </w:r>
      <w:proofErr w:type="spellEnd"/>
      <w:r w:rsidRPr="00987F08">
        <w:rPr>
          <w:rFonts w:eastAsia="Times New Roman"/>
          <w:color w:val="000000" w:themeColor="text1"/>
          <w:sz w:val="24"/>
          <w:szCs w:val="24"/>
        </w:rPr>
        <w:t xml:space="preserve">), a      </w:t>
      </w:r>
      <w:r w:rsidRPr="00987F08">
        <w:rPr>
          <w:rFonts w:eastAsia="Times New Roman"/>
          <w:color w:val="000000" w:themeColor="text1"/>
          <w:sz w:val="24"/>
          <w:szCs w:val="24"/>
        </w:rPr>
        <w:tab/>
        <w:t xml:space="preserve">fungal pathogen of sunflower. </w:t>
      </w:r>
      <w:r w:rsidRPr="00987F08">
        <w:rPr>
          <w:rFonts w:eastAsia="Times New Roman"/>
          <w:i/>
          <w:color w:val="000000" w:themeColor="text1"/>
          <w:sz w:val="24"/>
          <w:szCs w:val="24"/>
        </w:rPr>
        <w:t xml:space="preserve">Plant Pathology. </w:t>
      </w:r>
      <w:r w:rsidRPr="00987F08">
        <w:rPr>
          <w:rFonts w:eastAsia="Times New Roman"/>
          <w:b/>
          <w:color w:val="000000" w:themeColor="text1"/>
          <w:sz w:val="24"/>
          <w:szCs w:val="24"/>
        </w:rPr>
        <w:t>49(2</w:t>
      </w:r>
      <w:proofErr w:type="gramStart"/>
      <w:r w:rsidRPr="00987F08">
        <w:rPr>
          <w:rFonts w:eastAsia="Times New Roman"/>
          <w:b/>
          <w:color w:val="000000" w:themeColor="text1"/>
          <w:sz w:val="24"/>
          <w:szCs w:val="24"/>
        </w:rPr>
        <w:t xml:space="preserve">)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227-234.</w:t>
      </w:r>
    </w:p>
    <w:p w14:paraId="4D0C5A96" w14:textId="77777777" w:rsidR="00E77C5A" w:rsidRPr="00987F08" w:rsidRDefault="00E77C5A" w:rsidP="00E77C5A">
      <w:pPr>
        <w:pStyle w:val="Normal1"/>
        <w:spacing w:before="240" w:after="240" w:line="360" w:lineRule="auto"/>
        <w:ind w:left="709" w:hanging="709"/>
        <w:jc w:val="both"/>
        <w:rPr>
          <w:rFonts w:eastAsia="Times New Roman"/>
          <w:color w:val="000000" w:themeColor="text1"/>
          <w:sz w:val="24"/>
          <w:szCs w:val="24"/>
        </w:rPr>
      </w:pPr>
      <w:r w:rsidRPr="00987F08">
        <w:rPr>
          <w:rFonts w:eastAsia="Times New Roman"/>
          <w:color w:val="000000" w:themeColor="text1"/>
          <w:sz w:val="24"/>
          <w:szCs w:val="24"/>
        </w:rPr>
        <w:t xml:space="preserve">Zain, M. E., Razak, A. A., El-Sheikh, H. H., Soliman, H. G. and Khalil, A. M. </w:t>
      </w:r>
      <w:r w:rsidR="00987F08" w:rsidRPr="00987F08">
        <w:rPr>
          <w:rFonts w:eastAsia="Times New Roman"/>
          <w:color w:val="000000" w:themeColor="text1"/>
          <w:sz w:val="24"/>
          <w:szCs w:val="24"/>
        </w:rPr>
        <w:t>(</w:t>
      </w:r>
      <w:r w:rsidRPr="00987F08">
        <w:rPr>
          <w:rFonts w:eastAsia="Times New Roman"/>
          <w:color w:val="000000" w:themeColor="text1"/>
          <w:sz w:val="24"/>
          <w:szCs w:val="24"/>
        </w:rPr>
        <w:t>2009</w:t>
      </w:r>
      <w:r w:rsidR="00987F08" w:rsidRPr="00987F08">
        <w:rPr>
          <w:rFonts w:eastAsia="Times New Roman"/>
          <w:color w:val="000000" w:themeColor="text1"/>
          <w:sz w:val="24"/>
          <w:szCs w:val="24"/>
        </w:rPr>
        <w:t>)</w:t>
      </w:r>
      <w:r w:rsidRPr="00987F08">
        <w:rPr>
          <w:rFonts w:eastAsia="Times New Roman"/>
          <w:color w:val="000000" w:themeColor="text1"/>
          <w:sz w:val="24"/>
          <w:szCs w:val="24"/>
        </w:rPr>
        <w:t xml:space="preserve">. Influence of growth medium on diagnostic characters of </w:t>
      </w:r>
      <w:r w:rsidRPr="00987F08">
        <w:rPr>
          <w:rFonts w:eastAsia="Times New Roman"/>
          <w:i/>
          <w:color w:val="000000" w:themeColor="text1"/>
          <w:sz w:val="24"/>
          <w:szCs w:val="24"/>
        </w:rPr>
        <w:t>Aspergillus</w:t>
      </w:r>
      <w:r w:rsidRPr="00987F08">
        <w:rPr>
          <w:rFonts w:eastAsia="Times New Roman"/>
          <w:color w:val="000000" w:themeColor="text1"/>
          <w:sz w:val="24"/>
          <w:szCs w:val="24"/>
        </w:rPr>
        <w:t xml:space="preserve"> and </w:t>
      </w:r>
      <w:r w:rsidRPr="00987F08">
        <w:rPr>
          <w:rFonts w:eastAsia="Times New Roman"/>
          <w:i/>
          <w:color w:val="000000" w:themeColor="text1"/>
          <w:sz w:val="24"/>
          <w:szCs w:val="24"/>
        </w:rPr>
        <w:t xml:space="preserve">Penicillium </w:t>
      </w:r>
      <w:r w:rsidRPr="00987F08">
        <w:rPr>
          <w:rFonts w:eastAsia="Times New Roman"/>
          <w:color w:val="000000" w:themeColor="text1"/>
          <w:sz w:val="24"/>
          <w:szCs w:val="24"/>
        </w:rPr>
        <w:t xml:space="preserve">species. </w:t>
      </w:r>
      <w:r w:rsidRPr="00987F08">
        <w:rPr>
          <w:rFonts w:eastAsia="Times New Roman"/>
          <w:i/>
          <w:color w:val="000000" w:themeColor="text1"/>
          <w:sz w:val="24"/>
          <w:szCs w:val="24"/>
        </w:rPr>
        <w:t xml:space="preserve">Afr. J. Microbiol. Res. </w:t>
      </w:r>
      <w:r w:rsidRPr="00987F08">
        <w:rPr>
          <w:rFonts w:eastAsia="Times New Roman"/>
          <w:b/>
          <w:color w:val="000000" w:themeColor="text1"/>
          <w:sz w:val="24"/>
          <w:szCs w:val="24"/>
        </w:rPr>
        <w:t>3(5</w:t>
      </w:r>
      <w:proofErr w:type="gramStart"/>
      <w:r w:rsidRPr="00987F08">
        <w:rPr>
          <w:rFonts w:eastAsia="Times New Roman"/>
          <w:b/>
          <w:color w:val="000000" w:themeColor="text1"/>
          <w:sz w:val="24"/>
          <w:szCs w:val="24"/>
        </w:rPr>
        <w:t xml:space="preserve">) </w:t>
      </w:r>
      <w:r w:rsidRPr="00987F08">
        <w:rPr>
          <w:rFonts w:eastAsia="Times New Roman"/>
          <w:color w:val="000000" w:themeColor="text1"/>
          <w:sz w:val="24"/>
          <w:szCs w:val="24"/>
        </w:rPr>
        <w:t>:</w:t>
      </w:r>
      <w:proofErr w:type="gramEnd"/>
      <w:r w:rsidRPr="00987F08">
        <w:rPr>
          <w:rFonts w:eastAsia="Times New Roman"/>
          <w:color w:val="000000" w:themeColor="text1"/>
          <w:sz w:val="24"/>
          <w:szCs w:val="24"/>
        </w:rPr>
        <w:t xml:space="preserve"> 280 - 286.</w:t>
      </w:r>
    </w:p>
    <w:p w14:paraId="6DFC0774"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78B6DA9C"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19ED7B0D" w14:textId="77777777" w:rsidR="00FA4F42" w:rsidRDefault="00FA4F42" w:rsidP="00FA4F42">
      <w:pPr>
        <w:spacing w:line="360" w:lineRule="auto"/>
        <w:jc w:val="both"/>
        <w:rPr>
          <w:rFonts w:ascii="Times New Roman" w:hAnsi="Times New Roman"/>
          <w:b/>
          <w:bCs/>
          <w:sz w:val="24"/>
          <w:szCs w:val="24"/>
        </w:rPr>
      </w:pPr>
    </w:p>
    <w:p w14:paraId="4696563F" w14:textId="77777777" w:rsidR="00FA4F42" w:rsidRDefault="00FA4F42" w:rsidP="00FA4F42">
      <w:pPr>
        <w:spacing w:line="360" w:lineRule="auto"/>
        <w:jc w:val="both"/>
        <w:rPr>
          <w:rFonts w:ascii="Times New Roman" w:hAnsi="Times New Roman"/>
          <w:b/>
          <w:bCs/>
          <w:sz w:val="24"/>
          <w:szCs w:val="24"/>
        </w:rPr>
      </w:pPr>
    </w:p>
    <w:p w14:paraId="10779564"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56AAE363"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74E2206F"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22032981"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6E5BF1FB" w14:textId="77777777" w:rsidR="00FA4F42" w:rsidRDefault="00FA4F42" w:rsidP="00E77C5A">
      <w:pPr>
        <w:pStyle w:val="Normal1"/>
        <w:spacing w:before="240" w:after="240" w:line="360" w:lineRule="auto"/>
        <w:ind w:left="709" w:hanging="709"/>
        <w:jc w:val="both"/>
        <w:rPr>
          <w:rFonts w:ascii="Times New Roman" w:eastAsia="Times New Roman" w:hAnsi="Times New Roman" w:cs="Times New Roman"/>
          <w:color w:val="000000" w:themeColor="text1"/>
          <w:sz w:val="24"/>
          <w:szCs w:val="24"/>
        </w:rPr>
      </w:pPr>
    </w:p>
    <w:p w14:paraId="585F2C42" w14:textId="77777777" w:rsidR="00FA4F42" w:rsidRDefault="00FA4F42" w:rsidP="009F2554">
      <w:pPr>
        <w:pStyle w:val="Normal1"/>
        <w:spacing w:before="240" w:after="240" w:line="360" w:lineRule="auto"/>
        <w:jc w:val="both"/>
        <w:rPr>
          <w:rFonts w:ascii="Times New Roman" w:eastAsia="Times New Roman" w:hAnsi="Times New Roman" w:cs="Times New Roman"/>
          <w:color w:val="000000" w:themeColor="text1"/>
          <w:sz w:val="24"/>
          <w:szCs w:val="24"/>
        </w:rPr>
      </w:pPr>
    </w:p>
    <w:sectPr w:rsidR="00FA4F42" w:rsidSect="006929F3">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99C02" w14:textId="77777777" w:rsidR="00D441D0" w:rsidRDefault="00D441D0" w:rsidP="006929F3">
      <w:pPr>
        <w:spacing w:after="0" w:line="240" w:lineRule="auto"/>
      </w:pPr>
      <w:r>
        <w:separator/>
      </w:r>
    </w:p>
  </w:endnote>
  <w:endnote w:type="continuationSeparator" w:id="0">
    <w:p w14:paraId="049EF594" w14:textId="77777777" w:rsidR="00D441D0" w:rsidRDefault="00D441D0" w:rsidP="0069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9E31" w14:textId="77777777" w:rsidR="006929F3" w:rsidRDefault="00692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6ED0" w14:textId="77777777" w:rsidR="006929F3" w:rsidRDefault="00692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B196" w14:textId="77777777" w:rsidR="006929F3" w:rsidRDefault="00692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DB3E7" w14:textId="77777777" w:rsidR="00D441D0" w:rsidRDefault="00D441D0" w:rsidP="006929F3">
      <w:pPr>
        <w:spacing w:after="0" w:line="240" w:lineRule="auto"/>
      </w:pPr>
      <w:r>
        <w:separator/>
      </w:r>
    </w:p>
  </w:footnote>
  <w:footnote w:type="continuationSeparator" w:id="0">
    <w:p w14:paraId="0F0880F9" w14:textId="77777777" w:rsidR="00D441D0" w:rsidRDefault="00D441D0" w:rsidP="0069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6F8C" w14:textId="68CDE3C0" w:rsidR="006929F3" w:rsidRDefault="006929F3">
    <w:pPr>
      <w:pStyle w:val="Header"/>
    </w:pPr>
    <w:r>
      <w:rPr>
        <w:noProof/>
      </w:rPr>
      <w:pict w14:anchorId="7B78E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978AE" w14:textId="1DBA947D" w:rsidR="006929F3" w:rsidRDefault="006929F3">
    <w:pPr>
      <w:pStyle w:val="Header"/>
    </w:pPr>
    <w:r>
      <w:rPr>
        <w:noProof/>
      </w:rPr>
      <w:pict w14:anchorId="70B2F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C88CE" w14:textId="2520D8D3" w:rsidR="006929F3" w:rsidRDefault="006929F3">
    <w:pPr>
      <w:pStyle w:val="Header"/>
    </w:pPr>
    <w:r>
      <w:rPr>
        <w:noProof/>
      </w:rPr>
      <w:pict w14:anchorId="7E29D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65EB8"/>
    <w:multiLevelType w:val="multilevel"/>
    <w:tmpl w:val="F5A69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2F3E"/>
    <w:rsid w:val="00002F3E"/>
    <w:rsid w:val="000215D5"/>
    <w:rsid w:val="00046A4B"/>
    <w:rsid w:val="00212EBE"/>
    <w:rsid w:val="002D2D1E"/>
    <w:rsid w:val="005233FA"/>
    <w:rsid w:val="006929F3"/>
    <w:rsid w:val="00765C1F"/>
    <w:rsid w:val="00772E2A"/>
    <w:rsid w:val="00866711"/>
    <w:rsid w:val="008D2453"/>
    <w:rsid w:val="0096118D"/>
    <w:rsid w:val="00987F08"/>
    <w:rsid w:val="009F2554"/>
    <w:rsid w:val="00AA239E"/>
    <w:rsid w:val="00B5028B"/>
    <w:rsid w:val="00C851C6"/>
    <w:rsid w:val="00D441D0"/>
    <w:rsid w:val="00E01584"/>
    <w:rsid w:val="00E77C5A"/>
    <w:rsid w:val="00FA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A8C6BE"/>
  <w15:docId w15:val="{A7B3B252-C5B7-474E-A8AA-B6A243DE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65C1F"/>
    <w:pPr>
      <w:spacing w:after="0"/>
    </w:pPr>
    <w:rPr>
      <w:rFonts w:ascii="Arial" w:eastAsia="Arial" w:hAnsi="Arial" w:cs="Arial"/>
    </w:rPr>
  </w:style>
  <w:style w:type="paragraph" w:styleId="NormalWeb">
    <w:name w:val="Normal (Web)"/>
    <w:basedOn w:val="Normal"/>
    <w:uiPriority w:val="99"/>
    <w:unhideWhenUsed/>
    <w:rsid w:val="00772E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2E2A"/>
    <w:rPr>
      <w:i/>
      <w:iCs/>
    </w:rPr>
  </w:style>
  <w:style w:type="character" w:styleId="Strong">
    <w:name w:val="Strong"/>
    <w:basedOn w:val="DefaultParagraphFont"/>
    <w:uiPriority w:val="22"/>
    <w:qFormat/>
    <w:rsid w:val="00772E2A"/>
    <w:rPr>
      <w:b/>
      <w:bCs/>
    </w:rPr>
  </w:style>
  <w:style w:type="paragraph" w:styleId="Title">
    <w:name w:val="Title"/>
    <w:basedOn w:val="Normal1"/>
    <w:next w:val="Normal1"/>
    <w:link w:val="TitleChar"/>
    <w:rsid w:val="00B5028B"/>
    <w:pPr>
      <w:keepNext/>
      <w:keepLines/>
      <w:spacing w:after="60"/>
    </w:pPr>
    <w:rPr>
      <w:sz w:val="52"/>
      <w:szCs w:val="52"/>
    </w:rPr>
  </w:style>
  <w:style w:type="character" w:customStyle="1" w:styleId="TitleChar">
    <w:name w:val="Title Char"/>
    <w:basedOn w:val="DefaultParagraphFont"/>
    <w:link w:val="Title"/>
    <w:rsid w:val="00B5028B"/>
    <w:rPr>
      <w:rFonts w:ascii="Arial" w:eastAsia="Arial" w:hAnsi="Arial" w:cs="Arial"/>
      <w:sz w:val="52"/>
      <w:szCs w:val="52"/>
    </w:rPr>
  </w:style>
  <w:style w:type="character" w:styleId="LineNumber">
    <w:name w:val="line number"/>
    <w:basedOn w:val="DefaultParagraphFont"/>
    <w:uiPriority w:val="99"/>
    <w:semiHidden/>
    <w:unhideWhenUsed/>
    <w:rsid w:val="009F2554"/>
  </w:style>
  <w:style w:type="paragraph" w:styleId="Header">
    <w:name w:val="header"/>
    <w:basedOn w:val="Normal"/>
    <w:link w:val="HeaderChar"/>
    <w:uiPriority w:val="99"/>
    <w:unhideWhenUsed/>
    <w:rsid w:val="0069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9F3"/>
  </w:style>
  <w:style w:type="paragraph" w:styleId="Footer">
    <w:name w:val="footer"/>
    <w:basedOn w:val="Normal"/>
    <w:link w:val="FooterChar"/>
    <w:uiPriority w:val="99"/>
    <w:unhideWhenUsed/>
    <w:rsid w:val="00692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098">
      <w:bodyDiv w:val="1"/>
      <w:marLeft w:val="0"/>
      <w:marRight w:val="0"/>
      <w:marTop w:val="0"/>
      <w:marBottom w:val="0"/>
      <w:divBdr>
        <w:top w:val="none" w:sz="0" w:space="0" w:color="auto"/>
        <w:left w:val="none" w:sz="0" w:space="0" w:color="auto"/>
        <w:bottom w:val="none" w:sz="0" w:space="0" w:color="auto"/>
        <w:right w:val="none" w:sz="0" w:space="0" w:color="auto"/>
      </w:divBdr>
    </w:div>
    <w:div w:id="152793288">
      <w:bodyDiv w:val="1"/>
      <w:marLeft w:val="0"/>
      <w:marRight w:val="0"/>
      <w:marTop w:val="0"/>
      <w:marBottom w:val="0"/>
      <w:divBdr>
        <w:top w:val="none" w:sz="0" w:space="0" w:color="auto"/>
        <w:left w:val="none" w:sz="0" w:space="0" w:color="auto"/>
        <w:bottom w:val="none" w:sz="0" w:space="0" w:color="auto"/>
        <w:right w:val="none" w:sz="0" w:space="0" w:color="auto"/>
      </w:divBdr>
    </w:div>
    <w:div w:id="153958579">
      <w:bodyDiv w:val="1"/>
      <w:marLeft w:val="0"/>
      <w:marRight w:val="0"/>
      <w:marTop w:val="0"/>
      <w:marBottom w:val="0"/>
      <w:divBdr>
        <w:top w:val="none" w:sz="0" w:space="0" w:color="auto"/>
        <w:left w:val="none" w:sz="0" w:space="0" w:color="auto"/>
        <w:bottom w:val="none" w:sz="0" w:space="0" w:color="auto"/>
        <w:right w:val="none" w:sz="0" w:space="0" w:color="auto"/>
      </w:divBdr>
    </w:div>
    <w:div w:id="676661172">
      <w:bodyDiv w:val="1"/>
      <w:marLeft w:val="0"/>
      <w:marRight w:val="0"/>
      <w:marTop w:val="0"/>
      <w:marBottom w:val="0"/>
      <w:divBdr>
        <w:top w:val="none" w:sz="0" w:space="0" w:color="auto"/>
        <w:left w:val="none" w:sz="0" w:space="0" w:color="auto"/>
        <w:bottom w:val="none" w:sz="0" w:space="0" w:color="auto"/>
        <w:right w:val="none" w:sz="0" w:space="0" w:color="auto"/>
      </w:divBdr>
    </w:div>
    <w:div w:id="1184780791">
      <w:bodyDiv w:val="1"/>
      <w:marLeft w:val="0"/>
      <w:marRight w:val="0"/>
      <w:marTop w:val="0"/>
      <w:marBottom w:val="0"/>
      <w:divBdr>
        <w:top w:val="none" w:sz="0" w:space="0" w:color="auto"/>
        <w:left w:val="none" w:sz="0" w:space="0" w:color="auto"/>
        <w:bottom w:val="none" w:sz="0" w:space="0" w:color="auto"/>
        <w:right w:val="none" w:sz="0" w:space="0" w:color="auto"/>
      </w:divBdr>
    </w:div>
    <w:div w:id="2065521140">
      <w:bodyDiv w:val="1"/>
      <w:marLeft w:val="0"/>
      <w:marRight w:val="0"/>
      <w:marTop w:val="0"/>
      <w:marBottom w:val="0"/>
      <w:divBdr>
        <w:top w:val="none" w:sz="0" w:space="0" w:color="auto"/>
        <w:left w:val="none" w:sz="0" w:space="0" w:color="auto"/>
        <w:bottom w:val="none" w:sz="0" w:space="0" w:color="auto"/>
        <w:right w:val="none" w:sz="0" w:space="0" w:color="auto"/>
      </w:divBdr>
    </w:div>
    <w:div w:id="20731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2244A-3D05-490D-9C8E-08A61F9C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2026-01-13T06:39:00Z</dcterms:created>
  <dcterms:modified xsi:type="dcterms:W3CDTF">2026-02-18T12:31:00Z</dcterms:modified>
</cp:coreProperties>
</file>