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85CBF" w14:textId="06808FD9" w:rsidR="003D0CF8" w:rsidRPr="00DD3E69" w:rsidRDefault="003D0CF8" w:rsidP="00905EDD">
      <w:pPr>
        <w:spacing w:line="360" w:lineRule="auto"/>
        <w:jc w:val="center"/>
        <w:rPr>
          <w:b/>
        </w:rPr>
      </w:pPr>
      <w:r w:rsidRPr="00DD3E69">
        <w:rPr>
          <w:b/>
        </w:rPr>
        <w:t xml:space="preserve">Characterization of Iron Tailings </w:t>
      </w:r>
      <w:r w:rsidR="00F03516" w:rsidRPr="00DD3E69">
        <w:rPr>
          <w:b/>
        </w:rPr>
        <w:t xml:space="preserve">Flotation </w:t>
      </w:r>
      <w:r w:rsidRPr="00DD3E69">
        <w:rPr>
          <w:b/>
        </w:rPr>
        <w:t xml:space="preserve">for its Future Use </w:t>
      </w:r>
    </w:p>
    <w:p w14:paraId="0485E38F" w14:textId="77777777" w:rsidR="0082231F" w:rsidRPr="00DD3E69" w:rsidRDefault="0082231F" w:rsidP="00905EDD">
      <w:pPr>
        <w:spacing w:line="360" w:lineRule="auto"/>
        <w:jc w:val="center"/>
        <w:rPr>
          <w:b/>
          <w:bCs/>
        </w:rPr>
      </w:pPr>
    </w:p>
    <w:p w14:paraId="5E2F63A6" w14:textId="77777777" w:rsidR="0086784F" w:rsidRDefault="0086784F" w:rsidP="00905EDD">
      <w:pPr>
        <w:spacing w:line="360" w:lineRule="auto"/>
        <w:rPr>
          <w:b/>
          <w:bCs/>
        </w:rPr>
      </w:pPr>
    </w:p>
    <w:p w14:paraId="0DE4F798" w14:textId="458A1AB5" w:rsidR="003F2AF3" w:rsidRPr="00DD3E69" w:rsidRDefault="0082231F" w:rsidP="00905EDD">
      <w:pPr>
        <w:spacing w:line="360" w:lineRule="auto"/>
      </w:pPr>
      <w:bookmarkStart w:id="0" w:name="_GoBack"/>
      <w:bookmarkEnd w:id="0"/>
      <w:r w:rsidRPr="00DD3E69">
        <w:rPr>
          <w:b/>
          <w:bCs/>
        </w:rPr>
        <w:t>Abstract</w:t>
      </w:r>
    </w:p>
    <w:p w14:paraId="23FB497A" w14:textId="77777777" w:rsidR="003F2AF3" w:rsidRPr="00DD3E69" w:rsidRDefault="0082231F" w:rsidP="00905EDD">
      <w:pPr>
        <w:spacing w:line="360" w:lineRule="auto"/>
        <w:jc w:val="both"/>
        <w:rPr>
          <w:color w:val="000000" w:themeColor="text1"/>
        </w:rPr>
      </w:pPr>
      <w:r w:rsidRPr="00DD3E69">
        <w:rPr>
          <w:color w:val="000000" w:themeColor="text1"/>
        </w:rPr>
        <w:t>The mining company makes efforts to reduce the storage of huge amounts of waste, such as tailings through reprocessing or using these unwanted materials as a marketable product. Nevertheless, the evaluation of these tailings is crucial for environmental sustainability and economic profit before their utilization as raw material. Therefore, in this research, iron-copper tailing is evaluated by performing particle size, mineralogical, and chemical analyses of the iron-copper tailing. The mineralogical analysis of the iron-copper tailing sample shows the presence of bornite, chalcopyrite, magnetite as primary sulfide minerals, and secondary sulfides are chalcosine-covellite and digenite. For the chemical analyses, the results show that the iron tailing sample contains chemical oxides, and a significant amount of silica and iron was determined in the iron-copper tailing, demonstrating that it is possible to use this type of tailing as an additive in cement production.</w:t>
      </w:r>
    </w:p>
    <w:p w14:paraId="7A3E9D31" w14:textId="77777777" w:rsidR="003F2AF3" w:rsidRPr="00DD3E69" w:rsidRDefault="0082231F" w:rsidP="00905EDD">
      <w:pPr>
        <w:spacing w:line="360" w:lineRule="auto"/>
      </w:pPr>
      <w:r w:rsidRPr="00DD3E69">
        <w:rPr>
          <w:b/>
          <w:bCs/>
        </w:rPr>
        <w:t xml:space="preserve">Keywords: </w:t>
      </w:r>
      <w:r w:rsidRPr="00DD3E69">
        <w:t>Iron tailing, characterization, mineralogical, chemical composition.</w:t>
      </w:r>
    </w:p>
    <w:p w14:paraId="4C710DAE" w14:textId="77777777" w:rsidR="003F2AF3" w:rsidRPr="00DD3E69" w:rsidRDefault="003F2AF3" w:rsidP="00905EDD">
      <w:pPr>
        <w:spacing w:line="360" w:lineRule="auto"/>
      </w:pPr>
    </w:p>
    <w:p w14:paraId="3C39726D" w14:textId="77777777" w:rsidR="00F407AD" w:rsidRPr="00DD3E69" w:rsidRDefault="00F407AD" w:rsidP="00905EDD">
      <w:pPr>
        <w:spacing w:line="360" w:lineRule="auto"/>
      </w:pPr>
    </w:p>
    <w:p w14:paraId="0827642F" w14:textId="77777777" w:rsidR="00F407AD" w:rsidRPr="00DD3E69" w:rsidRDefault="00F407AD" w:rsidP="00905EDD">
      <w:pPr>
        <w:spacing w:line="360" w:lineRule="auto"/>
      </w:pPr>
    </w:p>
    <w:p w14:paraId="78E46122" w14:textId="77777777" w:rsidR="00F407AD" w:rsidRPr="00DD3E69" w:rsidRDefault="00F407AD" w:rsidP="00905EDD">
      <w:pPr>
        <w:spacing w:line="360" w:lineRule="auto"/>
      </w:pPr>
    </w:p>
    <w:p w14:paraId="04EA4914" w14:textId="77777777" w:rsidR="00F407AD" w:rsidRPr="00DD3E69" w:rsidRDefault="00F407AD" w:rsidP="00905EDD">
      <w:pPr>
        <w:spacing w:line="360" w:lineRule="auto"/>
      </w:pPr>
    </w:p>
    <w:p w14:paraId="11886A06" w14:textId="77777777" w:rsidR="00F407AD" w:rsidRPr="00DD3E69" w:rsidRDefault="00F407AD" w:rsidP="00905EDD">
      <w:pPr>
        <w:spacing w:line="360" w:lineRule="auto"/>
      </w:pPr>
    </w:p>
    <w:p w14:paraId="0429CDB5" w14:textId="77777777" w:rsidR="00F407AD" w:rsidRPr="00DD3E69" w:rsidRDefault="00F407AD" w:rsidP="00905EDD">
      <w:pPr>
        <w:spacing w:line="360" w:lineRule="auto"/>
      </w:pPr>
    </w:p>
    <w:p w14:paraId="75E66A45" w14:textId="77777777" w:rsidR="003F2AF3" w:rsidRPr="00DD3E69" w:rsidRDefault="0082231F" w:rsidP="00905EDD">
      <w:pPr>
        <w:spacing w:line="360" w:lineRule="auto"/>
      </w:pPr>
      <w:r w:rsidRPr="00DD3E69">
        <w:rPr>
          <w:b/>
          <w:bCs/>
        </w:rPr>
        <w:t>Introduction</w:t>
      </w:r>
    </w:p>
    <w:p w14:paraId="2387C138" w14:textId="658C4ED9" w:rsidR="003F2AF3" w:rsidRPr="00DD3E69" w:rsidRDefault="0082231F" w:rsidP="00905EDD">
      <w:pPr>
        <w:spacing w:line="360" w:lineRule="auto"/>
        <w:jc w:val="both"/>
        <w:rPr>
          <w:color w:val="000000" w:themeColor="text1"/>
        </w:rPr>
      </w:pPr>
      <w:r w:rsidRPr="00DD3E69">
        <w:rPr>
          <w:color w:val="000000" w:themeColor="text1"/>
        </w:rPr>
        <w:t xml:space="preserve">Mining, mineral processing, and metallurgical processes generally produce two products, namely valuable products and wastes (unwanted products). For instance, the challenge of mining and industrial activities results in a large volume of waste due to the consequent decrease in high-grade ore reserves over the last decades. According to </w:t>
      </w:r>
      <w:r w:rsidR="00EC0385" w:rsidRPr="00DD3E69">
        <w:rPr>
          <w:color w:val="000000" w:themeColor="text1"/>
        </w:rPr>
        <w:fldChar w:fldCharType="begin" w:fldLock="1"/>
      </w:r>
      <w:r w:rsidR="00EC0385" w:rsidRPr="00DD3E69">
        <w:rPr>
          <w:color w:val="000000" w:themeColor="text1"/>
        </w:rPr>
        <w:instrText>ADDIN CSL_CITATION {"citationItems":[{"id":"ITEM-1","itemData":{"ISBN":"9783642124181","abstract":"This book provides a thorough, up-to-date overview of wastes accumulating at mine sites. It deals comprehensively with sulfidic mine wastes, mine water, tailings, cyanidation wastes of gold-silver ores, radioactive wastes of uranium ores, and wastes of phosphate and potash ores. The book emphasizes the characterization, prediction, monitoring, disposal and treatment as well as environmental impacts of problematic mine wastes. The strong pedagogical framework is supported by case studies from around the world, presentation of crucial aspects of mine wastes as scientific issues; end-of-chapter summaries as well as lists of resource materials and www sites for each waste type. The considerably updated third edition has novel and notable changes including: revision of text to reflect major developments and contemporary issues that are taking place in the field of mine waste science; new web pages at the end of each chapter; over 20 case studies and scientific issues; over 150 figures and tables; and, an updated bibliography with over 1200 references.This newly balanced text will continue to equip the student and the professional with a thorough understanding of the principles and processes of mine wastes.","author":[{"dropping-particle":"","family":"Lottermoser","given":"Bernd","non-dropping-particle":"","parse-names":false,"suffix":""}],"container-title":"Mine Wastes","id":"ITEM-1","issued":{"date-parts":[["2010"]]},"number-of-pages":"2-37","title":"Chapter 1. Mine Wastes. Characterization, Treatment and Environmental Impacts","type":"book"},"uris":["http://www.mendeley.com/documents/?uuid=f9eac363-c713-45c4-a6e9-ec40519d1dd8"]}],"mendeley":{"formattedCitation":"(Lottermoser, 2010)","manualFormatting":"Lottermoser, (2010)","plainTextFormattedCitation":"(Lottermoser, 2010)","previouslyFormattedCitation":"(Lottermoser, 2010)"},"properties":{"noteIndex":0},"schema":"https://github.com/citation-style-language/schema/raw/master/csl-citation.json"}</w:instrText>
      </w:r>
      <w:r w:rsidR="00EC0385" w:rsidRPr="00DD3E69">
        <w:rPr>
          <w:color w:val="000000" w:themeColor="text1"/>
        </w:rPr>
        <w:fldChar w:fldCharType="separate"/>
      </w:r>
      <w:r w:rsidR="00EC0385" w:rsidRPr="00DD3E69">
        <w:rPr>
          <w:noProof/>
          <w:color w:val="000000" w:themeColor="text1"/>
        </w:rPr>
        <w:t>Lottermoser, (2010)</w:t>
      </w:r>
      <w:r w:rsidR="00EC0385" w:rsidRPr="00DD3E69">
        <w:rPr>
          <w:color w:val="000000" w:themeColor="text1"/>
        </w:rPr>
        <w:fldChar w:fldCharType="end"/>
      </w:r>
      <w:r w:rsidRPr="00DD3E69">
        <w:rPr>
          <w:color w:val="000000" w:themeColor="text1"/>
        </w:rPr>
        <w:t xml:space="preserve">, mining, beneficiation, and extraction of metallic ores with an average grade of approximately </w:t>
      </w:r>
      <w:r w:rsidRPr="00DD3E69">
        <w:t xml:space="preserve">0.5% produce 10,000 Mt of </w:t>
      </w:r>
      <w:r w:rsidRPr="00DD3E69">
        <w:rPr>
          <w:color w:val="000000" w:themeColor="text1"/>
        </w:rPr>
        <w:t xml:space="preserve">tailings, whereas 1230 Mt of tailings were produced from the production of 2460 t of gold with an average grade of approximately 2 ppm. China generates 1.5 tons of iron ore tailings for each ton </w:t>
      </w:r>
      <w:r w:rsidRPr="00DD3E69">
        <w:rPr>
          <w:color w:val="000000" w:themeColor="text1"/>
        </w:rPr>
        <w:lastRenderedPageBreak/>
        <w:t>of iron ore concentrate</w:t>
      </w:r>
      <w:r w:rsidR="00477774" w:rsidRPr="00DD3E69">
        <w:rPr>
          <w:color w:val="000000" w:themeColor="text1"/>
        </w:rPr>
        <w:t xml:space="preserve"> </w:t>
      </w:r>
      <w:r w:rsidR="00477774" w:rsidRPr="00DD3E69">
        <w:rPr>
          <w:color w:val="000000" w:themeColor="text1"/>
        </w:rPr>
        <w:fldChar w:fldCharType="begin" w:fldLock="1"/>
      </w:r>
      <w:r w:rsidR="00477774" w:rsidRPr="00DD3E69">
        <w:rPr>
          <w:color w:val="000000" w:themeColor="text1"/>
        </w:rPr>
        <w:instrText>ADDIN CSL_CITATION {"citationItems":[{"id":"ITEM-1","itemData":{"ISSN":"0944-1344","author":[{"dropping-particle":"","family":"Xu","given":"Da-Mao","non-dropping-particle":"","parse-names":false,"suffix":""},{"dropping-particle":"","family":"Zhan","given":"Chang-Lin","non-dropping-particle":"","parse-names":false,"suffix":""},{"dropping-particle":"","family":"Liu","given":"Hong-Xia","non-dropping-particle":"","parse-names":false,"suffix":""},{"dropping-particle":"","family":"Lin","given":"Han-Zhi","non-dropping-particle":"","parse-names":false,"suffix":""}],"container-title":"Environmental Science and Pollution Research","id":"ITEM-1","issue":"35","issued":{"date-parts":[["2019"]]},"page":"35657-35669","publisher":"Springer","title":"A critical review on environmental implications, recycling strategies, and ecological remediation for mine tailings","type":"article-journal","volume":"26"},"uris":["http://www.mendeley.com/documents/?uuid=4323ac8d-78af-4f27-bcdf-e230dc839ff7"]}],"mendeley":{"formattedCitation":"(Xu et al., 2019)","plainTextFormattedCitation":"(Xu et al., 2019)","previouslyFormattedCitation":"(Xu et al., 2019)"},"properties":{"noteIndex":0},"schema":"https://github.com/citation-style-language/schema/raw/master/csl-citation.json"}</w:instrText>
      </w:r>
      <w:r w:rsidR="00477774" w:rsidRPr="00DD3E69">
        <w:rPr>
          <w:color w:val="000000" w:themeColor="text1"/>
        </w:rPr>
        <w:fldChar w:fldCharType="separate"/>
      </w:r>
      <w:r w:rsidR="00477774" w:rsidRPr="00DD3E69">
        <w:rPr>
          <w:noProof/>
          <w:color w:val="000000" w:themeColor="text1"/>
        </w:rPr>
        <w:t>(Xu et al., 2019)</w:t>
      </w:r>
      <w:r w:rsidR="00477774" w:rsidRPr="00DD3E69">
        <w:rPr>
          <w:color w:val="000000" w:themeColor="text1"/>
        </w:rPr>
        <w:fldChar w:fldCharType="end"/>
      </w:r>
      <w:r w:rsidRPr="00DD3E69">
        <w:rPr>
          <w:color w:val="000000" w:themeColor="text1"/>
        </w:rPr>
        <w:t xml:space="preserve">. Figure 1 illustrates the production of wastes by millions of tons worldwide </w:t>
      </w:r>
      <w:r w:rsidR="00EC49F5" w:rsidRPr="00DD3E69">
        <w:rPr>
          <w:color w:val="000000" w:themeColor="text1"/>
        </w:rPr>
        <w:fldChar w:fldCharType="begin" w:fldLock="1"/>
      </w:r>
      <w:r w:rsidR="00477774" w:rsidRPr="00DD3E69">
        <w:rPr>
          <w:color w:val="000000" w:themeColor="text1"/>
        </w:rPr>
        <w:instrText>ADDIN CSL_CITATION {"citationItems":[{"id":"ITEM-1","itemData":{"author":[{"dropping-particle":"","family":"Vieira","given":"Sara S","non-dropping-particle":"","parse-names":false,"suffix":""},{"dropping-particle":"","family":"Teixeira","given":"Ana Paula C","non-dropping-particle":"","parse-names":false,"suffix":""},{"dropping-particle":"","family":"Lago","given":"Rochel M","non-dropping-particle":"","parse-names":false,"suffix":""}],"id":"ITEM-1","issue":"10","issued":{"date-parts":[["2021"]]},"page":"1895-1911","title":"Iron Ore Tailings: Characterization and Applications","type":"article-journal","volume":"32"},"uris":["http://www.mendeley.com/documents/?uuid=13f42804-6ea3-4cf1-8873-0a613a330fba"]}],"mendeley":{"formattedCitation":"(Vieira et al., 2021)","plainTextFormattedCitation":"(Vieira et al., 2021)","previouslyFormattedCitation":"(Vieira et al., 2021)"},"properties":{"noteIndex":0},"schema":"https://github.com/citation-style-language/schema/raw/master/csl-citation.json"}</w:instrText>
      </w:r>
      <w:r w:rsidR="00EC49F5" w:rsidRPr="00DD3E69">
        <w:rPr>
          <w:color w:val="000000" w:themeColor="text1"/>
        </w:rPr>
        <w:fldChar w:fldCharType="separate"/>
      </w:r>
      <w:r w:rsidR="00EC49F5" w:rsidRPr="00DD3E69">
        <w:rPr>
          <w:noProof/>
          <w:color w:val="000000" w:themeColor="text1"/>
        </w:rPr>
        <w:t>(Vieira et al., 2021)</w:t>
      </w:r>
      <w:r w:rsidR="00EC49F5" w:rsidRPr="00DD3E69">
        <w:rPr>
          <w:color w:val="000000" w:themeColor="text1"/>
        </w:rPr>
        <w:fldChar w:fldCharType="end"/>
      </w:r>
      <w:r w:rsidRPr="00DD3E69">
        <w:rPr>
          <w:color w:val="000000" w:themeColor="text1"/>
        </w:rPr>
        <w:t>.</w:t>
      </w:r>
    </w:p>
    <w:p w14:paraId="2A0C4767" w14:textId="49ECC793" w:rsidR="003F2AF3" w:rsidRPr="00DD3E69" w:rsidRDefault="0082231F" w:rsidP="00905EDD">
      <w:pPr>
        <w:spacing w:line="360" w:lineRule="auto"/>
        <w:jc w:val="both"/>
        <w:rPr>
          <w:color w:val="000000" w:themeColor="text1"/>
        </w:rPr>
      </w:pPr>
      <w:r w:rsidRPr="00DD3E69">
        <w:rPr>
          <w:color w:val="000000" w:themeColor="text1"/>
        </w:rPr>
        <w:t xml:space="preserve">The waste produced in high volume may represent a serious problem for the environment because these wastes contain metals that are considered toxic and can cause several diseases to humans at high concentrations. Inappropriate waste disposal is also an important parameter of metal contamination, and when these toxic metals are released into the atmosphere and interact with rainfall, they can cause substantial threats to the environment </w:t>
      </w:r>
      <w:r w:rsidR="00C7048B" w:rsidRPr="00DD3E69">
        <w:rPr>
          <w:color w:val="000000" w:themeColor="text1"/>
        </w:rPr>
        <w:fldChar w:fldCharType="begin" w:fldLock="1"/>
      </w:r>
      <w:r w:rsidR="00C7048B" w:rsidRPr="00DD3E69">
        <w:rPr>
          <w:color w:val="000000" w:themeColor="text1"/>
        </w:rPr>
        <w:instrText>ADDIN CSL_CITATION {"citationItems":[{"id":"ITEM-1","itemData":{"DOI":"10.1016/j.heliyon.2020.e04691","ISSN":"24058440","abstract":"Environmental pollution of heavy metals is increasingly becoming a problem and has become of great concern due to the adverse effects it is causing around the world. These inorganic pollutants are being discarded in our waters, soils and into the atmosphere due to the rapidly growing agriculture and metal industries, improper waste disposal, fertilizers and pesticides. This review shows how pollutants enter the environment together with their fate. Some metals affect biological functions and growth, while other metals accumulate in one or more different organs causing many serious diseases such as cancer. The pharmacokinetics and toxicological processes in humans for each metal is described. In summary, the review shows the physiological and biochemical effects of each heavy metal bioaccumulation in humans and the level of gravity and disquieting factor of the disease.","author":[{"dropping-particle":"","family":"Briffa","given":"Jessica","non-dropping-particle":"","parse-names":false,"suffix":""},{"dropping-particle":"","family":"Sinagra","given":"Emmanuel","non-dropping-particle":"","parse-names":false,"suffix":""},{"dropping-particle":"","family":"Blundell","given":"Renald","non-dropping-particle":"","parse-names":false,"suffix":""}],"container-title":"Heliyon","id":"ITEM-1","issue":"9","issued":{"date-parts":[["2020"]]},"page":"e04691","publisher":"Elsevier","title":"Heavy metal pollution in the environment and their toxicological effects on humans","type":"article-journal","volume":"6"},"uris":["http://www.mendeley.com/documents/?uuid=424cde64-e0d5-4610-bef7-90d9a7c2a91c"]},{"id":"ITEM-2","itemData":{"DOI":"10.5772/intechopen.76082","abstract":"Abstract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Keywords:","author":[{"dropping-particle":"","family":"Masindi","given":"Vhahangwele","non-dropping-particle":"","parse-names":false,"suffix":""},{"dropping-particle":"","family":"Muedi","given":"Khathutshelo L.","non-dropping-particle":"","parse-names":false,"suffix":""}],"container-title":"Heavy Metals","id":"ITEM-2","issued":{"date-parts":[["2018"]]},"title":"Environmental Contamination by Heavy Metals","type":"article-journal"},"uris":["http://www.mendeley.com/documents/?uuid=29894259-7da1-4118-9bf1-666f8fb2a93c"]},{"id":"ITEM-3","itemData":{"DOI":"10.1007/s00128-016-1907-3","ISSN":"14320800","PMID":"27557601","abstract":"Due to its status as one of the most contaminated regions in Slovakia, 45 soil and plant samples were collected in the Middle Spis region. In soil, the exchangeable soil reaction, humus content and heavy metals content (Zn, Cd, Cu, Pb, Hg) were determined. Total content of heavy metals (TC-HMs) and content of mobile forms (MF-HMs) in soil, as well as metal content in plants, were determined by atomic absorption spectrometry. The concentration ranges for total Zn, Cd, Cu, Pb and Hg in soil were 33.1–953, 0.65–6.73, 11.0–913, 26.5–165 and 0.28--415 mg/kg, respectively. The overall concentration ranges of these metals in plants of two types (Athyrium filix-femina L. and Poaceae herbs) were 12.4–158.6, 0.10–1.63, 3.34–85.7, 0.09–29.7 and 0.01–12.8 mg/kg, respectively. Despite the values of Zn, Cd, Cu, Pb and Hg content in the soil exceeding limit values, only the Hg content in plants presented an ecological risk.","author":[{"dropping-particle":"","family":"Musilova","given":"Janette","non-dropping-particle":"","parse-names":false,"suffix":""},{"dropping-particle":"","family":"Arvay","given":"Julius","non-dropping-particle":"","parse-names":false,"suffix":""},{"dropping-particle":"","family":"Vollmannova","given":"Alena","non-dropping-particle":"","parse-names":false,"suffix":""},{"dropping-particle":"","family":"Toth","given":"Tomas","non-dropping-particle":"","parse-names":false,"suffix":""},{"dropping-particle":"","family":"Tomas","given":"Jan","non-dropping-particle":"","parse-names":false,"suffix":""}],"container-title":"Bulletin of Environmental Contamination and Toxicology","id":"ITEM-3","issue":"4","issued":{"date-parts":[["2016"]]},"page":"569-575","publisher":"Springer US","title":"Environmental Contamination by Heavy Metals in Region with Previous Mining Activity","type":"article-journal","volume":"97"},"uris":["http://www.mendeley.com/documents/?uuid=a28c2d71-9be1-4436-ae35-69ad7b70e515"]}],"mendeley":{"formattedCitation":"(Briffa et al., 2020; Masindi &amp; Muedi, 2018; Musilova et al., 2016)","plainTextFormattedCitation":"(Briffa et al., 2020; Masindi &amp; Muedi, 2018; Musilova et al., 2016)","previouslyFormattedCitation":"(Briffa et al., 2020; Masindi &amp; Muedi, 2018; Musilova et al., 2016)"},"properties":{"noteIndex":0},"schema":"https://github.com/citation-style-language/schema/raw/master/csl-citation.json"}</w:instrText>
      </w:r>
      <w:r w:rsidR="00C7048B" w:rsidRPr="00DD3E69">
        <w:rPr>
          <w:color w:val="000000" w:themeColor="text1"/>
        </w:rPr>
        <w:fldChar w:fldCharType="separate"/>
      </w:r>
      <w:r w:rsidR="00C7048B" w:rsidRPr="00DD3E69">
        <w:rPr>
          <w:noProof/>
          <w:color w:val="000000" w:themeColor="text1"/>
        </w:rPr>
        <w:t>(Briffa et al., 2020; Masindi &amp; Muedi, 2018; Musilova et al., 2016)</w:t>
      </w:r>
      <w:r w:rsidR="00C7048B" w:rsidRPr="00DD3E69">
        <w:rPr>
          <w:color w:val="000000" w:themeColor="text1"/>
        </w:rPr>
        <w:fldChar w:fldCharType="end"/>
      </w:r>
      <w:r w:rsidR="00C7048B" w:rsidRPr="00DD3E69">
        <w:rPr>
          <w:color w:val="000000" w:themeColor="text1"/>
        </w:rPr>
        <w:t>.</w:t>
      </w:r>
    </w:p>
    <w:p w14:paraId="341C0DE4" w14:textId="366AC8DE" w:rsidR="003F2AF3" w:rsidRPr="00DD3E69" w:rsidRDefault="0082231F" w:rsidP="00905EDD">
      <w:pPr>
        <w:spacing w:line="360" w:lineRule="auto"/>
        <w:jc w:val="both"/>
        <w:rPr>
          <w:color w:val="000000" w:themeColor="text1"/>
        </w:rPr>
      </w:pPr>
      <w:r w:rsidRPr="00DD3E69">
        <w:rPr>
          <w:color w:val="000000" w:themeColor="text1"/>
        </w:rPr>
        <w:t xml:space="preserve">Efforts have been made by mining companies and the industry to stabilize these metals before disposal or recover metals with appropriate methods. To achieve better environmental, social, and economic outcomes, separation processes such as hydrometallurgy, pyrometallurgy, and bio-hydrometallurgy are employed to recover metal from wastes </w:t>
      </w:r>
      <w:r w:rsidR="00C7048B" w:rsidRPr="00DD3E69">
        <w:rPr>
          <w:color w:val="000000" w:themeColor="text1"/>
          <w:shd w:val="clear" w:color="auto" w:fill="FFFFFF"/>
        </w:rPr>
        <w:fldChar w:fldCharType="begin" w:fldLock="1"/>
      </w:r>
      <w:r w:rsidR="00C7048B" w:rsidRPr="00DD3E69">
        <w:rPr>
          <w:color w:val="000000" w:themeColor="text1"/>
          <w:shd w:val="clear" w:color="auto" w:fill="FFFFFF"/>
        </w:rPr>
        <w:instrText>ADDIN CSL_CITATION {"citationItems":[{"id":"ITEM-1","itemData":{"DOI":"10.1016/j.jhazmat.2010.07.107","ISSN":"03043894","PMID":"20800354","abstract":"The hydrometallurgical route of copper and tin extraction from printed circuit boards (PCBs) of used personal computers after thermal pretreatment is discussed. The samples were thermally pretreated within temperature range of 300-900°C during 15, 30 and 60. min. Two methods of the thermal pretreatment were studied: burning and pyrolysis. The leaching solution of 1. M HCl at 80°C was used. The original as well as thermally pretreated samples were leached. The weight losses within the range from 5 to 35% were achieved. The increase of burning temperature causes the copper extraction into solution up to 98%, while copper extraction into solution from non-burned samples was up to 6%. In the case of the tin leaching the highest extraction was achieved when the original sample was leached. The increase of the burning temperature caused the lowering of the copper extraction. The increase of the pyrolysis temperature enhances copper and tin extraction. © 2010 Elsevier B.V.","author":[{"dropping-particle":"","family":"Havlik","given":"T.","non-dropping-particle":"","parse-names":false,"suffix":""},{"dropping-particle":"","family":"Orac","given":"D.","non-dropping-particle":"","parse-names":false,"suffix":""},{"dropping-particle":"","family":"Petranikova","given":"M.","non-dropping-particle":"","parse-names":false,"suffix":""},{"dropping-particle":"","family":"Miskufova","given":"A.","non-dropping-particle":"","parse-names":false,"suffix":""},{"dropping-particle":"","family":"Kukurugya","given":"F.","non-dropping-particle":"","parse-names":false,"suffix":""},{"dropping-particle":"","family":"Takacova","given":"Z.","non-dropping-particle":"","parse-names":false,"suffix":""}],"container-title":"Journal of Hazardous Materials","id":"ITEM-1","issue":"1-3","issued":{"date-parts":[["2010"]]},"page":"866-873","publisher":"Elsevier B.V.","title":"Leaching of copper and tin from used printed circuit boards after thermal treatment","type":"article-journal","volume":"183"},"uris":["http://www.mendeley.com/documents/?uuid=11a92c59-9e14-4ea3-969e-23b45f730778"]},{"id":"ITEM-2","itemData":{"DOI":"10.1016/j.wasman.2011.08.010","ISSN":"0956053X","PMID":"21925857","abstract":"Metal containing wastes/byproducts of various industries, used consumer goods, and municipal waste are potential pollutants, if not treated properly. They may also be important secondary resources if processed in eco-friendly manner for secured supply of contained metals/materials. Bio-extraction of metals from such resources with microbes such as bacteria, fungi and archaea is being increasingly explored to meet the twin objectives of resource recycling and pollution mitigation. This review focuses on the bio-processing of solid wastes/byproducts of metallurgical and manufacturing industries, chemical/petrochemical plants, electroplating and tanning units, besides sewage sludge and fly ash of municipal incinerators, electronic wastes (e-wastes/PCBs), used batteries, etc. An assessment has been made to quantify the wastes generated and its compositions, microbes used, metal leaching efficiency etc. Processing of certain effluents and wastewaters comprising of metals is also included in brief. Future directions of research are highlighted. © 2011 Elsevier Ltd.","author":[{"dropping-particle":"","family":"Lee","given":"Jae chun","non-dropping-particle":"","parse-names":false,"suffix":""},{"dropping-particle":"","family":"Pandey","given":"Banshi Dhar","non-dropping-particle":"","parse-names":false,"suffix":""}],"container-title":"Waste Management","id":"ITEM-2","issue":"1","issued":{"date-parts":[["2012"]]},"page":"3-18","publisher":"Elsevier Ltd","title":"Bio-processing of solid wastes and secondary resources for metal extraction - A review","type":"article-journal","volume":"32"},"uris":["http://www.mendeley.com/documents/?uuid=17fcf806-6690-434c-a163-f6a34c346bb7"]},{"id":"ITEM-3","itemData":{"DOI":"10.1177/0954405414567521","ISSN":"20411975","abstract":"This study focused on a newly proposed recycling process to recover electrodic powder enriched in cobalt (Co) and lithium (Li) from spent lithium primary and ion batteries. In addition, this new process was designed to prevent the explosion of batteries during thermal treatment under an inert atmosphere. Spent lithium mixed batteries were heated over the range of 300 °C to 600 °C for 2 h, and each component was completely separated inside the reactor after the experiment. Electrodic powder was successfully recovered from the bulk components through sieving; the powder contained several pieces of metals. The electrodic powder obtained was examined using X-ray diffraction, energy dispersive X-ray spectroscopy, and atomic absorption spectroscopy. Additionally, an image of the powder was taken using scanning electron microscopy. The cobalt and lithium were mainly recovered at approximately 32–35 wt% and 3–5 wt% in the electrodic powder, respectively. © 2015, IMechE. All rights reserved.","author":[{"dropping-particle":"","family":"Joo","given":"Sung ho","non-dropping-particle":"","parse-names":false,"suffix":""},{"dropping-particle":"","family":"Shin","given":"Shun Myung","non-dropping-particle":"","parse-names":false,"suffix":""},{"dropping-particle":"","family":"Shin","given":"Dong ju","non-dropping-particle":"","parse-names":false,"suffix":""},{"dropping-particle":"","family":"Wang","given":"Jei Pil","non-dropping-particle":"","parse-names":false,"suffix":""}],"container-title":"Proceedings of the Institution of Mechanical Engineers, Part B: Journal of Engineering Manufacture","id":"ITEM-3","issued":{"date-parts":[["2015"]]},"page":"212-220","title":"Development of recycling technology to recover valuable metals from lithium primary and ion batteries","type":"article-journal","volume":"229"},"uris":["http://www.mendeley.com/documents/?uuid=a7bcc386-35d6-45a2-9dd8-c572d44d3072"]},{"id":"ITEM-4","itemData":{"DOI":"10.1016/j.msec.2010.09.019","ISSN":"09284931","abstract":"The demand for heavy metals is ever increasing with the advance of the industrialized world, whereas worldwide reserves of high-grade ores are diminishing. However, there exist large stockpiles of low and lean grade ores that are yet to be exploited. In addition, heavy metals that are present in a spectrum of waste streams including mine drainage, industrial effluents, river sediments, electronic scraps and ashes are also available for recovery and utilization. Heavy metal recovery from low and lean grade ores using conventional techniques such as pyrometallurgy, etc. chemical metallurgy encompass several inherent constraints like, high energy and capital inputs, and high risk of secondary environmental pollution. As environmental regulations become ever more stringent, particularly regarding the disposal of toxic wastes, the costs for ensuring environmental protection will continue to rise. Therefore, there is a need to utilize more efficient technologies to recover heavy metals from secondary sources in order to minimize capital outlay, environmental impact and to respond to increased demand. Biohydrometallurgy, which exploits microbiological processes to recover heavy metal ions, is regarded as one of the most promising and revolutionary biotechnologies. The products of such processes are deposited in aqueous solution thereby rendering them to be more amenable to containment, treatment and recovery. On top of this, biohydrometallurgy can be conducted under mild conditions, usually without the use of any toxic chemicals. Consequently, the application of biohydrometallurgy in recovery of heavy metals from lean grade ores, and wastes, has made it an eco-friendly biotechnology for enhanced heavy metal production. © 2010 Elsevier B.V. All rights reserved.","author":[{"dropping-particle":"","family":"Hoque","given":"Md E.","non-dropping-particle":"","parse-names":false,"suffix":""},{"dropping-particle":"","family":"Philip","given":"Obbard J.","non-dropping-particle":"","parse-names":false,"suffix":""}],"container-title":"Materials Science and Engineering C","id":"ITEM-4","issue":"2","issued":{"date-parts":[["2011"]]},"page":"57-66","publisher":"Elsevier B.V.","title":"Biotechnological recovery of heavy metals from secondary sources-An overview","type":"article-journal","volume":"31"},"uris":["http://www.mendeley.com/documents/?uuid=d887e57b-66d9-447e-9b6a-93c65c5ac4b4"]},{"id":"ITEM-5","itemData":{"DOI":"10.1016/j.hydromet.2006.01.004","ISSN":"0304386X","abstract":"A process for the recovery of gold from processed gold-plated printed circuit boards, gold-coated bangles and gold-coated mirrors is described. It is based on heating the scrap material along with an \"eco-friendly\" or \"green\" reag</w:instrText>
      </w:r>
      <w:r w:rsidR="00C7048B" w:rsidRPr="00F03516">
        <w:rPr>
          <w:color w:val="000000" w:themeColor="text1"/>
          <w:shd w:val="clear" w:color="auto" w:fill="FFFFFF"/>
          <w:lang w:val="fr-FR"/>
        </w:rPr>
        <w:instrText>ent, 20% (v / v) formic acid solution to boiling temperature to separate the inorganic component from epoxy resin in gold-coated mirrors. Dissolution of base metals is affected using a strong oxidizing agent, 20%(w / v) potassium persulphate, which is also \"eco-friendly\" or \"green\"; and heating to boiling temperature. Recovery of gold is achieved by melting. The recovery efficiency is on par with the cyanidation process. The process can be scaled up and adopted by all categories of industries. © 2006 Elsevier B.V. All rights reserved.","author":[{"dropping-particle":"","family":"Syed","given":"S.","non-dropping-particle":"","parse-names":false,"suffix":""}],"container-title":"Hydrometallurgy","id":"ITEM-5","issue":"1-2","issued":{"date-parts":[["2006"]]},"page":"48-53","title":"A green technology for recovery of gold from non-metallic secondary sources","type":"article-journal","volume":"82"},"uris":["http://www.mendeley.com/documents/?uuid=5cd91277-a73e-4a2c-8c7d-f8ff1a567803"]}],"mendeley":{"formattedCitation":"(Havlik et al., 2010; Hoque &amp; Philip, 2011; Joo et al., 2015; Lee &amp; Pandey, 2012; Syed, 2006)","plainTextFormattedCitation":"(Havlik et al., 2010; Hoque &amp; Philip, 2011; Joo et al., 2015; Lee &amp; Pandey, 2012; Syed, 2006)","previouslyFormattedCitation":"(Havlik et al., 2010; Hoque &amp; Philip, 2011; Joo et al., 2015; Lee &amp; Pandey, 2012; Syed, 2006)"},"properties":{"noteIndex":0},"schema":"https://github.com/citation-style-language/schema/raw/master/csl-citation.json"}</w:instrText>
      </w:r>
      <w:r w:rsidR="00C7048B" w:rsidRPr="00DD3E69">
        <w:rPr>
          <w:color w:val="000000" w:themeColor="text1"/>
          <w:shd w:val="clear" w:color="auto" w:fill="FFFFFF"/>
        </w:rPr>
        <w:fldChar w:fldCharType="separate"/>
      </w:r>
      <w:r w:rsidR="00C7048B" w:rsidRPr="00F03516">
        <w:rPr>
          <w:noProof/>
          <w:color w:val="000000" w:themeColor="text1"/>
          <w:shd w:val="clear" w:color="auto" w:fill="FFFFFF"/>
          <w:lang w:val="fr-FR"/>
        </w:rPr>
        <w:t>(Havlik et al., 2010; Hoque &amp; Philip, 2011; Joo et al., 2015; Lee &amp; Pandey, 2012; Syed, 2006)</w:t>
      </w:r>
      <w:r w:rsidR="00C7048B" w:rsidRPr="00DD3E69">
        <w:rPr>
          <w:color w:val="000000" w:themeColor="text1"/>
          <w:shd w:val="clear" w:color="auto" w:fill="FFFFFF"/>
        </w:rPr>
        <w:fldChar w:fldCharType="end"/>
      </w:r>
      <w:r w:rsidRPr="00F03516">
        <w:rPr>
          <w:color w:val="000000" w:themeColor="text1"/>
          <w:lang w:val="fr-FR"/>
        </w:rPr>
        <w:t xml:space="preserve">. </w:t>
      </w:r>
      <w:r w:rsidRPr="00DD3E69">
        <w:rPr>
          <w:color w:val="000000" w:themeColor="text1"/>
        </w:rPr>
        <w:t xml:space="preserve">In terms of environmental protection and energy conservation, hydrometallurgy and bioleaching processes outperform the pyrometallurgical technique significantly </w:t>
      </w:r>
      <w:r w:rsidR="00C7048B" w:rsidRPr="00DD3E69">
        <w:rPr>
          <w:color w:val="000000" w:themeColor="text1"/>
        </w:rPr>
        <w:fldChar w:fldCharType="begin" w:fldLock="1"/>
      </w:r>
      <w:r w:rsidR="00C7048B" w:rsidRPr="00DD3E69">
        <w:rPr>
          <w:color w:val="000000" w:themeColor="text1"/>
        </w:rPr>
        <w:instrText>ADDIN CSL_CITATION {"citationItems":[{"id":"ITEM-1","itemData":{"DOI":"10.1016/j.jpowsour.2013.08.128","ISSN":"03787753","abstract":"A hydrometallurgical process is developed to recover valuable metals of the lithium nickel cobalt aluminum oxide (NCA) cathodes from spent lithium-ion batteries (LIBs). Effect of parameters such as type of acid (H 2SO4, HNO3 and HCl), acid concentration (1-4 mol L-1), leaching time (3-18 h) and leaching temperature (25-90 C) with a solid to liquid ratio fixed at 5% (w/v) are investigated to determine the most efficient conditions of dissolution. The preliminary results indicate that HCl provides higher leaching efficiency. In optimum conditions, a complete dissolution is performed for Li, Ni, Co and Al. In the nickel and cobalt recovery process, at first the Co(II) in the leaching liquor is selectively oxidized in Co(III) with NaClO reagent to recover Co2O3, 3H2O by a selective precipitation at pH = 3. Then, the nickel hydroxide is precipitated by a base addition at pH = 11. The recovery efficiency of cobalt and nickel are respectively 100% and 99.99%.© 2013 Elsevier B.V. All rights reserved.","author":[{"dropping-particle":"","family":"Joulié","given":"M.","non-dropping-particle":"","parse-names":false,"suffix":""},{"dropping-particle":"","family":"Laucournet","given":"R.","non-dropping-particle":"","parse-names":false,"suffix":""},{"dropping-particle":"","family":"Billy","given":"E.","non-dropping-particle":"","parse-names":false,"suffix":""}],"container-title":"Journal of Power Sources","id":"ITEM-1","issued":{"date-parts":[["2014"]]},"page":"551-555","publisher":"Elsevier B.V","title":"Hydrometallurgical process for the recovery of high value metals from spent lithium nickel cobalt aluminum oxide based lithium-ion batteries","type":"article-journal","volume":"247"},"uris":["http://www.mendeley.com/documents/?uuid=2ef6aec8-3937-422c-bb80-94ab9f14a885"]}],"mendeley":{"formattedCitation":"(Joulié et al., 2014)","plainTextFormattedCitation":"(Joulié et al., 2014)","previouslyFormattedCitation":"(Joulié et al., 2014)"},"properties":{"noteIndex":0},"schema":"https://github.com/citation-style-language/schema/raw/master/csl-citation.json"}</w:instrText>
      </w:r>
      <w:r w:rsidR="00C7048B" w:rsidRPr="00DD3E69">
        <w:rPr>
          <w:color w:val="000000" w:themeColor="text1"/>
        </w:rPr>
        <w:fldChar w:fldCharType="separate"/>
      </w:r>
      <w:r w:rsidR="00C7048B" w:rsidRPr="00DD3E69">
        <w:rPr>
          <w:noProof/>
          <w:color w:val="000000" w:themeColor="text1"/>
        </w:rPr>
        <w:t>(Joulié et al., 2014)</w:t>
      </w:r>
      <w:r w:rsidR="00C7048B" w:rsidRPr="00DD3E69">
        <w:rPr>
          <w:color w:val="000000" w:themeColor="text1"/>
        </w:rPr>
        <w:fldChar w:fldCharType="end"/>
      </w:r>
      <w:r w:rsidRPr="00DD3E69">
        <w:rPr>
          <w:color w:val="000000" w:themeColor="text1"/>
        </w:rPr>
        <w:t>.</w:t>
      </w:r>
    </w:p>
    <w:p w14:paraId="334DA4A4" w14:textId="630C7F2E" w:rsidR="003F2AF3" w:rsidRPr="00DD3E69" w:rsidRDefault="0082231F" w:rsidP="00905EDD">
      <w:pPr>
        <w:spacing w:line="360" w:lineRule="auto"/>
        <w:jc w:val="both"/>
        <w:rPr>
          <w:color w:val="000000" w:themeColor="text1"/>
        </w:rPr>
      </w:pPr>
      <w:r w:rsidRPr="00DD3E69">
        <w:rPr>
          <w:color w:val="000000" w:themeColor="text1"/>
        </w:rPr>
        <w:t xml:space="preserve">On the other hand, the hydrometallurgy and bioleaching processes may have major limitations throughout the recovery process. Longer recovery techniques (e.g., reduction leaching, solvent extraction, selective precipitation, or a combination of these) can substantially increase costs and complicate the recycling process in hydrometallurgical technologies </w:t>
      </w:r>
      <w:r w:rsidR="00EC0385" w:rsidRPr="00DD3E69">
        <w:rPr>
          <w:color w:val="000000" w:themeColor="text1"/>
        </w:rPr>
        <w:fldChar w:fldCharType="begin" w:fldLock="1"/>
      </w:r>
      <w:r w:rsidR="00EC0385" w:rsidRPr="00DD3E69">
        <w:rPr>
          <w:color w:val="000000" w:themeColor="text1"/>
        </w:rPr>
        <w:instrText>ADDIN CSL_CITATION {"citationItems":[{"id":"ITEM-1","itemData":{"DOI":"10.1016/j.wasman.2014.12.023","ISSN":"18792456","PMID":"25619126","abstract":"Environmentally hazardous substances contained in spent Li-ion batteries, such as heavy metals and nocuous organics, will pose a threat to the environment and human health. On the other hand, the sustainable recycling of spent lithium-ion batteries may bring about environmental and economic benefits. In this study, a hydrometallurgical process was adopted for the comprehensive recovery of nickel, manganese, cobalt and lithium from sulfuric acid leaching liquor from waste cathode materials of spent lithium-ion batteries. First, nickel ions were selectively precipitated and recovered using dimethylglyoxime reagent. Recycled dimethylglyoxime could be re-used as precipitant for nickel and revealed similar precipitation performance compared with fresh dimethylglyoxime. Then the separation of manganese and cobalt was conducted by solvent extraction method using cobalt loaded D2EHPA. And McCabe-Thiele isotherm was employed for the prediction of the degree of separation and the number of extraction stages needed at specific experimental conditions. Finally, cobalt and lithium were sequentially precipitated and recovered as CoC&lt;inf&gt;2&lt;/inf&gt;O&lt;inf&gt;4&lt;/inf&gt;{dot operator}2H&lt;inf&gt;2&lt;/inf&gt;O and Li&lt;inf&gt;2&lt;/inf&gt;CO&lt;inf&gt;3&lt;/inf&gt; using ammonium oxalate solution and saturated sodium carbonate solution, respectively. Recovery efficiencies could be attained as follows: 98.7% for Ni; 97.1% for Mn, 98.2% for Co and 81.0% for Li under optimized experimental conditions. This hydrometallurgical process may promise a candidate for the effective separation and recovery of metal values from the sulfuric acid leaching liquor.","author":[{"dropping-particle":"","family":"Chen","given":"Xiangping","non-dropping-particle":"","parse-names":false,"suffix":""},{"dropping-particle":"","family":"Chen","given":"Yongbin","non-dropping-particle":"","parse-names":false,"suffix":""},{"dropping-particle":"","family":"Zhou","given":"Tao","non-dropping-particle":"","parse-names":false,"suffix":""},{"dropping-particle":"","family":"Liu","given":"Depei","non-dropping-particle":"","parse-names":false,"suffix":""},{"dropping-particle":"","family":"Hu","given":"Hang","non-dropping-particle":"","parse-names":false,"suffix":""},{"dropping-particle":"","family":"Fan","given":"Shaoyun","non-dropping-particle":"","parse-names":false,"suffix":""}],"container-title":"Waste Management","id":"ITEM-1","issue":"1","issued":{"date-parts":[["2015"]]},"page":"349-356","publisher":"Elsevier Ltd","title":"Hydrometallurgical recovery of metal values from sulfuric acid leaching liquor of spent lithium-ion batteries","type":"article-journal","volume":"38"},"uris":["http://www.mendeley.com/documents/?uuid=447d3abb-fa56-467a-8e26-b4ac37879bce"]},{"id":"ITEM-2","itemData":{"DOI":"10.1016/j.jclepro.2015.01.045","ISSN":"09596526","abstract":"Abstract Shorter product life cycles are causing increase in the volume of electrical and electronic equipment waste and batteries are an important functional component of these. There are still batteries in use today which contain mercury, lead and nickel. These heavy metals are toxic and harmful to both the environment and human and have to be disposed of by proper processes. In Taiwan, waste dry battery recycling is managed by the Recycling Fund Management Board. Producers only have to pay advance disposal fees (ADFs). Many countries have adopted the concept of Extended Producer Responsibility (EPR), which requires the product manufacturer to assume responsibility for recycling and final disposal in compliance with the related laws. In this study the effects of three different recycling schemes under different recycling situations is investigated by simulation. System output data is collected under different recycling situations, and the cost effectiveness is determined and analyzed. The investigations showed the Producer Responsibility Organizations combined with a deposit system revealed the most cost effectiveness. This would seem to be a better scheme in terms of cost effectiveness for implementing in Taiwan.","author":[{"dropping-particle":"","family":"Lin","given":"Shui Shun","non-dropping-particle":"","parse-names":false,"suffix":""},{"dropping-particle":"","family":"Chiu","given":"Kuan Hao","non-dropping-particle":"","parse-names":false,"suffix":""}],"container-title":"Journal of Cleaner Production","id":"ITEM-2","issued":{"date-parts":[["2015"]]},"page":"330-338","publisher":"Elsevier Ltd","title":"An evaluation of recycling schemes for waste dry batteries - A simulation approach","type":"article-journal","volume":"93"},"uris":["http://www.mendeley.com/documents/?uuid=11d79a3a-32c6-420e-91f1-3b4cf7757dda"]}],"mendeley":{"formattedCitation":"(Chen et al., 2015; Lin &amp; Chiu, 2015)","plainTextFormattedCitation":"(Chen et al., 2015; Lin &amp; Chiu, 2015)","previouslyFormattedCitation":"(Chen et al., 2015; Lin &amp; Chiu, 2015)"},"properties":{"noteIndex":0},"schema":"https://github.com/citation-style-language/schema/raw/master/csl-citation.json"}</w:instrText>
      </w:r>
      <w:r w:rsidR="00EC0385" w:rsidRPr="00DD3E69">
        <w:rPr>
          <w:color w:val="000000" w:themeColor="text1"/>
        </w:rPr>
        <w:fldChar w:fldCharType="separate"/>
      </w:r>
      <w:r w:rsidR="00EC0385" w:rsidRPr="00DD3E69">
        <w:rPr>
          <w:noProof/>
          <w:color w:val="000000" w:themeColor="text1"/>
        </w:rPr>
        <w:t>(Chen et al., 2015; Lin &amp; Chiu, 2015)</w:t>
      </w:r>
      <w:r w:rsidR="00EC0385" w:rsidRPr="00DD3E69">
        <w:rPr>
          <w:color w:val="000000" w:themeColor="text1"/>
        </w:rPr>
        <w:fldChar w:fldCharType="end"/>
      </w:r>
      <w:r w:rsidRPr="00DD3E69">
        <w:rPr>
          <w:color w:val="000000" w:themeColor="text1"/>
        </w:rPr>
        <w:t>. The characterization method can also pose challenges for mining companies, and it is important to know the characteristics of the tailings.</w:t>
      </w:r>
    </w:p>
    <w:p w14:paraId="7C9C8FA7" w14:textId="6CD485AD" w:rsidR="003F2AF3" w:rsidRPr="00DD3E69" w:rsidRDefault="0082231F" w:rsidP="00905EDD">
      <w:pPr>
        <w:spacing w:line="360" w:lineRule="auto"/>
        <w:jc w:val="both"/>
        <w:rPr>
          <w:color w:val="000000" w:themeColor="text1"/>
        </w:rPr>
      </w:pPr>
      <w:r w:rsidRPr="00DD3E69">
        <w:rPr>
          <w:color w:val="000000" w:themeColor="text1"/>
        </w:rPr>
        <w:t>The present study includes the mechanical preparation (drying, grinding, homogenization), followed by performing the mineralogical analyses through the use of a microscope and X-ray diffractometer. Chemical analyses were conducted to determine chemical contents and metal concentrations.</w:t>
      </w:r>
    </w:p>
    <w:p w14:paraId="1D3FE438" w14:textId="77777777" w:rsidR="003F2AF3" w:rsidRPr="00DD3E69" w:rsidRDefault="0082231F" w:rsidP="00905EDD">
      <w:pPr>
        <w:spacing w:line="360" w:lineRule="auto"/>
        <w:jc w:val="both"/>
        <w:rPr>
          <w:color w:val="000000" w:themeColor="text1"/>
        </w:rPr>
      </w:pPr>
      <w:r w:rsidRPr="00DD3E69">
        <w:rPr>
          <w:b/>
          <w:bCs/>
          <w:color w:val="000000" w:themeColor="text1"/>
        </w:rPr>
        <w:t>Sample Collection and Preparation</w:t>
      </w:r>
    </w:p>
    <w:p w14:paraId="3722F736" w14:textId="79A085AE" w:rsidR="003F2AF3" w:rsidRPr="00DD3E69" w:rsidRDefault="0082231F" w:rsidP="00905EDD">
      <w:pPr>
        <w:spacing w:line="360" w:lineRule="auto"/>
        <w:jc w:val="both"/>
        <w:rPr>
          <w:color w:val="000000" w:themeColor="text1"/>
        </w:rPr>
      </w:pPr>
      <w:r w:rsidRPr="00DD3E69">
        <w:t xml:space="preserve">The </w:t>
      </w:r>
      <w:r w:rsidRPr="00DD3E69">
        <w:rPr>
          <w:color w:val="000000" w:themeColor="text1"/>
        </w:rPr>
        <w:t>tailings samples were collected from the iron-copper ore mining company at a 2-meter depth, as shown in Figure 2. As the tailings samples contain a mixture of water and solid waste, mechanical preparation is necessary to get a representative sample. The different steps of this method are drying, grinding, homogenization, and sieving (See Figure 3). For instance, the collected iron tailing samples were first dried using the oven within 48 hours at 60</w:t>
      </w:r>
      <w:r w:rsidR="003D0CF8" w:rsidRPr="00DD3E69">
        <w:rPr>
          <w:color w:val="000000" w:themeColor="text1"/>
        </w:rPr>
        <w:t xml:space="preserve"> </w:t>
      </w:r>
      <w:r w:rsidRPr="00DD3E69">
        <w:rPr>
          <w:color w:val="000000" w:themeColor="text1"/>
        </w:rPr>
        <w:t xml:space="preserve">°C. In order to </w:t>
      </w:r>
      <w:r w:rsidRPr="00DD3E69">
        <w:rPr>
          <w:color w:val="000000" w:themeColor="text1"/>
        </w:rPr>
        <w:lastRenderedPageBreak/>
        <w:t xml:space="preserve">get the appropriate size, the iron tailings were </w:t>
      </w:r>
      <w:r w:rsidR="00F407AD" w:rsidRPr="00DD3E69">
        <w:rPr>
          <w:color w:val="000000" w:themeColor="text1"/>
        </w:rPr>
        <w:t>grinded</w:t>
      </w:r>
      <w:r w:rsidRPr="00DD3E69">
        <w:rPr>
          <w:color w:val="000000" w:themeColor="text1"/>
        </w:rPr>
        <w:t xml:space="preserve"> by a rod mill and divided by a splitter riffle. In the characterization of any sample the representative sample is crucial; therefore, the iron tailings were homogenized using the coning and quartering method.</w:t>
      </w:r>
    </w:p>
    <w:p w14:paraId="5372954D" w14:textId="77777777" w:rsidR="003F2AF3" w:rsidRPr="00DD3E69" w:rsidRDefault="003F2AF3" w:rsidP="00905EDD">
      <w:pPr>
        <w:spacing w:line="360" w:lineRule="auto"/>
        <w:jc w:val="both"/>
      </w:pPr>
    </w:p>
    <w:p w14:paraId="6DD69E23" w14:textId="4DB31539" w:rsidR="003F2AF3" w:rsidRPr="00DD3E69" w:rsidRDefault="00FC2D84" w:rsidP="00DD3E69">
      <w:pPr>
        <w:spacing w:line="360" w:lineRule="auto"/>
        <w:jc w:val="center"/>
      </w:pPr>
      <w:r w:rsidRPr="00DD3E69">
        <w:rPr>
          <w:noProof/>
        </w:rPr>
        <w:drawing>
          <wp:inline distT="0" distB="0" distL="0" distR="0" wp14:anchorId="6A4203BF" wp14:editId="0196A0A4">
            <wp:extent cx="4140000" cy="2594345"/>
            <wp:effectExtent l="0" t="0" r="0" b="0"/>
            <wp:docPr id="6" name="Image 5">
              <a:extLst xmlns:a="http://schemas.openxmlformats.org/drawingml/2006/main">
                <a:ext uri="{FF2B5EF4-FFF2-40B4-BE49-F238E27FC236}">
                  <a16:creationId xmlns:a16="http://schemas.microsoft.com/office/drawing/2014/main" id="{A0C100BD-7462-C209-C3FB-B329C2741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0C100BD-7462-C209-C3FB-B329C2741CBE}"/>
                        </a:ext>
                      </a:extLst>
                    </pic:cNvPr>
                    <pic:cNvPicPr>
                      <a:picLocks noChangeAspect="1"/>
                    </pic:cNvPicPr>
                  </pic:nvPicPr>
                  <pic:blipFill>
                    <a:blip r:embed="rId6"/>
                    <a:stretch>
                      <a:fillRect/>
                    </a:stretch>
                  </pic:blipFill>
                  <pic:spPr>
                    <a:xfrm>
                      <a:off x="0" y="0"/>
                      <a:ext cx="4140000" cy="2594345"/>
                    </a:xfrm>
                    <a:prstGeom prst="rect">
                      <a:avLst/>
                    </a:prstGeom>
                  </pic:spPr>
                </pic:pic>
              </a:graphicData>
            </a:graphic>
          </wp:inline>
        </w:drawing>
      </w:r>
    </w:p>
    <w:p w14:paraId="3378333B" w14:textId="4ECDFFC0" w:rsidR="003F2AF3" w:rsidRPr="00DD3E69" w:rsidRDefault="0082231F" w:rsidP="00905EDD">
      <w:pPr>
        <w:spacing w:line="360" w:lineRule="auto"/>
        <w:jc w:val="both"/>
      </w:pPr>
      <w:r w:rsidRPr="00DD3E69">
        <w:rPr>
          <w:b/>
          <w:bCs/>
        </w:rPr>
        <w:t xml:space="preserve">Figure 1. </w:t>
      </w:r>
      <w:r w:rsidRPr="00DD3E69">
        <w:t>Tonnage of iron tailings produced annually in different countries</w:t>
      </w:r>
      <w:r w:rsidR="00477774" w:rsidRPr="00DD3E69">
        <w:t xml:space="preserve"> </w:t>
      </w:r>
      <w:r w:rsidR="00477774" w:rsidRPr="00DD3E69">
        <w:fldChar w:fldCharType="begin" w:fldLock="1"/>
      </w:r>
      <w:r w:rsidR="003871AD" w:rsidRPr="00DD3E69">
        <w:instrText>ADDIN CSL_CITATION {"citationItems":[{"id":"ITEM-1","itemData":{"author":[{"dropping-particle":"","family":"Vieira","given":"Sara S","non-dropping-particle":"","parse-names":false,"suffix":""},{"dropping-particle":"","family":"Teixeira","given":"Ana Paula C","non-dropping-particle":"","parse-names":false,"suffix":""},{"dropping-particle":"","family":"Lago","given":"Rochel M","non-dropping-particle":"","parse-names":false,"suffix":""}],"id":"ITEM-1","issue":"10","issued":{"date-parts":[["2021"]]},"page":"1895-1911","title":"Iron Ore Tailings: Characterization and Applications","type":"article-journal","volume":"32"},"uris":["http://www.mendeley.com/documents/?uuid=13f42804-6ea3-4cf1-8873-0a613a330fba"]}],"mendeley":{"formattedCitation":"(Vieira et al., 2021)","plainTextFormattedCitation":"(Vieira et al., 2021)","previouslyFormattedCitation":"(Vieira et al., 2021)"},"properties":{"noteIndex":0},"schema":"https://github.com/citation-style-language/schema/raw/master/csl-citation.json"}</w:instrText>
      </w:r>
      <w:r w:rsidR="00477774" w:rsidRPr="00DD3E69">
        <w:fldChar w:fldCharType="separate"/>
      </w:r>
      <w:r w:rsidR="00477774" w:rsidRPr="00DD3E69">
        <w:rPr>
          <w:noProof/>
        </w:rPr>
        <w:t>(Vieira et al., 2021)</w:t>
      </w:r>
      <w:r w:rsidR="00477774" w:rsidRPr="00DD3E69">
        <w:fldChar w:fldCharType="end"/>
      </w:r>
      <w:r w:rsidR="00477774" w:rsidRPr="00DD3E69">
        <w:t>.</w:t>
      </w:r>
    </w:p>
    <w:p w14:paraId="51093278" w14:textId="55094AA4" w:rsidR="00FC2D84" w:rsidRPr="00DD3E69" w:rsidRDefault="00FC2D84" w:rsidP="00DD3E69">
      <w:pPr>
        <w:spacing w:line="360" w:lineRule="auto"/>
        <w:jc w:val="center"/>
      </w:pPr>
      <w:r w:rsidRPr="00DD3E69">
        <w:rPr>
          <w:noProof/>
        </w:rPr>
        <w:drawing>
          <wp:inline distT="0" distB="0" distL="0" distR="0" wp14:anchorId="60816BD0" wp14:editId="6011FC87">
            <wp:extent cx="4176000" cy="1771614"/>
            <wp:effectExtent l="0" t="0" r="0" b="635"/>
            <wp:docPr id="329346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6000" cy="1771614"/>
                    </a:xfrm>
                    <a:prstGeom prst="rect">
                      <a:avLst/>
                    </a:prstGeom>
                    <a:noFill/>
                    <a:ln>
                      <a:noFill/>
                    </a:ln>
                  </pic:spPr>
                </pic:pic>
              </a:graphicData>
            </a:graphic>
          </wp:inline>
        </w:drawing>
      </w:r>
    </w:p>
    <w:p w14:paraId="5E42C73B" w14:textId="30191F2E" w:rsidR="003F2AF3" w:rsidRPr="00DD3E69" w:rsidRDefault="0082231F" w:rsidP="00905EDD">
      <w:pPr>
        <w:spacing w:line="360" w:lineRule="auto"/>
        <w:jc w:val="both"/>
      </w:pPr>
      <w:r w:rsidRPr="00DD3E69">
        <w:rPr>
          <w:b/>
          <w:bCs/>
        </w:rPr>
        <w:t xml:space="preserve">Figure 2. </w:t>
      </w:r>
      <w:r w:rsidRPr="00DD3E69">
        <w:t>Iron tailings sampled from the mining site</w:t>
      </w:r>
    </w:p>
    <w:p w14:paraId="19EB1D8B" w14:textId="4B61A973" w:rsidR="00FC2D84" w:rsidRPr="00DD3E69" w:rsidRDefault="00FC2D84" w:rsidP="00DD3E69">
      <w:pPr>
        <w:spacing w:line="360" w:lineRule="auto"/>
        <w:jc w:val="center"/>
      </w:pPr>
      <w:r w:rsidRPr="00DD3E69">
        <w:rPr>
          <w:noProof/>
        </w:rPr>
        <w:lastRenderedPageBreak/>
        <w:drawing>
          <wp:inline distT="0" distB="0" distL="0" distR="0" wp14:anchorId="7CAE7884" wp14:editId="4C5254B1">
            <wp:extent cx="5252785" cy="2880000"/>
            <wp:effectExtent l="0" t="0" r="5080" b="0"/>
            <wp:docPr id="19358272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785" cy="2880000"/>
                    </a:xfrm>
                    <a:prstGeom prst="rect">
                      <a:avLst/>
                    </a:prstGeom>
                    <a:noFill/>
                    <a:ln>
                      <a:noFill/>
                    </a:ln>
                  </pic:spPr>
                </pic:pic>
              </a:graphicData>
            </a:graphic>
          </wp:inline>
        </w:drawing>
      </w:r>
    </w:p>
    <w:p w14:paraId="31480AC0" w14:textId="4FD952FF" w:rsidR="00FC2D84" w:rsidRPr="00DD3E69" w:rsidRDefault="0082231F" w:rsidP="00905EDD">
      <w:pPr>
        <w:spacing w:line="360" w:lineRule="auto"/>
        <w:jc w:val="both"/>
      </w:pPr>
      <w:r w:rsidRPr="00DD3E69">
        <w:rPr>
          <w:b/>
          <w:bCs/>
          <w:color w:val="000000" w:themeColor="text1"/>
        </w:rPr>
        <w:t xml:space="preserve">Figure 3. </w:t>
      </w:r>
      <w:r w:rsidRPr="00DD3E69">
        <w:rPr>
          <w:color w:val="000000" w:themeColor="text1"/>
        </w:rPr>
        <w:t>Mechanical preparation of the sample. a. sample collected from mining site, b. samples drying at 60</w:t>
      </w:r>
      <w:r w:rsidR="003D0CF8" w:rsidRPr="00DD3E69">
        <w:rPr>
          <w:color w:val="000000" w:themeColor="text1"/>
        </w:rPr>
        <w:t xml:space="preserve"> </w:t>
      </w:r>
      <w:r w:rsidRPr="00DD3E69">
        <w:rPr>
          <w:color w:val="000000" w:themeColor="text1"/>
        </w:rPr>
        <w:t xml:space="preserve">°C, dried sample, d. homogenization and collection of representative samples, e. samples division with a riffle splitter, grinding the sample to a size </w:t>
      </w:r>
      <w:r w:rsidR="003D0CF8" w:rsidRPr="00DD3E69">
        <w:rPr>
          <w:color w:val="000000" w:themeColor="text1"/>
        </w:rPr>
        <w:t>˂</w:t>
      </w:r>
      <w:r w:rsidRPr="00DD3E69">
        <w:rPr>
          <w:color w:val="000000" w:themeColor="text1"/>
        </w:rPr>
        <w:t xml:space="preserve"> 100</w:t>
      </w:r>
      <w:r w:rsidR="00FC2D84" w:rsidRPr="00DD3E69">
        <w:rPr>
          <w:color w:val="000000" w:themeColor="text1"/>
        </w:rPr>
        <w:t xml:space="preserve"> µm</w:t>
      </w:r>
      <w:r w:rsidRPr="00DD3E69">
        <w:rPr>
          <w:color w:val="000000" w:themeColor="text1"/>
        </w:rPr>
        <w:t xml:space="preserve"> with a rod mill</w:t>
      </w:r>
      <w:r w:rsidRPr="00DD3E69">
        <w:t>.</w:t>
      </w:r>
    </w:p>
    <w:p w14:paraId="7324B4C3" w14:textId="77777777" w:rsidR="003F2AF3" w:rsidRPr="00DD3E69" w:rsidRDefault="0082231F" w:rsidP="00905EDD">
      <w:pPr>
        <w:spacing w:line="360" w:lineRule="auto"/>
        <w:jc w:val="both"/>
      </w:pPr>
      <w:r w:rsidRPr="00DD3E69">
        <w:rPr>
          <w:b/>
          <w:bCs/>
        </w:rPr>
        <w:t>Materials and Methods</w:t>
      </w:r>
    </w:p>
    <w:p w14:paraId="08FB330E" w14:textId="6F63D07D" w:rsidR="003F2AF3" w:rsidRPr="00DD3E69" w:rsidRDefault="0082231F" w:rsidP="00905EDD">
      <w:pPr>
        <w:spacing w:line="360" w:lineRule="auto"/>
        <w:jc w:val="both"/>
        <w:rPr>
          <w:color w:val="000000" w:themeColor="text1"/>
        </w:rPr>
      </w:pPr>
      <w:r w:rsidRPr="00DD3E69">
        <w:rPr>
          <w:color w:val="000000" w:themeColor="text1"/>
        </w:rPr>
        <w:t>The different steps of the characterization method include the determination of moisture content and pH, the analysis of particle size distribution and mineralogical composition using the X-ray diffraction method, and the test of chemical composition and metal content. Figure 4 illustrates the performed analyses in this study.</w:t>
      </w:r>
    </w:p>
    <w:p w14:paraId="7DBCD04D" w14:textId="48CFEF44" w:rsidR="00FC2D84" w:rsidRPr="00DD3E69" w:rsidRDefault="00FC2D84" w:rsidP="00DD3E69">
      <w:pPr>
        <w:spacing w:line="360" w:lineRule="auto"/>
        <w:jc w:val="center"/>
      </w:pPr>
      <w:r w:rsidRPr="00DD3E69">
        <w:rPr>
          <w:noProof/>
        </w:rPr>
        <w:drawing>
          <wp:inline distT="0" distB="0" distL="0" distR="0" wp14:anchorId="6C1AF19F" wp14:editId="60B44C82">
            <wp:extent cx="5194597" cy="2520000"/>
            <wp:effectExtent l="0" t="0" r="6350" b="0"/>
            <wp:docPr id="5" name="Image 4">
              <a:extLst xmlns:a="http://schemas.openxmlformats.org/drawingml/2006/main">
                <a:ext uri="{FF2B5EF4-FFF2-40B4-BE49-F238E27FC236}">
                  <a16:creationId xmlns:a16="http://schemas.microsoft.com/office/drawing/2014/main" id="{64BA0DC8-AF2D-F830-729D-125DC7245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4BA0DC8-AF2D-F830-729D-125DC724500F}"/>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harpenSoften amount="30000"/>
                              </a14:imgEffect>
                            </a14:imgLayer>
                          </a14:imgProps>
                        </a:ext>
                      </a:extLst>
                    </a:blip>
                    <a:srcRect b="8186"/>
                    <a:stretch/>
                  </pic:blipFill>
                  <pic:spPr>
                    <a:xfrm>
                      <a:off x="0" y="0"/>
                      <a:ext cx="5194597" cy="2520000"/>
                    </a:xfrm>
                    <a:prstGeom prst="rect">
                      <a:avLst/>
                    </a:prstGeom>
                  </pic:spPr>
                </pic:pic>
              </a:graphicData>
            </a:graphic>
          </wp:inline>
        </w:drawing>
      </w:r>
    </w:p>
    <w:p w14:paraId="33898C02" w14:textId="63423821" w:rsidR="003F2AF3" w:rsidRDefault="0082231F" w:rsidP="00905EDD">
      <w:pPr>
        <w:spacing w:line="360" w:lineRule="auto"/>
        <w:jc w:val="both"/>
      </w:pPr>
      <w:r w:rsidRPr="00DD3E69">
        <w:rPr>
          <w:b/>
          <w:bCs/>
        </w:rPr>
        <w:t xml:space="preserve">Figure 4. </w:t>
      </w:r>
      <w:r w:rsidRPr="00DD3E69">
        <w:t>Flow chart of different analyses</w:t>
      </w:r>
    </w:p>
    <w:p w14:paraId="6578E67C" w14:textId="77777777" w:rsidR="00DD3E69" w:rsidRPr="00DD3E69" w:rsidRDefault="00DD3E69" w:rsidP="00905EDD">
      <w:pPr>
        <w:spacing w:line="360" w:lineRule="auto"/>
        <w:jc w:val="both"/>
      </w:pPr>
    </w:p>
    <w:p w14:paraId="13EFFE5B" w14:textId="77777777" w:rsidR="003F2AF3" w:rsidRPr="00DD3E69" w:rsidRDefault="0082231F" w:rsidP="00905EDD">
      <w:pPr>
        <w:spacing w:line="360" w:lineRule="auto"/>
        <w:jc w:val="both"/>
      </w:pPr>
      <w:r w:rsidRPr="00DD3E69">
        <w:rPr>
          <w:b/>
          <w:bCs/>
        </w:rPr>
        <w:lastRenderedPageBreak/>
        <w:t>Mineralogical Analyses of Tailing Sample</w:t>
      </w:r>
    </w:p>
    <w:p w14:paraId="1E6D622E" w14:textId="7E703967" w:rsidR="00AB38F7" w:rsidRPr="00DD3E69" w:rsidRDefault="0082231F" w:rsidP="00905EDD">
      <w:pPr>
        <w:spacing w:line="360" w:lineRule="auto"/>
        <w:jc w:val="both"/>
        <w:rPr>
          <w:color w:val="000000" w:themeColor="text1"/>
        </w:rPr>
      </w:pPr>
      <w:r w:rsidRPr="00DD3E69">
        <w:rPr>
          <w:color w:val="000000" w:themeColor="text1"/>
        </w:rPr>
        <w:t>Mineralogical characterization tests were performed by examining polished and thin sections using microscopic and X-ray diffraction methods at the Department of Geology, Dokuz Eylul University, T</w:t>
      </w:r>
      <w:r w:rsidR="00FC2D84" w:rsidRPr="00DD3E69">
        <w:rPr>
          <w:color w:val="000000" w:themeColor="text1"/>
        </w:rPr>
        <w:t>ürk</w:t>
      </w:r>
      <w:r w:rsidRPr="00DD3E69">
        <w:rPr>
          <w:color w:val="000000" w:themeColor="text1"/>
        </w:rPr>
        <w:t xml:space="preserve">iye. </w:t>
      </w:r>
    </w:p>
    <w:p w14:paraId="384D98B2" w14:textId="77777777" w:rsidR="003F2AF3" w:rsidRPr="00DD3E69" w:rsidRDefault="0082231F" w:rsidP="00905EDD">
      <w:pPr>
        <w:spacing w:line="360" w:lineRule="auto"/>
        <w:jc w:val="both"/>
        <w:rPr>
          <w:color w:val="000000" w:themeColor="text1"/>
        </w:rPr>
      </w:pPr>
      <w:r w:rsidRPr="00DD3E69">
        <w:rPr>
          <w:b/>
          <w:bCs/>
          <w:color w:val="000000" w:themeColor="text1"/>
        </w:rPr>
        <w:t xml:space="preserve">Moisture Content, pH, and Particle Size Distribution Tests </w:t>
      </w:r>
    </w:p>
    <w:p w14:paraId="13E7B79D" w14:textId="5E46C853" w:rsidR="003F2AF3" w:rsidRPr="00DD3E69" w:rsidRDefault="0082231F" w:rsidP="00905EDD">
      <w:pPr>
        <w:spacing w:line="360" w:lineRule="auto"/>
        <w:jc w:val="both"/>
        <w:rPr>
          <w:color w:val="000000" w:themeColor="text1"/>
        </w:rPr>
      </w:pPr>
      <w:r w:rsidRPr="00DD3E69">
        <w:rPr>
          <w:color w:val="000000" w:themeColor="text1"/>
        </w:rPr>
        <w:t>The test for moisture content was conducted by weighing the accurate weight of waste samples in the dry oven at 105</w:t>
      </w:r>
      <w:r w:rsidR="003D0CF8" w:rsidRPr="00DD3E69">
        <w:rPr>
          <w:color w:val="000000" w:themeColor="text1"/>
        </w:rPr>
        <w:t xml:space="preserve"> </w:t>
      </w:r>
      <w:r w:rsidRPr="00DD3E69">
        <w:rPr>
          <w:color w:val="000000" w:themeColor="text1"/>
        </w:rPr>
        <w:t xml:space="preserve">°C for 24 h. Afterward, the dry samples were cooled in a desiccator, and the content was weighed with the precision balance (model </w:t>
      </w:r>
      <w:proofErr w:type="spellStart"/>
      <w:r w:rsidRPr="00DD3E69">
        <w:rPr>
          <w:color w:val="000000" w:themeColor="text1"/>
        </w:rPr>
        <w:t>Radwag</w:t>
      </w:r>
      <w:proofErr w:type="spellEnd"/>
      <w:r w:rsidRPr="00DD3E69">
        <w:rPr>
          <w:color w:val="000000" w:themeColor="text1"/>
        </w:rPr>
        <w:t>). The moisture value was obtained by computing the difference between the initial weight (wet) and the dry weight of the sample. For instance, the RADWAG device (model MAC 210/WH) was used for the determination of water content and to compare the results obtained by the gravimetry method.</w:t>
      </w:r>
    </w:p>
    <w:p w14:paraId="3B7BB86F" w14:textId="77777777" w:rsidR="003F2AF3" w:rsidRPr="00DD3E69" w:rsidRDefault="0082231F" w:rsidP="00905EDD">
      <w:pPr>
        <w:spacing w:line="360" w:lineRule="auto"/>
        <w:jc w:val="both"/>
        <w:rPr>
          <w:color w:val="000000" w:themeColor="text1"/>
        </w:rPr>
      </w:pPr>
      <w:r w:rsidRPr="00DD3E69">
        <w:rPr>
          <w:color w:val="000000" w:themeColor="text1"/>
        </w:rPr>
        <w:t xml:space="preserve">The determination of pH was conducted using a pH meter (model: Orion 4 Star) following the same procedure as USEPA (2004). </w:t>
      </w:r>
    </w:p>
    <w:p w14:paraId="1EB5F953" w14:textId="32572871" w:rsidR="00AB38F7" w:rsidRPr="00DD3E69" w:rsidRDefault="0082231F" w:rsidP="00905EDD">
      <w:pPr>
        <w:spacing w:line="360" w:lineRule="auto"/>
        <w:jc w:val="both"/>
        <w:rPr>
          <w:color w:val="000000" w:themeColor="text1"/>
        </w:rPr>
      </w:pPr>
      <w:r w:rsidRPr="00DD3E69">
        <w:rPr>
          <w:color w:val="000000" w:themeColor="text1"/>
        </w:rPr>
        <w:t xml:space="preserve">The Horiba LA-950 laser scattering analyzer is utilized to obtain the particle size distribution of the iron tailing sample. </w:t>
      </w:r>
    </w:p>
    <w:p w14:paraId="276EE978" w14:textId="77777777" w:rsidR="003F2AF3" w:rsidRPr="00DD3E69" w:rsidRDefault="0082231F" w:rsidP="00905EDD">
      <w:pPr>
        <w:spacing w:line="360" w:lineRule="auto"/>
        <w:jc w:val="both"/>
      </w:pPr>
      <w:r w:rsidRPr="00DD3E69">
        <w:rPr>
          <w:b/>
          <w:bCs/>
          <w:color w:val="000000" w:themeColor="text1"/>
        </w:rPr>
        <w:t xml:space="preserve">Chemical Composition and </w:t>
      </w:r>
      <w:r w:rsidRPr="00DD3E69">
        <w:rPr>
          <w:b/>
          <w:bCs/>
        </w:rPr>
        <w:t>Metal Concentrations Tests</w:t>
      </w:r>
    </w:p>
    <w:p w14:paraId="64FF5711" w14:textId="4999EB6C" w:rsidR="003F2AF3" w:rsidRPr="00DD3E69" w:rsidRDefault="0082231F" w:rsidP="00905EDD">
      <w:pPr>
        <w:spacing w:line="360" w:lineRule="auto"/>
        <w:jc w:val="both"/>
        <w:rPr>
          <w:color w:val="000000" w:themeColor="text1"/>
        </w:rPr>
      </w:pPr>
      <w:r w:rsidRPr="00DD3E69">
        <w:rPr>
          <w:color w:val="000000" w:themeColor="text1"/>
        </w:rPr>
        <w:t xml:space="preserve">These tests were conducted in agreement with the previous study </w:t>
      </w:r>
      <w:r w:rsidR="00AB38F7" w:rsidRPr="00DD3E69">
        <w:rPr>
          <w:color w:val="000000" w:themeColor="text1"/>
        </w:rPr>
        <w:fldChar w:fldCharType="begin" w:fldLock="1"/>
      </w:r>
      <w:r w:rsidR="00AB38F7" w:rsidRPr="00DD3E69">
        <w:rPr>
          <w:color w:val="000000" w:themeColor="text1"/>
        </w:rPr>
        <w:instrText>ADDIN CSL_CITATION {"citationItems":[{"id":"ITEM-1","itemData":{"DOI":"10.21205/deufmd.2022247225","author":[{"dropping-particle":"","family":"Chapiou","given":"Mahamane","non-dropping-particle":"","parse-names":false,"suffix":""},{"dropping-particle":"","family":"Garba","given":"Souley","non-dropping-particle":"","parse-names":false,"suffix":""},{"dropping-particle":"","family":"Kaya","given":"Erol","non-dropping-particle":"","parse-names":false,"suffix":""},{"dropping-particle":"","family":"Seyrankaya","given":"Abdullah","non-dropping-particle":"","parse-names":false,"suffix":""}],"id":"ITEM-1","issue":"72","issued":{"date-parts":[["2022"]]},"page":"973-981","title":"Use of Monocalcium Phosphate Monohydrate for Chemical Immobilization of Heavy Metals Ions in Copper Smelting Slags Monokalsiyum Fosfat Monohidrat Kullanımı ile Bakır İzabe Cürufundaki Ağır Metal İyonlarının Kimyasal İmmobilizasyonu","type":"article-journal","volume":"24"},"uris":["http://www.mendeley.com/documents/?uuid=759d38c3-14d8-49cc-905f-0c2d578da988"]}],"mendeley":{"formattedCitation":"(Chapiou et al., 2022)","plainTextFormattedCitation":"(Chapiou et al., 2022)","previouslyFormattedCitation":"(Chapiou et al., 2022)"},"properties":{"noteIndex":0},"schema":"https://github.com/citation-style-language/schema/raw/master/csl-citation.json"}</w:instrText>
      </w:r>
      <w:r w:rsidR="00AB38F7" w:rsidRPr="00DD3E69">
        <w:rPr>
          <w:color w:val="000000" w:themeColor="text1"/>
        </w:rPr>
        <w:fldChar w:fldCharType="separate"/>
      </w:r>
      <w:r w:rsidR="00AB38F7" w:rsidRPr="00DD3E69">
        <w:rPr>
          <w:noProof/>
          <w:color w:val="000000" w:themeColor="text1"/>
        </w:rPr>
        <w:t>(Chapiou et al., 2022)</w:t>
      </w:r>
      <w:r w:rsidR="00AB38F7" w:rsidRPr="00DD3E69">
        <w:rPr>
          <w:color w:val="000000" w:themeColor="text1"/>
        </w:rPr>
        <w:fldChar w:fldCharType="end"/>
      </w:r>
      <w:r w:rsidR="00AB38F7" w:rsidRPr="00DD3E69">
        <w:rPr>
          <w:color w:val="000000" w:themeColor="text1"/>
        </w:rPr>
        <w:t>.</w:t>
      </w:r>
    </w:p>
    <w:p w14:paraId="32BC030A" w14:textId="37D75C61" w:rsidR="003F2AF3" w:rsidRPr="00DD3E69" w:rsidRDefault="0082231F" w:rsidP="00905EDD">
      <w:pPr>
        <w:spacing w:line="360" w:lineRule="auto"/>
        <w:jc w:val="both"/>
        <w:rPr>
          <w:color w:val="000000" w:themeColor="text1"/>
        </w:rPr>
      </w:pPr>
      <w:r w:rsidRPr="00DD3E69">
        <w:rPr>
          <w:color w:val="000000" w:themeColor="text1"/>
        </w:rPr>
        <w:t>The major element tests were conducted with ground iron tailing (sample with particle sizes &lt;100</w:t>
      </w:r>
      <w:r w:rsidR="00FC2D84" w:rsidRPr="00DD3E69">
        <w:rPr>
          <w:color w:val="000000" w:themeColor="text1"/>
        </w:rPr>
        <w:t xml:space="preserve"> </w:t>
      </w:r>
      <w:proofErr w:type="spellStart"/>
      <w:r w:rsidR="00FC2D84" w:rsidRPr="00DD3E69">
        <w:rPr>
          <w:color w:val="000000" w:themeColor="text1"/>
        </w:rPr>
        <w:t>μm</w:t>
      </w:r>
      <w:proofErr w:type="spellEnd"/>
      <w:r w:rsidRPr="00DD3E69">
        <w:rPr>
          <w:color w:val="000000" w:themeColor="text1"/>
        </w:rPr>
        <w:t>). To accomplish that, 0.25 g of each sample was mixed with 3 g of lithium tetracarbonate thoroughly in the platinum crucible. The crucible and the mixture were put in the furnace for melting at 1100</w:t>
      </w:r>
      <w:r w:rsidR="003D0CF8" w:rsidRPr="00DD3E69">
        <w:rPr>
          <w:color w:val="000000" w:themeColor="text1"/>
        </w:rPr>
        <w:t xml:space="preserve"> </w:t>
      </w:r>
      <w:r w:rsidRPr="00DD3E69">
        <w:rPr>
          <w:color w:val="000000" w:themeColor="text1"/>
        </w:rPr>
        <w:t xml:space="preserve">°C within one and a half hours. After melting, the crucibles containing a mixture of waste sample and lithium tetracarbonate were cooled in a desiccator, and they were transferred to a 400 ml beaker, followed by the addition of 10% of 100 mL HCl. The mixture contents were heated until boiling in order to dissolve all elements. Thus, the solutions were poured into a flask and filled to 250 ml through the addition of de-ionized water, and the solution was analyzed with an atomic absorption spectrometer (Perkin Elmer, model </w:t>
      </w:r>
      <w:proofErr w:type="spellStart"/>
      <w:r w:rsidRPr="00DD3E69">
        <w:rPr>
          <w:color w:val="000000" w:themeColor="text1"/>
        </w:rPr>
        <w:t>PinAAcle</w:t>
      </w:r>
      <w:proofErr w:type="spellEnd"/>
      <w:r w:rsidRPr="00DD3E69">
        <w:rPr>
          <w:color w:val="000000" w:themeColor="text1"/>
        </w:rPr>
        <w:t xml:space="preserve"> 500).</w:t>
      </w:r>
    </w:p>
    <w:p w14:paraId="03E042E0" w14:textId="3167E836" w:rsidR="00AB38F7" w:rsidRPr="00DD3E69" w:rsidRDefault="0082231F" w:rsidP="00905EDD">
      <w:pPr>
        <w:spacing w:line="360" w:lineRule="auto"/>
        <w:jc w:val="both"/>
      </w:pPr>
      <w:r w:rsidRPr="00DD3E69">
        <w:rPr>
          <w:color w:val="000000" w:themeColor="text1"/>
        </w:rPr>
        <w:t>The iron tailing samples were digested by the CEM microwave (Model: Mars 6240/50, power: 400-1800) digestion system. This device is currently the most popular digestion system for acid leaching of heavy metals from solid samples and can heat up to forty samples in one run. To perform the leaching test, 10 ml HNO</w:t>
      </w:r>
      <w:r w:rsidRPr="00DD3E69">
        <w:rPr>
          <w:color w:val="000000" w:themeColor="text1"/>
          <w:vertAlign w:val="subscript"/>
        </w:rPr>
        <w:t>3</w:t>
      </w:r>
      <w:r w:rsidRPr="00DD3E69">
        <w:rPr>
          <w:color w:val="000000" w:themeColor="text1"/>
        </w:rPr>
        <w:t>, 5ml HF, and 5ml of de-ionized water (2:1:1 ratio) were added to four TFM vessel lin</w:t>
      </w:r>
      <w:r w:rsidRPr="00DD3E69">
        <w:t xml:space="preserve">ers containing 0.2g of waste sample (fly ash, iron-copper tailing, </w:t>
      </w:r>
      <w:r w:rsidRPr="00DD3E69">
        <w:rPr>
          <w:color w:val="000000" w:themeColor="text1"/>
        </w:rPr>
        <w:lastRenderedPageBreak/>
        <w:t>copper slag, and Pb-Zn mine waste) separately. Thus, the vessels are closed with the standard cover and are loaded in the CEM microwave. Before running the digestion, the temperature of the CEM microwave is adjusted to 200</w:t>
      </w:r>
      <w:r w:rsidR="003D0CF8" w:rsidRPr="00DD3E69">
        <w:rPr>
          <w:color w:val="000000" w:themeColor="text1"/>
        </w:rPr>
        <w:t xml:space="preserve"> </w:t>
      </w:r>
      <w:r w:rsidRPr="00DD3E69">
        <w:rPr>
          <w:color w:val="000000" w:themeColor="text1"/>
        </w:rPr>
        <w:t>°C within 15 minutes for ramping, and the same temperature (200</w:t>
      </w:r>
      <w:r w:rsidR="003D0CF8" w:rsidRPr="00DD3E69">
        <w:rPr>
          <w:color w:val="000000" w:themeColor="text1"/>
        </w:rPr>
        <w:t xml:space="preserve"> </w:t>
      </w:r>
      <w:r w:rsidRPr="00DD3E69">
        <w:rPr>
          <w:color w:val="000000" w:themeColor="text1"/>
        </w:rPr>
        <w:t>°C) is kept for 10 minutes, and then 50</w:t>
      </w:r>
      <w:r w:rsidR="003D0CF8" w:rsidRPr="00DD3E69">
        <w:rPr>
          <w:color w:val="000000" w:themeColor="text1"/>
        </w:rPr>
        <w:t xml:space="preserve"> </w:t>
      </w:r>
      <w:r w:rsidRPr="00DD3E69">
        <w:rPr>
          <w:color w:val="000000" w:themeColor="text1"/>
        </w:rPr>
        <w:t>°C in 15 minutes for cooling. After cooling, the leachate solution was put into a volumetric flask and filled to 250 ml volume using de-ionized water. The final step is the determination of heavy metal concentration in the leachate solution by inductively coupled plasma (ICP, model: Varian 710-ES ICP-OES).</w:t>
      </w:r>
    </w:p>
    <w:p w14:paraId="6F9A780F" w14:textId="77777777" w:rsidR="003F2AF3" w:rsidRPr="00DD3E69" w:rsidRDefault="0082231F" w:rsidP="00905EDD">
      <w:pPr>
        <w:spacing w:line="360" w:lineRule="auto"/>
        <w:jc w:val="both"/>
      </w:pPr>
      <w:r w:rsidRPr="00DD3E69">
        <w:rPr>
          <w:b/>
          <w:bCs/>
        </w:rPr>
        <w:t xml:space="preserve">Results and Discussions </w:t>
      </w:r>
    </w:p>
    <w:p w14:paraId="13FCD628" w14:textId="77777777" w:rsidR="003F2AF3" w:rsidRPr="00DD3E69" w:rsidRDefault="0082231F" w:rsidP="00905EDD">
      <w:pPr>
        <w:spacing w:line="360" w:lineRule="auto"/>
        <w:jc w:val="both"/>
      </w:pPr>
      <w:r w:rsidRPr="00DD3E69">
        <w:rPr>
          <w:b/>
          <w:bCs/>
        </w:rPr>
        <w:t>Mineralogical Analyses</w:t>
      </w:r>
    </w:p>
    <w:p w14:paraId="65B07600" w14:textId="77777777" w:rsidR="003F2AF3" w:rsidRPr="00DD3E69" w:rsidRDefault="0082231F" w:rsidP="00905EDD">
      <w:pPr>
        <w:spacing w:line="360" w:lineRule="auto"/>
        <w:jc w:val="both"/>
        <w:rPr>
          <w:color w:val="000000" w:themeColor="text1"/>
        </w:rPr>
      </w:pPr>
      <w:r w:rsidRPr="00DD3E69">
        <w:rPr>
          <w:color w:val="000000" w:themeColor="text1"/>
        </w:rPr>
        <w:t>The purpose of the mineralogical method was to identify metallic minerals in the iron tailing sample. However, the analysis conducted using an optical microscope it is very difficult to obtain findings related to the alteration of mineral and gangue. Therefore, the X-ray diffraction was also used to identify valuable minerals, gangue, alteration, and disseminated minerals.</w:t>
      </w:r>
    </w:p>
    <w:p w14:paraId="3DABC40E" w14:textId="05E69602" w:rsidR="003F2AF3" w:rsidRPr="00DD3E69" w:rsidRDefault="0082231F" w:rsidP="00905EDD">
      <w:pPr>
        <w:spacing w:line="360" w:lineRule="auto"/>
        <w:jc w:val="both"/>
        <w:rPr>
          <w:color w:val="000000" w:themeColor="text1"/>
        </w:rPr>
      </w:pPr>
      <w:r w:rsidRPr="00DD3E69">
        <w:rPr>
          <w:color w:val="000000" w:themeColor="text1"/>
        </w:rPr>
        <w:t xml:space="preserve">Previous works have shown that the analysis of XRD is considered the most concise and useful technique for identifying the mineral composition in soil or powder samples </w:t>
      </w:r>
      <w:r w:rsidR="00AB38F7" w:rsidRPr="00DD3E69">
        <w:rPr>
          <w:color w:val="000000" w:themeColor="text1"/>
        </w:rPr>
        <w:fldChar w:fldCharType="begin" w:fldLock="1"/>
      </w:r>
      <w:r w:rsidR="00AB38F7" w:rsidRPr="00DD3E69">
        <w:rPr>
          <w:color w:val="000000" w:themeColor="text1"/>
        </w:rPr>
        <w:instrText>ADDIN CSL_CITATION {"citationItems":[{"id":"ITEM-1","itemData":{"DOI":"10.2136/1994.quantitativemethods.c9","ISBN":"9780891188841","abstract":"Qualitative identification of soil components by x-ray powder diffraction has been described by numerous authors, and the methodology for distinguishing between the variety of minerals possible in a soil, particularly clay minerals. Probably the most common fault in sample preparation for quantitative x-ray diffraction analysis is the use of samples that are insufficiently ground, and in fact, many authors incorrectly recommend the use of powder that has passed through a 325-mesh sieve. One of the most important requirements in grinding samples is the use of a lubricating and cooling liquid such as alcohol, acetone, or water. The chapter reviews the factors to be considered when mounting powdered samples for quantitative analysis by x-ray diffraction. The full-pattern fitting methods have the potential for providing considerable information on samples. Preferred orientation of crystallites, a problem inherent in conventional quantitative analyses, is much less of a problem with full-pattern methods.","author":[{"dropping-particle":"","family":"Bish","given":"D. L.","non-dropping-particle":"","parse-names":false,"suffix":""}],"container-title":"Quantitative Methods in Soil Mineralogy","id":"ITEM-1","issue":"1988","issued":{"date-parts":[["1994"]]},"page":"267-295","title":"Quantitative x-ray diffraction analysis of soils","type":"article-journal"},"uris":["http://www.mendeley.com/documents/?uuid=c44d7181-3d9b-401e-89bb-589e1abc0f4f"]},{"id":"ITEM-2","itemData":{"DOI":"10.1021/acsnano.9b05157","ISSN":"1936086X","PMID":"31336433","author":[{"dropping-particle":"","family":"Holder","given":"Cameron F.","non-dropping-particle":"","parse-names":false,"suffix":""},{"dropping-particle":"","family":"Schaak","given":"Raymond E.","non-dropping-particle":"","parse-names":false,"suffix":""}],"container-title":"ACS Nano","id":"ITEM-2","issue":"7","issued":{"date-parts":[["2019"]]},"page":"7359-7365","title":"Tutorial on Powder X-ray Diffraction for Characterizing Nanoscale Materials","type":"article-journal","volume":"13"},"uris":["http://www.mendeley.com/documents/?uuid=a8b2e723-6795-458f-9d22-37543475fde2"]}],"mendeley":{"formattedCitation":"(Bish, 1994; Holder &amp; Schaak, 2019)","plainTextFormattedCitation":"(Bish, 1994; Holder &amp; Schaak, 2019)","previouslyFormattedCitation":"(Bish, 1994; Holder &amp; Schaak, 2019)"},"properties":{"noteIndex":0},"schema":"https://github.com/citation-style-language/schema/raw/master/csl-citation.json"}</w:instrText>
      </w:r>
      <w:r w:rsidR="00AB38F7" w:rsidRPr="00DD3E69">
        <w:rPr>
          <w:color w:val="000000" w:themeColor="text1"/>
        </w:rPr>
        <w:fldChar w:fldCharType="separate"/>
      </w:r>
      <w:r w:rsidR="00AB38F7" w:rsidRPr="00DD3E69">
        <w:rPr>
          <w:noProof/>
          <w:color w:val="000000" w:themeColor="text1"/>
        </w:rPr>
        <w:t>(Bish, 1994; Holder &amp; Schaak, 2019)</w:t>
      </w:r>
      <w:r w:rsidR="00AB38F7" w:rsidRPr="00DD3E69">
        <w:rPr>
          <w:color w:val="000000" w:themeColor="text1"/>
        </w:rPr>
        <w:fldChar w:fldCharType="end"/>
      </w:r>
      <w:r w:rsidRPr="00DD3E69">
        <w:rPr>
          <w:color w:val="000000" w:themeColor="text1"/>
        </w:rPr>
        <w:t xml:space="preserve">. As shown in Figure 5, the presence of certain minerals (chalcopyrite, magnetite, and hematite) was observed through the microscopic analysis. On the other hand, the results of x-ray analyses reveal that iron tailing sample contains chalcopyrite and magnetite as primary sulfide minerals, and secondary sulfides are digenite (Figure 6). Similarly, </w:t>
      </w:r>
      <w:r w:rsidR="003871AD" w:rsidRPr="00DD3E69">
        <w:rPr>
          <w:color w:val="000000" w:themeColor="text1"/>
        </w:rPr>
        <w:fldChar w:fldCharType="begin" w:fldLock="1"/>
      </w:r>
      <w:r w:rsidR="00F407AD" w:rsidRPr="00DD3E69">
        <w:rPr>
          <w:color w:val="000000" w:themeColor="text1"/>
        </w:rPr>
        <w:instrText>ADDIN CSL_CITATION {"citationItems":[{"id":"ITEM-1","itemData":{"DOI":"10.1016/j.oregeorev.2010.03.002","ISSN":"0169-1368","author":[{"dropping-particle":"","family":"Oyman","given":"Tolga","non-dropping-particle":"","parse-names":false,"suffix":""}],"container-title":"Ore Geology Reviews","id":"ITEM-1","issue":"3-4","issued":{"date-parts":[["2010"]]},"page":"175-201","publisher":"Elsevier B.V.","title":"Geochemistry , mineralogy and genesis of the Ayazmant Fe – Cu skarn deposit in Ayvalik ,","type":"article-journal","volume":"37"},"uris":["http://www.mendeley.com/documents/?uuid=6eda9e27-9d8c-4ac2-8d97-47ff8e5212ee"]}],"mendeley":{"formattedCitation":"(Oyman, 2010)","plainTextFormattedCitation":"(Oyman, 2010)","previouslyFormattedCitation":"(Oyman, 2010)"},"properties":{"noteIndex":0},"schema":"https://github.com/citation-style-language/schema/raw/master/csl-citation.json"}</w:instrText>
      </w:r>
      <w:r w:rsidR="003871AD" w:rsidRPr="00DD3E69">
        <w:rPr>
          <w:color w:val="000000" w:themeColor="text1"/>
        </w:rPr>
        <w:fldChar w:fldCharType="separate"/>
      </w:r>
      <w:r w:rsidR="003871AD" w:rsidRPr="00DD3E69">
        <w:rPr>
          <w:noProof/>
          <w:color w:val="000000" w:themeColor="text1"/>
        </w:rPr>
        <w:t>(Oyman, 2010)</w:t>
      </w:r>
      <w:r w:rsidR="003871AD" w:rsidRPr="00DD3E69">
        <w:rPr>
          <w:color w:val="000000" w:themeColor="text1"/>
        </w:rPr>
        <w:fldChar w:fldCharType="end"/>
      </w:r>
      <w:r w:rsidR="003871AD" w:rsidRPr="00DD3E69">
        <w:rPr>
          <w:color w:val="000000" w:themeColor="text1"/>
        </w:rPr>
        <w:t xml:space="preserve"> </w:t>
      </w:r>
      <w:r w:rsidRPr="00DD3E69">
        <w:rPr>
          <w:color w:val="000000" w:themeColor="text1"/>
        </w:rPr>
        <w:t xml:space="preserve">has mentioned that the iron-copper skarn deposit in </w:t>
      </w:r>
      <w:proofErr w:type="spellStart"/>
      <w:r w:rsidRPr="00DD3E69">
        <w:rPr>
          <w:color w:val="000000" w:themeColor="text1"/>
        </w:rPr>
        <w:t>Ayvalik-T</w:t>
      </w:r>
      <w:r w:rsidR="00AB38F7" w:rsidRPr="00DD3E69">
        <w:rPr>
          <w:color w:val="000000" w:themeColor="text1"/>
        </w:rPr>
        <w:t>ür</w:t>
      </w:r>
      <w:r w:rsidRPr="00DD3E69">
        <w:rPr>
          <w:color w:val="000000" w:themeColor="text1"/>
        </w:rPr>
        <w:t>kiye</w:t>
      </w:r>
      <w:proofErr w:type="spellEnd"/>
      <w:r w:rsidRPr="00DD3E69">
        <w:rPr>
          <w:color w:val="000000" w:themeColor="text1"/>
        </w:rPr>
        <w:t>, the main valuable minerals are magnetite and chalcopyrite.</w:t>
      </w:r>
    </w:p>
    <w:p w14:paraId="018D0FB4" w14:textId="48E12239" w:rsidR="003F2AF3" w:rsidRPr="00DD3E69" w:rsidRDefault="003F2AF3" w:rsidP="00905EDD">
      <w:pPr>
        <w:spacing w:line="360" w:lineRule="auto"/>
        <w:jc w:val="both"/>
      </w:pPr>
    </w:p>
    <w:p w14:paraId="7FEACCDB" w14:textId="6DC1D9D4" w:rsidR="00FC2D84" w:rsidRPr="00DD3E69" w:rsidRDefault="00FC2D84" w:rsidP="003871AD">
      <w:pPr>
        <w:spacing w:line="360" w:lineRule="auto"/>
        <w:jc w:val="center"/>
      </w:pPr>
      <w:r w:rsidRPr="00DD3E69">
        <w:rPr>
          <w:noProof/>
        </w:rPr>
        <w:lastRenderedPageBreak/>
        <w:drawing>
          <wp:inline distT="0" distB="0" distL="0" distR="0" wp14:anchorId="40CE85FD" wp14:editId="4DF70B02">
            <wp:extent cx="4131987" cy="2700000"/>
            <wp:effectExtent l="0" t="0" r="1905" b="5715"/>
            <wp:docPr id="8" name="Image 7">
              <a:extLst xmlns:a="http://schemas.openxmlformats.org/drawingml/2006/main">
                <a:ext uri="{FF2B5EF4-FFF2-40B4-BE49-F238E27FC236}">
                  <a16:creationId xmlns:a16="http://schemas.microsoft.com/office/drawing/2014/main" id="{D40B912F-458D-BADF-32B9-0D41C194D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D40B912F-458D-BADF-32B9-0D41C194D3FD}"/>
                        </a:ext>
                      </a:extLst>
                    </pic:cNvPr>
                    <pic:cNvPicPr>
                      <a:picLocks noChangeAspect="1"/>
                    </pic:cNvPicPr>
                  </pic:nvPicPr>
                  <pic:blipFill>
                    <a:blip r:embed="rId11"/>
                    <a:stretch>
                      <a:fillRect/>
                    </a:stretch>
                  </pic:blipFill>
                  <pic:spPr>
                    <a:xfrm>
                      <a:off x="0" y="0"/>
                      <a:ext cx="4131987" cy="2700000"/>
                    </a:xfrm>
                    <a:prstGeom prst="rect">
                      <a:avLst/>
                    </a:prstGeom>
                  </pic:spPr>
                </pic:pic>
              </a:graphicData>
            </a:graphic>
          </wp:inline>
        </w:drawing>
      </w:r>
    </w:p>
    <w:p w14:paraId="1BA00BDD" w14:textId="77777777" w:rsidR="003F2AF3" w:rsidRPr="00DD3E69" w:rsidRDefault="0082231F" w:rsidP="00905EDD">
      <w:pPr>
        <w:spacing w:line="360" w:lineRule="auto"/>
        <w:jc w:val="both"/>
      </w:pPr>
      <w:r w:rsidRPr="00DD3E69">
        <w:rPr>
          <w:b/>
          <w:bCs/>
        </w:rPr>
        <w:t xml:space="preserve">Figure 5. </w:t>
      </w:r>
      <w:r w:rsidRPr="00DD3E69">
        <w:t>Image of mineralogical analysis of iron tailing</w:t>
      </w:r>
    </w:p>
    <w:p w14:paraId="65F3DBD9" w14:textId="196E2C3D" w:rsidR="003F2AF3" w:rsidRPr="00DD3E69" w:rsidRDefault="003F2AF3" w:rsidP="00905EDD">
      <w:pPr>
        <w:spacing w:line="360" w:lineRule="auto"/>
        <w:jc w:val="both"/>
      </w:pPr>
    </w:p>
    <w:p w14:paraId="32A3D1D7" w14:textId="00A65128" w:rsidR="00FC2D84" w:rsidRPr="00DD3E69" w:rsidRDefault="00FC2D84" w:rsidP="003871AD">
      <w:pPr>
        <w:spacing w:line="360" w:lineRule="auto"/>
        <w:jc w:val="center"/>
      </w:pPr>
      <w:r w:rsidRPr="00DD3E69">
        <w:rPr>
          <w:noProof/>
        </w:rPr>
        <w:drawing>
          <wp:inline distT="0" distB="0" distL="0" distR="0" wp14:anchorId="07841F76" wp14:editId="72B7A09F">
            <wp:extent cx="4251032" cy="2700000"/>
            <wp:effectExtent l="0" t="0" r="0" b="5715"/>
            <wp:docPr id="1036710544" name="Image 4" descr="Chart, histogram&#10;&#10;Description automatically generated">
              <a:extLst xmlns:a="http://schemas.openxmlformats.org/drawingml/2006/main">
                <a:ext uri="{FF2B5EF4-FFF2-40B4-BE49-F238E27FC236}">
                  <a16:creationId xmlns:a16="http://schemas.microsoft.com/office/drawing/2014/main" id="{FCD4B1F3-A4AD-2D8E-8B5D-27DDD919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hart, histogram&#10;&#10;Description automatically generated">
                      <a:extLst>
                        <a:ext uri="{FF2B5EF4-FFF2-40B4-BE49-F238E27FC236}">
                          <a16:creationId xmlns:a16="http://schemas.microsoft.com/office/drawing/2014/main" id="{FCD4B1F3-A4AD-2D8E-8B5D-27DDD919DFA8}"/>
                        </a:ext>
                      </a:extLst>
                    </pic:cNvPr>
                    <pic:cNvPicPr>
                      <a:picLocks noChangeAspect="1"/>
                    </pic:cNvPicPr>
                  </pic:nvPicPr>
                  <pic:blipFill>
                    <a:blip r:embed="rId12">
                      <a:clrChange>
                        <a:clrFrom>
                          <a:srgbClr val="8E8E8E"/>
                        </a:clrFrom>
                        <a:clrTo>
                          <a:srgbClr val="8E8E8E">
                            <a:alpha val="0"/>
                          </a:srgbClr>
                        </a:clrTo>
                      </a:clrChange>
                      <a:duotone>
                        <a:prstClr val="black"/>
                        <a:schemeClr val="accent5">
                          <a:tint val="45000"/>
                          <a:satMod val="400000"/>
                        </a:schemeClr>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51032" cy="2700000"/>
                    </a:xfrm>
                    <a:prstGeom prst="rect">
                      <a:avLst/>
                    </a:prstGeom>
                    <a:noFill/>
                    <a:ln>
                      <a:noFill/>
                    </a:ln>
                  </pic:spPr>
                </pic:pic>
              </a:graphicData>
            </a:graphic>
          </wp:inline>
        </w:drawing>
      </w:r>
    </w:p>
    <w:p w14:paraId="574612DF" w14:textId="77777777" w:rsidR="003F2AF3" w:rsidRPr="00DD3E69" w:rsidRDefault="0082231F" w:rsidP="00905EDD">
      <w:pPr>
        <w:spacing w:line="360" w:lineRule="auto"/>
        <w:jc w:val="both"/>
      </w:pPr>
      <w:r w:rsidRPr="00DD3E69">
        <w:rPr>
          <w:b/>
          <w:bCs/>
        </w:rPr>
        <w:t xml:space="preserve">Figure 6. </w:t>
      </w:r>
      <w:r w:rsidRPr="00DD3E69">
        <w:t>XRD pattern of iron-copper flotation tailing sample.</w:t>
      </w:r>
    </w:p>
    <w:p w14:paraId="7024841D" w14:textId="77777777" w:rsidR="00FC2D84" w:rsidRPr="00DD3E69" w:rsidRDefault="00FC2D84" w:rsidP="00905EDD">
      <w:pPr>
        <w:spacing w:line="360" w:lineRule="auto"/>
        <w:jc w:val="both"/>
        <w:rPr>
          <w:b/>
          <w:bCs/>
        </w:rPr>
      </w:pPr>
    </w:p>
    <w:p w14:paraId="364EE0E9" w14:textId="0999E64B" w:rsidR="003F2AF3" w:rsidRPr="00DD3E69" w:rsidRDefault="0082231F" w:rsidP="00905EDD">
      <w:pPr>
        <w:spacing w:line="360" w:lineRule="auto"/>
        <w:jc w:val="both"/>
      </w:pPr>
      <w:r w:rsidRPr="00DD3E69">
        <w:rPr>
          <w:b/>
          <w:bCs/>
        </w:rPr>
        <w:t>Physicochemical Properties</w:t>
      </w:r>
    </w:p>
    <w:p w14:paraId="0B1713B4" w14:textId="6A8C6BCB" w:rsidR="003F2AF3" w:rsidRPr="00DD3E69" w:rsidRDefault="0082231F" w:rsidP="00905EDD">
      <w:pPr>
        <w:spacing w:line="360" w:lineRule="auto"/>
        <w:jc w:val="both"/>
        <w:rPr>
          <w:color w:val="000000" w:themeColor="text1"/>
        </w:rPr>
      </w:pPr>
      <w:r w:rsidRPr="00DD3E69">
        <w:rPr>
          <w:color w:val="000000" w:themeColor="text1"/>
        </w:rPr>
        <w:t>As seen in Figure 7, the curve of size distribution shows that 80% of particles are below 97.61</w:t>
      </w:r>
      <w:r w:rsidR="00FC2D84" w:rsidRPr="00DD3E69">
        <w:rPr>
          <w:color w:val="000000" w:themeColor="text1"/>
        </w:rPr>
        <w:t>μm</w:t>
      </w:r>
      <w:r w:rsidRPr="00DD3E69">
        <w:rPr>
          <w:color w:val="000000" w:themeColor="text1"/>
        </w:rPr>
        <w:t>, 30% of particles are under 16</w:t>
      </w:r>
      <w:r w:rsidR="00FC2D84" w:rsidRPr="00DD3E69">
        <w:rPr>
          <w:color w:val="000000" w:themeColor="text1"/>
        </w:rPr>
        <w:t>μm</w:t>
      </w:r>
      <w:r w:rsidRPr="00DD3E69">
        <w:rPr>
          <w:color w:val="000000" w:themeColor="text1"/>
        </w:rPr>
        <w:t>, and the median is 36.13</w:t>
      </w:r>
      <w:r w:rsidR="00FC2D84" w:rsidRPr="00DD3E69">
        <w:rPr>
          <w:color w:val="000000" w:themeColor="text1"/>
        </w:rPr>
        <w:t>μm</w:t>
      </w:r>
      <w:r w:rsidRPr="00DD3E69">
        <w:rPr>
          <w:color w:val="000000" w:themeColor="text1"/>
        </w:rPr>
        <w:t>.</w:t>
      </w:r>
    </w:p>
    <w:p w14:paraId="0F5B97B1" w14:textId="77777777" w:rsidR="003F2AF3" w:rsidRPr="00DD3E69" w:rsidRDefault="0082231F" w:rsidP="00905EDD">
      <w:pPr>
        <w:spacing w:line="360" w:lineRule="auto"/>
        <w:jc w:val="both"/>
        <w:rPr>
          <w:color w:val="000000" w:themeColor="text1"/>
        </w:rPr>
      </w:pPr>
      <w:r w:rsidRPr="00DD3E69">
        <w:rPr>
          <w:color w:val="000000" w:themeColor="text1"/>
        </w:rPr>
        <w:t xml:space="preserve">The moisture content is about 22 percent. The measured pH of the tailing sample after transferring to deionized water (1:10) in accordance with the USEPA procedure (2004) for pH measurement of soil and waste is 8.03. </w:t>
      </w:r>
    </w:p>
    <w:p w14:paraId="47D716B9" w14:textId="7A4E9F71" w:rsidR="003F2AF3" w:rsidRPr="00DD3E69" w:rsidRDefault="003F2AF3" w:rsidP="00905EDD">
      <w:pPr>
        <w:spacing w:line="360" w:lineRule="auto"/>
        <w:jc w:val="both"/>
      </w:pPr>
    </w:p>
    <w:p w14:paraId="3547AE52" w14:textId="6E1A651D" w:rsidR="00FC2D84" w:rsidRPr="00DD3E69" w:rsidRDefault="00FC2D84" w:rsidP="003871AD">
      <w:pPr>
        <w:spacing w:line="360" w:lineRule="auto"/>
        <w:jc w:val="center"/>
      </w:pPr>
      <w:r w:rsidRPr="00DD3E69">
        <w:rPr>
          <w:b/>
          <w:bCs/>
          <w:noProof/>
          <w:color w:val="000000" w:themeColor="text1"/>
        </w:rPr>
        <w:drawing>
          <wp:inline distT="0" distB="0" distL="0" distR="0" wp14:anchorId="05A5E8A0" wp14:editId="48D9E292">
            <wp:extent cx="3704400" cy="29915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4400" cy="2991522"/>
                    </a:xfrm>
                    <a:prstGeom prst="rect">
                      <a:avLst/>
                    </a:prstGeom>
                    <a:noFill/>
                    <a:ln>
                      <a:noFill/>
                    </a:ln>
                  </pic:spPr>
                </pic:pic>
              </a:graphicData>
            </a:graphic>
          </wp:inline>
        </w:drawing>
      </w:r>
    </w:p>
    <w:p w14:paraId="22859916" w14:textId="1F048CD6" w:rsidR="00FC2D84" w:rsidRPr="00DD3E69" w:rsidRDefault="0082231F" w:rsidP="00905EDD">
      <w:pPr>
        <w:spacing w:line="360" w:lineRule="auto"/>
        <w:jc w:val="both"/>
      </w:pPr>
      <w:r w:rsidRPr="00DD3E69">
        <w:rPr>
          <w:b/>
          <w:bCs/>
        </w:rPr>
        <w:t xml:space="preserve">Figure 7. </w:t>
      </w:r>
      <w:r w:rsidRPr="00946F85">
        <w:rPr>
          <w:color w:val="000000" w:themeColor="text1"/>
        </w:rPr>
        <w:t>Size distribution of the iron tailing sample</w:t>
      </w:r>
      <w:r w:rsidRPr="00DD3E69">
        <w:t>.</w:t>
      </w:r>
    </w:p>
    <w:p w14:paraId="0F6140C3" w14:textId="185C47F5" w:rsidR="003F2AF3" w:rsidRPr="00F03516" w:rsidRDefault="0082231F" w:rsidP="00905EDD">
      <w:pPr>
        <w:spacing w:line="360" w:lineRule="auto"/>
        <w:jc w:val="both"/>
        <w:rPr>
          <w:lang w:val="fr-FR"/>
        </w:rPr>
      </w:pPr>
      <w:r w:rsidRPr="00DD3E69">
        <w:t xml:space="preserve">The results of chemical analyses in Table 1 indicated that iron tailing sample contains chemical oxides and are presented in order </w:t>
      </w:r>
      <w:r w:rsidR="00AB38F7" w:rsidRPr="00DD3E69">
        <w:t>SiO</w:t>
      </w:r>
      <w:r w:rsidR="00AB38F7" w:rsidRPr="00DD3E69">
        <w:rPr>
          <w:vertAlign w:val="subscript"/>
        </w:rPr>
        <w:t>2</w:t>
      </w:r>
      <w:r w:rsidR="00AB38F7" w:rsidRPr="00DD3E69">
        <w:t xml:space="preserve"> (45.83%); Fe</w:t>
      </w:r>
      <w:r w:rsidR="00AB38F7" w:rsidRPr="00DD3E69">
        <w:rPr>
          <w:vertAlign w:val="subscript"/>
        </w:rPr>
        <w:t>2</w:t>
      </w:r>
      <w:r w:rsidR="00AB38F7" w:rsidRPr="00DD3E69">
        <w:t>O</w:t>
      </w:r>
      <w:r w:rsidR="00AB38F7" w:rsidRPr="00DD3E69">
        <w:rPr>
          <w:vertAlign w:val="subscript"/>
        </w:rPr>
        <w:t>3</w:t>
      </w:r>
      <w:r w:rsidR="00AB38F7" w:rsidRPr="00DD3E69">
        <w:t xml:space="preserve"> (16.99%); </w:t>
      </w:r>
      <w:proofErr w:type="spellStart"/>
      <w:r w:rsidR="00AB38F7" w:rsidRPr="00DD3E69">
        <w:t>CaO</w:t>
      </w:r>
      <w:proofErr w:type="spellEnd"/>
      <w:r w:rsidR="00AB38F7" w:rsidRPr="00DD3E69">
        <w:t xml:space="preserve"> (11.99%); Al</w:t>
      </w:r>
      <w:r w:rsidR="00AB38F7" w:rsidRPr="00DD3E69">
        <w:rPr>
          <w:vertAlign w:val="subscript"/>
        </w:rPr>
        <w:t>2</w:t>
      </w:r>
      <w:r w:rsidR="00AB38F7" w:rsidRPr="00DD3E69">
        <w:t>O</w:t>
      </w:r>
      <w:r w:rsidR="00AB38F7" w:rsidRPr="00DD3E69">
        <w:rPr>
          <w:vertAlign w:val="subscript"/>
        </w:rPr>
        <w:t>3</w:t>
      </w:r>
      <w:r w:rsidR="00AB38F7" w:rsidRPr="00DD3E69">
        <w:t xml:space="preserve"> (8.95%); MgO (5.77%); K</w:t>
      </w:r>
      <w:r w:rsidR="00AB38F7" w:rsidRPr="00DD3E69">
        <w:rPr>
          <w:vertAlign w:val="subscript"/>
        </w:rPr>
        <w:t>2</w:t>
      </w:r>
      <w:r w:rsidR="00AB38F7" w:rsidRPr="00DD3E69">
        <w:t>O (2.86%); Na</w:t>
      </w:r>
      <w:r w:rsidR="00AB38F7" w:rsidRPr="00DD3E69">
        <w:rPr>
          <w:vertAlign w:val="subscript"/>
        </w:rPr>
        <w:t>2</w:t>
      </w:r>
      <w:r w:rsidR="00AB38F7" w:rsidRPr="00DD3E69">
        <w:t>O (1.46%); SO</w:t>
      </w:r>
      <w:r w:rsidR="00AB38F7" w:rsidRPr="00DD3E69">
        <w:rPr>
          <w:vertAlign w:val="subscript"/>
        </w:rPr>
        <w:t>3</w:t>
      </w:r>
      <w:r w:rsidR="00AB38F7" w:rsidRPr="00DD3E69">
        <w:t xml:space="preserve"> (0.43%); TiO</w:t>
      </w:r>
      <w:r w:rsidR="00AB38F7" w:rsidRPr="00DD3E69">
        <w:rPr>
          <w:vertAlign w:val="subscript"/>
        </w:rPr>
        <w:t>2</w:t>
      </w:r>
      <w:r w:rsidR="00AB38F7" w:rsidRPr="00DD3E69">
        <w:t xml:space="preserve"> (0.25%); </w:t>
      </w:r>
      <w:proofErr w:type="spellStart"/>
      <w:r w:rsidR="00AB38F7" w:rsidRPr="00DD3E69">
        <w:t>MnO</w:t>
      </w:r>
      <w:proofErr w:type="spellEnd"/>
      <w:r w:rsidR="00AB38F7" w:rsidRPr="00DD3E69">
        <w:t xml:space="preserve"> (0.19%) and loss of ignition (5.14%). </w:t>
      </w:r>
      <w:r w:rsidRPr="00DD3E69">
        <w:t>In addition, high chemical oxide contents of ferric oxide and silicate were found in iron tailing</w:t>
      </w:r>
      <w:r w:rsidRPr="00DD3E69">
        <w:rPr>
          <w:color w:val="A91E1E"/>
        </w:rPr>
        <w:t xml:space="preserve">s, </w:t>
      </w:r>
      <w:r w:rsidRPr="00DD3E69">
        <w:t>which can be used as raw materials in cement production.</w:t>
      </w:r>
      <w:r w:rsidR="00F926BF" w:rsidRPr="00DD3E69">
        <w:t xml:space="preserve"> </w:t>
      </w:r>
      <w:r w:rsidRPr="00DD3E69">
        <w:t>Our results are in agreement with the previous study that</w:t>
      </w:r>
      <w:r w:rsidRPr="00DD3E69">
        <w:rPr>
          <w:color w:val="A91E1E"/>
        </w:rPr>
        <w:t xml:space="preserve"> </w:t>
      </w:r>
      <w:r w:rsidRPr="00DD3E69">
        <w:rPr>
          <w:color w:val="000000" w:themeColor="text1"/>
        </w:rPr>
        <w:t>has</w:t>
      </w:r>
      <w:r w:rsidRPr="00DD3E69">
        <w:t xml:space="preserve"> shown the utilization of iron tailings for </w:t>
      </w:r>
      <w:r w:rsidRPr="00DD3E69">
        <w:rPr>
          <w:color w:val="A91E1E"/>
        </w:rPr>
        <w:t>the</w:t>
      </w:r>
      <w:r w:rsidRPr="00DD3E69">
        <w:t xml:space="preserve"> production of building materials such as bricks, ceramic tiles, cement, or concrete </w:t>
      </w:r>
      <w:r w:rsidR="00F407AD" w:rsidRPr="00DD3E69">
        <w:fldChar w:fldCharType="begin" w:fldLock="1"/>
      </w:r>
      <w:r w:rsidR="004B783E">
        <w:instrText>ADDIN CSL_CITATION {"citationItems":[{"id":"ITEM-1","itemData":{"ISSN":"2331-1916","author":[{"dropping-particle":"","family":"Kuranchie","given":"Francis Atta","non-dropping-particle":"","parse-names":false,"suffix":""},{"dropping-particle":"","family":"Shukla","given":"Sanjay Kumar","non-dropping-particle":"","parse-names":false,"suffix":""},{"dropping-particle":"","family":"Habibi","given":"Daryoush","non-dropping-particle":"","parse-names":false,"suffix":""},{"dropping-particle":"","family":"Mohyeddin","given":"Alireza","non-dropping-particle":"","parse-names":false,"suffix":""}],"container-title":"Cogent Engineering","id":"ITEM-1","issue":"1","issued":{"date-parts":[["2015"]]},"page":"1083137","publisher":"Taylor &amp; Francis","title":"Utilisation of iron ore tailings as aggregates in concrete","type":"article-journal","volume":"2"},"uris":["http://www.mendeley.com/documents/?uuid=f482a94d-ff7e-4302-9943-2ab37c80035d"]},{"id":"ITEM-2","itemData":{"ISSN":"0304-3894","author":[{"dropping-particle":"","family":"Li","given":"Chao","non-dropping-particle":"","parse-names":false,"suffix":""},{"dropping-particle":"","family":"Sun","given":"Henghu","non-dropping-particle":"","parse-names":false,"suffix":""},{"dropping-particle":"","family":"Bai","given":"Jing","non-dropping-particle":"","parse-names":false,"suffix":""},{"dropping-particle":"","family":"Li","given":"Longtu","non-dropping-particle":"","parse-names":false,"suffix":""}],"container-title":"Journal of Hazardous Materials","id":"ITEM-2","issue":"1-3","issued":{"date-parts":[["2010"]]},"page":"71-77","publis</w:instrText>
      </w:r>
      <w:r w:rsidR="004B783E" w:rsidRPr="00F03516">
        <w:rPr>
          <w:lang w:val="fr-FR"/>
        </w:rPr>
        <w:instrText>her":"Elsevier","title":"Innovative methodology for comprehensive utilization of iron ore tailings: Part 1. The recovery of iron from iron ore tailings using magnetic separation after magnetizing roasting","type":"article-journal","volume":"174"},"uris":["http://www.mendeley.com/documents/?uuid=77d8edb9-e823-4726-99e9-be11c11fbf79"]},{"id":"ITEM-3","itemData":{"ISSN":"0956-053X","author":[{"dropping-particle":"","family":"Das","given":"Suchandan K","non-dropping-particle":"","parse-names":false,"suffix":""},{"dropping-particle":"","family":"Kumar","given":"Sanjay","non-dropping-particle":"","parse-names":false,"suffix":""},{"dropping-particle":"","family":"Ramachandrarao","given":"P","non-dropping-particle":"","parse-names":false,"suffix":""}],"container-title":"Waste Management","id":"ITEM-3","issue":"8","issued":{"date-parts":[["2000"]]},"page":"725-729","publisher":"Elsevier","title":"Exploitation of iron ore tailing for the development of ceramic tiles","type":"article-journal","volume":"20"},"uris":["http://www.mendeley.com/documents/?uuid=05b9e732-850b-4233-a591-b21fc32e12aa"]}],"mendeley":{"formattedCitation":"(Das et al., 2000; Kuranchie et al., 2015; Li et al., 2010)","plainTextFormattedCitation":"(Das et al., 2000; Kuranchie et al., 2015; Li et al., 2010)","previouslyFormattedCitation":"(Das et al., 2000; Kuranchie et al., 2015; Li et al., 2010)"},"properties":{"noteIndex":0},"schema":"https://github.com/citation-style-language/schema/raw/master/csl-citation.json"}</w:instrText>
      </w:r>
      <w:r w:rsidR="00F407AD" w:rsidRPr="00DD3E69">
        <w:fldChar w:fldCharType="separate"/>
      </w:r>
      <w:r w:rsidR="00F407AD" w:rsidRPr="00F03516">
        <w:rPr>
          <w:noProof/>
          <w:lang w:val="fr-FR"/>
        </w:rPr>
        <w:t>(Das et al., 2000; Kuranchie et al., 2015; Li et al., 2010)</w:t>
      </w:r>
      <w:r w:rsidR="00F407AD" w:rsidRPr="00DD3E69">
        <w:fldChar w:fldCharType="end"/>
      </w:r>
      <w:r w:rsidRPr="00F03516">
        <w:rPr>
          <w:lang w:val="fr-FR"/>
        </w:rPr>
        <w:t>.</w:t>
      </w:r>
    </w:p>
    <w:p w14:paraId="00DF6969" w14:textId="77777777" w:rsidR="00FC2D84" w:rsidRPr="00F03516" w:rsidRDefault="00FC2D84" w:rsidP="00905EDD">
      <w:pPr>
        <w:spacing w:line="360" w:lineRule="auto"/>
        <w:jc w:val="both"/>
        <w:rPr>
          <w:lang w:val="fr-FR"/>
        </w:rPr>
      </w:pPr>
    </w:p>
    <w:p w14:paraId="18DBD558" w14:textId="77777777" w:rsidR="001D51EF" w:rsidRPr="00F03516" w:rsidRDefault="001D51EF">
      <w:pPr>
        <w:rPr>
          <w:b/>
          <w:bCs/>
          <w:lang w:val="fr-FR"/>
        </w:rPr>
      </w:pPr>
      <w:r w:rsidRPr="00F03516">
        <w:rPr>
          <w:b/>
          <w:bCs/>
          <w:lang w:val="fr-FR"/>
        </w:rPr>
        <w:br w:type="page"/>
      </w:r>
    </w:p>
    <w:p w14:paraId="20FE35C2" w14:textId="03C788E8" w:rsidR="003F2AF3" w:rsidRPr="00DD3E69" w:rsidRDefault="0082231F" w:rsidP="00905EDD">
      <w:pPr>
        <w:spacing w:line="360" w:lineRule="auto"/>
        <w:jc w:val="both"/>
      </w:pPr>
      <w:r w:rsidRPr="00F03516">
        <w:rPr>
          <w:b/>
          <w:bCs/>
          <w:lang w:val="fr-FR"/>
        </w:rPr>
        <w:lastRenderedPageBreak/>
        <w:t xml:space="preserve">Table 1. </w:t>
      </w:r>
      <w:r w:rsidRPr="00DD3E69">
        <w:rPr>
          <w:color w:val="000000" w:themeColor="text1"/>
        </w:rPr>
        <w:t>Percentage of chemicals in the tailing sample</w:t>
      </w:r>
    </w:p>
    <w:tbl>
      <w:tblPr>
        <w:tblStyle w:val="TableGrid"/>
        <w:tblW w:w="0" w:type="auto"/>
        <w:tblLook w:val="04A0" w:firstRow="1" w:lastRow="0" w:firstColumn="1" w:lastColumn="0" w:noHBand="0" w:noVBand="1"/>
      </w:tblPr>
      <w:tblGrid>
        <w:gridCol w:w="970"/>
        <w:gridCol w:w="848"/>
      </w:tblGrid>
      <w:tr w:rsidR="00FC2D84" w:rsidRPr="00DD3E69" w14:paraId="20E44F2F" w14:textId="77777777" w:rsidTr="00AB38F7">
        <w:tc>
          <w:tcPr>
            <w:tcW w:w="0" w:type="auto"/>
            <w:gridSpan w:val="2"/>
          </w:tcPr>
          <w:p w14:paraId="1D5354AE" w14:textId="77777777" w:rsidR="00FC2D84" w:rsidRPr="00DD3E69" w:rsidRDefault="00FC2D84" w:rsidP="00905EDD">
            <w:pPr>
              <w:spacing w:line="360" w:lineRule="auto"/>
              <w:jc w:val="both"/>
              <w:rPr>
                <w:rFonts w:ascii="Times New Roman" w:hAnsi="Times New Roman" w:cs="Times New Roman"/>
                <w:b/>
                <w:bCs/>
                <w:lang w:val="en-US"/>
              </w:rPr>
            </w:pPr>
            <w:r w:rsidRPr="00DD3E69">
              <w:rPr>
                <w:rFonts w:ascii="Times New Roman" w:hAnsi="Times New Roman" w:cs="Times New Roman"/>
                <w:b/>
                <w:bCs/>
                <w:lang w:val="en-US"/>
              </w:rPr>
              <w:t>Major elements</w:t>
            </w:r>
          </w:p>
        </w:tc>
      </w:tr>
      <w:tr w:rsidR="00FC2D84" w:rsidRPr="00DD3E69" w14:paraId="69EEFD47" w14:textId="77777777" w:rsidTr="00AB38F7">
        <w:tc>
          <w:tcPr>
            <w:tcW w:w="0" w:type="auto"/>
          </w:tcPr>
          <w:p w14:paraId="71BE8BD9"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eastAsia="Times New Roman" w:hAnsi="Times New Roman" w:cs="Times New Roman"/>
                <w:b/>
                <w:bCs/>
                <w:color w:val="000000" w:themeColor="text1"/>
                <w:sz w:val="20"/>
                <w:szCs w:val="20"/>
                <w:lang w:val="en-US" w:eastAsia="fr-FR"/>
              </w:rPr>
              <w:t>SiO</w:t>
            </w:r>
            <w:r w:rsidRPr="00DD3E69">
              <w:rPr>
                <w:rFonts w:ascii="Times New Roman" w:eastAsia="Times New Roman" w:hAnsi="Times New Roman" w:cs="Times New Roman"/>
                <w:b/>
                <w:bCs/>
                <w:color w:val="000000" w:themeColor="text1"/>
                <w:sz w:val="20"/>
                <w:szCs w:val="20"/>
                <w:vertAlign w:val="subscript"/>
                <w:lang w:val="en-US" w:eastAsia="fr-FR"/>
              </w:rPr>
              <w:t>2</w:t>
            </w:r>
          </w:p>
        </w:tc>
        <w:tc>
          <w:tcPr>
            <w:tcW w:w="0" w:type="auto"/>
          </w:tcPr>
          <w:p w14:paraId="3607F281"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45.83</w:t>
            </w:r>
          </w:p>
        </w:tc>
      </w:tr>
      <w:tr w:rsidR="00FC2D84" w:rsidRPr="00DD3E69" w14:paraId="4866ACE7" w14:textId="77777777" w:rsidTr="00AB38F7">
        <w:tc>
          <w:tcPr>
            <w:tcW w:w="0" w:type="auto"/>
          </w:tcPr>
          <w:p w14:paraId="10777266"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Al</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r w:rsidRPr="00DD3E69">
              <w:rPr>
                <w:rFonts w:ascii="Times New Roman" w:hAnsi="Times New Roman" w:cs="Times New Roman"/>
                <w:b/>
                <w:bCs/>
                <w:color w:val="000000" w:themeColor="text1"/>
                <w:sz w:val="20"/>
                <w:szCs w:val="20"/>
                <w:vertAlign w:val="subscript"/>
                <w:lang w:val="en-US"/>
              </w:rPr>
              <w:t>3</w:t>
            </w:r>
          </w:p>
        </w:tc>
        <w:tc>
          <w:tcPr>
            <w:tcW w:w="0" w:type="auto"/>
          </w:tcPr>
          <w:p w14:paraId="516C7238"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8.95</w:t>
            </w:r>
          </w:p>
        </w:tc>
      </w:tr>
      <w:tr w:rsidR="00FC2D84" w:rsidRPr="00DD3E69" w14:paraId="1617F94C" w14:textId="77777777" w:rsidTr="00AB38F7">
        <w:tc>
          <w:tcPr>
            <w:tcW w:w="0" w:type="auto"/>
          </w:tcPr>
          <w:p w14:paraId="2603FC9A"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Fe</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r w:rsidRPr="00DD3E69">
              <w:rPr>
                <w:rFonts w:ascii="Times New Roman" w:hAnsi="Times New Roman" w:cs="Times New Roman"/>
                <w:b/>
                <w:bCs/>
                <w:color w:val="000000" w:themeColor="text1"/>
                <w:sz w:val="20"/>
                <w:szCs w:val="20"/>
                <w:vertAlign w:val="subscript"/>
                <w:lang w:val="en-US"/>
              </w:rPr>
              <w:t>3</w:t>
            </w:r>
          </w:p>
        </w:tc>
        <w:tc>
          <w:tcPr>
            <w:tcW w:w="0" w:type="auto"/>
          </w:tcPr>
          <w:p w14:paraId="01FE5BE4"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16.99</w:t>
            </w:r>
          </w:p>
        </w:tc>
      </w:tr>
      <w:tr w:rsidR="00FC2D84" w:rsidRPr="00DD3E69" w14:paraId="487866DD" w14:textId="77777777" w:rsidTr="00AB38F7">
        <w:tc>
          <w:tcPr>
            <w:tcW w:w="0" w:type="auto"/>
          </w:tcPr>
          <w:p w14:paraId="30C38652" w14:textId="77777777" w:rsidR="00FC2D84" w:rsidRPr="00DD3E69" w:rsidRDefault="00FC2D84" w:rsidP="00905EDD">
            <w:pPr>
              <w:spacing w:line="360" w:lineRule="auto"/>
              <w:jc w:val="both"/>
              <w:rPr>
                <w:rFonts w:ascii="Times New Roman" w:hAnsi="Times New Roman" w:cs="Times New Roman"/>
                <w:b/>
                <w:bCs/>
                <w:sz w:val="20"/>
                <w:szCs w:val="20"/>
                <w:lang w:val="en-US"/>
              </w:rPr>
            </w:pPr>
            <w:proofErr w:type="spellStart"/>
            <w:r w:rsidRPr="00DD3E69">
              <w:rPr>
                <w:rFonts w:ascii="Times New Roman" w:hAnsi="Times New Roman" w:cs="Times New Roman"/>
                <w:b/>
                <w:bCs/>
                <w:color w:val="000000" w:themeColor="text1"/>
                <w:sz w:val="20"/>
                <w:szCs w:val="20"/>
                <w:lang w:val="en-US"/>
              </w:rPr>
              <w:t>CaO</w:t>
            </w:r>
            <w:proofErr w:type="spellEnd"/>
          </w:p>
        </w:tc>
        <w:tc>
          <w:tcPr>
            <w:tcW w:w="0" w:type="auto"/>
          </w:tcPr>
          <w:p w14:paraId="5804BAA0"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11.90</w:t>
            </w:r>
          </w:p>
        </w:tc>
      </w:tr>
      <w:tr w:rsidR="00FC2D84" w:rsidRPr="00DD3E69" w14:paraId="1658F3DC" w14:textId="77777777" w:rsidTr="00AB38F7">
        <w:tc>
          <w:tcPr>
            <w:tcW w:w="0" w:type="auto"/>
          </w:tcPr>
          <w:p w14:paraId="4E0F04DA"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MgO8</w:t>
            </w:r>
          </w:p>
        </w:tc>
        <w:tc>
          <w:tcPr>
            <w:tcW w:w="0" w:type="auto"/>
          </w:tcPr>
          <w:p w14:paraId="3139ED7F"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5.77</w:t>
            </w:r>
          </w:p>
        </w:tc>
      </w:tr>
      <w:tr w:rsidR="00FC2D84" w:rsidRPr="00DD3E69" w14:paraId="24B9AF5F" w14:textId="77777777" w:rsidTr="00AB38F7">
        <w:tc>
          <w:tcPr>
            <w:tcW w:w="0" w:type="auto"/>
          </w:tcPr>
          <w:p w14:paraId="6D9006C7"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Na</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p>
        </w:tc>
        <w:tc>
          <w:tcPr>
            <w:tcW w:w="0" w:type="auto"/>
          </w:tcPr>
          <w:p w14:paraId="4960E18D"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1.46</w:t>
            </w:r>
          </w:p>
        </w:tc>
      </w:tr>
      <w:tr w:rsidR="00FC2D84" w:rsidRPr="00DD3E69" w14:paraId="1C35FC66" w14:textId="77777777" w:rsidTr="00AB38F7">
        <w:tc>
          <w:tcPr>
            <w:tcW w:w="0" w:type="auto"/>
          </w:tcPr>
          <w:p w14:paraId="02899E7D"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K</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p>
        </w:tc>
        <w:tc>
          <w:tcPr>
            <w:tcW w:w="0" w:type="auto"/>
          </w:tcPr>
          <w:p w14:paraId="7491E61E"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2.86</w:t>
            </w:r>
          </w:p>
        </w:tc>
      </w:tr>
      <w:tr w:rsidR="00FC2D84" w:rsidRPr="00DD3E69" w14:paraId="6F235636" w14:textId="77777777" w:rsidTr="00AB38F7">
        <w:tc>
          <w:tcPr>
            <w:tcW w:w="0" w:type="auto"/>
          </w:tcPr>
          <w:p w14:paraId="5E208409" w14:textId="77777777" w:rsidR="00FC2D84" w:rsidRPr="00DD3E69" w:rsidRDefault="00FC2D84" w:rsidP="00905EDD">
            <w:pPr>
              <w:spacing w:line="360" w:lineRule="auto"/>
              <w:jc w:val="both"/>
              <w:rPr>
                <w:rFonts w:ascii="Times New Roman" w:hAnsi="Times New Roman" w:cs="Times New Roman"/>
                <w:b/>
                <w:bCs/>
                <w:sz w:val="20"/>
                <w:szCs w:val="20"/>
                <w:lang w:val="en-US"/>
              </w:rPr>
            </w:pPr>
            <w:proofErr w:type="spellStart"/>
            <w:r w:rsidRPr="00DD3E69">
              <w:rPr>
                <w:rFonts w:ascii="Times New Roman" w:hAnsi="Times New Roman" w:cs="Times New Roman"/>
                <w:b/>
                <w:bCs/>
                <w:color w:val="000000" w:themeColor="text1"/>
                <w:sz w:val="20"/>
                <w:szCs w:val="20"/>
                <w:lang w:val="en-US"/>
              </w:rPr>
              <w:t>MnO</w:t>
            </w:r>
            <w:proofErr w:type="spellEnd"/>
          </w:p>
        </w:tc>
        <w:tc>
          <w:tcPr>
            <w:tcW w:w="0" w:type="auto"/>
          </w:tcPr>
          <w:p w14:paraId="207622D7"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0.19</w:t>
            </w:r>
          </w:p>
        </w:tc>
      </w:tr>
      <w:tr w:rsidR="00FC2D84" w:rsidRPr="00DD3E69" w14:paraId="42368C86" w14:textId="77777777" w:rsidTr="00AB38F7">
        <w:tc>
          <w:tcPr>
            <w:tcW w:w="0" w:type="auto"/>
          </w:tcPr>
          <w:p w14:paraId="39AF5A17"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TiO</w:t>
            </w:r>
            <w:r w:rsidRPr="00DD3E69">
              <w:rPr>
                <w:rFonts w:ascii="Times New Roman" w:hAnsi="Times New Roman" w:cs="Times New Roman"/>
                <w:b/>
                <w:bCs/>
                <w:color w:val="000000" w:themeColor="text1"/>
                <w:sz w:val="20"/>
                <w:szCs w:val="20"/>
                <w:vertAlign w:val="subscript"/>
                <w:lang w:val="en-US"/>
              </w:rPr>
              <w:t>2</w:t>
            </w:r>
          </w:p>
        </w:tc>
        <w:tc>
          <w:tcPr>
            <w:tcW w:w="0" w:type="auto"/>
          </w:tcPr>
          <w:p w14:paraId="17200398"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0.25</w:t>
            </w:r>
          </w:p>
        </w:tc>
      </w:tr>
      <w:tr w:rsidR="00FC2D84" w:rsidRPr="00DD3E69" w14:paraId="4D358616" w14:textId="77777777" w:rsidTr="00AB38F7">
        <w:tc>
          <w:tcPr>
            <w:tcW w:w="0" w:type="auto"/>
          </w:tcPr>
          <w:p w14:paraId="41B9D442"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SO</w:t>
            </w:r>
            <w:r w:rsidRPr="00DD3E69">
              <w:rPr>
                <w:rFonts w:ascii="Times New Roman" w:hAnsi="Times New Roman" w:cs="Times New Roman"/>
                <w:b/>
                <w:bCs/>
                <w:color w:val="000000" w:themeColor="text1"/>
                <w:sz w:val="20"/>
                <w:szCs w:val="20"/>
                <w:vertAlign w:val="subscript"/>
                <w:lang w:val="en-US"/>
              </w:rPr>
              <w:t>3</w:t>
            </w:r>
          </w:p>
        </w:tc>
        <w:tc>
          <w:tcPr>
            <w:tcW w:w="0" w:type="auto"/>
          </w:tcPr>
          <w:p w14:paraId="1110D12E"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0.43</w:t>
            </w:r>
          </w:p>
        </w:tc>
      </w:tr>
    </w:tbl>
    <w:p w14:paraId="77151555" w14:textId="2BBBFEDD" w:rsidR="00FC2D84" w:rsidRPr="00DD3E69" w:rsidRDefault="0082231F" w:rsidP="00905EDD">
      <w:pPr>
        <w:spacing w:line="360" w:lineRule="auto"/>
        <w:jc w:val="both"/>
        <w:rPr>
          <w:color w:val="000000" w:themeColor="text1"/>
        </w:rPr>
      </w:pPr>
      <w:r w:rsidRPr="00DD3E69">
        <w:rPr>
          <w:color w:val="000000" w:themeColor="text1"/>
        </w:rPr>
        <w:t>Table 2 presents the metal grades (%) in the tailing sample. From this table, it was observed that high concentrations of valuable metals were observed from two intervals of dimensions (i.e.</w:t>
      </w:r>
      <w:r w:rsidR="00FC2D84" w:rsidRPr="00DD3E69">
        <w:rPr>
          <w:color w:val="000000" w:themeColor="text1"/>
        </w:rPr>
        <w:t>,</w:t>
      </w:r>
      <w:r w:rsidRPr="00DD3E69">
        <w:rPr>
          <w:color w:val="000000" w:themeColor="text1"/>
        </w:rPr>
        <w:t xml:space="preserve"> </w:t>
      </w:r>
      <w:r w:rsidR="00FC2D84" w:rsidRPr="00DD3E69">
        <w:rPr>
          <w:color w:val="000000" w:themeColor="text1"/>
        </w:rPr>
        <w:t>˗150+ 75 µm; and ˗75+38 µm</w:t>
      </w:r>
      <w:r w:rsidRPr="00DD3E69">
        <w:rPr>
          <w:color w:val="000000" w:themeColor="text1"/>
        </w:rPr>
        <w:t xml:space="preserve">). Particularly, the concentration of Fe is greater than that of any other metal. However, </w:t>
      </w:r>
      <w:r w:rsidR="00FC2D84" w:rsidRPr="00DD3E69">
        <w:rPr>
          <w:color w:val="000000" w:themeColor="text1"/>
        </w:rPr>
        <w:t>t</w:t>
      </w:r>
      <w:r w:rsidRPr="00DD3E69">
        <w:rPr>
          <w:color w:val="000000" w:themeColor="text1"/>
        </w:rPr>
        <w:t xml:space="preserve">he concentration of Cu is higher than the maximum concentration of heavy metals for disposal to landfill. In the European Council, the limit concentration of Cu is 50-140 mg/kg </w:t>
      </w:r>
      <w:r w:rsidR="004B783E">
        <w:rPr>
          <w:color w:val="000000" w:themeColor="text1"/>
        </w:rPr>
        <w:fldChar w:fldCharType="begin" w:fldLock="1"/>
      </w:r>
      <w:r w:rsidR="004B783E">
        <w:rPr>
          <w:color w:val="000000" w:themeColor="text1"/>
        </w:rPr>
        <w:instrText>ADDIN CSL_CITATION {"citationItems":[{"id":"ITEM-1","itemData":{"author":[{"dropping-particle":"","family":"Eijerick","given":"D Agobert G H","non-dropping-particle":"","parse-names":false,"suffix":""},{"dropping-particle":"","family":"Prang","given":"P Atrick A V A N S","non-dropping-particle":"","parse-names":false,"suffix":""},{"dropping-particle":"","family":"Yfte","given":"A Nnick D V A N H","non-dropping-particle":"","parse-names":false,"suffix":""}],"id":"ITEM-1","issue":"3","issued":{"date-parts":[["2006"]]},"page":"858-864","title":"Models and Risk Characterization AMBIENT COPPER CONCENTRATIONS IN AGRICULTURAL AND NATURAL EUROPEAN SOILS : AN OVERVIEW","type":"article-journal","volume":"25"},"uris":["http://www.mendeley.com/documents/?uuid=dead9572-aaed-4221-b3c3-2c100f7916d1"]},{"id":"ITEM-2","itemData":{"author":[{"dropping-particle":"","family":"Beyer","given":"W Nelson","non-dropping-particle":"","parse-names":false,"suffix":""}],"id":"ITEM-2","issue":"2","issued":{"date-parts":[["1990"]]},"publisher":"US Department of the Interior, Fish and Wildlife Service","title":"Evaluating soil contamination","type":"book","volume":"90"},"uris":["http://www.mendeley.com/documents/?uuid=70a659ac-5d2e-43fd-b6f9-a84d744b7003"]}],"mendeley":{"formattedCitation":"(Beyer, 1990; Eijerick et al., 2006)","plainTextFormattedCitation":"(Beyer, 1990; Eijerick et al., 2006)"},"properties":{"noteIndex":0},"schema":"https://github.com/citation-style-language/schema/raw/master/csl-citation.json"}</w:instrText>
      </w:r>
      <w:r w:rsidR="004B783E">
        <w:rPr>
          <w:color w:val="000000" w:themeColor="text1"/>
        </w:rPr>
        <w:fldChar w:fldCharType="separate"/>
      </w:r>
      <w:r w:rsidR="004B783E" w:rsidRPr="004B783E">
        <w:rPr>
          <w:noProof/>
          <w:color w:val="000000" w:themeColor="text1"/>
        </w:rPr>
        <w:t>(Beyer, 1990; Eijerick et al., 2006)</w:t>
      </w:r>
      <w:r w:rsidR="004B783E">
        <w:rPr>
          <w:color w:val="000000" w:themeColor="text1"/>
        </w:rPr>
        <w:fldChar w:fldCharType="end"/>
      </w:r>
      <w:r w:rsidRPr="00DD3E69">
        <w:rPr>
          <w:color w:val="000000" w:themeColor="text1"/>
        </w:rPr>
        <w:t>.</w:t>
      </w:r>
    </w:p>
    <w:p w14:paraId="5177A32B" w14:textId="77777777" w:rsidR="003F2AF3" w:rsidRPr="00DD3E69" w:rsidRDefault="0082231F" w:rsidP="00905EDD">
      <w:pPr>
        <w:spacing w:line="360" w:lineRule="auto"/>
        <w:jc w:val="both"/>
      </w:pPr>
      <w:r w:rsidRPr="00DD3E69">
        <w:rPr>
          <w:b/>
          <w:bCs/>
        </w:rPr>
        <w:t xml:space="preserve">Table 2. </w:t>
      </w:r>
      <w:r w:rsidRPr="00DD3E69">
        <w:t>Percentage of metal contents in iron tailing</w:t>
      </w:r>
    </w:p>
    <w:tbl>
      <w:tblPr>
        <w:tblStyle w:val="TableGrid"/>
        <w:tblW w:w="0" w:type="auto"/>
        <w:tblLook w:val="04A0" w:firstRow="1" w:lastRow="0" w:firstColumn="1" w:lastColumn="0" w:noHBand="0" w:noVBand="1"/>
      </w:tblPr>
      <w:tblGrid>
        <w:gridCol w:w="1706"/>
        <w:gridCol w:w="828"/>
        <w:gridCol w:w="817"/>
        <w:gridCol w:w="817"/>
        <w:gridCol w:w="817"/>
        <w:gridCol w:w="817"/>
        <w:gridCol w:w="817"/>
        <w:gridCol w:w="818"/>
        <w:gridCol w:w="818"/>
      </w:tblGrid>
      <w:tr w:rsidR="00DD3E69" w:rsidRPr="00DD3E69" w14:paraId="0E1CDE41" w14:textId="77777777" w:rsidTr="002E78EC">
        <w:tc>
          <w:tcPr>
            <w:tcW w:w="1706" w:type="dxa"/>
          </w:tcPr>
          <w:p w14:paraId="2075EA04"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Particle Size</w:t>
            </w:r>
          </w:p>
          <w:p w14:paraId="669F5CC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(µm)</w:t>
            </w:r>
          </w:p>
        </w:tc>
        <w:tc>
          <w:tcPr>
            <w:tcW w:w="817" w:type="dxa"/>
          </w:tcPr>
          <w:p w14:paraId="0AB79A36"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Weight</w:t>
            </w:r>
          </w:p>
          <w:p w14:paraId="40A3C184"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6543ABC2"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Cu</w:t>
            </w:r>
          </w:p>
          <w:p w14:paraId="70212444"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42792908"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Fe</w:t>
            </w:r>
          </w:p>
          <w:p w14:paraId="3D27FA2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41B3EF9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Mo</w:t>
            </w:r>
          </w:p>
          <w:p w14:paraId="2EFAB298"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62A2430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 xml:space="preserve">Au </w:t>
            </w:r>
          </w:p>
          <w:p w14:paraId="05F2BDF6"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(ppm)</w:t>
            </w:r>
          </w:p>
        </w:tc>
        <w:tc>
          <w:tcPr>
            <w:tcW w:w="817" w:type="dxa"/>
          </w:tcPr>
          <w:p w14:paraId="4C6E4C5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Ag</w:t>
            </w:r>
          </w:p>
          <w:p w14:paraId="3E73E53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(ppm)</w:t>
            </w:r>
          </w:p>
        </w:tc>
        <w:tc>
          <w:tcPr>
            <w:tcW w:w="818" w:type="dxa"/>
          </w:tcPr>
          <w:p w14:paraId="7F2C9A75"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Fe</w:t>
            </w:r>
            <w:r w:rsidRPr="00DD3E69">
              <w:rPr>
                <w:rFonts w:ascii="Times New Roman" w:hAnsi="Times New Roman" w:cs="Times New Roman"/>
                <w:b/>
                <w:bCs/>
                <w:sz w:val="20"/>
                <w:szCs w:val="20"/>
                <w:vertAlign w:val="subscript"/>
                <w:lang w:val="en-US"/>
              </w:rPr>
              <w:t>2</w:t>
            </w:r>
            <w:r w:rsidRPr="00DD3E69">
              <w:rPr>
                <w:rFonts w:ascii="Times New Roman" w:hAnsi="Times New Roman" w:cs="Times New Roman"/>
                <w:b/>
                <w:bCs/>
                <w:sz w:val="20"/>
                <w:szCs w:val="20"/>
                <w:lang w:val="en-US"/>
              </w:rPr>
              <w:t>O</w:t>
            </w:r>
            <w:r w:rsidRPr="00DD3E69">
              <w:rPr>
                <w:rFonts w:ascii="Times New Roman" w:hAnsi="Times New Roman" w:cs="Times New Roman"/>
                <w:b/>
                <w:bCs/>
                <w:sz w:val="20"/>
                <w:szCs w:val="20"/>
                <w:vertAlign w:val="subscript"/>
                <w:lang w:val="en-US"/>
              </w:rPr>
              <w:t>3</w:t>
            </w:r>
          </w:p>
          <w:p w14:paraId="6D2E7EE6"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8" w:type="dxa"/>
          </w:tcPr>
          <w:p w14:paraId="2BC73C4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MoS</w:t>
            </w:r>
            <w:r w:rsidRPr="00DD3E69">
              <w:rPr>
                <w:rFonts w:ascii="Times New Roman" w:hAnsi="Times New Roman" w:cs="Times New Roman"/>
                <w:b/>
                <w:bCs/>
                <w:sz w:val="20"/>
                <w:szCs w:val="20"/>
                <w:vertAlign w:val="subscript"/>
                <w:lang w:val="en-US"/>
              </w:rPr>
              <w:t>2</w:t>
            </w:r>
          </w:p>
          <w:p w14:paraId="155F8FD0"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r>
      <w:tr w:rsidR="00DD3E69" w:rsidRPr="00DD3E69" w14:paraId="0AA72F81" w14:textId="77777777" w:rsidTr="002E78EC">
        <w:tc>
          <w:tcPr>
            <w:tcW w:w="1706" w:type="dxa"/>
            <w:vMerge w:val="restart"/>
          </w:tcPr>
          <w:p w14:paraId="0487263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+300</w:t>
            </w:r>
          </w:p>
          <w:p w14:paraId="4FD244E7"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˗300+150</w:t>
            </w:r>
          </w:p>
          <w:p w14:paraId="50AA36D8"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˗150+75</w:t>
            </w:r>
          </w:p>
          <w:p w14:paraId="2D06F002"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˗75+38</w:t>
            </w:r>
          </w:p>
          <w:p w14:paraId="7E325A02"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˗38</w:t>
            </w:r>
          </w:p>
        </w:tc>
        <w:tc>
          <w:tcPr>
            <w:tcW w:w="817" w:type="dxa"/>
          </w:tcPr>
          <w:p w14:paraId="6CB40465"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2.76</w:t>
            </w:r>
          </w:p>
        </w:tc>
        <w:tc>
          <w:tcPr>
            <w:tcW w:w="817" w:type="dxa"/>
          </w:tcPr>
          <w:p w14:paraId="511998B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0.20</w:t>
            </w:r>
          </w:p>
        </w:tc>
        <w:tc>
          <w:tcPr>
            <w:tcW w:w="817" w:type="dxa"/>
          </w:tcPr>
          <w:p w14:paraId="5E039DD5"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1.94</w:t>
            </w:r>
          </w:p>
        </w:tc>
        <w:tc>
          <w:tcPr>
            <w:tcW w:w="817" w:type="dxa"/>
          </w:tcPr>
          <w:p w14:paraId="4BCAE4EC"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0.02</w:t>
            </w:r>
          </w:p>
        </w:tc>
        <w:tc>
          <w:tcPr>
            <w:tcW w:w="817" w:type="dxa"/>
          </w:tcPr>
          <w:p w14:paraId="41BD04D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1.63</w:t>
            </w:r>
          </w:p>
        </w:tc>
        <w:tc>
          <w:tcPr>
            <w:tcW w:w="817" w:type="dxa"/>
          </w:tcPr>
          <w:p w14:paraId="0B6F23B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2.90</w:t>
            </w:r>
          </w:p>
        </w:tc>
        <w:tc>
          <w:tcPr>
            <w:tcW w:w="818" w:type="dxa"/>
          </w:tcPr>
          <w:p w14:paraId="41B9F022"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17.06</w:t>
            </w:r>
          </w:p>
        </w:tc>
        <w:tc>
          <w:tcPr>
            <w:tcW w:w="818" w:type="dxa"/>
          </w:tcPr>
          <w:p w14:paraId="153E1B3A"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r>
      <w:tr w:rsidR="00DD3E69" w:rsidRPr="00DD3E69" w14:paraId="37FD60DC" w14:textId="77777777" w:rsidTr="002E78EC">
        <w:tc>
          <w:tcPr>
            <w:tcW w:w="1706" w:type="dxa"/>
            <w:vMerge/>
          </w:tcPr>
          <w:p w14:paraId="4AD61A84" w14:textId="77777777" w:rsidR="00DD3E69" w:rsidRPr="00DD3E69" w:rsidRDefault="00DD3E69" w:rsidP="002E78EC">
            <w:pPr>
              <w:rPr>
                <w:rFonts w:ascii="Times New Roman" w:hAnsi="Times New Roman" w:cs="Times New Roman"/>
                <w:sz w:val="20"/>
                <w:szCs w:val="20"/>
                <w:lang w:val="en-US"/>
              </w:rPr>
            </w:pPr>
          </w:p>
        </w:tc>
        <w:tc>
          <w:tcPr>
            <w:tcW w:w="817" w:type="dxa"/>
          </w:tcPr>
          <w:p w14:paraId="12C40BB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7.38</w:t>
            </w:r>
          </w:p>
        </w:tc>
        <w:tc>
          <w:tcPr>
            <w:tcW w:w="817" w:type="dxa"/>
          </w:tcPr>
          <w:p w14:paraId="0601B26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0.11</w:t>
            </w:r>
          </w:p>
        </w:tc>
        <w:tc>
          <w:tcPr>
            <w:tcW w:w="817" w:type="dxa"/>
          </w:tcPr>
          <w:p w14:paraId="0A254A13"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7.25</w:t>
            </w:r>
          </w:p>
        </w:tc>
        <w:tc>
          <w:tcPr>
            <w:tcW w:w="817" w:type="dxa"/>
          </w:tcPr>
          <w:p w14:paraId="539760AA"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0.02</w:t>
            </w:r>
          </w:p>
        </w:tc>
        <w:tc>
          <w:tcPr>
            <w:tcW w:w="817" w:type="dxa"/>
          </w:tcPr>
          <w:p w14:paraId="71644893"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2F41220B"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2.40</w:t>
            </w:r>
          </w:p>
        </w:tc>
        <w:tc>
          <w:tcPr>
            <w:tcW w:w="818" w:type="dxa"/>
          </w:tcPr>
          <w:p w14:paraId="70C3D689"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10.36</w:t>
            </w:r>
          </w:p>
        </w:tc>
        <w:tc>
          <w:tcPr>
            <w:tcW w:w="818" w:type="dxa"/>
          </w:tcPr>
          <w:p w14:paraId="240A3E1B"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r>
      <w:tr w:rsidR="00DD3E69" w:rsidRPr="00DD3E69" w14:paraId="6870F309" w14:textId="77777777" w:rsidTr="002E78EC">
        <w:tc>
          <w:tcPr>
            <w:tcW w:w="1706" w:type="dxa"/>
            <w:vMerge/>
          </w:tcPr>
          <w:p w14:paraId="0E79A39A" w14:textId="77777777" w:rsidR="00DD3E69" w:rsidRPr="00DD3E69" w:rsidRDefault="00DD3E69" w:rsidP="002E78EC">
            <w:pPr>
              <w:rPr>
                <w:rFonts w:ascii="Times New Roman" w:hAnsi="Times New Roman" w:cs="Times New Roman"/>
                <w:sz w:val="20"/>
                <w:szCs w:val="20"/>
                <w:lang w:val="en-US"/>
              </w:rPr>
            </w:pPr>
          </w:p>
        </w:tc>
        <w:tc>
          <w:tcPr>
            <w:tcW w:w="817" w:type="dxa"/>
          </w:tcPr>
          <w:p w14:paraId="6B860FF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17.93</w:t>
            </w:r>
          </w:p>
        </w:tc>
        <w:tc>
          <w:tcPr>
            <w:tcW w:w="817" w:type="dxa"/>
          </w:tcPr>
          <w:p w14:paraId="111EE8A6"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0.09</w:t>
            </w:r>
          </w:p>
        </w:tc>
        <w:tc>
          <w:tcPr>
            <w:tcW w:w="817" w:type="dxa"/>
          </w:tcPr>
          <w:p w14:paraId="69CFD615"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9.65</w:t>
            </w:r>
          </w:p>
        </w:tc>
        <w:tc>
          <w:tcPr>
            <w:tcW w:w="817" w:type="dxa"/>
          </w:tcPr>
          <w:p w14:paraId="6554E32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c>
          <w:tcPr>
            <w:tcW w:w="817" w:type="dxa"/>
          </w:tcPr>
          <w:p w14:paraId="049B553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5620F71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2.80</w:t>
            </w:r>
          </w:p>
        </w:tc>
        <w:tc>
          <w:tcPr>
            <w:tcW w:w="818" w:type="dxa"/>
          </w:tcPr>
          <w:p w14:paraId="49B444EF"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13.79</w:t>
            </w:r>
          </w:p>
        </w:tc>
        <w:tc>
          <w:tcPr>
            <w:tcW w:w="818" w:type="dxa"/>
          </w:tcPr>
          <w:p w14:paraId="23C57046"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0.05</w:t>
            </w:r>
          </w:p>
        </w:tc>
      </w:tr>
      <w:tr w:rsidR="00DD3E69" w:rsidRPr="00DD3E69" w14:paraId="111C2864" w14:textId="77777777" w:rsidTr="002E78EC">
        <w:tc>
          <w:tcPr>
            <w:tcW w:w="1706" w:type="dxa"/>
            <w:vMerge/>
          </w:tcPr>
          <w:p w14:paraId="502896A8" w14:textId="77777777" w:rsidR="00DD3E69" w:rsidRPr="00DD3E69" w:rsidRDefault="00DD3E69" w:rsidP="002E78EC">
            <w:pPr>
              <w:rPr>
                <w:rFonts w:ascii="Times New Roman" w:hAnsi="Times New Roman" w:cs="Times New Roman"/>
                <w:sz w:val="20"/>
                <w:szCs w:val="20"/>
                <w:lang w:val="en-US"/>
              </w:rPr>
            </w:pPr>
          </w:p>
        </w:tc>
        <w:tc>
          <w:tcPr>
            <w:tcW w:w="817" w:type="dxa"/>
          </w:tcPr>
          <w:p w14:paraId="40288492"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21.04</w:t>
            </w:r>
          </w:p>
        </w:tc>
        <w:tc>
          <w:tcPr>
            <w:tcW w:w="817" w:type="dxa"/>
          </w:tcPr>
          <w:p w14:paraId="6D72B133"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0.08</w:t>
            </w:r>
          </w:p>
        </w:tc>
        <w:tc>
          <w:tcPr>
            <w:tcW w:w="817" w:type="dxa"/>
          </w:tcPr>
          <w:p w14:paraId="6404DB66"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13.58</w:t>
            </w:r>
          </w:p>
        </w:tc>
        <w:tc>
          <w:tcPr>
            <w:tcW w:w="817" w:type="dxa"/>
          </w:tcPr>
          <w:p w14:paraId="2961CB39"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0.04</w:t>
            </w:r>
          </w:p>
        </w:tc>
        <w:tc>
          <w:tcPr>
            <w:tcW w:w="817" w:type="dxa"/>
          </w:tcPr>
          <w:p w14:paraId="27BE0427"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3FB219B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3.40</w:t>
            </w:r>
          </w:p>
        </w:tc>
        <w:tc>
          <w:tcPr>
            <w:tcW w:w="818" w:type="dxa"/>
          </w:tcPr>
          <w:p w14:paraId="2E91819C"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19.40</w:t>
            </w:r>
          </w:p>
        </w:tc>
        <w:tc>
          <w:tcPr>
            <w:tcW w:w="818" w:type="dxa"/>
          </w:tcPr>
          <w:p w14:paraId="1F26086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0.07</w:t>
            </w:r>
          </w:p>
        </w:tc>
      </w:tr>
      <w:tr w:rsidR="00DD3E69" w:rsidRPr="00DD3E69" w14:paraId="061435EE" w14:textId="77777777" w:rsidTr="002E78EC">
        <w:tc>
          <w:tcPr>
            <w:tcW w:w="1706" w:type="dxa"/>
            <w:vMerge/>
          </w:tcPr>
          <w:p w14:paraId="00462BD2" w14:textId="77777777" w:rsidR="00DD3E69" w:rsidRPr="00DD3E69" w:rsidRDefault="00DD3E69" w:rsidP="002E78EC">
            <w:pPr>
              <w:rPr>
                <w:rFonts w:ascii="Times New Roman" w:hAnsi="Times New Roman" w:cs="Times New Roman"/>
                <w:sz w:val="20"/>
                <w:szCs w:val="20"/>
                <w:lang w:val="en-US"/>
              </w:rPr>
            </w:pPr>
          </w:p>
        </w:tc>
        <w:tc>
          <w:tcPr>
            <w:tcW w:w="817" w:type="dxa"/>
          </w:tcPr>
          <w:p w14:paraId="1F0BC03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50.99</w:t>
            </w:r>
          </w:p>
        </w:tc>
        <w:tc>
          <w:tcPr>
            <w:tcW w:w="817" w:type="dxa"/>
          </w:tcPr>
          <w:p w14:paraId="20D9451D"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0.14</w:t>
            </w:r>
          </w:p>
        </w:tc>
        <w:tc>
          <w:tcPr>
            <w:tcW w:w="817" w:type="dxa"/>
          </w:tcPr>
          <w:p w14:paraId="4A3D309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12.31</w:t>
            </w:r>
          </w:p>
        </w:tc>
        <w:tc>
          <w:tcPr>
            <w:tcW w:w="817" w:type="dxa"/>
          </w:tcPr>
          <w:p w14:paraId="287D0C02"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0.02</w:t>
            </w:r>
          </w:p>
        </w:tc>
        <w:tc>
          <w:tcPr>
            <w:tcW w:w="817" w:type="dxa"/>
          </w:tcPr>
          <w:p w14:paraId="604280B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724FE99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2.6</w:t>
            </w:r>
          </w:p>
        </w:tc>
        <w:tc>
          <w:tcPr>
            <w:tcW w:w="818" w:type="dxa"/>
          </w:tcPr>
          <w:p w14:paraId="7EC0C67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17.59</w:t>
            </w:r>
          </w:p>
        </w:tc>
        <w:tc>
          <w:tcPr>
            <w:tcW w:w="818" w:type="dxa"/>
          </w:tcPr>
          <w:p w14:paraId="448A3B5D"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r>
      <w:tr w:rsidR="00DD3E69" w:rsidRPr="00DD3E69" w14:paraId="50DC2339" w14:textId="77777777" w:rsidTr="002E78EC">
        <w:tc>
          <w:tcPr>
            <w:tcW w:w="1706" w:type="dxa"/>
          </w:tcPr>
          <w:p w14:paraId="5065A874"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66FC3E6F"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100.00</w:t>
            </w:r>
          </w:p>
        </w:tc>
        <w:tc>
          <w:tcPr>
            <w:tcW w:w="817" w:type="dxa"/>
          </w:tcPr>
          <w:p w14:paraId="75F40F6C"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2F00A00A"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46087893"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4E066A2E"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67244B30" w14:textId="77777777" w:rsidR="00DD3E69" w:rsidRPr="00DD3E69" w:rsidRDefault="00DD3E69" w:rsidP="002E78EC">
            <w:pPr>
              <w:jc w:val="center"/>
              <w:rPr>
                <w:rFonts w:ascii="Times New Roman" w:hAnsi="Times New Roman" w:cs="Times New Roman"/>
                <w:sz w:val="20"/>
                <w:szCs w:val="20"/>
                <w:lang w:val="en-US"/>
              </w:rPr>
            </w:pPr>
          </w:p>
        </w:tc>
        <w:tc>
          <w:tcPr>
            <w:tcW w:w="818" w:type="dxa"/>
          </w:tcPr>
          <w:p w14:paraId="76656087" w14:textId="77777777" w:rsidR="00DD3E69" w:rsidRPr="00DD3E69" w:rsidRDefault="00DD3E69" w:rsidP="002E78EC">
            <w:pPr>
              <w:jc w:val="center"/>
              <w:rPr>
                <w:rFonts w:ascii="Times New Roman" w:hAnsi="Times New Roman" w:cs="Times New Roman"/>
                <w:sz w:val="20"/>
                <w:szCs w:val="20"/>
                <w:lang w:val="en-US"/>
              </w:rPr>
            </w:pPr>
          </w:p>
        </w:tc>
        <w:tc>
          <w:tcPr>
            <w:tcW w:w="818" w:type="dxa"/>
          </w:tcPr>
          <w:p w14:paraId="2A35110F" w14:textId="77777777" w:rsidR="00DD3E69" w:rsidRPr="00DD3E69" w:rsidRDefault="00DD3E69" w:rsidP="002E78EC">
            <w:pPr>
              <w:jc w:val="center"/>
              <w:rPr>
                <w:rFonts w:ascii="Times New Roman" w:hAnsi="Times New Roman" w:cs="Times New Roman"/>
                <w:sz w:val="20"/>
                <w:szCs w:val="20"/>
                <w:lang w:val="en-US"/>
              </w:rPr>
            </w:pPr>
          </w:p>
        </w:tc>
      </w:tr>
    </w:tbl>
    <w:p w14:paraId="75BB854E" w14:textId="3D592890" w:rsidR="003F2AF3" w:rsidRPr="00DD3E69" w:rsidRDefault="003F2AF3" w:rsidP="00905EDD">
      <w:pPr>
        <w:spacing w:line="360" w:lineRule="auto"/>
        <w:jc w:val="both"/>
      </w:pPr>
    </w:p>
    <w:p w14:paraId="35F5F5A0" w14:textId="77777777" w:rsidR="003F2AF3" w:rsidRPr="00DD3E69" w:rsidRDefault="003F2AF3" w:rsidP="00905EDD">
      <w:pPr>
        <w:spacing w:line="360" w:lineRule="auto"/>
        <w:jc w:val="both"/>
      </w:pPr>
    </w:p>
    <w:p w14:paraId="0A2BF765" w14:textId="77777777" w:rsidR="001D51EF" w:rsidRPr="00DD3E69" w:rsidRDefault="001D51EF">
      <w:pPr>
        <w:rPr>
          <w:b/>
          <w:bCs/>
        </w:rPr>
      </w:pPr>
      <w:r w:rsidRPr="00DD3E69">
        <w:rPr>
          <w:b/>
          <w:bCs/>
        </w:rPr>
        <w:br w:type="page"/>
      </w:r>
    </w:p>
    <w:p w14:paraId="37DCD15E" w14:textId="44945920" w:rsidR="003F2AF3" w:rsidRPr="00DD3E69" w:rsidRDefault="0082231F" w:rsidP="00905EDD">
      <w:pPr>
        <w:spacing w:line="360" w:lineRule="auto"/>
        <w:jc w:val="both"/>
      </w:pPr>
      <w:r w:rsidRPr="00DD3E69">
        <w:rPr>
          <w:b/>
          <w:bCs/>
        </w:rPr>
        <w:lastRenderedPageBreak/>
        <w:t>Conclusion</w:t>
      </w:r>
    </w:p>
    <w:p w14:paraId="2D58DF9D" w14:textId="77777777" w:rsidR="003F2AF3" w:rsidRPr="00DD3E69" w:rsidRDefault="0082231F" w:rsidP="00905EDD">
      <w:pPr>
        <w:spacing w:line="360" w:lineRule="auto"/>
        <w:jc w:val="both"/>
        <w:rPr>
          <w:color w:val="000000" w:themeColor="text1"/>
        </w:rPr>
      </w:pPr>
      <w:r w:rsidRPr="00DD3E69">
        <w:rPr>
          <w:color w:val="000000" w:themeColor="text1"/>
        </w:rPr>
        <w:t>The characterization of iron tailings provided important information on the characteristics of the tailing sample. Based on the findings, we can conclude:</w:t>
      </w:r>
    </w:p>
    <w:p w14:paraId="4587430E" w14:textId="77777777"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The mineralogical and chemical content analyses demonstrate that magnetite mineral is abundant in the iron tailing.</w:t>
      </w:r>
    </w:p>
    <w:p w14:paraId="712452B0" w14:textId="11593A4C"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 xml:space="preserve">According to the particle size [75-38 </w:t>
      </w:r>
      <w:r w:rsidR="00FC2D84" w:rsidRPr="00DD3E69">
        <w:rPr>
          <w:color w:val="000000" w:themeColor="text1"/>
        </w:rPr>
        <w:t>µm</w:t>
      </w:r>
      <w:r w:rsidRPr="00DD3E69">
        <w:rPr>
          <w:color w:val="000000" w:themeColor="text1"/>
        </w:rPr>
        <w:t>], the results of chemical analyses show a high concentration of iron (13.58%) in the sample.</w:t>
      </w:r>
    </w:p>
    <w:p w14:paraId="19852BA4" w14:textId="77777777"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 xml:space="preserve">This type of tailing sample can be sold to the cement company at a low price. Indeed, the iron-copper tailing is considered the commercially marketable product. </w:t>
      </w:r>
    </w:p>
    <w:p w14:paraId="24E7F63E" w14:textId="77777777"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The concentration of copper exceeds the permissible concentration for waste disposal, which could have a negative effect on the environment.</w:t>
      </w:r>
    </w:p>
    <w:p w14:paraId="485D55BF" w14:textId="77777777" w:rsidR="003F2AF3" w:rsidRPr="00DD3E69" w:rsidRDefault="003F2AF3" w:rsidP="00905EDD">
      <w:pPr>
        <w:spacing w:line="360" w:lineRule="auto"/>
        <w:jc w:val="both"/>
      </w:pPr>
    </w:p>
    <w:p w14:paraId="3B3D4EB7" w14:textId="77777777" w:rsidR="00DD3E69" w:rsidRPr="00DD3E69" w:rsidRDefault="00DD3E69" w:rsidP="00905EDD">
      <w:pPr>
        <w:spacing w:line="360" w:lineRule="auto"/>
        <w:jc w:val="both"/>
        <w:rPr>
          <w:b/>
          <w:bCs/>
        </w:rPr>
      </w:pPr>
    </w:p>
    <w:p w14:paraId="678B1D61" w14:textId="77777777" w:rsidR="00DD3E69" w:rsidRPr="00DD3E69" w:rsidRDefault="00DD3E69" w:rsidP="00905EDD">
      <w:pPr>
        <w:spacing w:line="360" w:lineRule="auto"/>
        <w:jc w:val="both"/>
        <w:rPr>
          <w:b/>
          <w:bCs/>
        </w:rPr>
      </w:pPr>
    </w:p>
    <w:p w14:paraId="2ACA30BF" w14:textId="77777777" w:rsidR="00DD3E69" w:rsidRPr="00DD3E69" w:rsidRDefault="00DD3E69" w:rsidP="00905EDD">
      <w:pPr>
        <w:spacing w:line="360" w:lineRule="auto"/>
        <w:jc w:val="both"/>
        <w:rPr>
          <w:b/>
          <w:bCs/>
        </w:rPr>
      </w:pPr>
    </w:p>
    <w:p w14:paraId="4CD3C432" w14:textId="77777777" w:rsidR="00DD3E69" w:rsidRPr="00DD3E69" w:rsidRDefault="00DD3E69" w:rsidP="00905EDD">
      <w:pPr>
        <w:spacing w:line="360" w:lineRule="auto"/>
        <w:jc w:val="both"/>
        <w:rPr>
          <w:b/>
          <w:bCs/>
        </w:rPr>
      </w:pPr>
    </w:p>
    <w:p w14:paraId="5A4C2D20" w14:textId="77777777" w:rsidR="00DD3E69" w:rsidRPr="00DD3E69" w:rsidRDefault="00DD3E69" w:rsidP="00905EDD">
      <w:pPr>
        <w:spacing w:line="360" w:lineRule="auto"/>
        <w:jc w:val="both"/>
        <w:rPr>
          <w:b/>
          <w:bCs/>
        </w:rPr>
      </w:pPr>
    </w:p>
    <w:p w14:paraId="4410F848" w14:textId="77777777" w:rsidR="00DD3E69" w:rsidRPr="00DD3E69" w:rsidRDefault="00DD3E69" w:rsidP="00905EDD">
      <w:pPr>
        <w:spacing w:line="360" w:lineRule="auto"/>
        <w:jc w:val="both"/>
        <w:rPr>
          <w:b/>
          <w:bCs/>
        </w:rPr>
      </w:pPr>
    </w:p>
    <w:p w14:paraId="77EF9A14" w14:textId="77777777" w:rsidR="00DD3E69" w:rsidRPr="00DD3E69" w:rsidRDefault="00DD3E69" w:rsidP="00905EDD">
      <w:pPr>
        <w:spacing w:line="360" w:lineRule="auto"/>
        <w:jc w:val="both"/>
        <w:rPr>
          <w:b/>
          <w:bCs/>
        </w:rPr>
      </w:pPr>
    </w:p>
    <w:p w14:paraId="43F0ED7B" w14:textId="77777777" w:rsidR="00DD3E69" w:rsidRPr="00DD3E69" w:rsidRDefault="00DD3E69" w:rsidP="00905EDD">
      <w:pPr>
        <w:spacing w:line="360" w:lineRule="auto"/>
        <w:jc w:val="both"/>
        <w:rPr>
          <w:b/>
          <w:bCs/>
        </w:rPr>
      </w:pPr>
    </w:p>
    <w:p w14:paraId="24B5BED4" w14:textId="77777777" w:rsidR="00DD3E69" w:rsidRPr="00DD3E69" w:rsidRDefault="00DD3E69" w:rsidP="00905EDD">
      <w:pPr>
        <w:spacing w:line="360" w:lineRule="auto"/>
        <w:jc w:val="both"/>
        <w:rPr>
          <w:b/>
          <w:bCs/>
        </w:rPr>
      </w:pPr>
    </w:p>
    <w:p w14:paraId="575FCA50" w14:textId="77777777" w:rsidR="00DD3E69" w:rsidRPr="00DD3E69" w:rsidRDefault="00DD3E69" w:rsidP="00905EDD">
      <w:pPr>
        <w:spacing w:line="360" w:lineRule="auto"/>
        <w:jc w:val="both"/>
        <w:rPr>
          <w:b/>
          <w:bCs/>
        </w:rPr>
      </w:pPr>
    </w:p>
    <w:p w14:paraId="2DBDABA8" w14:textId="77777777" w:rsidR="00DD3E69" w:rsidRPr="00DD3E69" w:rsidRDefault="00DD3E69" w:rsidP="00905EDD">
      <w:pPr>
        <w:spacing w:line="360" w:lineRule="auto"/>
        <w:jc w:val="both"/>
        <w:rPr>
          <w:b/>
          <w:bCs/>
        </w:rPr>
      </w:pPr>
    </w:p>
    <w:p w14:paraId="21D07BE9" w14:textId="77777777" w:rsidR="00DD3E69" w:rsidRPr="00DD3E69" w:rsidRDefault="00DD3E69" w:rsidP="00905EDD">
      <w:pPr>
        <w:spacing w:line="360" w:lineRule="auto"/>
        <w:jc w:val="both"/>
        <w:rPr>
          <w:b/>
          <w:bCs/>
        </w:rPr>
      </w:pPr>
    </w:p>
    <w:p w14:paraId="4DF1BAA7" w14:textId="77777777" w:rsidR="00DD3E69" w:rsidRPr="00DD3E69" w:rsidRDefault="00DD3E69" w:rsidP="00905EDD">
      <w:pPr>
        <w:spacing w:line="360" w:lineRule="auto"/>
        <w:jc w:val="both"/>
        <w:rPr>
          <w:b/>
          <w:bCs/>
        </w:rPr>
      </w:pPr>
    </w:p>
    <w:p w14:paraId="04B308C0" w14:textId="77777777" w:rsidR="00DD3E69" w:rsidRPr="00DD3E69" w:rsidRDefault="00DD3E69" w:rsidP="00905EDD">
      <w:pPr>
        <w:spacing w:line="360" w:lineRule="auto"/>
        <w:jc w:val="both"/>
        <w:rPr>
          <w:b/>
          <w:bCs/>
        </w:rPr>
      </w:pPr>
    </w:p>
    <w:p w14:paraId="7581CC28" w14:textId="77777777" w:rsidR="00DD3E69" w:rsidRPr="00DD3E69" w:rsidRDefault="00DD3E69" w:rsidP="00905EDD">
      <w:pPr>
        <w:spacing w:line="360" w:lineRule="auto"/>
        <w:jc w:val="both"/>
        <w:rPr>
          <w:b/>
          <w:bCs/>
        </w:rPr>
      </w:pPr>
    </w:p>
    <w:p w14:paraId="09435E59" w14:textId="77777777" w:rsidR="00DD3E69" w:rsidRPr="00DD3E69" w:rsidRDefault="00DD3E69" w:rsidP="00905EDD">
      <w:pPr>
        <w:spacing w:line="360" w:lineRule="auto"/>
        <w:jc w:val="both"/>
        <w:rPr>
          <w:b/>
          <w:bCs/>
        </w:rPr>
      </w:pPr>
    </w:p>
    <w:p w14:paraId="731CE292" w14:textId="77777777" w:rsidR="00DD3E69" w:rsidRPr="00DD3E69" w:rsidRDefault="00DD3E69" w:rsidP="00905EDD">
      <w:pPr>
        <w:spacing w:line="360" w:lineRule="auto"/>
        <w:jc w:val="both"/>
        <w:rPr>
          <w:b/>
          <w:bCs/>
        </w:rPr>
      </w:pPr>
    </w:p>
    <w:p w14:paraId="73DAEBDC" w14:textId="77777777" w:rsidR="00DD3E69" w:rsidRPr="00DD3E69" w:rsidRDefault="00DD3E69" w:rsidP="00905EDD">
      <w:pPr>
        <w:spacing w:line="360" w:lineRule="auto"/>
        <w:jc w:val="both"/>
        <w:rPr>
          <w:b/>
          <w:bCs/>
        </w:rPr>
      </w:pPr>
    </w:p>
    <w:p w14:paraId="34980AC1" w14:textId="77777777" w:rsidR="00DD3E69" w:rsidRPr="00DD3E69" w:rsidRDefault="00DD3E69" w:rsidP="00905EDD">
      <w:pPr>
        <w:spacing w:line="360" w:lineRule="auto"/>
        <w:jc w:val="both"/>
        <w:rPr>
          <w:b/>
          <w:bCs/>
        </w:rPr>
      </w:pPr>
    </w:p>
    <w:p w14:paraId="2E29E422" w14:textId="77777777" w:rsidR="00DD3E69" w:rsidRPr="00DD3E69" w:rsidRDefault="00DD3E69" w:rsidP="00905EDD">
      <w:pPr>
        <w:spacing w:line="360" w:lineRule="auto"/>
        <w:jc w:val="both"/>
        <w:rPr>
          <w:b/>
          <w:bCs/>
        </w:rPr>
      </w:pPr>
    </w:p>
    <w:p w14:paraId="4E2FCA8B" w14:textId="47E16D46" w:rsidR="003D0CF8" w:rsidRPr="00DD3E69" w:rsidRDefault="003D0CF8" w:rsidP="00905EDD">
      <w:pPr>
        <w:spacing w:line="360" w:lineRule="auto"/>
        <w:jc w:val="both"/>
        <w:rPr>
          <w:b/>
          <w:bCs/>
        </w:rPr>
      </w:pPr>
      <w:r w:rsidRPr="00DD3E69">
        <w:rPr>
          <w:b/>
          <w:bCs/>
        </w:rPr>
        <w:t>References</w:t>
      </w:r>
    </w:p>
    <w:p w14:paraId="2049AC48" w14:textId="185174A2" w:rsidR="004B783E" w:rsidRPr="004B783E" w:rsidRDefault="003D0CF8" w:rsidP="004B783E">
      <w:pPr>
        <w:widowControl w:val="0"/>
        <w:autoSpaceDE w:val="0"/>
        <w:autoSpaceDN w:val="0"/>
        <w:adjustRightInd w:val="0"/>
        <w:spacing w:line="360" w:lineRule="auto"/>
        <w:ind w:left="480" w:hanging="480"/>
        <w:rPr>
          <w:noProof/>
        </w:rPr>
      </w:pPr>
      <w:r w:rsidRPr="00DD3E69">
        <w:fldChar w:fldCharType="begin" w:fldLock="1"/>
      </w:r>
      <w:r w:rsidRPr="00DD3E69">
        <w:instrText xml:space="preserve">ADDIN Mendeley Bibliography CSL_BIBLIOGRAPHY </w:instrText>
      </w:r>
      <w:r w:rsidRPr="00DD3E69">
        <w:fldChar w:fldCharType="separate"/>
      </w:r>
      <w:r w:rsidR="004B783E" w:rsidRPr="004B783E">
        <w:rPr>
          <w:noProof/>
        </w:rPr>
        <w:t xml:space="preserve">Beyer, W. N. (1990). </w:t>
      </w:r>
      <w:r w:rsidR="004B783E" w:rsidRPr="004B783E">
        <w:rPr>
          <w:i/>
          <w:iCs/>
          <w:noProof/>
        </w:rPr>
        <w:t>Evaluating soil contamination</w:t>
      </w:r>
      <w:r w:rsidR="004B783E" w:rsidRPr="004B783E">
        <w:rPr>
          <w:noProof/>
        </w:rPr>
        <w:t xml:space="preserve"> (Vol. 90, Issue 2). US Department of the Interior, Fish and Wildlife Service.</w:t>
      </w:r>
    </w:p>
    <w:p w14:paraId="45631A3A"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Bish, D. L. (1994). Quantitative x-ray diffraction analysis of soils. </w:t>
      </w:r>
      <w:r w:rsidRPr="004B783E">
        <w:rPr>
          <w:i/>
          <w:iCs/>
          <w:noProof/>
        </w:rPr>
        <w:t>Quantitative Methods in Soil Mineralogy</w:t>
      </w:r>
      <w:r w:rsidRPr="004B783E">
        <w:rPr>
          <w:noProof/>
        </w:rPr>
        <w:t xml:space="preserve">, </w:t>
      </w:r>
      <w:r w:rsidRPr="004B783E">
        <w:rPr>
          <w:i/>
          <w:iCs/>
          <w:noProof/>
        </w:rPr>
        <w:t>1988</w:t>
      </w:r>
      <w:r w:rsidRPr="004B783E">
        <w:rPr>
          <w:noProof/>
        </w:rPr>
        <w:t>, 267–295. https://doi.org/10.2136/1994.quantitativemethods.c9</w:t>
      </w:r>
    </w:p>
    <w:p w14:paraId="05F20C46"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Briffa, J., Sinagra, E., &amp; Blundell, R. (2020). Heavy metal pollution in the environment and their toxicological effects on humans. </w:t>
      </w:r>
      <w:r w:rsidRPr="004B783E">
        <w:rPr>
          <w:i/>
          <w:iCs/>
          <w:noProof/>
        </w:rPr>
        <w:t>Heliyon</w:t>
      </w:r>
      <w:r w:rsidRPr="004B783E">
        <w:rPr>
          <w:noProof/>
        </w:rPr>
        <w:t xml:space="preserve">, </w:t>
      </w:r>
      <w:r w:rsidRPr="004B783E">
        <w:rPr>
          <w:i/>
          <w:iCs/>
          <w:noProof/>
        </w:rPr>
        <w:t>6</w:t>
      </w:r>
      <w:r w:rsidRPr="004B783E">
        <w:rPr>
          <w:noProof/>
        </w:rPr>
        <w:t>(9), e04691. https://doi.org/10.1016/j.heliyon.2020.e04691</w:t>
      </w:r>
    </w:p>
    <w:p w14:paraId="31CD8DCE" w14:textId="77777777" w:rsidR="004B783E" w:rsidRPr="00F03516" w:rsidRDefault="004B783E" w:rsidP="004B783E">
      <w:pPr>
        <w:widowControl w:val="0"/>
        <w:autoSpaceDE w:val="0"/>
        <w:autoSpaceDN w:val="0"/>
        <w:adjustRightInd w:val="0"/>
        <w:spacing w:line="360" w:lineRule="auto"/>
        <w:ind w:left="480" w:hanging="480"/>
        <w:rPr>
          <w:noProof/>
          <w:lang w:val="fr-FR"/>
        </w:rPr>
      </w:pPr>
      <w:r w:rsidRPr="004B783E">
        <w:rPr>
          <w:noProof/>
        </w:rPr>
        <w:t xml:space="preserve">Chapiou, M., Garba, S., Kaya, E., &amp; Seyrankaya, A. (2022). </w:t>
      </w:r>
      <w:r w:rsidRPr="004B783E">
        <w:rPr>
          <w:i/>
          <w:iCs/>
          <w:noProof/>
        </w:rPr>
        <w:t>Use of Monocalcium Phosphate Monohydrate for Chemical Immobilization of Heavy Metals Ions in Copper Smelting Slags Monokalsiyum Fosfat Monohidrat Kullanımı ile Bakır İzabe Cürufundaki Ağır Metal İyonlarının Kimyasal İmmobilizasyonu</w:t>
      </w:r>
      <w:r w:rsidRPr="004B783E">
        <w:rPr>
          <w:noProof/>
        </w:rPr>
        <w:t xml:space="preserve">. </w:t>
      </w:r>
      <w:r w:rsidRPr="00F03516">
        <w:rPr>
          <w:i/>
          <w:iCs/>
          <w:noProof/>
          <w:lang w:val="fr-FR"/>
        </w:rPr>
        <w:t>24</w:t>
      </w:r>
      <w:r w:rsidRPr="00F03516">
        <w:rPr>
          <w:noProof/>
          <w:lang w:val="fr-FR"/>
        </w:rPr>
        <w:t>(72), 973–981. https://doi.org/10.21205/deufmd.2022247225</w:t>
      </w:r>
    </w:p>
    <w:p w14:paraId="35C5F067" w14:textId="77777777" w:rsidR="004B783E" w:rsidRPr="00F03516" w:rsidRDefault="004B783E" w:rsidP="004B783E">
      <w:pPr>
        <w:widowControl w:val="0"/>
        <w:autoSpaceDE w:val="0"/>
        <w:autoSpaceDN w:val="0"/>
        <w:adjustRightInd w:val="0"/>
        <w:spacing w:line="360" w:lineRule="auto"/>
        <w:ind w:left="480" w:hanging="480"/>
        <w:rPr>
          <w:noProof/>
          <w:lang w:val="fr-FR"/>
        </w:rPr>
      </w:pPr>
      <w:r w:rsidRPr="00F03516">
        <w:rPr>
          <w:noProof/>
          <w:lang w:val="fr-FR"/>
        </w:rPr>
        <w:t xml:space="preserve">Chen, X., Chen, Y., Zhou, T., Liu, D., Hu, H., &amp; Fan, S. (2015). </w:t>
      </w:r>
      <w:r w:rsidRPr="004B783E">
        <w:rPr>
          <w:noProof/>
        </w:rPr>
        <w:t xml:space="preserve">Hydrometallurgical recovery of metal values from sulfuric acid leaching liquor of spent lithium-ion batteries. </w:t>
      </w:r>
      <w:r w:rsidRPr="00F03516">
        <w:rPr>
          <w:i/>
          <w:iCs/>
          <w:noProof/>
          <w:lang w:val="fr-FR"/>
        </w:rPr>
        <w:t>Waste Management</w:t>
      </w:r>
      <w:r w:rsidRPr="00F03516">
        <w:rPr>
          <w:noProof/>
          <w:lang w:val="fr-FR"/>
        </w:rPr>
        <w:t xml:space="preserve">, </w:t>
      </w:r>
      <w:r w:rsidRPr="00F03516">
        <w:rPr>
          <w:i/>
          <w:iCs/>
          <w:noProof/>
          <w:lang w:val="fr-FR"/>
        </w:rPr>
        <w:t>38</w:t>
      </w:r>
      <w:r w:rsidRPr="00F03516">
        <w:rPr>
          <w:noProof/>
          <w:lang w:val="fr-FR"/>
        </w:rPr>
        <w:t>(1), 349–356. https://doi.org/10.1016/j.wasman.2014.12.023</w:t>
      </w:r>
    </w:p>
    <w:p w14:paraId="05A46DB9" w14:textId="77777777" w:rsidR="004B783E" w:rsidRPr="004B783E" w:rsidRDefault="004B783E" w:rsidP="004B783E">
      <w:pPr>
        <w:widowControl w:val="0"/>
        <w:autoSpaceDE w:val="0"/>
        <w:autoSpaceDN w:val="0"/>
        <w:adjustRightInd w:val="0"/>
        <w:spacing w:line="360" w:lineRule="auto"/>
        <w:ind w:left="480" w:hanging="480"/>
        <w:rPr>
          <w:noProof/>
        </w:rPr>
      </w:pPr>
      <w:r w:rsidRPr="00F03516">
        <w:rPr>
          <w:noProof/>
          <w:lang w:val="fr-FR"/>
        </w:rPr>
        <w:t xml:space="preserve">Das, S. K., Kumar, S., &amp; Ramachandrarao, P. (2000). </w:t>
      </w:r>
      <w:r w:rsidRPr="004B783E">
        <w:rPr>
          <w:noProof/>
        </w:rPr>
        <w:t xml:space="preserve">Exploitation of iron ore tailing for the development of ceramic tiles. </w:t>
      </w:r>
      <w:r w:rsidRPr="004B783E">
        <w:rPr>
          <w:i/>
          <w:iCs/>
          <w:noProof/>
        </w:rPr>
        <w:t>Waste Management</w:t>
      </w:r>
      <w:r w:rsidRPr="004B783E">
        <w:rPr>
          <w:noProof/>
        </w:rPr>
        <w:t xml:space="preserve">, </w:t>
      </w:r>
      <w:r w:rsidRPr="004B783E">
        <w:rPr>
          <w:i/>
          <w:iCs/>
          <w:noProof/>
        </w:rPr>
        <w:t>20</w:t>
      </w:r>
      <w:r w:rsidRPr="004B783E">
        <w:rPr>
          <w:noProof/>
        </w:rPr>
        <w:t>(8), 725–729.</w:t>
      </w:r>
    </w:p>
    <w:p w14:paraId="1011FE91"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Eijerick, D. A. G. H., Prang, P. A. A. V. A. N. S., &amp; Yfte, A. N. D. V. A. N. H. (2006). </w:t>
      </w:r>
      <w:r w:rsidRPr="004B783E">
        <w:rPr>
          <w:i/>
          <w:iCs/>
          <w:noProof/>
        </w:rPr>
        <w:t>Models and Risk Characterization AMBIENT COPPER CONCENTRATIONS IN AGRICULTURAL AND NATURAL EUROPEAN SOILS : AN OVERVIEW</w:t>
      </w:r>
      <w:r w:rsidRPr="004B783E">
        <w:rPr>
          <w:noProof/>
        </w:rPr>
        <w:t xml:space="preserve">. </w:t>
      </w:r>
      <w:r w:rsidRPr="004B783E">
        <w:rPr>
          <w:i/>
          <w:iCs/>
          <w:noProof/>
        </w:rPr>
        <w:t>25</w:t>
      </w:r>
      <w:r w:rsidRPr="004B783E">
        <w:rPr>
          <w:noProof/>
        </w:rPr>
        <w:t>(3), 858–864.</w:t>
      </w:r>
    </w:p>
    <w:p w14:paraId="1D5FC889"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Havlik, T., Orac, D., Petranikova, M., Miskufova, A., Kukurugya, F., &amp; Takacova, Z. (2010). Leaching of copper and tin from used printed circuit boards after thermal treatment. </w:t>
      </w:r>
      <w:r w:rsidRPr="004B783E">
        <w:rPr>
          <w:i/>
          <w:iCs/>
          <w:noProof/>
        </w:rPr>
        <w:t>Journal of Hazardous Materials</w:t>
      </w:r>
      <w:r w:rsidRPr="004B783E">
        <w:rPr>
          <w:noProof/>
        </w:rPr>
        <w:t xml:space="preserve">, </w:t>
      </w:r>
      <w:r w:rsidRPr="004B783E">
        <w:rPr>
          <w:i/>
          <w:iCs/>
          <w:noProof/>
        </w:rPr>
        <w:t>183</w:t>
      </w:r>
      <w:r w:rsidRPr="004B783E">
        <w:rPr>
          <w:noProof/>
        </w:rPr>
        <w:t>(1–3), 866–873. https://doi.org/10.1016/j.jhazmat.2010.07.107</w:t>
      </w:r>
    </w:p>
    <w:p w14:paraId="7E9CEAA9" w14:textId="77777777" w:rsidR="004B783E" w:rsidRPr="00F03516" w:rsidRDefault="004B783E" w:rsidP="004B783E">
      <w:pPr>
        <w:widowControl w:val="0"/>
        <w:autoSpaceDE w:val="0"/>
        <w:autoSpaceDN w:val="0"/>
        <w:adjustRightInd w:val="0"/>
        <w:spacing w:line="360" w:lineRule="auto"/>
        <w:ind w:left="480" w:hanging="480"/>
        <w:rPr>
          <w:noProof/>
          <w:lang w:val="fr-FR"/>
        </w:rPr>
      </w:pPr>
      <w:r w:rsidRPr="004B783E">
        <w:rPr>
          <w:noProof/>
        </w:rPr>
        <w:t xml:space="preserve">Holder, C. F., &amp; Schaak, R. E. (2019). Tutorial on Powder X-ray Diffraction for Characterizing Nanoscale Materials. </w:t>
      </w:r>
      <w:r w:rsidRPr="00F03516">
        <w:rPr>
          <w:i/>
          <w:iCs/>
          <w:noProof/>
          <w:lang w:val="fr-FR"/>
        </w:rPr>
        <w:t>ACS Nano</w:t>
      </w:r>
      <w:r w:rsidRPr="00F03516">
        <w:rPr>
          <w:noProof/>
          <w:lang w:val="fr-FR"/>
        </w:rPr>
        <w:t xml:space="preserve">, </w:t>
      </w:r>
      <w:r w:rsidRPr="00F03516">
        <w:rPr>
          <w:i/>
          <w:iCs/>
          <w:noProof/>
          <w:lang w:val="fr-FR"/>
        </w:rPr>
        <w:t>13</w:t>
      </w:r>
      <w:r w:rsidRPr="00F03516">
        <w:rPr>
          <w:noProof/>
          <w:lang w:val="fr-FR"/>
        </w:rPr>
        <w:t>(7), 7359–7365. https://doi.org/10.1021/acsnano.9b05157</w:t>
      </w:r>
    </w:p>
    <w:p w14:paraId="64E34CC1" w14:textId="77777777" w:rsidR="004B783E" w:rsidRPr="004B783E" w:rsidRDefault="004B783E" w:rsidP="004B783E">
      <w:pPr>
        <w:widowControl w:val="0"/>
        <w:autoSpaceDE w:val="0"/>
        <w:autoSpaceDN w:val="0"/>
        <w:adjustRightInd w:val="0"/>
        <w:spacing w:line="360" w:lineRule="auto"/>
        <w:ind w:left="480" w:hanging="480"/>
        <w:rPr>
          <w:noProof/>
        </w:rPr>
      </w:pPr>
      <w:r w:rsidRPr="00F03516">
        <w:rPr>
          <w:noProof/>
          <w:lang w:val="fr-FR"/>
        </w:rPr>
        <w:t xml:space="preserve">Hoque, M. E., &amp; Philip, O. J. (2011). </w:t>
      </w:r>
      <w:r w:rsidRPr="004B783E">
        <w:rPr>
          <w:noProof/>
        </w:rPr>
        <w:t xml:space="preserve">Biotechnological recovery of heavy metals from secondary sources-An overview. </w:t>
      </w:r>
      <w:r w:rsidRPr="004B783E">
        <w:rPr>
          <w:i/>
          <w:iCs/>
          <w:noProof/>
        </w:rPr>
        <w:t>Materials Science and Engineering C</w:t>
      </w:r>
      <w:r w:rsidRPr="004B783E">
        <w:rPr>
          <w:noProof/>
        </w:rPr>
        <w:t xml:space="preserve">, </w:t>
      </w:r>
      <w:r w:rsidRPr="004B783E">
        <w:rPr>
          <w:i/>
          <w:iCs/>
          <w:noProof/>
        </w:rPr>
        <w:t>31</w:t>
      </w:r>
      <w:r w:rsidRPr="004B783E">
        <w:rPr>
          <w:noProof/>
        </w:rPr>
        <w:t>(2), 57–66. https://doi.org/10.1016/j.msec.2010.09.019</w:t>
      </w:r>
    </w:p>
    <w:p w14:paraId="7F046F96"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lastRenderedPageBreak/>
        <w:t xml:space="preserve">Joo, S. ho, Shin, S. M., Shin, D. ju, &amp; Wang, J. P. (2015). Development of recycling technology to recover valuable metals from lithium primary and ion batteries. </w:t>
      </w:r>
      <w:r w:rsidRPr="004B783E">
        <w:rPr>
          <w:i/>
          <w:iCs/>
          <w:noProof/>
        </w:rPr>
        <w:t>Proceedings of the Institution of Mechanical Engineers, Part B: Journal of Engineering Manufacture</w:t>
      </w:r>
      <w:r w:rsidRPr="004B783E">
        <w:rPr>
          <w:noProof/>
        </w:rPr>
        <w:t xml:space="preserve">, </w:t>
      </w:r>
      <w:r w:rsidRPr="004B783E">
        <w:rPr>
          <w:i/>
          <w:iCs/>
          <w:noProof/>
        </w:rPr>
        <w:t>229</w:t>
      </w:r>
      <w:r w:rsidRPr="004B783E">
        <w:rPr>
          <w:noProof/>
        </w:rPr>
        <w:t>, 212–220. https://doi.org/10.1177/0954405414567521</w:t>
      </w:r>
    </w:p>
    <w:p w14:paraId="6839C7C6" w14:textId="77777777" w:rsidR="004B783E" w:rsidRPr="004B783E" w:rsidRDefault="004B783E" w:rsidP="004B783E">
      <w:pPr>
        <w:widowControl w:val="0"/>
        <w:autoSpaceDE w:val="0"/>
        <w:autoSpaceDN w:val="0"/>
        <w:adjustRightInd w:val="0"/>
        <w:spacing w:line="360" w:lineRule="auto"/>
        <w:ind w:left="480" w:hanging="480"/>
        <w:rPr>
          <w:noProof/>
        </w:rPr>
      </w:pPr>
      <w:r w:rsidRPr="00F03516">
        <w:rPr>
          <w:noProof/>
          <w:lang w:val="fr-FR"/>
        </w:rPr>
        <w:t xml:space="preserve">Joulié, M., Laucournet, R., &amp; Billy, E. (2014). </w:t>
      </w:r>
      <w:r w:rsidRPr="004B783E">
        <w:rPr>
          <w:noProof/>
        </w:rPr>
        <w:t xml:space="preserve">Hydrometallurgical process for the recovery of high value metals from spent lithium nickel cobalt aluminum oxide based lithium-ion batteries. </w:t>
      </w:r>
      <w:r w:rsidRPr="004B783E">
        <w:rPr>
          <w:i/>
          <w:iCs/>
          <w:noProof/>
        </w:rPr>
        <w:t>Journal of Power Sources</w:t>
      </w:r>
      <w:r w:rsidRPr="004B783E">
        <w:rPr>
          <w:noProof/>
        </w:rPr>
        <w:t xml:space="preserve">, </w:t>
      </w:r>
      <w:r w:rsidRPr="004B783E">
        <w:rPr>
          <w:i/>
          <w:iCs/>
          <w:noProof/>
        </w:rPr>
        <w:t>247</w:t>
      </w:r>
      <w:r w:rsidRPr="004B783E">
        <w:rPr>
          <w:noProof/>
        </w:rPr>
        <w:t>, 551–555. https://doi.org/10.1016/j.jpowsour.2013.08.128</w:t>
      </w:r>
    </w:p>
    <w:p w14:paraId="0BB1E18E"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Kuranchie, F. A., Shukla, S. K., Habibi, D., &amp; Mohyeddin, A. (2015). Utilisation of iron ore tailings as aggregates in concrete. </w:t>
      </w:r>
      <w:r w:rsidRPr="004B783E">
        <w:rPr>
          <w:i/>
          <w:iCs/>
          <w:noProof/>
        </w:rPr>
        <w:t>Cogent Engineering</w:t>
      </w:r>
      <w:r w:rsidRPr="004B783E">
        <w:rPr>
          <w:noProof/>
        </w:rPr>
        <w:t xml:space="preserve">, </w:t>
      </w:r>
      <w:r w:rsidRPr="004B783E">
        <w:rPr>
          <w:i/>
          <w:iCs/>
          <w:noProof/>
        </w:rPr>
        <w:t>2</w:t>
      </w:r>
      <w:r w:rsidRPr="004B783E">
        <w:rPr>
          <w:noProof/>
        </w:rPr>
        <w:t>(1), 1083137.</w:t>
      </w:r>
    </w:p>
    <w:p w14:paraId="4226CA45" w14:textId="77777777" w:rsidR="004B783E" w:rsidRPr="00F03516" w:rsidRDefault="004B783E" w:rsidP="004B783E">
      <w:pPr>
        <w:widowControl w:val="0"/>
        <w:autoSpaceDE w:val="0"/>
        <w:autoSpaceDN w:val="0"/>
        <w:adjustRightInd w:val="0"/>
        <w:spacing w:line="360" w:lineRule="auto"/>
        <w:ind w:left="480" w:hanging="480"/>
        <w:rPr>
          <w:noProof/>
          <w:lang w:val="fr-FR"/>
        </w:rPr>
      </w:pPr>
      <w:r w:rsidRPr="004B783E">
        <w:rPr>
          <w:noProof/>
        </w:rPr>
        <w:t xml:space="preserve">Lee, J. chun, &amp; Pandey, B. D. (2012). Bio-processing of solid wastes and secondary resources for metal extraction - A review. </w:t>
      </w:r>
      <w:r w:rsidRPr="00F03516">
        <w:rPr>
          <w:i/>
          <w:iCs/>
          <w:noProof/>
          <w:lang w:val="fr-FR"/>
        </w:rPr>
        <w:t>Waste Management</w:t>
      </w:r>
      <w:r w:rsidRPr="00F03516">
        <w:rPr>
          <w:noProof/>
          <w:lang w:val="fr-FR"/>
        </w:rPr>
        <w:t xml:space="preserve">, </w:t>
      </w:r>
      <w:r w:rsidRPr="00F03516">
        <w:rPr>
          <w:i/>
          <w:iCs/>
          <w:noProof/>
          <w:lang w:val="fr-FR"/>
        </w:rPr>
        <w:t>32</w:t>
      </w:r>
      <w:r w:rsidRPr="00F03516">
        <w:rPr>
          <w:noProof/>
          <w:lang w:val="fr-FR"/>
        </w:rPr>
        <w:t>(1), 3–18. https://doi.org/10.1016/j.wasman.2011.08.010</w:t>
      </w:r>
    </w:p>
    <w:p w14:paraId="652A900E" w14:textId="77777777" w:rsidR="004B783E" w:rsidRPr="004B783E" w:rsidRDefault="004B783E" w:rsidP="004B783E">
      <w:pPr>
        <w:widowControl w:val="0"/>
        <w:autoSpaceDE w:val="0"/>
        <w:autoSpaceDN w:val="0"/>
        <w:adjustRightInd w:val="0"/>
        <w:spacing w:line="360" w:lineRule="auto"/>
        <w:ind w:left="480" w:hanging="480"/>
        <w:rPr>
          <w:noProof/>
        </w:rPr>
      </w:pPr>
      <w:r w:rsidRPr="00F03516">
        <w:rPr>
          <w:noProof/>
          <w:lang w:val="fr-FR"/>
        </w:rPr>
        <w:t xml:space="preserve">Li, C., Sun, H., Bai, J., &amp; Li, L. (2010). </w:t>
      </w:r>
      <w:r w:rsidRPr="004B783E">
        <w:rPr>
          <w:noProof/>
        </w:rPr>
        <w:t xml:space="preserve">Innovative methodology for comprehensive utilization of iron ore tailings: Part 1. The recovery of iron from iron ore tailings using magnetic separation after magnetizing roasting. </w:t>
      </w:r>
      <w:r w:rsidRPr="004B783E">
        <w:rPr>
          <w:i/>
          <w:iCs/>
          <w:noProof/>
        </w:rPr>
        <w:t>Journal of Hazardous Materials</w:t>
      </w:r>
      <w:r w:rsidRPr="004B783E">
        <w:rPr>
          <w:noProof/>
        </w:rPr>
        <w:t xml:space="preserve">, </w:t>
      </w:r>
      <w:r w:rsidRPr="004B783E">
        <w:rPr>
          <w:i/>
          <w:iCs/>
          <w:noProof/>
        </w:rPr>
        <w:t>174</w:t>
      </w:r>
      <w:r w:rsidRPr="004B783E">
        <w:rPr>
          <w:noProof/>
        </w:rPr>
        <w:t>(1–3), 71–77.</w:t>
      </w:r>
    </w:p>
    <w:p w14:paraId="2CE564DE"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Lin, S. S., &amp; Chiu, K. H. (2015). An evaluation of recycling schemes for waste dry batteries - A simulation approach. </w:t>
      </w:r>
      <w:r w:rsidRPr="004B783E">
        <w:rPr>
          <w:i/>
          <w:iCs/>
          <w:noProof/>
        </w:rPr>
        <w:t>Journal of Cleaner Production</w:t>
      </w:r>
      <w:r w:rsidRPr="004B783E">
        <w:rPr>
          <w:noProof/>
        </w:rPr>
        <w:t xml:space="preserve">, </w:t>
      </w:r>
      <w:r w:rsidRPr="004B783E">
        <w:rPr>
          <w:i/>
          <w:iCs/>
          <w:noProof/>
        </w:rPr>
        <w:t>93</w:t>
      </w:r>
      <w:r w:rsidRPr="004B783E">
        <w:rPr>
          <w:noProof/>
        </w:rPr>
        <w:t>, 330–338. https://doi.org/10.1016/j.jclepro.2015.01.045</w:t>
      </w:r>
    </w:p>
    <w:p w14:paraId="775B752F"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Lottermoser, B. (2010). Chapter 1. Mine Wastes. Characterization, Treatment and Environmental Impacts. In </w:t>
      </w:r>
      <w:r w:rsidRPr="004B783E">
        <w:rPr>
          <w:i/>
          <w:iCs/>
          <w:noProof/>
        </w:rPr>
        <w:t>Mine Wastes</w:t>
      </w:r>
      <w:r w:rsidRPr="004B783E">
        <w:rPr>
          <w:noProof/>
        </w:rPr>
        <w:t>.</w:t>
      </w:r>
    </w:p>
    <w:p w14:paraId="0AAB726E"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Masindi, V., &amp; Muedi, K. L. (2018). Environmental Contamination by Heavy Metals. </w:t>
      </w:r>
      <w:r w:rsidRPr="004B783E">
        <w:rPr>
          <w:i/>
          <w:iCs/>
          <w:noProof/>
        </w:rPr>
        <w:t>Heavy Metals</w:t>
      </w:r>
      <w:r w:rsidRPr="004B783E">
        <w:rPr>
          <w:noProof/>
        </w:rPr>
        <w:t>. https://doi.org/10.5772/intechopen.76082</w:t>
      </w:r>
    </w:p>
    <w:p w14:paraId="6E519E3B"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Musilova, J., Arvay, J., Vollmannova, A., Toth, T., &amp; Tomas, J. (2016). Environmental Contamination by Heavy Metals in Region with Previous Mining Activity. </w:t>
      </w:r>
      <w:r w:rsidRPr="004B783E">
        <w:rPr>
          <w:i/>
          <w:iCs/>
          <w:noProof/>
        </w:rPr>
        <w:t>Bulletin of Environmental Contamination and Toxicology</w:t>
      </w:r>
      <w:r w:rsidRPr="004B783E">
        <w:rPr>
          <w:noProof/>
        </w:rPr>
        <w:t xml:space="preserve">, </w:t>
      </w:r>
      <w:r w:rsidRPr="004B783E">
        <w:rPr>
          <w:i/>
          <w:iCs/>
          <w:noProof/>
        </w:rPr>
        <w:t>97</w:t>
      </w:r>
      <w:r w:rsidRPr="004B783E">
        <w:rPr>
          <w:noProof/>
        </w:rPr>
        <w:t>(4), 569–575. https://doi.org/10.1007/s00128-016-1907-3</w:t>
      </w:r>
    </w:p>
    <w:p w14:paraId="4C302715" w14:textId="77777777" w:rsidR="004B783E" w:rsidRPr="004B783E" w:rsidRDefault="004B783E" w:rsidP="004B783E">
      <w:pPr>
        <w:widowControl w:val="0"/>
        <w:autoSpaceDE w:val="0"/>
        <w:autoSpaceDN w:val="0"/>
        <w:adjustRightInd w:val="0"/>
        <w:spacing w:line="360" w:lineRule="auto"/>
        <w:ind w:left="480" w:hanging="480"/>
        <w:rPr>
          <w:noProof/>
        </w:rPr>
      </w:pPr>
      <w:r w:rsidRPr="004B783E">
        <w:rPr>
          <w:noProof/>
        </w:rPr>
        <w:t xml:space="preserve">Oyman, T. (2010). Geochemistry , mineralogy and genesis of the Ayazmant Fe – Cu skarn deposit in Ayvalik ,. </w:t>
      </w:r>
      <w:r w:rsidRPr="004B783E">
        <w:rPr>
          <w:i/>
          <w:iCs/>
          <w:noProof/>
        </w:rPr>
        <w:t>Ore Geology Reviews</w:t>
      </w:r>
      <w:r w:rsidRPr="004B783E">
        <w:rPr>
          <w:noProof/>
        </w:rPr>
        <w:t xml:space="preserve">, </w:t>
      </w:r>
      <w:r w:rsidRPr="004B783E">
        <w:rPr>
          <w:i/>
          <w:iCs/>
          <w:noProof/>
        </w:rPr>
        <w:t>37</w:t>
      </w:r>
      <w:r w:rsidRPr="004B783E">
        <w:rPr>
          <w:noProof/>
        </w:rPr>
        <w:t>(3–4), 175–201. https://doi.org/10.1016/j.oregeorev.2010.03.002</w:t>
      </w:r>
    </w:p>
    <w:p w14:paraId="0C90A2BD" w14:textId="77777777" w:rsidR="004B783E" w:rsidRDefault="004B783E" w:rsidP="004B783E">
      <w:pPr>
        <w:widowControl w:val="0"/>
        <w:autoSpaceDE w:val="0"/>
        <w:autoSpaceDN w:val="0"/>
        <w:adjustRightInd w:val="0"/>
        <w:spacing w:line="360" w:lineRule="auto"/>
        <w:ind w:left="480" w:hanging="480"/>
        <w:rPr>
          <w:noProof/>
        </w:rPr>
      </w:pPr>
      <w:r w:rsidRPr="004B783E">
        <w:rPr>
          <w:noProof/>
        </w:rPr>
        <w:t xml:space="preserve">Syed, S. (2006). A green technology for recovery of gold from non-metallic secondary sources. </w:t>
      </w:r>
      <w:r w:rsidRPr="004B783E">
        <w:rPr>
          <w:i/>
          <w:iCs/>
          <w:noProof/>
        </w:rPr>
        <w:lastRenderedPageBreak/>
        <w:t>Hydrometallurgy</w:t>
      </w:r>
      <w:r w:rsidRPr="004B783E">
        <w:rPr>
          <w:noProof/>
        </w:rPr>
        <w:t xml:space="preserve">, </w:t>
      </w:r>
      <w:r w:rsidRPr="004B783E">
        <w:rPr>
          <w:i/>
          <w:iCs/>
          <w:noProof/>
        </w:rPr>
        <w:t>82</w:t>
      </w:r>
      <w:r w:rsidRPr="004B783E">
        <w:rPr>
          <w:noProof/>
        </w:rPr>
        <w:t>(1–2), 48–53. https://doi.org/10.1016/j.hydromet.2006.01.004</w:t>
      </w:r>
    </w:p>
    <w:p w14:paraId="4A3D27B2" w14:textId="77777777" w:rsidR="004B783E" w:rsidRDefault="004B783E" w:rsidP="004B783E">
      <w:pPr>
        <w:widowControl w:val="0"/>
        <w:autoSpaceDE w:val="0"/>
        <w:autoSpaceDN w:val="0"/>
        <w:adjustRightInd w:val="0"/>
        <w:spacing w:line="360" w:lineRule="auto"/>
        <w:ind w:left="480" w:hanging="480"/>
        <w:rPr>
          <w:noProof/>
        </w:rPr>
      </w:pPr>
      <w:r w:rsidRPr="004B783E">
        <w:rPr>
          <w:noProof/>
        </w:rPr>
        <w:t>United States Environmental Protection Agency (USEPA). (1992). Test methods for evaluating solid waste, laboratory manual physical/chemical methods. Office of Solid Waste and Emergency.</w:t>
      </w:r>
    </w:p>
    <w:p w14:paraId="15F4AEA3" w14:textId="239946C8" w:rsidR="004B783E" w:rsidRPr="004B783E" w:rsidRDefault="004B783E" w:rsidP="004B783E">
      <w:pPr>
        <w:widowControl w:val="0"/>
        <w:autoSpaceDE w:val="0"/>
        <w:autoSpaceDN w:val="0"/>
        <w:adjustRightInd w:val="0"/>
        <w:spacing w:line="360" w:lineRule="auto"/>
        <w:ind w:left="480" w:hanging="480"/>
        <w:rPr>
          <w:noProof/>
        </w:rPr>
      </w:pPr>
      <w:r w:rsidRPr="004B783E">
        <w:rPr>
          <w:noProof/>
        </w:rPr>
        <w:t>United States Environmental Protection Agency (USEPA). (2004). Method 9045D: revision 4, soil and waste pH: test methods for evaluating solid waste. Physical/chemical Methods Washington, D.C.</w:t>
      </w:r>
    </w:p>
    <w:p w14:paraId="480E8782" w14:textId="77777777" w:rsidR="004B783E" w:rsidRPr="00F03516" w:rsidRDefault="004B783E" w:rsidP="004B783E">
      <w:pPr>
        <w:widowControl w:val="0"/>
        <w:autoSpaceDE w:val="0"/>
        <w:autoSpaceDN w:val="0"/>
        <w:adjustRightInd w:val="0"/>
        <w:spacing w:line="360" w:lineRule="auto"/>
        <w:ind w:left="480" w:hanging="480"/>
        <w:rPr>
          <w:noProof/>
          <w:lang w:val="fr-FR"/>
        </w:rPr>
      </w:pPr>
      <w:r w:rsidRPr="004B783E">
        <w:rPr>
          <w:noProof/>
        </w:rPr>
        <w:t xml:space="preserve">Vieira, S. S., Teixeira, A. P. C., &amp; Lago, R. M. (2021). </w:t>
      </w:r>
      <w:r w:rsidRPr="004B783E">
        <w:rPr>
          <w:i/>
          <w:iCs/>
          <w:noProof/>
        </w:rPr>
        <w:t>Iron Ore Tailings: Characterization and Applications</w:t>
      </w:r>
      <w:r w:rsidRPr="004B783E">
        <w:rPr>
          <w:noProof/>
        </w:rPr>
        <w:t xml:space="preserve">. </w:t>
      </w:r>
      <w:r w:rsidRPr="00F03516">
        <w:rPr>
          <w:i/>
          <w:iCs/>
          <w:noProof/>
          <w:lang w:val="fr-FR"/>
        </w:rPr>
        <w:t>32</w:t>
      </w:r>
      <w:r w:rsidRPr="00F03516">
        <w:rPr>
          <w:noProof/>
          <w:lang w:val="fr-FR"/>
        </w:rPr>
        <w:t>(10), 1895–1911.</w:t>
      </w:r>
    </w:p>
    <w:p w14:paraId="70714EAE" w14:textId="77777777" w:rsidR="004B783E" w:rsidRPr="004B783E" w:rsidRDefault="004B783E" w:rsidP="004B783E">
      <w:pPr>
        <w:widowControl w:val="0"/>
        <w:autoSpaceDE w:val="0"/>
        <w:autoSpaceDN w:val="0"/>
        <w:adjustRightInd w:val="0"/>
        <w:spacing w:line="360" w:lineRule="auto"/>
        <w:ind w:left="480" w:hanging="480"/>
        <w:rPr>
          <w:noProof/>
        </w:rPr>
      </w:pPr>
      <w:r w:rsidRPr="00F03516">
        <w:rPr>
          <w:noProof/>
          <w:lang w:val="fr-FR"/>
        </w:rPr>
        <w:t xml:space="preserve">Xu, D.-M., Zhan, C.-L., Liu, H.-X., &amp; Lin, H.-Z. (2019). </w:t>
      </w:r>
      <w:r w:rsidRPr="004B783E">
        <w:rPr>
          <w:noProof/>
        </w:rPr>
        <w:t xml:space="preserve">A critical review on environmental implications, recycling strategies, and ecological remediation for mine tailings. </w:t>
      </w:r>
      <w:r w:rsidRPr="004B783E">
        <w:rPr>
          <w:i/>
          <w:iCs/>
          <w:noProof/>
        </w:rPr>
        <w:t>Environmental Science and Pollution Research</w:t>
      </w:r>
      <w:r w:rsidRPr="004B783E">
        <w:rPr>
          <w:noProof/>
        </w:rPr>
        <w:t xml:space="preserve">, </w:t>
      </w:r>
      <w:r w:rsidRPr="004B783E">
        <w:rPr>
          <w:i/>
          <w:iCs/>
          <w:noProof/>
        </w:rPr>
        <w:t>26</w:t>
      </w:r>
      <w:r w:rsidRPr="004B783E">
        <w:rPr>
          <w:noProof/>
        </w:rPr>
        <w:t>(35), 35657–35669.</w:t>
      </w:r>
    </w:p>
    <w:p w14:paraId="56B44396" w14:textId="77777777" w:rsidR="003D0CF8" w:rsidRPr="00DD3E69" w:rsidRDefault="003D0CF8" w:rsidP="00905EDD">
      <w:pPr>
        <w:spacing w:line="360" w:lineRule="auto"/>
        <w:jc w:val="both"/>
      </w:pPr>
      <w:r w:rsidRPr="00DD3E69">
        <w:fldChar w:fldCharType="end"/>
      </w:r>
    </w:p>
    <w:p w14:paraId="33DC596D" w14:textId="77777777" w:rsidR="003F2AF3" w:rsidRDefault="003F2AF3" w:rsidP="00905EDD">
      <w:pPr>
        <w:spacing w:line="360" w:lineRule="auto"/>
        <w:jc w:val="both"/>
      </w:pPr>
    </w:p>
    <w:sectPr w:rsidR="003F2AF3">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D80D610"/>
    <w:lvl w:ilvl="0" w:tplc="E0CA2270">
      <w:start w:val="1"/>
      <w:numFmt w:val="bullet"/>
      <w:lvlText w:val=""/>
      <w:lvlJc w:val="left"/>
      <w:pPr>
        <w:ind w:left="720" w:hanging="360"/>
      </w:pPr>
      <w:rPr>
        <w:rFonts w:ascii="Wingdings" w:hAnsi="Wingdings" w:hint="default"/>
      </w:rPr>
    </w:lvl>
    <w:lvl w:ilvl="1" w:tplc="DE087260">
      <w:start w:val="1"/>
      <w:numFmt w:val="bullet"/>
      <w:lvlText w:val="o"/>
      <w:lvlJc w:val="left"/>
      <w:pPr>
        <w:tabs>
          <w:tab w:val="num" w:pos="1440"/>
        </w:tabs>
        <w:ind w:left="1440" w:hanging="360"/>
      </w:pPr>
      <w:rPr>
        <w:rFonts w:ascii="Courier New" w:hAnsi="Courier New"/>
      </w:rPr>
    </w:lvl>
    <w:lvl w:ilvl="2" w:tplc="4EA0BDFE">
      <w:start w:val="1"/>
      <w:numFmt w:val="bullet"/>
      <w:lvlText w:val=""/>
      <w:lvlJc w:val="left"/>
      <w:pPr>
        <w:tabs>
          <w:tab w:val="num" w:pos="2160"/>
        </w:tabs>
        <w:ind w:left="2160" w:hanging="360"/>
      </w:pPr>
      <w:rPr>
        <w:rFonts w:ascii="Wingdings" w:hAnsi="Wingdings"/>
      </w:rPr>
    </w:lvl>
    <w:lvl w:ilvl="3" w:tplc="2C6A5E44">
      <w:start w:val="1"/>
      <w:numFmt w:val="bullet"/>
      <w:lvlText w:val=""/>
      <w:lvlJc w:val="left"/>
      <w:pPr>
        <w:tabs>
          <w:tab w:val="num" w:pos="2880"/>
        </w:tabs>
        <w:ind w:left="2880" w:hanging="360"/>
      </w:pPr>
      <w:rPr>
        <w:rFonts w:ascii="Symbol" w:hAnsi="Symbol"/>
      </w:rPr>
    </w:lvl>
    <w:lvl w:ilvl="4" w:tplc="C6AE975C">
      <w:start w:val="1"/>
      <w:numFmt w:val="bullet"/>
      <w:lvlText w:val="o"/>
      <w:lvlJc w:val="left"/>
      <w:pPr>
        <w:tabs>
          <w:tab w:val="num" w:pos="3600"/>
        </w:tabs>
        <w:ind w:left="3600" w:hanging="360"/>
      </w:pPr>
      <w:rPr>
        <w:rFonts w:ascii="Courier New" w:hAnsi="Courier New"/>
      </w:rPr>
    </w:lvl>
    <w:lvl w:ilvl="5" w:tplc="2974BC98">
      <w:start w:val="1"/>
      <w:numFmt w:val="bullet"/>
      <w:lvlText w:val=""/>
      <w:lvlJc w:val="left"/>
      <w:pPr>
        <w:tabs>
          <w:tab w:val="num" w:pos="4320"/>
        </w:tabs>
        <w:ind w:left="4320" w:hanging="360"/>
      </w:pPr>
      <w:rPr>
        <w:rFonts w:ascii="Wingdings" w:hAnsi="Wingdings"/>
      </w:rPr>
    </w:lvl>
    <w:lvl w:ilvl="6" w:tplc="92BCB85E">
      <w:start w:val="1"/>
      <w:numFmt w:val="bullet"/>
      <w:lvlText w:val=""/>
      <w:lvlJc w:val="left"/>
      <w:pPr>
        <w:tabs>
          <w:tab w:val="num" w:pos="5040"/>
        </w:tabs>
        <w:ind w:left="5040" w:hanging="360"/>
      </w:pPr>
      <w:rPr>
        <w:rFonts w:ascii="Symbol" w:hAnsi="Symbol"/>
      </w:rPr>
    </w:lvl>
    <w:lvl w:ilvl="7" w:tplc="6F1C1946">
      <w:start w:val="1"/>
      <w:numFmt w:val="bullet"/>
      <w:lvlText w:val="o"/>
      <w:lvlJc w:val="left"/>
      <w:pPr>
        <w:tabs>
          <w:tab w:val="num" w:pos="5760"/>
        </w:tabs>
        <w:ind w:left="5760" w:hanging="360"/>
      </w:pPr>
      <w:rPr>
        <w:rFonts w:ascii="Courier New" w:hAnsi="Courier New"/>
      </w:rPr>
    </w:lvl>
    <w:lvl w:ilvl="8" w:tplc="161A31E2">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AF3"/>
    <w:rsid w:val="001B7DC7"/>
    <w:rsid w:val="001D51EF"/>
    <w:rsid w:val="00246FC5"/>
    <w:rsid w:val="003871AD"/>
    <w:rsid w:val="003D0CF8"/>
    <w:rsid w:val="003F2AF3"/>
    <w:rsid w:val="00477774"/>
    <w:rsid w:val="004B783E"/>
    <w:rsid w:val="00781BD8"/>
    <w:rsid w:val="0082231F"/>
    <w:rsid w:val="0086784F"/>
    <w:rsid w:val="00905EDD"/>
    <w:rsid w:val="0091429E"/>
    <w:rsid w:val="00946F85"/>
    <w:rsid w:val="00AB38F7"/>
    <w:rsid w:val="00AE4BBB"/>
    <w:rsid w:val="00C7048B"/>
    <w:rsid w:val="00DD3E69"/>
    <w:rsid w:val="00EC0385"/>
    <w:rsid w:val="00EC49F5"/>
    <w:rsid w:val="00F03516"/>
    <w:rsid w:val="00F407AD"/>
    <w:rsid w:val="00F926BF"/>
    <w:rsid w:val="00FB646D"/>
    <w:rsid w:val="00FC2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7471"/>
  <w15:docId w15:val="{2EE00D26-6F01-4E25-8EE2-85D4419E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table" w:styleId="TableGrid">
    <w:name w:val="Table Grid"/>
    <w:basedOn w:val="TableNormal"/>
    <w:uiPriority w:val="39"/>
    <w:rsid w:val="00FC2D84"/>
    <w:rPr>
      <w:rFonts w:asciiTheme="minorHAnsi" w:eastAsiaTheme="minorHAnsi" w:hAnsiTheme="minorHAnsi" w:cstheme="minorBidi"/>
      <w:kern w:val="2"/>
      <w:sz w:val="22"/>
      <w:szCs w:val="22"/>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D0CF8"/>
    <w:rPr>
      <w:i/>
      <w:iCs/>
    </w:rPr>
  </w:style>
  <w:style w:type="character" w:styleId="Hyperlink">
    <w:name w:val="Hyperlink"/>
    <w:basedOn w:val="DefaultParagraphFont"/>
    <w:uiPriority w:val="99"/>
    <w:unhideWhenUsed/>
    <w:rsid w:val="001B7DC7"/>
    <w:rPr>
      <w:color w:val="0000FF" w:themeColor="hyperlink"/>
      <w:u w:val="single"/>
    </w:rPr>
  </w:style>
  <w:style w:type="character" w:styleId="UnresolvedMention">
    <w:name w:val="Unresolved Mention"/>
    <w:basedOn w:val="DefaultParagraphFont"/>
    <w:uiPriority w:val="99"/>
    <w:semiHidden/>
    <w:unhideWhenUsed/>
    <w:rsid w:val="001B7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72DB4-1E66-4AD6-B4E3-EA8600B9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Pages>
  <Words>8513</Words>
  <Characters>48525</Characters>
  <Application>Microsoft Office Word</Application>
  <DocSecurity>0</DocSecurity>
  <Lines>404</Lines>
  <Paragraphs>113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Characterization of Flotation tailings for its Future Use s</vt:lpstr>
      <vt:lpstr>Characterization of Flotation tailings for its Future Use s</vt:lpstr>
    </vt:vector>
  </TitlesOfParts>
  <Company/>
  <LinksUpToDate>false</LinksUpToDate>
  <CharactersWithSpaces>56925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Characterization of Flotation tailings for its Future Use s</dc:title>
  <dc:creator>user</dc:creator>
  <cp:lastModifiedBy>SDI 1084</cp:lastModifiedBy>
  <cp:revision>33</cp:revision>
  <dcterms:created xsi:type="dcterms:W3CDTF">2025-09-27T19:12:00Z</dcterms:created>
  <dcterms:modified xsi:type="dcterms:W3CDTF">2026-02-17T12:50:00Z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3666c7fb-d543-3fcd-b7b8-0d32397953d0</vt:lpwstr>
  </property>
  <property fmtid="{D5CDD505-2E9C-101B-9397-08002B2CF9AE}" pid="24" name="Mendeley Citation Style_1">
    <vt:lpwstr>http://www.zotero.org/styles/apa</vt:lpwstr>
  </property>
</Properties>
</file>