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AB5C5" w14:textId="77777777" w:rsidR="000F0B49" w:rsidRPr="00467A14" w:rsidRDefault="00F034B5" w:rsidP="003E6F0F">
      <w:pPr>
        <w:rPr>
          <w:rFonts w:ascii="Times New Roman" w:eastAsia="Times New Roman" w:hAnsi="Times New Roman" w:cs="Times New Roman"/>
          <w:b/>
          <w:bCs/>
          <w:sz w:val="24"/>
          <w:szCs w:val="24"/>
        </w:rPr>
      </w:pPr>
      <w:r w:rsidRPr="00467A14">
        <w:rPr>
          <w:rFonts w:ascii="Times New Roman" w:eastAsia="Times New Roman" w:hAnsi="Times New Roman" w:cs="Times New Roman"/>
          <w:b/>
          <w:bCs/>
          <w:sz w:val="24"/>
          <w:szCs w:val="24"/>
        </w:rPr>
        <w:t>PREVALENCE AND CLINICAL SIGNIFICANCE OF THROMBOCYTOPENIA IN MALARIA: A SYSTEMATIC REVIEW AND META-ANALYSIS</w:t>
      </w:r>
    </w:p>
    <w:p w14:paraId="17FC1DA3" w14:textId="77777777" w:rsidR="000F0B49" w:rsidRPr="00467A14" w:rsidRDefault="000F0B49" w:rsidP="003E6F0F">
      <w:pPr>
        <w:rPr>
          <w:rFonts w:ascii="Times New Roman" w:eastAsia="Times New Roman" w:hAnsi="Times New Roman" w:cs="Times New Roman"/>
          <w:sz w:val="24"/>
          <w:szCs w:val="24"/>
        </w:rPr>
      </w:pPr>
    </w:p>
    <w:p w14:paraId="49689B8E" w14:textId="77777777" w:rsidR="000F0B49" w:rsidRPr="00467A14" w:rsidRDefault="000F0B49" w:rsidP="003E6F0F">
      <w:pPr>
        <w:spacing w:before="240" w:after="240"/>
        <w:rPr>
          <w:rFonts w:ascii="Times New Roman" w:eastAsia="Times New Roman" w:hAnsi="Times New Roman" w:cs="Times New Roman"/>
          <w:b/>
          <w:bCs/>
          <w:sz w:val="24"/>
          <w:szCs w:val="24"/>
        </w:rPr>
      </w:pPr>
    </w:p>
    <w:p w14:paraId="4D246B08" w14:textId="77777777" w:rsidR="000F0B49" w:rsidRPr="00467A14" w:rsidRDefault="00F034B5" w:rsidP="003E6F0F">
      <w:pPr>
        <w:spacing w:before="240" w:after="240"/>
        <w:rPr>
          <w:rFonts w:ascii="Times New Roman" w:eastAsia="Times New Roman" w:hAnsi="Times New Roman" w:cs="Times New Roman"/>
          <w:b/>
          <w:bCs/>
          <w:sz w:val="24"/>
          <w:szCs w:val="24"/>
        </w:rPr>
      </w:pPr>
      <w:r w:rsidRPr="00467A14">
        <w:rPr>
          <w:rFonts w:ascii="Times New Roman" w:eastAsia="Times New Roman" w:hAnsi="Times New Roman" w:cs="Times New Roman"/>
          <w:b/>
          <w:bCs/>
          <w:sz w:val="24"/>
          <w:szCs w:val="24"/>
        </w:rPr>
        <w:t>ABSTRACT</w:t>
      </w:r>
    </w:p>
    <w:p w14:paraId="092AE096"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Background:</w:t>
      </w:r>
      <w:r w:rsidRPr="00467A14">
        <w:rPr>
          <w:rFonts w:ascii="Times New Roman" w:eastAsia="Times New Roman" w:hAnsi="Times New Roman" w:cs="Times New Roman"/>
          <w:sz w:val="24"/>
          <w:szCs w:val="24"/>
        </w:rPr>
        <w:t xml:space="preserve"> Thrombocytopenia is a common hematological abnormality in malaria and has been increasingly recognized as a potential diagnostic and prognostic indicator. However, reported estimates of its prevalence and clinical significance vary widely across studies a</w:t>
      </w:r>
      <w:r w:rsidRPr="00467A14">
        <w:rPr>
          <w:rFonts w:ascii="Times New Roman" w:eastAsia="Times New Roman" w:hAnsi="Times New Roman" w:cs="Times New Roman"/>
          <w:sz w:val="24"/>
          <w:szCs w:val="24"/>
        </w:rPr>
        <w:t>nd settings.</w:t>
      </w:r>
    </w:p>
    <w:p w14:paraId="4CF68354"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Objective:</w:t>
      </w:r>
      <w:r w:rsidRPr="00467A14">
        <w:rPr>
          <w:rFonts w:ascii="Times New Roman" w:eastAsia="Times New Roman" w:hAnsi="Times New Roman" w:cs="Times New Roman"/>
          <w:sz w:val="24"/>
          <w:szCs w:val="24"/>
        </w:rPr>
        <w:t xml:space="preserve"> This systematic review and meta-analysis aimed to determine the pooled prevalence of thrombocytopenia among patients with laboratory-confirmed malaria and to evaluate its clinical significance in relation to disease severity, compli</w:t>
      </w:r>
      <w:r w:rsidRPr="00467A14">
        <w:rPr>
          <w:rFonts w:ascii="Times New Roman" w:eastAsia="Times New Roman" w:hAnsi="Times New Roman" w:cs="Times New Roman"/>
          <w:sz w:val="24"/>
          <w:szCs w:val="24"/>
        </w:rPr>
        <w:t>cations, and outcomes.</w:t>
      </w:r>
    </w:p>
    <w:p w14:paraId="28190722"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Methods:</w:t>
      </w:r>
      <w:r w:rsidRPr="00467A14">
        <w:rPr>
          <w:rFonts w:ascii="Times New Roman" w:eastAsia="Times New Roman" w:hAnsi="Times New Roman" w:cs="Times New Roman"/>
          <w:sz w:val="24"/>
          <w:szCs w:val="24"/>
        </w:rPr>
        <w:t xml:space="preserve"> A comprehensive search of PubMed/MEDLINE, Scopus, Web of Science, and Google Scholar was conducted for English-language studies published up to March 2026. Observational studies reporting platelet count data or extractable t</w:t>
      </w:r>
      <w:r w:rsidRPr="00467A14">
        <w:rPr>
          <w:rFonts w:ascii="Times New Roman" w:eastAsia="Times New Roman" w:hAnsi="Times New Roman" w:cs="Times New Roman"/>
          <w:sz w:val="24"/>
          <w:szCs w:val="24"/>
        </w:rPr>
        <w:t>hrombocytopenia prevalence were included. A random-effects meta-analysis with Freeman–Tukey double arcsine transformation was used to estimate pooled prevalence. Heterogeneity was assessed using Cochran’s Q, I², and τ² statistics. The review protocol was r</w:t>
      </w:r>
      <w:r w:rsidRPr="00467A14">
        <w:rPr>
          <w:rFonts w:ascii="Times New Roman" w:eastAsia="Times New Roman" w:hAnsi="Times New Roman" w:cs="Times New Roman"/>
          <w:sz w:val="24"/>
          <w:szCs w:val="24"/>
        </w:rPr>
        <w:t>egistered in PROSPERO (CRD420261347334).</w:t>
      </w:r>
    </w:p>
    <w:p w14:paraId="6333601E"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Results:</w:t>
      </w:r>
      <w:r w:rsidRPr="00467A14">
        <w:rPr>
          <w:rFonts w:ascii="Times New Roman" w:eastAsia="Times New Roman" w:hAnsi="Times New Roman" w:cs="Times New Roman"/>
          <w:sz w:val="24"/>
          <w:szCs w:val="24"/>
        </w:rPr>
        <w:t xml:space="preserve"> Twenty-two studies were included in the systematic review, and 15 studies comprising 2,183 malaria patients were included in the meta-analysis. The pooled prevalence of thrombocytopenia was 73.1% (95% CI: 6</w:t>
      </w:r>
      <w:r w:rsidRPr="00467A14">
        <w:rPr>
          <w:rFonts w:ascii="Times New Roman" w:eastAsia="Times New Roman" w:hAnsi="Times New Roman" w:cs="Times New Roman"/>
          <w:sz w:val="24"/>
          <w:szCs w:val="24"/>
        </w:rPr>
        <w:t xml:space="preserve">5.7%–79.5%) with substantial heterogeneity (I² = 91.7%). Subgroup analysis showed prevalence estimates of 76.8% in </w:t>
      </w:r>
      <w:r w:rsidRPr="00467A14">
        <w:rPr>
          <w:rFonts w:ascii="Times New Roman" w:eastAsia="Times New Roman" w:hAnsi="Times New Roman" w:cs="Times New Roman"/>
          <w:i/>
          <w:iCs/>
          <w:sz w:val="24"/>
          <w:szCs w:val="24"/>
        </w:rPr>
        <w:t>Plasmodium falciparum</w:t>
      </w:r>
      <w:r w:rsidRPr="00467A14">
        <w:rPr>
          <w:rFonts w:ascii="Times New Roman" w:eastAsia="Times New Roman" w:hAnsi="Times New Roman" w:cs="Times New Roman"/>
          <w:sz w:val="24"/>
          <w:szCs w:val="24"/>
        </w:rPr>
        <w:t xml:space="preserve">, 68.4% in </w:t>
      </w:r>
      <w:r w:rsidRPr="00467A14">
        <w:rPr>
          <w:rFonts w:ascii="Times New Roman" w:eastAsia="Times New Roman" w:hAnsi="Times New Roman" w:cs="Times New Roman"/>
          <w:i/>
          <w:iCs/>
          <w:sz w:val="24"/>
          <w:szCs w:val="24"/>
        </w:rPr>
        <w:t>Plasmodium vivax</w:t>
      </w:r>
      <w:r w:rsidRPr="00467A14">
        <w:rPr>
          <w:rFonts w:ascii="Times New Roman" w:eastAsia="Times New Roman" w:hAnsi="Times New Roman" w:cs="Times New Roman"/>
          <w:sz w:val="24"/>
          <w:szCs w:val="24"/>
        </w:rPr>
        <w:t>, and 72.5% in mixed infections, with no statistically significant differences. Narrative syn</w:t>
      </w:r>
      <w:r w:rsidRPr="00467A14">
        <w:rPr>
          <w:rFonts w:ascii="Times New Roman" w:eastAsia="Times New Roman" w:hAnsi="Times New Roman" w:cs="Times New Roman"/>
          <w:sz w:val="24"/>
          <w:szCs w:val="24"/>
        </w:rPr>
        <w:t>thesis indicated that lower platelet counts were associated with severe malaria, higher parasitemia, organ dysfunction, and increased mortality risk, while clinically significant bleeding was uncommon.</w:t>
      </w:r>
    </w:p>
    <w:p w14:paraId="44FB44A7"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Conclusion:</w:t>
      </w:r>
      <w:r w:rsidRPr="00467A14">
        <w:rPr>
          <w:rFonts w:ascii="Times New Roman" w:eastAsia="Times New Roman" w:hAnsi="Times New Roman" w:cs="Times New Roman"/>
          <w:sz w:val="24"/>
          <w:szCs w:val="24"/>
        </w:rPr>
        <w:t xml:space="preserve"> Thrombocytopenia is highly prevalent in ma</w:t>
      </w:r>
      <w:r w:rsidRPr="00467A14">
        <w:rPr>
          <w:rFonts w:ascii="Times New Roman" w:eastAsia="Times New Roman" w:hAnsi="Times New Roman" w:cs="Times New Roman"/>
          <w:sz w:val="24"/>
          <w:szCs w:val="24"/>
        </w:rPr>
        <w:t>laria and is more strongly associated with disease severity than bleeding risk. Platelet count may serve as a useful adjunct marker for diagnosis and clinical monitoring, particularly in endemic and resource-limited settings.</w:t>
      </w:r>
      <w:r w:rsidRPr="00467A14">
        <w:rPr>
          <w:rFonts w:ascii="Times New Roman" w:eastAsia="Times New Roman" w:hAnsi="Times New Roman" w:cs="Times New Roman"/>
          <w:sz w:val="24"/>
          <w:szCs w:val="24"/>
        </w:rPr>
        <w:br/>
      </w:r>
      <w:r w:rsidRPr="00467A14">
        <w:rPr>
          <w:rFonts w:ascii="Times New Roman" w:eastAsia="Times New Roman" w:hAnsi="Times New Roman" w:cs="Times New Roman"/>
          <w:sz w:val="24"/>
          <w:szCs w:val="24"/>
        </w:rPr>
        <w:br/>
      </w:r>
      <w:r w:rsidRPr="00467A14">
        <w:rPr>
          <w:rFonts w:ascii="Times New Roman" w:eastAsia="Times New Roman" w:hAnsi="Times New Roman" w:cs="Times New Roman"/>
          <w:b/>
          <w:bCs/>
          <w:sz w:val="24"/>
          <w:szCs w:val="24"/>
        </w:rPr>
        <w:t>Keywords:</w:t>
      </w:r>
      <w:r w:rsidRPr="00467A14">
        <w:rPr>
          <w:rFonts w:ascii="Times New Roman" w:eastAsia="Times New Roman" w:hAnsi="Times New Roman" w:cs="Times New Roman"/>
          <w:sz w:val="24"/>
          <w:szCs w:val="24"/>
        </w:rPr>
        <w:t xml:space="preserve"> Malaria, Thrombocyt</w:t>
      </w:r>
      <w:r w:rsidRPr="00467A14">
        <w:rPr>
          <w:rFonts w:ascii="Times New Roman" w:eastAsia="Times New Roman" w:hAnsi="Times New Roman" w:cs="Times New Roman"/>
          <w:sz w:val="24"/>
          <w:szCs w:val="24"/>
        </w:rPr>
        <w:t>openia, Platelet Count, Prevalence, Meta-analysis</w:t>
      </w:r>
    </w:p>
    <w:p w14:paraId="768587C4" w14:textId="77777777" w:rsidR="000F0B49" w:rsidRPr="00467A14" w:rsidRDefault="000F0B49" w:rsidP="003E6F0F">
      <w:pPr>
        <w:pStyle w:val="Heading1"/>
        <w:keepNext w:val="0"/>
        <w:keepLines w:val="0"/>
        <w:spacing w:before="480"/>
        <w:rPr>
          <w:rFonts w:ascii="Times New Roman" w:eastAsia="Times New Roman" w:hAnsi="Times New Roman" w:cs="Times New Roman"/>
          <w:b/>
          <w:bCs/>
          <w:sz w:val="24"/>
          <w:szCs w:val="24"/>
        </w:rPr>
      </w:pPr>
      <w:bookmarkStart w:id="0" w:name="_vajv6gh94r22" w:colFirst="0" w:colLast="0"/>
      <w:bookmarkEnd w:id="0"/>
    </w:p>
    <w:p w14:paraId="3C96B5F9" w14:textId="77777777" w:rsidR="000F0B49" w:rsidRPr="00467A14" w:rsidRDefault="00F034B5" w:rsidP="003E6F0F">
      <w:pPr>
        <w:pStyle w:val="Heading1"/>
        <w:keepNext w:val="0"/>
        <w:keepLines w:val="0"/>
        <w:spacing w:before="480"/>
        <w:rPr>
          <w:rFonts w:ascii="Times New Roman" w:eastAsia="Times New Roman" w:hAnsi="Times New Roman" w:cs="Times New Roman"/>
          <w:b/>
          <w:bCs/>
          <w:sz w:val="24"/>
          <w:szCs w:val="24"/>
        </w:rPr>
      </w:pPr>
      <w:bookmarkStart w:id="1" w:name="_4jru8n172as0" w:colFirst="0" w:colLast="0"/>
      <w:bookmarkStart w:id="2" w:name="_z908fdkz1jyn" w:colFirst="0" w:colLast="0"/>
      <w:bookmarkStart w:id="3" w:name="_GoBack"/>
      <w:bookmarkEnd w:id="1"/>
      <w:bookmarkEnd w:id="2"/>
      <w:bookmarkEnd w:id="3"/>
      <w:r w:rsidRPr="00467A14">
        <w:rPr>
          <w:rFonts w:ascii="Times New Roman" w:eastAsia="Times New Roman" w:hAnsi="Times New Roman" w:cs="Times New Roman"/>
          <w:b/>
          <w:bCs/>
          <w:sz w:val="24"/>
          <w:szCs w:val="24"/>
        </w:rPr>
        <w:lastRenderedPageBreak/>
        <w:t>INTRODUCTION</w:t>
      </w:r>
    </w:p>
    <w:p w14:paraId="7CCFE526"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Thrombocytopenia is a hematological disorder characterized by an abnormally reduced platelet count in peripheral blood, typically defined as a platelet concentration below 150 × 10⁹/L (Clev</w:t>
      </w:r>
      <w:r w:rsidRPr="00467A14">
        <w:rPr>
          <w:rFonts w:ascii="Times New Roman" w:eastAsia="Times New Roman" w:hAnsi="Times New Roman" w:cs="Times New Roman"/>
          <w:sz w:val="24"/>
          <w:szCs w:val="24"/>
        </w:rPr>
        <w:t xml:space="preserve">eland Clinic, 2022). Platelets are essential for hemostasis, maintenance of vascular integrity, and modulation of immune responses; thus, their depletion may predispose affected individuals to bleeding complications and dysregulated inflammatory responses </w:t>
      </w:r>
      <w:r w:rsidRPr="00467A14">
        <w:rPr>
          <w:rFonts w:ascii="Times New Roman" w:eastAsia="Times New Roman" w:hAnsi="Times New Roman" w:cs="Times New Roman"/>
          <w:sz w:val="24"/>
          <w:szCs w:val="24"/>
        </w:rPr>
        <w:t>(Ho-Tin-Noé et al., 2018). Clinically, thrombocytopenia is commonly classified according to severity as mild (100–150 × 10⁹/L), moderate (50–99 × 10⁹/L), and severe (&lt;50 × 10⁹/L) (Zheng et al., 2025). Its pathogenesis is multifactorial and may involve redu</w:t>
      </w:r>
      <w:r w:rsidRPr="00467A14">
        <w:rPr>
          <w:rFonts w:ascii="Times New Roman" w:eastAsia="Times New Roman" w:hAnsi="Times New Roman" w:cs="Times New Roman"/>
          <w:sz w:val="24"/>
          <w:szCs w:val="24"/>
        </w:rPr>
        <w:t>ced platelet production in the bone marrow, increased peripheral destruction or sequestration, and immune-mediated platelet clearance (Jinna et al., 2025). In routine practice, thrombocytopenia is primarily detected using automated hematology analyzers dur</w:t>
      </w:r>
      <w:r w:rsidRPr="00467A14">
        <w:rPr>
          <w:rFonts w:ascii="Times New Roman" w:eastAsia="Times New Roman" w:hAnsi="Times New Roman" w:cs="Times New Roman"/>
          <w:sz w:val="24"/>
          <w:szCs w:val="24"/>
        </w:rPr>
        <w:t>ing complete blood count (CBC) testing, with confirmation by peripheral blood smear examination and, in selected cases, bone marrow assessment or platelet function studies (</w:t>
      </w:r>
      <w:proofErr w:type="spellStart"/>
      <w:r w:rsidRPr="00467A14">
        <w:rPr>
          <w:rFonts w:ascii="Times New Roman" w:eastAsia="Times New Roman" w:hAnsi="Times New Roman" w:cs="Times New Roman"/>
          <w:sz w:val="24"/>
          <w:szCs w:val="24"/>
        </w:rPr>
        <w:t>Zitella</w:t>
      </w:r>
      <w:proofErr w:type="spellEnd"/>
      <w:r w:rsidRPr="00467A14">
        <w:rPr>
          <w:rFonts w:ascii="Times New Roman" w:eastAsia="Times New Roman" w:hAnsi="Times New Roman" w:cs="Times New Roman"/>
          <w:sz w:val="24"/>
          <w:szCs w:val="24"/>
        </w:rPr>
        <w:t>, 2021).</w:t>
      </w:r>
    </w:p>
    <w:p w14:paraId="4E96DEE3"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Among infectious diseases, malaria remains one of the most importan</w:t>
      </w:r>
      <w:r w:rsidRPr="00467A14">
        <w:rPr>
          <w:rFonts w:ascii="Times New Roman" w:eastAsia="Times New Roman" w:hAnsi="Times New Roman" w:cs="Times New Roman"/>
          <w:sz w:val="24"/>
          <w:szCs w:val="24"/>
        </w:rPr>
        <w:t xml:space="preserve">t causes of hematological abnormalities, including anemia, leukopenia, and thrombocytopenia (Ullah et al., 2018). Malaria is a parasitic disease caused by Plasmodium species, most commonly </w:t>
      </w:r>
      <w:r w:rsidRPr="00467A14">
        <w:rPr>
          <w:rFonts w:ascii="Times New Roman" w:eastAsia="Times New Roman" w:hAnsi="Times New Roman" w:cs="Times New Roman"/>
          <w:i/>
          <w:iCs/>
          <w:sz w:val="24"/>
          <w:szCs w:val="24"/>
        </w:rPr>
        <w:t>Plasmodium falciparum</w:t>
      </w:r>
      <w:r w:rsidRPr="00467A14">
        <w:rPr>
          <w:rFonts w:ascii="Times New Roman" w:eastAsia="Times New Roman" w:hAnsi="Times New Roman" w:cs="Times New Roman"/>
          <w:sz w:val="24"/>
          <w:szCs w:val="24"/>
        </w:rPr>
        <w:t xml:space="preserve"> and </w:t>
      </w:r>
      <w:r w:rsidRPr="00467A14">
        <w:rPr>
          <w:rFonts w:ascii="Times New Roman" w:eastAsia="Times New Roman" w:hAnsi="Times New Roman" w:cs="Times New Roman"/>
          <w:i/>
          <w:iCs/>
          <w:sz w:val="24"/>
          <w:szCs w:val="24"/>
        </w:rPr>
        <w:t>Plasmodium vivax</w:t>
      </w:r>
      <w:r w:rsidRPr="00467A14">
        <w:rPr>
          <w:rFonts w:ascii="Times New Roman" w:eastAsia="Times New Roman" w:hAnsi="Times New Roman" w:cs="Times New Roman"/>
          <w:sz w:val="24"/>
          <w:szCs w:val="24"/>
        </w:rPr>
        <w:t>, and is transmitted thro</w:t>
      </w:r>
      <w:r w:rsidRPr="00467A14">
        <w:rPr>
          <w:rFonts w:ascii="Times New Roman" w:eastAsia="Times New Roman" w:hAnsi="Times New Roman" w:cs="Times New Roman"/>
          <w:sz w:val="24"/>
          <w:szCs w:val="24"/>
        </w:rPr>
        <w:t xml:space="preserve">ugh the bite of infected </w:t>
      </w:r>
      <w:r w:rsidRPr="00467A14">
        <w:rPr>
          <w:rFonts w:ascii="Times New Roman" w:eastAsia="Times New Roman" w:hAnsi="Times New Roman" w:cs="Times New Roman"/>
          <w:i/>
          <w:iCs/>
          <w:sz w:val="24"/>
          <w:szCs w:val="24"/>
        </w:rPr>
        <w:t>Anopheles</w:t>
      </w:r>
      <w:r w:rsidRPr="00467A14">
        <w:rPr>
          <w:rFonts w:ascii="Times New Roman" w:eastAsia="Times New Roman" w:hAnsi="Times New Roman" w:cs="Times New Roman"/>
          <w:sz w:val="24"/>
          <w:szCs w:val="24"/>
        </w:rPr>
        <w:t xml:space="preserve"> mosquitoes (World Health Organization [WHO], 2025). The disease continues to impose a major global health burden, with an estimated 247 million cases and approximately 619,000 deaths reported worldwide in 2021, predominan</w:t>
      </w:r>
      <w:r w:rsidRPr="00467A14">
        <w:rPr>
          <w:rFonts w:ascii="Times New Roman" w:eastAsia="Times New Roman" w:hAnsi="Times New Roman" w:cs="Times New Roman"/>
          <w:sz w:val="24"/>
          <w:szCs w:val="24"/>
        </w:rPr>
        <w:t>tly in sub-Saharan Africa and parts of Southeast Asia (World Health Organization, 2022). Beyond its direct parasitic effects, malaria is frequently associated with a range of hematological disturbances, among which thrombocytopenia is one of the most consi</w:t>
      </w:r>
      <w:r w:rsidRPr="00467A14">
        <w:rPr>
          <w:rFonts w:ascii="Times New Roman" w:eastAsia="Times New Roman" w:hAnsi="Times New Roman" w:cs="Times New Roman"/>
          <w:sz w:val="24"/>
          <w:szCs w:val="24"/>
        </w:rPr>
        <w:t xml:space="preserve">stently reported manifestations (Asmerom et al., 2023). A cross-sectional study conducted in </w:t>
      </w:r>
      <w:proofErr w:type="spellStart"/>
      <w:r w:rsidRPr="00467A14">
        <w:rPr>
          <w:rFonts w:ascii="Times New Roman" w:eastAsia="Times New Roman" w:hAnsi="Times New Roman" w:cs="Times New Roman"/>
          <w:sz w:val="24"/>
          <w:szCs w:val="24"/>
        </w:rPr>
        <w:t>Akinima</w:t>
      </w:r>
      <w:proofErr w:type="spellEnd"/>
      <w:r w:rsidRPr="00467A14">
        <w:rPr>
          <w:rFonts w:ascii="Times New Roman" w:eastAsia="Times New Roman" w:hAnsi="Times New Roman" w:cs="Times New Roman"/>
          <w:sz w:val="24"/>
          <w:szCs w:val="24"/>
        </w:rPr>
        <w:t>, Nigeria, also reported high malaria prevalence across different demographic groups, particularly among children, and demonstrated associated hematological</w:t>
      </w:r>
      <w:r w:rsidRPr="00467A14">
        <w:rPr>
          <w:rFonts w:ascii="Times New Roman" w:eastAsia="Times New Roman" w:hAnsi="Times New Roman" w:cs="Times New Roman"/>
          <w:sz w:val="24"/>
          <w:szCs w:val="24"/>
        </w:rPr>
        <w:t xml:space="preserve"> changes such as reduced packed cell volume (PCV), underscoring the hematologic burden of malaria in endemic rural settings (Melford et al., 2025).</w:t>
      </w:r>
    </w:p>
    <w:p w14:paraId="0CF17C84"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The mechanisms underlying thrombocytopenia in malaria are complex and multifactorial. Proposed pathways incl</w:t>
      </w:r>
      <w:r w:rsidRPr="00467A14">
        <w:rPr>
          <w:rFonts w:ascii="Times New Roman" w:eastAsia="Times New Roman" w:hAnsi="Times New Roman" w:cs="Times New Roman"/>
          <w:sz w:val="24"/>
          <w:szCs w:val="24"/>
        </w:rPr>
        <w:t>ude immune-mediated platelet destruction, splenic sequestration, platelet consumption during disseminated intravascular coagulation, bone marrow suppression, and platelet aggregation mediated by parasitized erythrocytes (</w:t>
      </w:r>
      <w:proofErr w:type="spellStart"/>
      <w:r w:rsidRPr="00467A14">
        <w:rPr>
          <w:rFonts w:ascii="Times New Roman" w:eastAsia="Times New Roman" w:hAnsi="Times New Roman" w:cs="Times New Roman"/>
          <w:sz w:val="24"/>
          <w:szCs w:val="24"/>
        </w:rPr>
        <w:t>Tiiba</w:t>
      </w:r>
      <w:proofErr w:type="spellEnd"/>
      <w:r w:rsidRPr="00467A14">
        <w:rPr>
          <w:rFonts w:ascii="Times New Roman" w:eastAsia="Times New Roman" w:hAnsi="Times New Roman" w:cs="Times New Roman"/>
          <w:sz w:val="24"/>
          <w:szCs w:val="24"/>
        </w:rPr>
        <w:t xml:space="preserve"> et al., 2023). In addition, i</w:t>
      </w:r>
      <w:r w:rsidRPr="00467A14">
        <w:rPr>
          <w:rFonts w:ascii="Times New Roman" w:eastAsia="Times New Roman" w:hAnsi="Times New Roman" w:cs="Times New Roman"/>
          <w:sz w:val="24"/>
          <w:szCs w:val="24"/>
        </w:rPr>
        <w:t>nflammatory cytokine release and oxidative stress induced by parasitic infection may further shorten platelet survival and accelerate platelet destruction (Pawłowska et al., 2023). These mechanisms not only explain the high frequency of thrombocytopenia in</w:t>
      </w:r>
      <w:r w:rsidRPr="00467A14">
        <w:rPr>
          <w:rFonts w:ascii="Times New Roman" w:eastAsia="Times New Roman" w:hAnsi="Times New Roman" w:cs="Times New Roman"/>
          <w:sz w:val="24"/>
          <w:szCs w:val="24"/>
        </w:rPr>
        <w:t xml:space="preserve"> malaria but also suggest that platelet depletion may reflect underlying disease activity. Indeed, evidence indicates that thrombocytopenia may have diagnostic utility, particularly in endemic settings, where low </w:t>
      </w:r>
      <w:r w:rsidRPr="00467A14">
        <w:rPr>
          <w:rFonts w:ascii="Times New Roman" w:eastAsia="Times New Roman" w:hAnsi="Times New Roman" w:cs="Times New Roman"/>
          <w:sz w:val="24"/>
          <w:szCs w:val="24"/>
        </w:rPr>
        <w:lastRenderedPageBreak/>
        <w:t>platelet counts can serve as a supportive l</w:t>
      </w:r>
      <w:r w:rsidRPr="00467A14">
        <w:rPr>
          <w:rFonts w:ascii="Times New Roman" w:eastAsia="Times New Roman" w:hAnsi="Times New Roman" w:cs="Times New Roman"/>
          <w:sz w:val="24"/>
          <w:szCs w:val="24"/>
        </w:rPr>
        <w:t xml:space="preserve">aboratory indicator of malaria in febrile patients (World Health Organization, 2025; Kumar et al., 2022; </w:t>
      </w:r>
      <w:proofErr w:type="spellStart"/>
      <w:r w:rsidRPr="00467A14">
        <w:rPr>
          <w:rFonts w:ascii="Times New Roman" w:eastAsia="Times New Roman" w:hAnsi="Times New Roman" w:cs="Times New Roman"/>
          <w:sz w:val="24"/>
          <w:szCs w:val="24"/>
        </w:rPr>
        <w:t>Bayleyegn</w:t>
      </w:r>
      <w:proofErr w:type="spellEnd"/>
      <w:r w:rsidRPr="00467A14">
        <w:rPr>
          <w:rFonts w:ascii="Times New Roman" w:eastAsia="Times New Roman" w:hAnsi="Times New Roman" w:cs="Times New Roman"/>
          <w:sz w:val="24"/>
          <w:szCs w:val="24"/>
        </w:rPr>
        <w:t xml:space="preserve"> et al., 2021).</w:t>
      </w:r>
    </w:p>
    <w:p w14:paraId="27428376"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At the population level, understanding the prevalence and clinical significance of thrombocytopenia in malaria is important fo</w:t>
      </w:r>
      <w:r w:rsidRPr="00467A14">
        <w:rPr>
          <w:rFonts w:ascii="Times New Roman" w:eastAsia="Times New Roman" w:hAnsi="Times New Roman" w:cs="Times New Roman"/>
          <w:sz w:val="24"/>
          <w:szCs w:val="24"/>
        </w:rPr>
        <w:t>r both diagnostic and prognostic purposes (Rao et al., 2017). Several studies have shown that thrombocytopenia occurs in a substantial proportion of malaria cases, with prevalence estimates ranging widely from 13.7% to over 79.5%, depending on the study po</w:t>
      </w:r>
      <w:r w:rsidRPr="00467A14">
        <w:rPr>
          <w:rFonts w:ascii="Times New Roman" w:eastAsia="Times New Roman" w:hAnsi="Times New Roman" w:cs="Times New Roman"/>
          <w:sz w:val="24"/>
          <w:szCs w:val="24"/>
        </w:rPr>
        <w:t>pulation, infecting parasite species, case definition, and study design (</w:t>
      </w:r>
      <w:proofErr w:type="spellStart"/>
      <w:r w:rsidRPr="00467A14">
        <w:rPr>
          <w:rFonts w:ascii="Times New Roman" w:eastAsia="Times New Roman" w:hAnsi="Times New Roman" w:cs="Times New Roman"/>
          <w:sz w:val="24"/>
          <w:szCs w:val="24"/>
        </w:rPr>
        <w:t>Meenai</w:t>
      </w:r>
      <w:proofErr w:type="spellEnd"/>
      <w:r w:rsidRPr="00467A14">
        <w:rPr>
          <w:rFonts w:ascii="Times New Roman" w:eastAsia="Times New Roman" w:hAnsi="Times New Roman" w:cs="Times New Roman"/>
          <w:sz w:val="24"/>
          <w:szCs w:val="24"/>
        </w:rPr>
        <w:t xml:space="preserve"> et al., 2016). In clinical settings, thrombocytopenia has been associated with disease severity, complications, and treatment outcomes among malaria patients (Kumar et al., 202</w:t>
      </w:r>
      <w:r w:rsidRPr="00467A14">
        <w:rPr>
          <w:rFonts w:ascii="Times New Roman" w:eastAsia="Times New Roman" w:hAnsi="Times New Roman" w:cs="Times New Roman"/>
          <w:sz w:val="24"/>
          <w:szCs w:val="24"/>
        </w:rPr>
        <w:t>2). Consequently, platelet count has been proposed as a potential adjunct biomarker for malaria diagnosis and disease monitoring, particularly in resource-limited settings where advanced diagnostic tools may be limited or unavailable (</w:t>
      </w:r>
      <w:proofErr w:type="spellStart"/>
      <w:r w:rsidRPr="00467A14">
        <w:rPr>
          <w:rFonts w:ascii="Times New Roman" w:eastAsia="Times New Roman" w:hAnsi="Times New Roman" w:cs="Times New Roman"/>
          <w:sz w:val="24"/>
          <w:szCs w:val="24"/>
        </w:rPr>
        <w:t>Bayleyegn</w:t>
      </w:r>
      <w:proofErr w:type="spellEnd"/>
      <w:r w:rsidRPr="00467A14">
        <w:rPr>
          <w:rFonts w:ascii="Times New Roman" w:eastAsia="Times New Roman" w:hAnsi="Times New Roman" w:cs="Times New Roman"/>
          <w:sz w:val="24"/>
          <w:szCs w:val="24"/>
        </w:rPr>
        <w:t xml:space="preserve"> et al., 202</w:t>
      </w:r>
      <w:r w:rsidRPr="00467A14">
        <w:rPr>
          <w:rFonts w:ascii="Times New Roman" w:eastAsia="Times New Roman" w:hAnsi="Times New Roman" w:cs="Times New Roman"/>
          <w:sz w:val="24"/>
          <w:szCs w:val="24"/>
        </w:rPr>
        <w:t>1).</w:t>
      </w:r>
    </w:p>
    <w:p w14:paraId="3DB9FF7D"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Despite growing recognition of the relationship between malaria and thrombocytopenia, the reported prevalence and clinical implications remain inconsistent across studies (</w:t>
      </w:r>
      <w:proofErr w:type="spellStart"/>
      <w:r w:rsidRPr="00467A14">
        <w:rPr>
          <w:rFonts w:ascii="Times New Roman" w:eastAsia="Times New Roman" w:hAnsi="Times New Roman" w:cs="Times New Roman"/>
          <w:sz w:val="24"/>
          <w:szCs w:val="24"/>
        </w:rPr>
        <w:t>Alawad</w:t>
      </w:r>
      <w:proofErr w:type="spellEnd"/>
      <w:r w:rsidRPr="00467A14">
        <w:rPr>
          <w:rFonts w:ascii="Times New Roman" w:eastAsia="Times New Roman" w:hAnsi="Times New Roman" w:cs="Times New Roman"/>
          <w:sz w:val="24"/>
          <w:szCs w:val="24"/>
        </w:rPr>
        <w:t xml:space="preserve"> et al., 2024). This inconsistency likely reflects differences in study de</w:t>
      </w:r>
      <w:r w:rsidRPr="00467A14">
        <w:rPr>
          <w:rFonts w:ascii="Times New Roman" w:eastAsia="Times New Roman" w:hAnsi="Times New Roman" w:cs="Times New Roman"/>
          <w:sz w:val="24"/>
          <w:szCs w:val="24"/>
        </w:rPr>
        <w:t>sign, geographic setting, malaria species distribution, diagnostic methods, patient populations, and definitions of thrombocytopenia, all of which contribute to heterogeneity in the literature (Sukati et al., 2024). Moreover, although individual studies ha</w:t>
      </w:r>
      <w:r w:rsidRPr="00467A14">
        <w:rPr>
          <w:rFonts w:ascii="Times New Roman" w:eastAsia="Times New Roman" w:hAnsi="Times New Roman" w:cs="Times New Roman"/>
          <w:sz w:val="24"/>
          <w:szCs w:val="24"/>
        </w:rPr>
        <w:t>ve examined platelet abnormalities in malaria, a comprehensive synthesis quantifying the overall prevalence of thrombocytopenia and critically evaluating its clinical significance across diverse populations remains limited. This gap hinders clear interpret</w:t>
      </w:r>
      <w:r w:rsidRPr="00467A14">
        <w:rPr>
          <w:rFonts w:ascii="Times New Roman" w:eastAsia="Times New Roman" w:hAnsi="Times New Roman" w:cs="Times New Roman"/>
          <w:sz w:val="24"/>
          <w:szCs w:val="24"/>
        </w:rPr>
        <w:t>ation of platelet abnormalities in malaria and limits their optimal use in clinical decision-making.</w:t>
      </w:r>
    </w:p>
    <w:p w14:paraId="238B2C0A"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Therefore, a systematic synthesis of the available evidence is needed to better define the burden and clinical relevance of thrombocytopenia among malaria </w:t>
      </w:r>
      <w:r w:rsidRPr="00467A14">
        <w:rPr>
          <w:rFonts w:ascii="Times New Roman" w:eastAsia="Times New Roman" w:hAnsi="Times New Roman" w:cs="Times New Roman"/>
          <w:sz w:val="24"/>
          <w:szCs w:val="24"/>
        </w:rPr>
        <w:t xml:space="preserve">patients. This systematic review and meta-analysis </w:t>
      </w:r>
      <w:proofErr w:type="gramStart"/>
      <w:r w:rsidRPr="00467A14">
        <w:rPr>
          <w:rFonts w:ascii="Times New Roman" w:eastAsia="Times New Roman" w:hAnsi="Times New Roman" w:cs="Times New Roman"/>
          <w:sz w:val="24"/>
          <w:szCs w:val="24"/>
        </w:rPr>
        <w:t>aims</w:t>
      </w:r>
      <w:proofErr w:type="gramEnd"/>
      <w:r w:rsidRPr="00467A14">
        <w:rPr>
          <w:rFonts w:ascii="Times New Roman" w:eastAsia="Times New Roman" w:hAnsi="Times New Roman" w:cs="Times New Roman"/>
          <w:sz w:val="24"/>
          <w:szCs w:val="24"/>
        </w:rPr>
        <w:t xml:space="preserve"> to evaluate the prevalence of thrombocytopenia in patients with malaria and to assess its clinical significance in relation to disease severity and outcomes. By integrating evidence from multiple stud</w:t>
      </w:r>
      <w:r w:rsidRPr="00467A14">
        <w:rPr>
          <w:rFonts w:ascii="Times New Roman" w:eastAsia="Times New Roman" w:hAnsi="Times New Roman" w:cs="Times New Roman"/>
          <w:sz w:val="24"/>
          <w:szCs w:val="24"/>
        </w:rPr>
        <w:t>ies worldwide, this study seeks to generate a clearer epidemiological estimate and strengthen the clinical interpretation of platelet abnormalities in malaria-endemic settings.</w:t>
      </w:r>
    </w:p>
    <w:p w14:paraId="2D253601"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46"/>
          <w:szCs w:val="46"/>
        </w:rPr>
      </w:pPr>
      <w:r w:rsidRPr="00467A14">
        <w:rPr>
          <w:rFonts w:ascii="Times New Roman" w:eastAsia="Times New Roman" w:hAnsi="Times New Roman" w:cs="Times New Roman"/>
          <w:b/>
          <w:bCs/>
          <w:color w:val="000000"/>
          <w:sz w:val="24"/>
          <w:szCs w:val="24"/>
        </w:rPr>
        <w:t>METHODOLOGY</w:t>
      </w:r>
    </w:p>
    <w:p w14:paraId="07958AF3"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6"/>
          <w:szCs w:val="26"/>
        </w:rPr>
      </w:pPr>
      <w:bookmarkStart w:id="4" w:name="_z1begdyfaspv" w:colFirst="0" w:colLast="0"/>
      <w:bookmarkEnd w:id="4"/>
      <w:r w:rsidRPr="00467A14">
        <w:rPr>
          <w:rFonts w:ascii="Times New Roman" w:eastAsia="Times New Roman" w:hAnsi="Times New Roman" w:cs="Times New Roman"/>
          <w:b/>
          <w:bCs/>
          <w:color w:val="000000"/>
          <w:sz w:val="26"/>
          <w:szCs w:val="26"/>
        </w:rPr>
        <w:t>2.1 Study Design and Protocol Registration</w:t>
      </w:r>
    </w:p>
    <w:p w14:paraId="0F0043CD" w14:textId="77777777" w:rsidR="000F0B49" w:rsidRPr="00467A14" w:rsidRDefault="00F034B5" w:rsidP="003E6F0F">
      <w:pPr>
        <w:pStyle w:val="Heading3"/>
        <w:keepNext w:val="0"/>
        <w:keepLines w:val="0"/>
        <w:spacing w:before="240" w:after="240"/>
        <w:rPr>
          <w:rFonts w:ascii="Times New Roman" w:eastAsia="Times New Roman" w:hAnsi="Times New Roman" w:cs="Times New Roman"/>
          <w:color w:val="000000"/>
          <w:sz w:val="24"/>
          <w:szCs w:val="24"/>
        </w:rPr>
      </w:pPr>
      <w:r w:rsidRPr="00467A14">
        <w:rPr>
          <w:rFonts w:ascii="Times New Roman" w:eastAsia="Times New Roman" w:hAnsi="Times New Roman" w:cs="Times New Roman"/>
          <w:color w:val="000000"/>
          <w:sz w:val="24"/>
          <w:szCs w:val="24"/>
        </w:rPr>
        <w:t>This study was conducted as a systematic review and meta-analysis to synthesize available evidence on the prevalence and clinical significance of thrombocytopenia among patients with laboratory-confirmed malaria. The review was designed, conducted, and rep</w:t>
      </w:r>
      <w:r w:rsidRPr="00467A14">
        <w:rPr>
          <w:rFonts w:ascii="Times New Roman" w:eastAsia="Times New Roman" w:hAnsi="Times New Roman" w:cs="Times New Roman"/>
          <w:color w:val="000000"/>
          <w:sz w:val="24"/>
          <w:szCs w:val="24"/>
        </w:rPr>
        <w:t xml:space="preserve">orted in accordance with the Preferred Reporting Items for Systematic Reviews and Meta-Analyses (PRISMA 2020) guidelines to ensure methodological rigor, transparency, and reproducibility. The study protocol </w:t>
      </w:r>
      <w:r w:rsidRPr="00467A14">
        <w:rPr>
          <w:rFonts w:ascii="Times New Roman" w:eastAsia="Times New Roman" w:hAnsi="Times New Roman" w:cs="Times New Roman"/>
          <w:color w:val="000000"/>
          <w:sz w:val="24"/>
          <w:szCs w:val="24"/>
        </w:rPr>
        <w:lastRenderedPageBreak/>
        <w:t>was prospectively registered in the International</w:t>
      </w:r>
      <w:r w:rsidRPr="00467A14">
        <w:rPr>
          <w:rFonts w:ascii="Times New Roman" w:eastAsia="Times New Roman" w:hAnsi="Times New Roman" w:cs="Times New Roman"/>
          <w:color w:val="000000"/>
          <w:sz w:val="24"/>
          <w:szCs w:val="24"/>
        </w:rPr>
        <w:t xml:space="preserve"> Prospective Register of Systematic Reviews (PROSPERO) under registration number CRD420261347334, available at</w:t>
      </w:r>
      <w:hyperlink r:id="rId7">
        <w:r w:rsidR="000F0B49" w:rsidRPr="00467A14">
          <w:rPr>
            <w:rFonts w:ascii="Times New Roman" w:eastAsia="Times New Roman" w:hAnsi="Times New Roman" w:cs="Times New Roman"/>
            <w:color w:val="000000"/>
            <w:sz w:val="24"/>
            <w:szCs w:val="24"/>
          </w:rPr>
          <w:t xml:space="preserve"> PROSPERO record</w:t>
        </w:r>
      </w:hyperlink>
      <w:r w:rsidRPr="00467A14">
        <w:rPr>
          <w:rFonts w:ascii="Times New Roman" w:eastAsia="Times New Roman" w:hAnsi="Times New Roman" w:cs="Times New Roman"/>
          <w:color w:val="000000"/>
          <w:sz w:val="24"/>
          <w:szCs w:val="24"/>
        </w:rPr>
        <w:t>. Any deviations from the regis</w:t>
      </w:r>
      <w:r w:rsidRPr="00467A14">
        <w:rPr>
          <w:rFonts w:ascii="Times New Roman" w:eastAsia="Times New Roman" w:hAnsi="Times New Roman" w:cs="Times New Roman"/>
          <w:color w:val="000000"/>
          <w:sz w:val="24"/>
          <w:szCs w:val="24"/>
        </w:rPr>
        <w:t>tered protocol were minimal and are transparently addressed where applicable.</w:t>
      </w:r>
    </w:p>
    <w:p w14:paraId="1835D9CE"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6"/>
          <w:szCs w:val="26"/>
        </w:rPr>
      </w:pPr>
      <w:bookmarkStart w:id="5" w:name="_dvs1btbm97hs" w:colFirst="0" w:colLast="0"/>
      <w:bookmarkEnd w:id="5"/>
      <w:r w:rsidRPr="00467A14">
        <w:rPr>
          <w:rFonts w:ascii="Times New Roman" w:eastAsia="Times New Roman" w:hAnsi="Times New Roman" w:cs="Times New Roman"/>
          <w:b/>
          <w:bCs/>
          <w:color w:val="000000"/>
          <w:sz w:val="26"/>
          <w:szCs w:val="26"/>
        </w:rPr>
        <w:t>2.2 Search Strategy</w:t>
      </w:r>
    </w:p>
    <w:p w14:paraId="64F16E81" w14:textId="77777777" w:rsidR="000F0B49" w:rsidRPr="00467A14" w:rsidRDefault="00F034B5" w:rsidP="003E6F0F">
      <w:pPr>
        <w:pStyle w:val="Heading3"/>
        <w:keepNext w:val="0"/>
        <w:keepLines w:val="0"/>
        <w:spacing w:before="240" w:after="240"/>
        <w:rPr>
          <w:rFonts w:ascii="Times New Roman" w:eastAsia="Times New Roman" w:hAnsi="Times New Roman" w:cs="Times New Roman"/>
          <w:color w:val="000000"/>
          <w:sz w:val="24"/>
          <w:szCs w:val="24"/>
        </w:rPr>
      </w:pPr>
      <w:r w:rsidRPr="00467A14">
        <w:rPr>
          <w:rFonts w:ascii="Times New Roman" w:eastAsia="Times New Roman" w:hAnsi="Times New Roman" w:cs="Times New Roman"/>
          <w:color w:val="000000"/>
          <w:sz w:val="24"/>
          <w:szCs w:val="24"/>
        </w:rPr>
        <w:t>A comprehensive literature search was conducted across multiple electronic databases, including PubMed/MEDLINE, Scopus, Web of Science, and Google Scholar, to identify relevant studies. Additional records were identified through manual screening of referen</w:t>
      </w:r>
      <w:r w:rsidRPr="00467A14">
        <w:rPr>
          <w:rFonts w:ascii="Times New Roman" w:eastAsia="Times New Roman" w:hAnsi="Times New Roman" w:cs="Times New Roman"/>
          <w:color w:val="000000"/>
          <w:sz w:val="24"/>
          <w:szCs w:val="24"/>
        </w:rPr>
        <w:t xml:space="preserve">ce lists of included articles to ensure completeness of retrieval. The search strategy incorporated both controlled vocabulary (e.g., </w:t>
      </w:r>
      <w:proofErr w:type="spellStart"/>
      <w:r w:rsidRPr="00467A14">
        <w:rPr>
          <w:rFonts w:ascii="Times New Roman" w:eastAsia="Times New Roman" w:hAnsi="Times New Roman" w:cs="Times New Roman"/>
          <w:color w:val="000000"/>
          <w:sz w:val="24"/>
          <w:szCs w:val="24"/>
        </w:rPr>
        <w:t>MeSH</w:t>
      </w:r>
      <w:proofErr w:type="spellEnd"/>
      <w:r w:rsidRPr="00467A14">
        <w:rPr>
          <w:rFonts w:ascii="Times New Roman" w:eastAsia="Times New Roman" w:hAnsi="Times New Roman" w:cs="Times New Roman"/>
          <w:color w:val="000000"/>
          <w:sz w:val="24"/>
          <w:szCs w:val="24"/>
        </w:rPr>
        <w:t xml:space="preserve"> terms) and free-text keywords related to malaria and thrombocytopenia. Key search terms included “malaria,” “Plasmodi</w:t>
      </w:r>
      <w:r w:rsidRPr="00467A14">
        <w:rPr>
          <w:rFonts w:ascii="Times New Roman" w:eastAsia="Times New Roman" w:hAnsi="Times New Roman" w:cs="Times New Roman"/>
          <w:color w:val="000000"/>
          <w:sz w:val="24"/>
          <w:szCs w:val="24"/>
        </w:rPr>
        <w:t xml:space="preserve">um,” “thrombocytopenia,” “platelet count,” “platelet depletion,” “hematological abnormalities,” and “malaria complications,” combined using Boolean operators such as AND </w:t>
      </w:r>
      <w:proofErr w:type="spellStart"/>
      <w:r w:rsidRPr="00467A14">
        <w:rPr>
          <w:rFonts w:ascii="Times New Roman" w:eastAsia="Times New Roman" w:hAnsi="Times New Roman" w:cs="Times New Roman"/>
          <w:color w:val="000000"/>
          <w:sz w:val="24"/>
          <w:szCs w:val="24"/>
        </w:rPr>
        <w:t>and</w:t>
      </w:r>
      <w:proofErr w:type="spellEnd"/>
      <w:r w:rsidRPr="00467A14">
        <w:rPr>
          <w:rFonts w:ascii="Times New Roman" w:eastAsia="Times New Roman" w:hAnsi="Times New Roman" w:cs="Times New Roman"/>
          <w:color w:val="000000"/>
          <w:sz w:val="24"/>
          <w:szCs w:val="24"/>
        </w:rPr>
        <w:t xml:space="preserve"> OR. Search strategies were adapted for each database to optimize sensitivity and s</w:t>
      </w:r>
      <w:r w:rsidRPr="00467A14">
        <w:rPr>
          <w:rFonts w:ascii="Times New Roman" w:eastAsia="Times New Roman" w:hAnsi="Times New Roman" w:cs="Times New Roman"/>
          <w:color w:val="000000"/>
          <w:sz w:val="24"/>
          <w:szCs w:val="24"/>
        </w:rPr>
        <w:t>pecificity. Only studies published in English were included, and the final search was conducted up to March 2026.</w:t>
      </w:r>
    </w:p>
    <w:p w14:paraId="1D292D52" w14:textId="77777777" w:rsidR="000F0B49" w:rsidRPr="00467A14" w:rsidRDefault="000F0B49" w:rsidP="003E6F0F">
      <w:pPr>
        <w:pStyle w:val="Heading3"/>
        <w:keepNext w:val="0"/>
        <w:keepLines w:val="0"/>
        <w:spacing w:before="280"/>
        <w:rPr>
          <w:rFonts w:ascii="Times New Roman" w:eastAsia="Times New Roman" w:hAnsi="Times New Roman" w:cs="Times New Roman"/>
          <w:b/>
          <w:bCs/>
          <w:color w:val="000000"/>
          <w:sz w:val="24"/>
          <w:szCs w:val="24"/>
        </w:rPr>
      </w:pPr>
    </w:p>
    <w:p w14:paraId="4FBC7030"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6"/>
          <w:szCs w:val="26"/>
        </w:rPr>
      </w:pPr>
      <w:bookmarkStart w:id="6" w:name="_fo0vpigdakdx" w:colFirst="0" w:colLast="0"/>
      <w:bookmarkEnd w:id="6"/>
      <w:r w:rsidRPr="00467A14">
        <w:rPr>
          <w:rFonts w:ascii="Times New Roman" w:eastAsia="Times New Roman" w:hAnsi="Times New Roman" w:cs="Times New Roman"/>
          <w:b/>
          <w:bCs/>
          <w:color w:val="000000"/>
          <w:sz w:val="26"/>
          <w:szCs w:val="26"/>
        </w:rPr>
        <w:t>2.3 Eligibility Criteria</w:t>
      </w:r>
    </w:p>
    <w:p w14:paraId="0B28D3A2" w14:textId="77777777" w:rsidR="000F0B49" w:rsidRPr="00467A14" w:rsidRDefault="00F034B5" w:rsidP="003E6F0F">
      <w:pPr>
        <w:pStyle w:val="Heading3"/>
        <w:keepNext w:val="0"/>
        <w:keepLines w:val="0"/>
        <w:spacing w:before="240" w:after="240"/>
        <w:rPr>
          <w:rFonts w:ascii="Times New Roman" w:eastAsia="Times New Roman" w:hAnsi="Times New Roman" w:cs="Times New Roman"/>
          <w:color w:val="000000"/>
          <w:sz w:val="24"/>
          <w:szCs w:val="24"/>
        </w:rPr>
      </w:pPr>
      <w:r w:rsidRPr="00467A14">
        <w:rPr>
          <w:rFonts w:ascii="Times New Roman" w:eastAsia="Times New Roman" w:hAnsi="Times New Roman" w:cs="Times New Roman"/>
          <w:color w:val="000000"/>
          <w:sz w:val="24"/>
          <w:szCs w:val="24"/>
        </w:rPr>
        <w:t>Studies were selected based on predefined inclusion and exclusion criteria. Eligible studies were original human res</w:t>
      </w:r>
      <w:r w:rsidRPr="00467A14">
        <w:rPr>
          <w:rFonts w:ascii="Times New Roman" w:eastAsia="Times New Roman" w:hAnsi="Times New Roman" w:cs="Times New Roman"/>
          <w:color w:val="000000"/>
          <w:sz w:val="24"/>
          <w:szCs w:val="24"/>
        </w:rPr>
        <w:t>earch articles involving patients with laboratory-confirmed malaria and reporting platelet count data or extractable data on thrombocytopenia prevalence. Observational study designs, including cross-sectional, cohort, case-control, retrospective, prospecti</w:t>
      </w:r>
      <w:r w:rsidRPr="00467A14">
        <w:rPr>
          <w:rFonts w:ascii="Times New Roman" w:eastAsia="Times New Roman" w:hAnsi="Times New Roman" w:cs="Times New Roman"/>
          <w:color w:val="000000"/>
          <w:sz w:val="24"/>
          <w:szCs w:val="24"/>
        </w:rPr>
        <w:t>ve, and surveillance-based studies, were included. Studies evaluating clinical outcomes associated with thrombocytopenia were also considered. Exclusion criteria comprised review articles, systematic reviews, meta-analyses, editorials, commentaries, confer</w:t>
      </w:r>
      <w:r w:rsidRPr="00467A14">
        <w:rPr>
          <w:rFonts w:ascii="Times New Roman" w:eastAsia="Times New Roman" w:hAnsi="Times New Roman" w:cs="Times New Roman"/>
          <w:color w:val="000000"/>
          <w:sz w:val="24"/>
          <w:szCs w:val="24"/>
        </w:rPr>
        <w:t>ence abstracts, case reports, animal studies, and in vitro studies. Studies lacking extractable data on thrombocytopenia prevalence or focusing exclusively on selected thrombocytopenic populations or severe-malaria-only cohorts without reporting overall pr</w:t>
      </w:r>
      <w:r w:rsidRPr="00467A14">
        <w:rPr>
          <w:rFonts w:ascii="Times New Roman" w:eastAsia="Times New Roman" w:hAnsi="Times New Roman" w:cs="Times New Roman"/>
          <w:color w:val="000000"/>
          <w:sz w:val="24"/>
          <w:szCs w:val="24"/>
        </w:rPr>
        <w:t>evalence were also excluded. For quantitative synthesis, only studies providing extractable numerator and denominator data were included.</w:t>
      </w:r>
    </w:p>
    <w:p w14:paraId="384B9A6F" w14:textId="77777777" w:rsidR="000F0B49" w:rsidRPr="00467A14" w:rsidRDefault="000F0B49" w:rsidP="003E6F0F">
      <w:pPr>
        <w:pStyle w:val="Heading3"/>
        <w:keepNext w:val="0"/>
        <w:keepLines w:val="0"/>
        <w:spacing w:before="280"/>
        <w:rPr>
          <w:rFonts w:ascii="Times New Roman" w:eastAsia="Times New Roman" w:hAnsi="Times New Roman" w:cs="Times New Roman"/>
          <w:b/>
          <w:bCs/>
          <w:color w:val="000000"/>
          <w:sz w:val="24"/>
          <w:szCs w:val="24"/>
        </w:rPr>
      </w:pPr>
    </w:p>
    <w:p w14:paraId="47707116"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6"/>
          <w:szCs w:val="26"/>
        </w:rPr>
      </w:pPr>
      <w:bookmarkStart w:id="7" w:name="_hhm55o82yqzn" w:colFirst="0" w:colLast="0"/>
      <w:bookmarkEnd w:id="7"/>
      <w:r w:rsidRPr="00467A14">
        <w:rPr>
          <w:rFonts w:ascii="Times New Roman" w:eastAsia="Times New Roman" w:hAnsi="Times New Roman" w:cs="Times New Roman"/>
          <w:b/>
          <w:bCs/>
          <w:color w:val="000000"/>
          <w:sz w:val="26"/>
          <w:szCs w:val="26"/>
        </w:rPr>
        <w:t>2.4 Study Selection</w:t>
      </w:r>
    </w:p>
    <w:p w14:paraId="3FAF2DE3" w14:textId="77777777" w:rsidR="000F0B49" w:rsidRPr="00467A14" w:rsidRDefault="00F034B5" w:rsidP="003E6F0F">
      <w:pPr>
        <w:pStyle w:val="Heading3"/>
        <w:keepNext w:val="0"/>
        <w:keepLines w:val="0"/>
        <w:spacing w:before="240" w:after="240"/>
        <w:rPr>
          <w:rFonts w:ascii="Times New Roman" w:eastAsia="Times New Roman" w:hAnsi="Times New Roman" w:cs="Times New Roman"/>
          <w:color w:val="000000"/>
          <w:sz w:val="24"/>
          <w:szCs w:val="24"/>
        </w:rPr>
      </w:pPr>
      <w:r w:rsidRPr="00467A14">
        <w:rPr>
          <w:rFonts w:ascii="Times New Roman" w:eastAsia="Times New Roman" w:hAnsi="Times New Roman" w:cs="Times New Roman"/>
          <w:color w:val="000000"/>
          <w:sz w:val="24"/>
          <w:szCs w:val="24"/>
        </w:rPr>
        <w:t>All retrieved records were exported and duplicates were removed prior to screening. Titles and ab</w:t>
      </w:r>
      <w:r w:rsidRPr="00467A14">
        <w:rPr>
          <w:rFonts w:ascii="Times New Roman" w:eastAsia="Times New Roman" w:hAnsi="Times New Roman" w:cs="Times New Roman"/>
          <w:color w:val="000000"/>
          <w:sz w:val="24"/>
          <w:szCs w:val="24"/>
        </w:rPr>
        <w:t>stracts were independently screened by two reviewers to identify potentially eligible studies based on the predefined criteria. Full-text articles of selected studies were then assessed for eligibility. Any disagreements between reviewers were resolved thr</w:t>
      </w:r>
      <w:r w:rsidRPr="00467A14">
        <w:rPr>
          <w:rFonts w:ascii="Times New Roman" w:eastAsia="Times New Roman" w:hAnsi="Times New Roman" w:cs="Times New Roman"/>
          <w:color w:val="000000"/>
          <w:sz w:val="24"/>
          <w:szCs w:val="24"/>
        </w:rPr>
        <w:t xml:space="preserve">ough discussion and </w:t>
      </w:r>
      <w:r w:rsidRPr="00467A14">
        <w:rPr>
          <w:rFonts w:ascii="Times New Roman" w:eastAsia="Times New Roman" w:hAnsi="Times New Roman" w:cs="Times New Roman"/>
          <w:color w:val="000000"/>
          <w:sz w:val="24"/>
          <w:szCs w:val="24"/>
        </w:rPr>
        <w:lastRenderedPageBreak/>
        <w:t>consensus. The study selection process was documented using a PRISMA flow diagram, detailing the stages of identification, screening, eligibility assessment, and final inclusion.</w:t>
      </w:r>
    </w:p>
    <w:p w14:paraId="3E802F96" w14:textId="77777777" w:rsidR="000F0B49" w:rsidRPr="00467A14" w:rsidRDefault="000F0B49" w:rsidP="003E6F0F">
      <w:pPr>
        <w:pStyle w:val="Heading3"/>
        <w:keepNext w:val="0"/>
        <w:keepLines w:val="0"/>
        <w:spacing w:before="280"/>
        <w:rPr>
          <w:rFonts w:ascii="Times New Roman" w:eastAsia="Times New Roman" w:hAnsi="Times New Roman" w:cs="Times New Roman"/>
          <w:b/>
          <w:bCs/>
          <w:color w:val="000000"/>
          <w:sz w:val="24"/>
          <w:szCs w:val="24"/>
        </w:rPr>
      </w:pPr>
    </w:p>
    <w:p w14:paraId="56AE6A54"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6"/>
          <w:szCs w:val="26"/>
        </w:rPr>
      </w:pPr>
      <w:bookmarkStart w:id="8" w:name="_r4b28hsm25wl" w:colFirst="0" w:colLast="0"/>
      <w:bookmarkEnd w:id="8"/>
      <w:r w:rsidRPr="00467A14">
        <w:rPr>
          <w:rFonts w:ascii="Times New Roman" w:eastAsia="Times New Roman" w:hAnsi="Times New Roman" w:cs="Times New Roman"/>
          <w:b/>
          <w:bCs/>
          <w:color w:val="000000"/>
          <w:sz w:val="26"/>
          <w:szCs w:val="26"/>
        </w:rPr>
        <w:t>2.5 Data Extraction</w:t>
      </w:r>
    </w:p>
    <w:p w14:paraId="7C31F460" w14:textId="77777777" w:rsidR="000F0B49" w:rsidRPr="00467A14" w:rsidRDefault="00F034B5" w:rsidP="003E6F0F">
      <w:pPr>
        <w:pStyle w:val="Heading3"/>
        <w:keepNext w:val="0"/>
        <w:keepLines w:val="0"/>
        <w:spacing w:before="240" w:after="240"/>
        <w:rPr>
          <w:rFonts w:ascii="Times New Roman" w:eastAsia="Times New Roman" w:hAnsi="Times New Roman" w:cs="Times New Roman"/>
          <w:color w:val="000000"/>
          <w:sz w:val="24"/>
          <w:szCs w:val="24"/>
        </w:rPr>
      </w:pPr>
      <w:r w:rsidRPr="00467A14">
        <w:rPr>
          <w:rFonts w:ascii="Times New Roman" w:eastAsia="Times New Roman" w:hAnsi="Times New Roman" w:cs="Times New Roman"/>
          <w:color w:val="000000"/>
          <w:sz w:val="24"/>
          <w:szCs w:val="24"/>
        </w:rPr>
        <w:t xml:space="preserve">Data extraction was performed using </w:t>
      </w:r>
      <w:r w:rsidRPr="00467A14">
        <w:rPr>
          <w:rFonts w:ascii="Times New Roman" w:eastAsia="Times New Roman" w:hAnsi="Times New Roman" w:cs="Times New Roman"/>
          <w:color w:val="000000"/>
          <w:sz w:val="24"/>
          <w:szCs w:val="24"/>
        </w:rPr>
        <w:t>a standardized data extraction form to ensure consistency and completeness. Extracted variables included first author and year of publication, country, study design, sample size, participant characteristics, malaria species, diagnostic method, platelet thr</w:t>
      </w:r>
      <w:r w:rsidRPr="00467A14">
        <w:rPr>
          <w:rFonts w:ascii="Times New Roman" w:eastAsia="Times New Roman" w:hAnsi="Times New Roman" w:cs="Times New Roman"/>
          <w:color w:val="000000"/>
          <w:sz w:val="24"/>
          <w:szCs w:val="24"/>
        </w:rPr>
        <w:t>eshold used to define thrombocytopenia, number of thrombocytopenic cases (n/N), prevalence of thrombocytopenia, severity classification where available, and reported clinical outcomes such as disease severity, complications, and mortality. Where necessary,</w:t>
      </w:r>
      <w:r w:rsidRPr="00467A14">
        <w:rPr>
          <w:rFonts w:ascii="Times New Roman" w:eastAsia="Times New Roman" w:hAnsi="Times New Roman" w:cs="Times New Roman"/>
          <w:color w:val="000000"/>
          <w:sz w:val="24"/>
          <w:szCs w:val="24"/>
        </w:rPr>
        <w:t xml:space="preserve"> relevant data were extracted from tables, figures, and supplementary materials provided in the original studies.</w:t>
      </w:r>
    </w:p>
    <w:p w14:paraId="2378FB3E" w14:textId="77777777" w:rsidR="000F0B49" w:rsidRPr="00467A14" w:rsidRDefault="000F0B49" w:rsidP="003E6F0F">
      <w:pPr>
        <w:pStyle w:val="Heading3"/>
        <w:keepNext w:val="0"/>
        <w:keepLines w:val="0"/>
        <w:spacing w:before="280"/>
        <w:rPr>
          <w:rFonts w:ascii="Times New Roman" w:eastAsia="Times New Roman" w:hAnsi="Times New Roman" w:cs="Times New Roman"/>
          <w:b/>
          <w:bCs/>
          <w:color w:val="000000"/>
          <w:sz w:val="24"/>
          <w:szCs w:val="24"/>
        </w:rPr>
      </w:pPr>
    </w:p>
    <w:p w14:paraId="734B3071"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6"/>
          <w:szCs w:val="26"/>
        </w:rPr>
      </w:pPr>
      <w:bookmarkStart w:id="9" w:name="_qmp0vgbh5thb" w:colFirst="0" w:colLast="0"/>
      <w:bookmarkEnd w:id="9"/>
      <w:r w:rsidRPr="00467A14">
        <w:rPr>
          <w:rFonts w:ascii="Times New Roman" w:eastAsia="Times New Roman" w:hAnsi="Times New Roman" w:cs="Times New Roman"/>
          <w:b/>
          <w:bCs/>
          <w:color w:val="000000"/>
          <w:sz w:val="26"/>
          <w:szCs w:val="26"/>
        </w:rPr>
        <w:t>2.6 Quality Assessment</w:t>
      </w:r>
    </w:p>
    <w:p w14:paraId="268E64BA" w14:textId="77777777" w:rsidR="000F0B49" w:rsidRPr="00467A14" w:rsidRDefault="00F034B5" w:rsidP="003E6F0F">
      <w:pPr>
        <w:pStyle w:val="Heading3"/>
        <w:keepNext w:val="0"/>
        <w:keepLines w:val="0"/>
        <w:spacing w:before="240" w:after="240"/>
        <w:rPr>
          <w:rFonts w:ascii="Times New Roman" w:eastAsia="Times New Roman" w:hAnsi="Times New Roman" w:cs="Times New Roman"/>
          <w:color w:val="000000"/>
          <w:sz w:val="24"/>
          <w:szCs w:val="24"/>
        </w:rPr>
      </w:pPr>
      <w:r w:rsidRPr="00467A14">
        <w:rPr>
          <w:rFonts w:ascii="Times New Roman" w:eastAsia="Times New Roman" w:hAnsi="Times New Roman" w:cs="Times New Roman"/>
          <w:color w:val="000000"/>
          <w:sz w:val="24"/>
          <w:szCs w:val="24"/>
        </w:rPr>
        <w:t>The methodological quality of included studies was assessed using the Joanna Briggs Institute (JBI) critical appraisal</w:t>
      </w:r>
      <w:r w:rsidRPr="00467A14">
        <w:rPr>
          <w:rFonts w:ascii="Times New Roman" w:eastAsia="Times New Roman" w:hAnsi="Times New Roman" w:cs="Times New Roman"/>
          <w:color w:val="000000"/>
          <w:sz w:val="24"/>
          <w:szCs w:val="24"/>
        </w:rPr>
        <w:t xml:space="preserve"> checklist for prevalence and observational studies. This assessment evaluated domains including the appropriateness of sample selection, validity and reliability of malaria diagnosis, measurement of platelet outcomes, completeness of outcome reporting, an</w:t>
      </w:r>
      <w:r w:rsidRPr="00467A14">
        <w:rPr>
          <w:rFonts w:ascii="Times New Roman" w:eastAsia="Times New Roman" w:hAnsi="Times New Roman" w:cs="Times New Roman"/>
          <w:color w:val="000000"/>
          <w:sz w:val="24"/>
          <w:szCs w:val="24"/>
        </w:rPr>
        <w:t>d potential sources of bias. Studies were categorized as having low, moderate, or high risk of bias. The results of the quality assessment were used to inform interpretation of findings but were not used as criteria for exclusion.</w:t>
      </w:r>
    </w:p>
    <w:p w14:paraId="3FBAE8D8" w14:textId="77777777" w:rsidR="000F0B49" w:rsidRPr="00467A14" w:rsidRDefault="000F0B49" w:rsidP="003E6F0F">
      <w:pPr>
        <w:pStyle w:val="Heading3"/>
        <w:keepNext w:val="0"/>
        <w:keepLines w:val="0"/>
        <w:spacing w:before="280"/>
        <w:rPr>
          <w:rFonts w:ascii="Times New Roman" w:eastAsia="Times New Roman" w:hAnsi="Times New Roman" w:cs="Times New Roman"/>
          <w:b/>
          <w:bCs/>
          <w:color w:val="000000"/>
          <w:sz w:val="24"/>
          <w:szCs w:val="24"/>
        </w:rPr>
      </w:pPr>
    </w:p>
    <w:p w14:paraId="008385EE"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6"/>
          <w:szCs w:val="26"/>
        </w:rPr>
      </w:pPr>
      <w:bookmarkStart w:id="10" w:name="_9y8fp0y211k4" w:colFirst="0" w:colLast="0"/>
      <w:bookmarkEnd w:id="10"/>
      <w:r w:rsidRPr="00467A14">
        <w:rPr>
          <w:rFonts w:ascii="Times New Roman" w:eastAsia="Times New Roman" w:hAnsi="Times New Roman" w:cs="Times New Roman"/>
          <w:b/>
          <w:bCs/>
          <w:color w:val="000000"/>
          <w:sz w:val="26"/>
          <w:szCs w:val="26"/>
        </w:rPr>
        <w:t>2.7 Data Synthesis and S</w:t>
      </w:r>
      <w:r w:rsidRPr="00467A14">
        <w:rPr>
          <w:rFonts w:ascii="Times New Roman" w:eastAsia="Times New Roman" w:hAnsi="Times New Roman" w:cs="Times New Roman"/>
          <w:b/>
          <w:bCs/>
          <w:color w:val="000000"/>
          <w:sz w:val="26"/>
          <w:szCs w:val="26"/>
        </w:rPr>
        <w:t>tatistical Analysis</w:t>
      </w:r>
    </w:p>
    <w:p w14:paraId="50B5BEAC" w14:textId="77777777" w:rsidR="000F0B49" w:rsidRPr="00467A14" w:rsidRDefault="00F034B5" w:rsidP="003E6F0F">
      <w:pPr>
        <w:pStyle w:val="Heading3"/>
        <w:keepNext w:val="0"/>
        <w:keepLines w:val="0"/>
        <w:spacing w:before="240" w:after="240"/>
        <w:rPr>
          <w:rFonts w:ascii="Times New Roman" w:eastAsia="Times New Roman" w:hAnsi="Times New Roman" w:cs="Times New Roman"/>
          <w:color w:val="000000"/>
          <w:sz w:val="24"/>
          <w:szCs w:val="24"/>
        </w:rPr>
      </w:pPr>
      <w:r w:rsidRPr="00467A14">
        <w:rPr>
          <w:rFonts w:ascii="Times New Roman" w:eastAsia="Times New Roman" w:hAnsi="Times New Roman" w:cs="Times New Roman"/>
          <w:color w:val="000000"/>
          <w:sz w:val="24"/>
          <w:szCs w:val="24"/>
        </w:rPr>
        <w:t>Data synthesis was conducted in two phases. First, a qualitative narrative synthesis was performed to summarize study characteristics and examine the clinical significance of thrombocytopenia in malaria, particularly its association wit</w:t>
      </w:r>
      <w:r w:rsidRPr="00467A14">
        <w:rPr>
          <w:rFonts w:ascii="Times New Roman" w:eastAsia="Times New Roman" w:hAnsi="Times New Roman" w:cs="Times New Roman"/>
          <w:color w:val="000000"/>
          <w:sz w:val="24"/>
          <w:szCs w:val="24"/>
        </w:rPr>
        <w:t>h disease severity, complications, and outcomes. Second, a quantitative meta-analysis was conducted using studies with extractable prevalence data. Pooled prevalence estimates were calculated using a random-effects model to account for anticipated heteroge</w:t>
      </w:r>
      <w:r w:rsidRPr="00467A14">
        <w:rPr>
          <w:rFonts w:ascii="Times New Roman" w:eastAsia="Times New Roman" w:hAnsi="Times New Roman" w:cs="Times New Roman"/>
          <w:color w:val="000000"/>
          <w:sz w:val="24"/>
          <w:szCs w:val="24"/>
        </w:rPr>
        <w:t xml:space="preserve">neity across studies arising from differences in geographic settings, malaria species, population characteristics, and study design. To address variance instability in proportional data, prevalence estimates were transformed using the Freeman–Tukey double </w:t>
      </w:r>
      <w:r w:rsidRPr="00467A14">
        <w:rPr>
          <w:rFonts w:ascii="Times New Roman" w:eastAsia="Times New Roman" w:hAnsi="Times New Roman" w:cs="Times New Roman"/>
          <w:color w:val="000000"/>
          <w:sz w:val="24"/>
          <w:szCs w:val="24"/>
        </w:rPr>
        <w:t>arcsine transformation prior to pooling and subsequently back-transformed for interpretation. Between-study heterogeneity was assessed using Cochran’s Q statistic, the I² statistic, and tau-squared (τ²). Forest plots were used to present individual study e</w:t>
      </w:r>
      <w:r w:rsidRPr="00467A14">
        <w:rPr>
          <w:rFonts w:ascii="Times New Roman" w:eastAsia="Times New Roman" w:hAnsi="Times New Roman" w:cs="Times New Roman"/>
          <w:color w:val="000000"/>
          <w:sz w:val="24"/>
          <w:szCs w:val="24"/>
        </w:rPr>
        <w:t xml:space="preserve">stimates </w:t>
      </w:r>
      <w:r w:rsidRPr="00467A14">
        <w:rPr>
          <w:rFonts w:ascii="Times New Roman" w:eastAsia="Times New Roman" w:hAnsi="Times New Roman" w:cs="Times New Roman"/>
          <w:color w:val="000000"/>
          <w:sz w:val="24"/>
          <w:szCs w:val="24"/>
        </w:rPr>
        <w:lastRenderedPageBreak/>
        <w:t>alongside pooled prevalence with corresponding 95% confidence intervals. Subgroup analyses were performed based on Plasmodium species (Plasmodium falciparum, Plasmodium vivax, and mixed infections) where sufficient data were available. Studies foc</w:t>
      </w:r>
      <w:r w:rsidRPr="00467A14">
        <w:rPr>
          <w:rFonts w:ascii="Times New Roman" w:eastAsia="Times New Roman" w:hAnsi="Times New Roman" w:cs="Times New Roman"/>
          <w:color w:val="000000"/>
          <w:sz w:val="24"/>
          <w:szCs w:val="24"/>
        </w:rPr>
        <w:t>using exclusively on selected populations or severe cases were excluded from pooled analysis and synthesized narratively. Statistical significance was set at p &lt; 0.05.</w:t>
      </w:r>
    </w:p>
    <w:p w14:paraId="6760A3B3"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6"/>
          <w:szCs w:val="26"/>
        </w:rPr>
      </w:pPr>
      <w:bookmarkStart w:id="11" w:name="_yg6tykegbigt" w:colFirst="0" w:colLast="0"/>
      <w:bookmarkEnd w:id="11"/>
      <w:r w:rsidRPr="00467A14">
        <w:rPr>
          <w:rFonts w:ascii="Times New Roman" w:eastAsia="Times New Roman" w:hAnsi="Times New Roman" w:cs="Times New Roman"/>
          <w:b/>
          <w:bCs/>
          <w:color w:val="000000"/>
          <w:sz w:val="26"/>
          <w:szCs w:val="26"/>
        </w:rPr>
        <w:t>2.8 Assessment of Publication Bias</w:t>
      </w:r>
    </w:p>
    <w:p w14:paraId="0174FFD2" w14:textId="77777777" w:rsidR="000F0B49" w:rsidRPr="00467A14" w:rsidRDefault="00F034B5" w:rsidP="003E6F0F">
      <w:pPr>
        <w:pStyle w:val="Heading3"/>
        <w:keepNext w:val="0"/>
        <w:keepLines w:val="0"/>
        <w:spacing w:before="240" w:after="240"/>
        <w:rPr>
          <w:rFonts w:ascii="Times New Roman" w:eastAsia="Times New Roman" w:hAnsi="Times New Roman" w:cs="Times New Roman"/>
          <w:color w:val="000000"/>
          <w:sz w:val="24"/>
          <w:szCs w:val="24"/>
        </w:rPr>
      </w:pPr>
      <w:bookmarkStart w:id="12" w:name="_agrkv2les0hh" w:colFirst="0" w:colLast="0"/>
      <w:bookmarkEnd w:id="12"/>
      <w:r w:rsidRPr="00467A14">
        <w:rPr>
          <w:rFonts w:ascii="Times New Roman" w:eastAsia="Times New Roman" w:hAnsi="Times New Roman" w:cs="Times New Roman"/>
          <w:color w:val="000000"/>
          <w:sz w:val="24"/>
          <w:szCs w:val="24"/>
        </w:rPr>
        <w:t>Potential publication bias was assessed through visua</w:t>
      </w:r>
      <w:r w:rsidRPr="00467A14">
        <w:rPr>
          <w:rFonts w:ascii="Times New Roman" w:eastAsia="Times New Roman" w:hAnsi="Times New Roman" w:cs="Times New Roman"/>
          <w:color w:val="000000"/>
          <w:sz w:val="24"/>
          <w:szCs w:val="24"/>
        </w:rPr>
        <w:t>l inspection of funnel plots when a sufficient number of studies were available. Given the expected heterogeneity in prevalence studies, interpretation of funnel plot asymmetry was approached with caution.</w:t>
      </w:r>
    </w:p>
    <w:p w14:paraId="0086BD16"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6"/>
          <w:szCs w:val="26"/>
        </w:rPr>
      </w:pPr>
      <w:bookmarkStart w:id="13" w:name="_sxd8qkrxpuo" w:colFirst="0" w:colLast="0"/>
      <w:bookmarkEnd w:id="13"/>
      <w:r w:rsidRPr="00467A14">
        <w:rPr>
          <w:rFonts w:ascii="Times New Roman" w:eastAsia="Times New Roman" w:hAnsi="Times New Roman" w:cs="Times New Roman"/>
          <w:b/>
          <w:bCs/>
          <w:color w:val="000000"/>
          <w:sz w:val="26"/>
          <w:szCs w:val="26"/>
        </w:rPr>
        <w:t>2.9 Ethical Considerations</w:t>
      </w:r>
    </w:p>
    <w:p w14:paraId="4C10A566" w14:textId="77777777" w:rsidR="000F0B49" w:rsidRPr="00467A14" w:rsidRDefault="00F034B5" w:rsidP="003E6F0F">
      <w:pPr>
        <w:pStyle w:val="Heading3"/>
        <w:keepNext w:val="0"/>
        <w:keepLines w:val="0"/>
        <w:spacing w:before="240" w:after="240"/>
        <w:rPr>
          <w:rFonts w:ascii="Times New Roman" w:eastAsia="Times New Roman" w:hAnsi="Times New Roman" w:cs="Times New Roman"/>
          <w:color w:val="000000"/>
          <w:sz w:val="24"/>
          <w:szCs w:val="24"/>
        </w:rPr>
      </w:pPr>
      <w:bookmarkStart w:id="14" w:name="_qfgah1mjbwoq" w:colFirst="0" w:colLast="0"/>
      <w:bookmarkEnd w:id="14"/>
      <w:r w:rsidRPr="00467A14">
        <w:rPr>
          <w:rFonts w:ascii="Times New Roman" w:eastAsia="Times New Roman" w:hAnsi="Times New Roman" w:cs="Times New Roman"/>
          <w:color w:val="000000"/>
          <w:sz w:val="24"/>
          <w:szCs w:val="24"/>
        </w:rPr>
        <w:t>This study utilized pre</w:t>
      </w:r>
      <w:r w:rsidRPr="00467A14">
        <w:rPr>
          <w:rFonts w:ascii="Times New Roman" w:eastAsia="Times New Roman" w:hAnsi="Times New Roman" w:cs="Times New Roman"/>
          <w:color w:val="000000"/>
          <w:sz w:val="24"/>
          <w:szCs w:val="24"/>
        </w:rPr>
        <w:t>viously published data and did not involve direct interaction with human participants. Therefore, ethical approval and informed consent were not required.</w:t>
      </w:r>
    </w:p>
    <w:p w14:paraId="35A60611" w14:textId="77777777" w:rsidR="000F0B49" w:rsidRPr="00467A14" w:rsidRDefault="00F034B5" w:rsidP="003E6F0F">
      <w:pPr>
        <w:pStyle w:val="Heading3"/>
        <w:keepNext w:val="0"/>
        <w:keepLines w:val="0"/>
        <w:spacing w:before="280"/>
        <w:rPr>
          <w:rFonts w:ascii="Times New Roman" w:eastAsia="Times New Roman" w:hAnsi="Times New Roman" w:cs="Times New Roman"/>
          <w:sz w:val="24"/>
          <w:szCs w:val="24"/>
        </w:rPr>
      </w:pPr>
      <w:bookmarkStart w:id="15" w:name="_a9ncz06qb686" w:colFirst="0" w:colLast="0"/>
      <w:bookmarkEnd w:id="15"/>
      <w:r w:rsidRPr="00467A14">
        <w:rPr>
          <w:rFonts w:ascii="Times New Roman" w:eastAsia="Times New Roman" w:hAnsi="Times New Roman" w:cs="Times New Roman"/>
          <w:sz w:val="24"/>
          <w:szCs w:val="24"/>
        </w:rPr>
        <w:t>.</w:t>
      </w:r>
    </w:p>
    <w:p w14:paraId="3D439AC2" w14:textId="77777777" w:rsidR="000F0B49" w:rsidRPr="00467A14" w:rsidRDefault="000F0B49" w:rsidP="003E6F0F">
      <w:pPr>
        <w:spacing w:before="240" w:after="240"/>
        <w:rPr>
          <w:rFonts w:ascii="Times New Roman" w:eastAsia="Times New Roman" w:hAnsi="Times New Roman" w:cs="Times New Roman"/>
          <w:sz w:val="24"/>
          <w:szCs w:val="24"/>
        </w:rPr>
      </w:pPr>
    </w:p>
    <w:p w14:paraId="6594E37C"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noProof/>
          <w:sz w:val="24"/>
          <w:szCs w:val="24"/>
        </w:rPr>
        <w:lastRenderedPageBreak/>
        <mc:AlternateContent>
          <mc:Choice Requires="wpg">
            <w:drawing>
              <wp:inline distT="114300" distB="114300" distL="114300" distR="114300" wp14:anchorId="7D192490" wp14:editId="489C92DC">
                <wp:extent cx="4895850" cy="4519951"/>
                <wp:effectExtent l="0" t="0" r="0" b="0"/>
                <wp:docPr id="1" name="Group 1"/>
                <wp:cNvGraphicFramePr/>
                <a:graphic xmlns:a="http://schemas.openxmlformats.org/drawingml/2006/main">
                  <a:graphicData uri="http://schemas.microsoft.com/office/word/2010/wordprocessingGroup">
                    <wpg:wgp>
                      <wpg:cNvGrpSpPr/>
                      <wpg:grpSpPr>
                        <a:xfrm>
                          <a:off x="0" y="0"/>
                          <a:ext cx="4895850" cy="4519951"/>
                          <a:chOff x="898750" y="230950"/>
                          <a:chExt cx="5080050" cy="4688500"/>
                        </a:xfrm>
                      </wpg:grpSpPr>
                      <wps:wsp>
                        <wps:cNvPr id="527933320" name="Rectangle 527933320"/>
                        <wps:cNvSpPr/>
                        <wps:spPr>
                          <a:xfrm rot="-5400000">
                            <a:off x="524175" y="615075"/>
                            <a:ext cx="1055400" cy="296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64210049" w14:textId="77777777" w:rsidR="000F0B49" w:rsidRDefault="00F034B5">
                              <w:pPr>
                                <w:spacing w:line="240" w:lineRule="auto"/>
                                <w:jc w:val="center"/>
                                <w:textDirection w:val="btLr"/>
                              </w:pPr>
                              <w:r>
                                <w:rPr>
                                  <w:b/>
                                  <w:color w:val="000000"/>
                                  <w:sz w:val="20"/>
                                </w:rPr>
                                <w:t>Identification</w:t>
                              </w:r>
                            </w:p>
                          </w:txbxContent>
                        </wps:txbx>
                        <wps:bodyPr spcFirstLastPara="1" wrap="square" lIns="91425" tIns="91425" rIns="91425" bIns="91425" anchor="ctr" anchorCtr="0">
                          <a:noAutofit/>
                        </wps:bodyPr>
                      </wps:wsp>
                      <wps:wsp>
                        <wps:cNvPr id="1104391397" name="Rectangle 1104391397"/>
                        <wps:cNvSpPr/>
                        <wps:spPr>
                          <a:xfrm rot="-5400000">
                            <a:off x="524175" y="1822925"/>
                            <a:ext cx="1055400" cy="296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77D763BE" w14:textId="77777777" w:rsidR="000F0B49" w:rsidRDefault="00F034B5">
                              <w:pPr>
                                <w:spacing w:line="240" w:lineRule="auto"/>
                                <w:jc w:val="center"/>
                                <w:textDirection w:val="btLr"/>
                              </w:pPr>
                              <w:r>
                                <w:rPr>
                                  <w:b/>
                                  <w:color w:val="000000"/>
                                  <w:sz w:val="20"/>
                                </w:rPr>
                                <w:t>Screening</w:t>
                              </w:r>
                            </w:p>
                          </w:txbxContent>
                        </wps:txbx>
                        <wps:bodyPr spcFirstLastPara="1" wrap="square" lIns="91425" tIns="91425" rIns="91425" bIns="91425" anchor="ctr" anchorCtr="0">
                          <a:noAutofit/>
                        </wps:bodyPr>
                      </wps:wsp>
                      <wps:wsp>
                        <wps:cNvPr id="202046440" name="Rectangle 202046440"/>
                        <wps:cNvSpPr/>
                        <wps:spPr>
                          <a:xfrm rot="-5400000">
                            <a:off x="524175" y="4238625"/>
                            <a:ext cx="1055400" cy="296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19EE7738" w14:textId="77777777" w:rsidR="000F0B49" w:rsidRDefault="00F034B5">
                              <w:pPr>
                                <w:spacing w:line="240" w:lineRule="auto"/>
                                <w:jc w:val="center"/>
                                <w:textDirection w:val="btLr"/>
                              </w:pPr>
                              <w:r>
                                <w:rPr>
                                  <w:b/>
                                  <w:color w:val="000000"/>
                                  <w:sz w:val="20"/>
                                </w:rPr>
                                <w:t>Included</w:t>
                              </w:r>
                            </w:p>
                          </w:txbxContent>
                        </wps:txbx>
                        <wps:bodyPr spcFirstLastPara="1" wrap="square" lIns="91425" tIns="91425" rIns="91425" bIns="91425" anchor="ctr" anchorCtr="0">
                          <a:noAutofit/>
                        </wps:bodyPr>
                      </wps:wsp>
                      <wps:wsp>
                        <wps:cNvPr id="1882557725" name="Rectangle 1882557725"/>
                        <wps:cNvSpPr/>
                        <wps:spPr>
                          <a:xfrm rot="-5400000">
                            <a:off x="524175" y="3030775"/>
                            <a:ext cx="1055400" cy="296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45507FBB" w14:textId="77777777" w:rsidR="000F0B49" w:rsidRDefault="00F034B5">
                              <w:pPr>
                                <w:spacing w:line="240" w:lineRule="auto"/>
                                <w:jc w:val="center"/>
                                <w:textDirection w:val="btLr"/>
                              </w:pPr>
                              <w:r>
                                <w:rPr>
                                  <w:b/>
                                  <w:color w:val="000000"/>
                                  <w:sz w:val="20"/>
                                </w:rPr>
                                <w:t>Eligibility</w:t>
                              </w:r>
                            </w:p>
                          </w:txbxContent>
                        </wps:txbx>
                        <wps:bodyPr spcFirstLastPara="1" wrap="square" lIns="91425" tIns="91425" rIns="91425" bIns="91425" anchor="ctr" anchorCtr="0">
                          <a:noAutofit/>
                        </wps:bodyPr>
                      </wps:wsp>
                      <wps:wsp>
                        <wps:cNvPr id="885908671" name="Rectangle 885908671"/>
                        <wps:cNvSpPr/>
                        <wps:spPr>
                          <a:xfrm>
                            <a:off x="1485425" y="235725"/>
                            <a:ext cx="1503300" cy="6210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23BB471F" w14:textId="77777777" w:rsidR="000F0B49" w:rsidRDefault="00F034B5">
                              <w:pPr>
                                <w:spacing w:line="240" w:lineRule="auto"/>
                                <w:jc w:val="center"/>
                                <w:textDirection w:val="btLr"/>
                              </w:pPr>
                              <w:r>
                                <w:rPr>
                                  <w:color w:val="000000"/>
                                  <w:sz w:val="20"/>
                                </w:rPr>
                                <w:t xml:space="preserve">Records identified through database searching: </w:t>
                              </w:r>
                              <w:r>
                                <w:rPr>
                                  <w:b/>
                                  <w:color w:val="000000"/>
                                  <w:sz w:val="20"/>
                                </w:rPr>
                                <w:t>n = 312</w:t>
                              </w:r>
                            </w:p>
                          </w:txbxContent>
                        </wps:txbx>
                        <wps:bodyPr spcFirstLastPara="1" wrap="square" lIns="91425" tIns="91425" rIns="91425" bIns="91425" anchor="ctr" anchorCtr="0">
                          <a:noAutofit/>
                        </wps:bodyPr>
                      </wps:wsp>
                      <wps:wsp>
                        <wps:cNvPr id="771217576" name="Rectangle 771217576"/>
                        <wps:cNvSpPr/>
                        <wps:spPr>
                          <a:xfrm>
                            <a:off x="3273925" y="235825"/>
                            <a:ext cx="1503300" cy="6210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53096122" w14:textId="77777777" w:rsidR="000F0B49" w:rsidRDefault="00F034B5">
                              <w:pPr>
                                <w:spacing w:line="240" w:lineRule="auto"/>
                                <w:jc w:val="center"/>
                                <w:textDirection w:val="btLr"/>
                              </w:pPr>
                              <w:r>
                                <w:rPr>
                                  <w:color w:val="000000"/>
                                  <w:sz w:val="20"/>
                                </w:rPr>
                                <w:t xml:space="preserve">Additional records identified through other sources: </w:t>
                              </w:r>
                              <w:r>
                                <w:rPr>
                                  <w:b/>
                                  <w:color w:val="000000"/>
                                  <w:sz w:val="20"/>
                                </w:rPr>
                                <w:t>n = 0</w:t>
                              </w:r>
                            </w:p>
                          </w:txbxContent>
                        </wps:txbx>
                        <wps:bodyPr spcFirstLastPara="1" wrap="square" lIns="91425" tIns="91425" rIns="91425" bIns="91425" anchor="ctr" anchorCtr="0">
                          <a:noAutofit/>
                        </wps:bodyPr>
                      </wps:wsp>
                      <wps:wsp>
                        <wps:cNvPr id="564488017" name="Rectangle 564488017"/>
                        <wps:cNvSpPr/>
                        <wps:spPr>
                          <a:xfrm>
                            <a:off x="1763525" y="1022225"/>
                            <a:ext cx="2735700" cy="3261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1C39918A" w14:textId="77777777" w:rsidR="000F0B49" w:rsidRDefault="00F034B5">
                              <w:pPr>
                                <w:spacing w:line="240" w:lineRule="auto"/>
                                <w:jc w:val="center"/>
                                <w:textDirection w:val="btLr"/>
                              </w:pPr>
                              <w:r>
                                <w:rPr>
                                  <w:color w:val="000000"/>
                                  <w:sz w:val="20"/>
                                </w:rPr>
                                <w:t xml:space="preserve">Records after duplicates removed: </w:t>
                              </w:r>
                              <w:r>
                                <w:rPr>
                                  <w:b/>
                                  <w:color w:val="000000"/>
                                  <w:sz w:val="20"/>
                                </w:rPr>
                                <w:t>n = 234</w:t>
                              </w:r>
                            </w:p>
                          </w:txbxContent>
                        </wps:txbx>
                        <wps:bodyPr spcFirstLastPara="1" wrap="square" lIns="91425" tIns="91425" rIns="91425" bIns="91425" anchor="ctr" anchorCtr="0">
                          <a:noAutofit/>
                        </wps:bodyPr>
                      </wps:wsp>
                      <wps:wsp>
                        <wps:cNvPr id="2052839521" name="Rectangle 2052839521"/>
                        <wps:cNvSpPr/>
                        <wps:spPr>
                          <a:xfrm>
                            <a:off x="1485425" y="1513725"/>
                            <a:ext cx="2202000" cy="3885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44C772E0" w14:textId="77777777" w:rsidR="000F0B49" w:rsidRDefault="00F034B5">
                              <w:pPr>
                                <w:spacing w:line="240" w:lineRule="auto"/>
                                <w:jc w:val="center"/>
                                <w:textDirection w:val="btLr"/>
                              </w:pPr>
                              <w:r>
                                <w:rPr>
                                  <w:color w:val="000000"/>
                                  <w:sz w:val="20"/>
                                </w:rPr>
                                <w:t xml:space="preserve">Records screened (title/abstract): </w:t>
                              </w:r>
                              <w:r>
                                <w:rPr>
                                  <w:color w:val="000000"/>
                                  <w:sz w:val="20"/>
                                </w:rPr>
                                <w:br/>
                              </w:r>
                              <w:r>
                                <w:rPr>
                                  <w:b/>
                                  <w:color w:val="000000"/>
                                  <w:sz w:val="20"/>
                                </w:rPr>
                                <w:t>n = 234</w:t>
                              </w:r>
                            </w:p>
                          </w:txbxContent>
                        </wps:txbx>
                        <wps:bodyPr spcFirstLastPara="1" wrap="square" lIns="91425" tIns="91425" rIns="91425" bIns="91425" anchor="ctr" anchorCtr="0">
                          <a:noAutofit/>
                        </wps:bodyPr>
                      </wps:wsp>
                      <wps:wsp>
                        <wps:cNvPr id="1472366612" name="Rectangle 1472366612"/>
                        <wps:cNvSpPr/>
                        <wps:spPr>
                          <a:xfrm>
                            <a:off x="3871925" y="1525450"/>
                            <a:ext cx="2102100" cy="3885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2D7C664F" w14:textId="77777777" w:rsidR="000F0B49" w:rsidRDefault="00F034B5">
                              <w:pPr>
                                <w:spacing w:line="240" w:lineRule="auto"/>
                                <w:jc w:val="center"/>
                                <w:textDirection w:val="btLr"/>
                              </w:pPr>
                              <w:r>
                                <w:rPr>
                                  <w:color w:val="000000"/>
                                  <w:sz w:val="20"/>
                                </w:rPr>
                                <w:t xml:space="preserve">Records screened (title/abstract): </w:t>
                              </w:r>
                              <w:r>
                                <w:rPr>
                                  <w:b/>
                                  <w:color w:val="000000"/>
                                  <w:sz w:val="20"/>
                                </w:rPr>
                                <w:t>n = 234</w:t>
                              </w:r>
                            </w:p>
                          </w:txbxContent>
                        </wps:txbx>
                        <wps:bodyPr spcFirstLastPara="1" wrap="square" lIns="91425" tIns="91425" rIns="91425" bIns="91425" anchor="ctr" anchorCtr="0">
                          <a:noAutofit/>
                        </wps:bodyPr>
                      </wps:wsp>
                      <wps:wsp>
                        <wps:cNvPr id="1754283792" name="Rectangle 1754283792"/>
                        <wps:cNvSpPr/>
                        <wps:spPr>
                          <a:xfrm>
                            <a:off x="1485425" y="2092588"/>
                            <a:ext cx="1943700" cy="3261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41B86DE5" w14:textId="77777777" w:rsidR="000F0B49" w:rsidRDefault="00F034B5">
                              <w:pPr>
                                <w:spacing w:line="240" w:lineRule="auto"/>
                                <w:jc w:val="center"/>
                                <w:textDirection w:val="btLr"/>
                              </w:pPr>
                              <w:r>
                                <w:rPr>
                                  <w:color w:val="000000"/>
                                  <w:sz w:val="20"/>
                                </w:rPr>
                                <w:t xml:space="preserve">Records excluded: </w:t>
                              </w:r>
                              <w:r>
                                <w:rPr>
                                  <w:b/>
                                  <w:color w:val="000000"/>
                                  <w:sz w:val="20"/>
                                </w:rPr>
                                <w:t>n = 178</w:t>
                              </w:r>
                            </w:p>
                          </w:txbxContent>
                        </wps:txbx>
                        <wps:bodyPr spcFirstLastPara="1" wrap="square" lIns="91425" tIns="91425" rIns="91425" bIns="91425" anchor="ctr" anchorCtr="0">
                          <a:noAutofit/>
                        </wps:bodyPr>
                      </wps:wsp>
                      <wps:wsp>
                        <wps:cNvPr id="1899808859" name="Rectangle 1899808859"/>
                        <wps:cNvSpPr/>
                        <wps:spPr>
                          <a:xfrm>
                            <a:off x="1485425" y="2609075"/>
                            <a:ext cx="2202000" cy="467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1282A571" w14:textId="77777777" w:rsidR="000F0B49" w:rsidRDefault="00F034B5">
                              <w:pPr>
                                <w:spacing w:line="240" w:lineRule="auto"/>
                                <w:textDirection w:val="btLr"/>
                              </w:pPr>
                              <w:r>
                                <w:rPr>
                                  <w:color w:val="000000"/>
                                  <w:sz w:val="20"/>
                                </w:rPr>
                                <w:t xml:space="preserve">Full-text articles assessed: </w:t>
                              </w:r>
                              <w:r>
                                <w:rPr>
                                  <w:b/>
                                  <w:color w:val="000000"/>
                                  <w:sz w:val="20"/>
                                </w:rPr>
                                <w:t>n = 56</w:t>
                              </w:r>
                              <w:r>
                                <w:rPr>
                                  <w:b/>
                                  <w:color w:val="000000"/>
                                  <w:sz w:val="20"/>
                                </w:rPr>
                                <w:br/>
                              </w:r>
                              <w:r>
                                <w:rPr>
                                  <w:color w:val="000000"/>
                                  <w:sz w:val="20"/>
                                </w:rPr>
                                <w:t xml:space="preserve">Full-text articles excluded: </w:t>
                              </w:r>
                              <w:r>
                                <w:rPr>
                                  <w:b/>
                                  <w:color w:val="000000"/>
                                  <w:sz w:val="20"/>
                                </w:rPr>
                                <w:t>n = 34</w:t>
                              </w:r>
                            </w:p>
                          </w:txbxContent>
                        </wps:txbx>
                        <wps:bodyPr spcFirstLastPara="1" wrap="square" lIns="91425" tIns="91425" rIns="91425" bIns="91425" anchor="ctr" anchorCtr="0">
                          <a:noAutofit/>
                        </wps:bodyPr>
                      </wps:wsp>
                      <wps:wsp>
                        <wps:cNvPr id="1957240415" name="Arrow: Down 1957240415"/>
                        <wps:cNvSpPr/>
                        <wps:spPr>
                          <a:xfrm>
                            <a:off x="2272700" y="856825"/>
                            <a:ext cx="102300" cy="1653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14:paraId="72D9ADC3" w14:textId="77777777" w:rsidR="000F0B49" w:rsidRDefault="000F0B49">
                              <w:pPr>
                                <w:spacing w:line="240" w:lineRule="auto"/>
                                <w:jc w:val="center"/>
                                <w:textDirection w:val="btLr"/>
                              </w:pPr>
                            </w:p>
                          </w:txbxContent>
                        </wps:txbx>
                        <wps:bodyPr spcFirstLastPara="1" wrap="square" lIns="91425" tIns="91425" rIns="91425" bIns="91425" anchor="ctr" anchorCtr="0">
                          <a:noAutofit/>
                        </wps:bodyPr>
                      </wps:wsp>
                      <wps:wsp>
                        <wps:cNvPr id="237726738" name="Arrow: Down 237726738"/>
                        <wps:cNvSpPr/>
                        <wps:spPr>
                          <a:xfrm rot="-5400000">
                            <a:off x="3743371" y="1615723"/>
                            <a:ext cx="72600" cy="1845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14:paraId="32C1FEA4" w14:textId="77777777" w:rsidR="000F0B49" w:rsidRDefault="000F0B49">
                              <w:pPr>
                                <w:spacing w:line="240" w:lineRule="auto"/>
                                <w:jc w:val="center"/>
                                <w:textDirection w:val="btLr"/>
                              </w:pPr>
                            </w:p>
                          </w:txbxContent>
                        </wps:txbx>
                        <wps:bodyPr spcFirstLastPara="1" wrap="square" lIns="91425" tIns="91425" rIns="91425" bIns="91425" anchor="ctr" anchorCtr="0">
                          <a:noAutofit/>
                        </wps:bodyPr>
                      </wps:wsp>
                      <wps:wsp>
                        <wps:cNvPr id="1868943280" name="Rectangle 1868943280"/>
                        <wps:cNvSpPr/>
                        <wps:spPr>
                          <a:xfrm>
                            <a:off x="3871925" y="2609075"/>
                            <a:ext cx="2102100" cy="8094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18611C93" w14:textId="77777777" w:rsidR="000F0B49" w:rsidRDefault="00F034B5">
                              <w:pPr>
                                <w:spacing w:line="240" w:lineRule="auto"/>
                                <w:jc w:val="both"/>
                                <w:textDirection w:val="btLr"/>
                              </w:pPr>
                              <w:r>
                                <w:rPr>
                                  <w:color w:val="000000"/>
                                  <w:sz w:val="20"/>
                                </w:rPr>
                                <w:t xml:space="preserve">Reviews/meta-analyses: </w:t>
                              </w:r>
                              <w:r>
                                <w:rPr>
                                  <w:b/>
                                  <w:color w:val="000000"/>
                                  <w:sz w:val="20"/>
                                </w:rPr>
                                <w:t>n = 12</w:t>
                              </w:r>
                            </w:p>
                            <w:p w14:paraId="6091F7BC" w14:textId="77777777" w:rsidR="000F0B49" w:rsidRDefault="00F034B5">
                              <w:pPr>
                                <w:spacing w:line="240" w:lineRule="auto"/>
                                <w:jc w:val="both"/>
                                <w:textDirection w:val="btLr"/>
                              </w:pPr>
                              <w:r>
                                <w:rPr>
                                  <w:color w:val="000000"/>
                                  <w:sz w:val="20"/>
                                </w:rPr>
                                <w:t xml:space="preserve">Insufficient platelet data: </w:t>
                              </w:r>
                              <w:r>
                                <w:rPr>
                                  <w:b/>
                                  <w:color w:val="000000"/>
                                  <w:sz w:val="20"/>
                                </w:rPr>
                                <w:t>n = 7</w:t>
                              </w:r>
                            </w:p>
                            <w:p w14:paraId="5AD9DA4F" w14:textId="77777777" w:rsidR="000F0B49" w:rsidRDefault="00F034B5">
                              <w:pPr>
                                <w:spacing w:line="240" w:lineRule="auto"/>
                                <w:jc w:val="both"/>
                                <w:textDirection w:val="btLr"/>
                              </w:pPr>
                              <w:r>
                                <w:rPr>
                                  <w:color w:val="000000"/>
                                  <w:sz w:val="20"/>
                                </w:rPr>
                                <w:t xml:space="preserve">Non-human studies: </w:t>
                              </w:r>
                              <w:r>
                                <w:rPr>
                                  <w:b/>
                                  <w:color w:val="000000"/>
                                  <w:sz w:val="20"/>
                                </w:rPr>
                                <w:t>n = 5</w:t>
                              </w:r>
                            </w:p>
                            <w:p w14:paraId="729901EE" w14:textId="77777777" w:rsidR="000F0B49" w:rsidRDefault="00F034B5">
                              <w:pPr>
                                <w:spacing w:line="240" w:lineRule="auto"/>
                                <w:jc w:val="both"/>
                                <w:textDirection w:val="btLr"/>
                              </w:pPr>
                              <w:r>
                                <w:rPr>
                                  <w:color w:val="000000"/>
                                  <w:sz w:val="20"/>
                                </w:rPr>
                                <w:t xml:space="preserve">Irrelevant outcomes: </w:t>
                              </w:r>
                              <w:r>
                                <w:rPr>
                                  <w:b/>
                                  <w:color w:val="000000"/>
                                  <w:sz w:val="20"/>
                                </w:rPr>
                                <w:t>n = 10</w:t>
                              </w:r>
                            </w:p>
                          </w:txbxContent>
                        </wps:txbx>
                        <wps:bodyPr spcFirstLastPara="1" wrap="square" lIns="91425" tIns="91425" rIns="91425" bIns="91425" anchor="ctr" anchorCtr="0">
                          <a:noAutofit/>
                        </wps:bodyPr>
                      </wps:wsp>
                      <wps:wsp>
                        <wps:cNvPr id="1502077183" name="Arrow: Down 1502077183"/>
                        <wps:cNvSpPr/>
                        <wps:spPr>
                          <a:xfrm>
                            <a:off x="2272698" y="3076775"/>
                            <a:ext cx="102300" cy="8094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14:paraId="63539D7D" w14:textId="77777777" w:rsidR="000F0B49" w:rsidRDefault="000F0B49">
                              <w:pPr>
                                <w:spacing w:line="240" w:lineRule="auto"/>
                                <w:jc w:val="center"/>
                                <w:textDirection w:val="btLr"/>
                              </w:pPr>
                            </w:p>
                          </w:txbxContent>
                        </wps:txbx>
                        <wps:bodyPr spcFirstLastPara="1" wrap="square" lIns="91425" tIns="91425" rIns="91425" bIns="91425" anchor="ctr" anchorCtr="0">
                          <a:noAutofit/>
                        </wps:bodyPr>
                      </wps:wsp>
                      <wps:wsp>
                        <wps:cNvPr id="194957519" name="Arrow: Down 194957519"/>
                        <wps:cNvSpPr/>
                        <wps:spPr>
                          <a:xfrm>
                            <a:off x="3850625" y="856825"/>
                            <a:ext cx="102300" cy="1653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14:paraId="001490BD" w14:textId="77777777" w:rsidR="000F0B49" w:rsidRDefault="000F0B49">
                              <w:pPr>
                                <w:spacing w:line="240" w:lineRule="auto"/>
                                <w:jc w:val="center"/>
                                <w:textDirection w:val="btLr"/>
                              </w:pPr>
                            </w:p>
                          </w:txbxContent>
                        </wps:txbx>
                        <wps:bodyPr spcFirstLastPara="1" wrap="square" lIns="91425" tIns="91425" rIns="91425" bIns="91425" anchor="ctr" anchorCtr="0">
                          <a:noAutofit/>
                        </wps:bodyPr>
                      </wps:wsp>
                      <wps:wsp>
                        <wps:cNvPr id="92188794" name="Arrow: Down 92188794"/>
                        <wps:cNvSpPr/>
                        <wps:spPr>
                          <a:xfrm>
                            <a:off x="2272700" y="1348425"/>
                            <a:ext cx="102300" cy="1653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14:paraId="3B66F003" w14:textId="77777777" w:rsidR="000F0B49" w:rsidRDefault="000F0B49">
                              <w:pPr>
                                <w:spacing w:line="240" w:lineRule="auto"/>
                                <w:jc w:val="center"/>
                                <w:textDirection w:val="btLr"/>
                              </w:pPr>
                            </w:p>
                          </w:txbxContent>
                        </wps:txbx>
                        <wps:bodyPr spcFirstLastPara="1" wrap="square" lIns="91425" tIns="91425" rIns="91425" bIns="91425" anchor="ctr" anchorCtr="0">
                          <a:noAutofit/>
                        </wps:bodyPr>
                      </wps:wsp>
                      <wps:wsp>
                        <wps:cNvPr id="500946278" name="Arrow: Down 500946278"/>
                        <wps:cNvSpPr/>
                        <wps:spPr>
                          <a:xfrm>
                            <a:off x="2272700" y="1927300"/>
                            <a:ext cx="102300" cy="1653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14:paraId="1CE1F608" w14:textId="77777777" w:rsidR="000F0B49" w:rsidRDefault="000F0B49">
                              <w:pPr>
                                <w:spacing w:line="240" w:lineRule="auto"/>
                                <w:jc w:val="center"/>
                                <w:textDirection w:val="btLr"/>
                              </w:pPr>
                            </w:p>
                          </w:txbxContent>
                        </wps:txbx>
                        <wps:bodyPr spcFirstLastPara="1" wrap="square" lIns="91425" tIns="91425" rIns="91425" bIns="91425" anchor="ctr" anchorCtr="0">
                          <a:noAutofit/>
                        </wps:bodyPr>
                      </wps:wsp>
                      <wps:wsp>
                        <wps:cNvPr id="711592747" name="Arrow: Down 711592747"/>
                        <wps:cNvSpPr/>
                        <wps:spPr>
                          <a:xfrm>
                            <a:off x="2272700" y="2443763"/>
                            <a:ext cx="102300" cy="1653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14:paraId="090F3862" w14:textId="77777777" w:rsidR="000F0B49" w:rsidRDefault="000F0B49">
                              <w:pPr>
                                <w:spacing w:line="240" w:lineRule="auto"/>
                                <w:jc w:val="center"/>
                                <w:textDirection w:val="btLr"/>
                              </w:pPr>
                            </w:p>
                          </w:txbxContent>
                        </wps:txbx>
                        <wps:bodyPr spcFirstLastPara="1" wrap="square" lIns="91425" tIns="91425" rIns="91425" bIns="91425" anchor="ctr" anchorCtr="0">
                          <a:noAutofit/>
                        </wps:bodyPr>
                      </wps:wsp>
                      <wps:wsp>
                        <wps:cNvPr id="593170713" name="Arrow: Down 593170713"/>
                        <wps:cNvSpPr/>
                        <wps:spPr>
                          <a:xfrm rot="-5400000">
                            <a:off x="3743371" y="2750673"/>
                            <a:ext cx="72600" cy="184500"/>
                          </a:xfrm>
                          <a:prstGeom prst="downArrow">
                            <a:avLst>
                              <a:gd name="adj1" fmla="val 50000"/>
                              <a:gd name="adj2" fmla="val 50000"/>
                            </a:avLst>
                          </a:prstGeom>
                          <a:solidFill>
                            <a:srgbClr val="FFF2CC"/>
                          </a:solidFill>
                          <a:ln w="9525" cap="flat" cmpd="sng">
                            <a:solidFill>
                              <a:srgbClr val="000000"/>
                            </a:solidFill>
                            <a:prstDash val="solid"/>
                            <a:round/>
                            <a:headEnd type="none" w="sm" len="sm"/>
                            <a:tailEnd type="none" w="sm" len="sm"/>
                          </a:ln>
                        </wps:spPr>
                        <wps:txbx>
                          <w:txbxContent>
                            <w:p w14:paraId="23819CA6" w14:textId="77777777" w:rsidR="000F0B49" w:rsidRDefault="000F0B49">
                              <w:pPr>
                                <w:spacing w:line="240" w:lineRule="auto"/>
                                <w:jc w:val="center"/>
                                <w:textDirection w:val="btLr"/>
                              </w:pPr>
                            </w:p>
                          </w:txbxContent>
                        </wps:txbx>
                        <wps:bodyPr spcFirstLastPara="1" wrap="square" lIns="91425" tIns="91425" rIns="91425" bIns="91425" anchor="ctr" anchorCtr="0">
                          <a:noAutofit/>
                        </wps:bodyPr>
                      </wps:wsp>
                      <wps:wsp>
                        <wps:cNvPr id="884530709" name="Rectangle 884530709"/>
                        <wps:cNvSpPr/>
                        <wps:spPr>
                          <a:xfrm>
                            <a:off x="1485425" y="3886175"/>
                            <a:ext cx="3291900" cy="467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0560F5FB" w14:textId="77777777" w:rsidR="000F0B49" w:rsidRDefault="00F034B5">
                              <w:pPr>
                                <w:spacing w:line="240" w:lineRule="auto"/>
                                <w:textDirection w:val="btLr"/>
                              </w:pPr>
                              <w:r>
                                <w:rPr>
                                  <w:color w:val="000000"/>
                                  <w:sz w:val="20"/>
                                </w:rPr>
                                <w:t xml:space="preserve">Studies included in qualitative synthesis: </w:t>
                              </w:r>
                              <w:r>
                                <w:rPr>
                                  <w:b/>
                                  <w:color w:val="000000"/>
                                  <w:sz w:val="20"/>
                                </w:rPr>
                                <w:t>n = 22</w:t>
                              </w:r>
                            </w:p>
                            <w:p w14:paraId="73C9521B" w14:textId="77777777" w:rsidR="000F0B49" w:rsidRDefault="00F034B5">
                              <w:pPr>
                                <w:spacing w:line="240" w:lineRule="auto"/>
                                <w:textDirection w:val="btLr"/>
                              </w:pPr>
                              <w:r>
                                <w:rPr>
                                  <w:color w:val="000000"/>
                                  <w:sz w:val="20"/>
                                </w:rPr>
                                <w:t xml:space="preserve">Studies included in quantitative meta-analysis: </w:t>
                              </w:r>
                              <w:r>
                                <w:rPr>
                                  <w:b/>
                                  <w:color w:val="000000"/>
                                  <w:sz w:val="20"/>
                                </w:rPr>
                                <w:t>n = 15</w:t>
                              </w:r>
                            </w:p>
                          </w:txbxContent>
                        </wps:txbx>
                        <wps:bodyPr spcFirstLastPara="1" wrap="square" lIns="91425" tIns="91425" rIns="91425" bIns="91425" anchor="ctr" anchorCtr="0">
                          <a:noAutofit/>
                        </wps:bodyPr>
                      </wps:wsp>
                    </wpg:wgp>
                  </a:graphicData>
                </a:graphic>
              </wp:inline>
            </w:drawing>
          </mc:Choice>
          <mc:Fallback>
            <w:pict>
              <v:group w14:anchorId="7D192490" id="Group 1" o:spid="_x0000_s1026" style="width:385.5pt;height:355.9pt;mso-position-horizontal-relative:char;mso-position-vertical-relative:line" coordorigin="8987,2309" coordsize="50800,4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MlgYAAFZDAAAOAAAAZHJzL2Uyb0RvYy54bWzsXFtv2zYUfh+w/yDovTUvupBGnaJImmJA&#10;sQXr9gMYWb4MsqRJSpz8+32kZIm2laZOm97GPDiSD0UdHX7n8NzkV6/vNpl3m1b1ushnPn1JfC/N&#10;k2K+zpcz/++/Ll8I36sblc9VVuTpzL9Pa//12a+/vNqW05QVqyKbp5WHSfJ6ui1n/qppyulkUier&#10;dKPql0WZ5iAuimqjGpxWy8m8UlvMvskmjJBosi2qeVkVSVrX+PaiJfpnZv7FIk2aPxaLOm28bOaD&#10;t8Z8VubzWn9Ozl6p6bJS5WqddGyoJ3CxUescN+2nulCN8m6q9dFUm3VSFXWxaF4mxWZSLBbrJDXP&#10;gKeh5OBp3lXFTWmeZTndLsteTBDtgZyePG3y++1V5a3nWDvfy9UGS2Tu6lEtmm25nGLEu6r8UF5V&#10;3RfL9kw/7d2i2uj/eA7vzgj1vhdqetd4Cb4MhAxFCNknoAUhlTI0c6tpssLa6OuEFLEegQGME4lD&#10;syzJ6m03R0gEIf0ckcB8Zsxkx8JEc9ozti0BpnqQV/158vqwUmVqlqHW0ujkFbJYcs4Z+G7l9ifA&#10;pvJllnoDyYjMXNULsJ7WkOVOel5VAJMvwoDoPwOhTpghC2gcGqFENCQ4NELZiZWSUF/UipXJKD6Q&#10;iJqWVd28S4uNpw9mfgX2zPzq9n3dYC4IbzdEc1MX2Xp+uc4yc1Itr8+zyrtV0JvLy0t2fq5vj0v2&#10;hmW5t535MmTgM1FQ30WmGhxuSgCqzpfmfntX1PbE5pl3C7k3TDN2oepVy4AhtY8PjcjnRhCrVM3f&#10;5nOvuS8B2hzWxdfM1Bvfy1LYIhyYcY1aZ4+Pw5NlOR5QQ6ddH33U3F3fYRJ9eF3M77HydZlcrsHc&#10;e1U3V6qCrYDebGE/cMN/b1QFJrLfcgBO0kBLpbFPKvvk2j5RebIqYJaSpvK99uS8MWZKr0ZevLlp&#10;isXarNrATMcukN6y+OyQp5QEXFIu42PMW7ROYlCVzwE9FYxJiNAsokP9V0Z9tyU48Pf2nhFGgigI&#10;Ruz9QPoy0A8YF5GDvtH8r2/wDfSZtjuDqf2f230hWBjGsd7QDn0dOtC+DPg54SR23s63BD934B/8&#10;fAQbkogo7uOjwc8fSI9CX7txnWNPAxEa39CEO6HWKrPYvY8TEs53nn3EqI4LMKCPdQa33Xn2n+XZ&#10;G0MfOKwPWI9jyhB0xtGxnR9Ip2Cds5hrJ74N7UNsIw7rsATfyKkxwndOTZvvCuHLC0HoSCw7kE7B&#10;Oo0jbjIhsOuUMPwdgB26EOo0jcmEcRbBsjvD/hwpG2PYI2fYB8POSMgER6JuxIuxaCfB3XJjaEj5&#10;kR/DdFjcw/04Z+v8mC+UoTRwjx3cB7jTIGY8iiLKjh0Zi3YK3LmI6c6ToTDzwa5KsXPb4ahrX72z&#10;7g7uz5aQN3AXDu4W3GMElILHcgzuA+0UuO8FqQTAF0biarqDO5UBd87MV6g/GbhLB3cL7kJKQXTy&#10;ZcS6D7Qnwz0i8qjcuufMBFHsyq2odD6b705NYOQi1a4zQyJJGJCA9un3N1VVbKfeRbHNPTpQT0E8&#10;YzEz9hvRqgij48wMQStG583QKNTHmP7hJOQcvBi2hh4DnfNczruKgZr/g9hjsclQMkdXgYcOjnbK&#10;/THYwUbG4Lama8Ew4JoWds0NDzctmE2Ddj08rnlB9zcxjgJWFHM0pLU1LFuJBuKjOvRwxw6PA851&#10;nUAngNCzgxhE68zgM+H+vUoJBBBOpdr+Hm0KemF8r31ArUq5urDVAkdFJBAGMDHSE2HRHlUpqzhm&#10;h9nQlhFHzA6zBZG6B+6jG5Pre/tYf9xjW4grBdt4D5HRRCFM8LE9BE2aO+opiNeOWCSxK2HXQOcD&#10;QouDsgEA33tinwJ454mZvtbvpH203TZcldlWIxkgZkEn+KgW9cRTlIijI1x3zGklctHMz9aC3eqQ&#10;q15bOiQZGu9iGYypUE87RYPsfADlgdAdSrh+CF7sbcglBKzXI36g6MXVxC0VQvwtg4jFowmBgfhk&#10;JZLo92iDE6dEP8erQO0+5CrtlhLFlIYAetB3UdlZtYH4VCViAaqM0UEaze1ED7yo9wPtRK5+bylR&#10;KDmNSUxH0woD8VEl+rTUNMO7tsiD73t3LjU9/u7rD6RSrkfAUimB+gqyaaTPMdhvbexIjyqUlZi2&#10;G2K4EJF+NxvXD64dZ5JK+Hvte+6uQ+B5+7/w2n23et/5i9nmlwnw4w2mdN390IT+dQj7HMf2z2Gc&#10;/QcAAP//AwBQSwMEFAAGAAgAAAAhAP5TTF3bAAAABQEAAA8AAABkcnMvZG93bnJldi54bWxMj0FL&#10;w0AQhe+C/2EZwZvdrKItMZtSinoqgq0g3qbJNAnNzobsNkn/vaOXehnm8YY338uWk2vVQH1oPFsw&#10;swQUceHLhisLn7vXuwWoEJFLbD2ThTMFWObXVxmmpR/5g4ZtrJSEcEjRQh1jl2odipochpnviMU7&#10;+N5hFNlXuuxxlHDX6vskedIOG5YPNXa0rqk4bk/OwtuI4+rBvAyb42F9/t49vn9tDFl7ezOtnkFF&#10;muLlGH7xBR1yYdr7E5dBtRakSPyb4s3nRuReFmMWoPNM/6fPfwAAAP//AwBQSwECLQAUAAYACAAA&#10;ACEAtoM4kv4AAADhAQAAEwAAAAAAAAAAAAAAAAAAAAAAW0NvbnRlbnRfVHlwZXNdLnhtbFBLAQIt&#10;ABQABgAIAAAAIQA4/SH/1gAAAJQBAAALAAAAAAAAAAAAAAAAAC8BAABfcmVscy8ucmVsc1BLAQIt&#10;ABQABgAIAAAAIQB/eKpMlgYAAFZDAAAOAAAAAAAAAAAAAAAAAC4CAABkcnMvZTJvRG9jLnhtbFBL&#10;AQItABQABgAIAAAAIQD+U0xd2wAAAAUBAAAPAAAAAAAAAAAAAAAAAPAIAABkcnMvZG93bnJldi54&#10;bWxQSwUGAAAAAAQABADzAAAA+AkAAAAA&#10;">
                <v:rect id="Rectangle 527933320" o:spid="_x0000_s1027" style="position:absolute;left:5242;top:6150;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pByQAAAOIAAAAPAAAAZHJzL2Rvd25yZXYueG1sRI/NasJA&#10;FIX3Qt9huIVuQp00sVpTRykFwYUukrb7S+aahGbuhJmpSd/eWQguD+ePb7ObTC8u5HxnWcHLPAVB&#10;XFvdcaPg+2v//AbCB2SNvWVS8E8edtuH2QYLbUcu6VKFRsQR9gUqaEMYCil93ZJBP7cDcfTO1hkM&#10;UbpGaodjHDe9zNJ0KQ12HB9aHOizpfq3+jMKunL5k6xOyWI8EqZjvk6msyWlnh6nj3cQgaZwD9/a&#10;B63gNVut8zzPIkREijggt1cAAAD//wMAUEsBAi0AFAAGAAgAAAAhANvh9svuAAAAhQEAABMAAAAA&#10;AAAAAAAAAAAAAAAAAFtDb250ZW50X1R5cGVzXS54bWxQSwECLQAUAAYACAAAACEAWvQsW78AAAAV&#10;AQAACwAAAAAAAAAAAAAAAAAfAQAAX3JlbHMvLnJlbHNQSwECLQAUAAYACAAAACEArEtaQckAAADi&#10;AAAADwAAAAAAAAAAAAAAAAAHAgAAZHJzL2Rvd25yZXYueG1sUEsFBgAAAAADAAMAtwAAAP0CAAAA&#10;AA==&#10;" fillcolor="#fff2cc">
                  <v:stroke startarrowwidth="narrow" startarrowlength="short" endarrowwidth="narrow" endarrowlength="short" joinstyle="round"/>
                  <v:textbox inset="2.53958mm,2.53958mm,2.53958mm,2.53958mm">
                    <w:txbxContent>
                      <w:p w14:paraId="64210049" w14:textId="77777777" w:rsidR="000F0B49" w:rsidRDefault="00F034B5">
                        <w:pPr>
                          <w:spacing w:line="240" w:lineRule="auto"/>
                          <w:jc w:val="center"/>
                          <w:textDirection w:val="btLr"/>
                        </w:pPr>
                        <w:r>
                          <w:rPr>
                            <w:b/>
                            <w:color w:val="000000"/>
                            <w:sz w:val="20"/>
                          </w:rPr>
                          <w:t>Identification</w:t>
                        </w:r>
                      </w:p>
                    </w:txbxContent>
                  </v:textbox>
                </v:rect>
                <v:rect id="Rectangle 1104391397" o:spid="_x0000_s1028" style="position:absolute;left:5242;top:18228;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hrxwAAAOMAAAAPAAAAZHJzL2Rvd25yZXYueG1sRE/NasJA&#10;EL4X+g7LFHoJdTeNqImuUoRCD/YQ296H7JiEZmdDdjXp23cFweN8/7PZTbYTFxp861hDOlMgiCtn&#10;Wq41fH+9v6xA+IBssHNMGv7Iw277+LDBwriRS7ocQy1iCPsCNTQh9IWUvmrIop+5njhyJzdYDPEc&#10;amkGHGO47eSrUgtpseXY0GBP+4aq3+PZamjLxU+y/Ezm44FQjVmeTCdHWj8/TW9rEIGmcBff3B8m&#10;zk/VPMvTLF/C9acIgNz+AwAA//8DAFBLAQItABQABgAIAAAAIQDb4fbL7gAAAIUBAAATAAAAAAAA&#10;AAAAAAAAAAAAAABbQ29udGVudF9UeXBlc10ueG1sUEsBAi0AFAAGAAgAAAAhAFr0LFu/AAAAFQEA&#10;AAsAAAAAAAAAAAAAAAAAHwEAAF9yZWxzLy5yZWxzUEsBAi0AFAAGAAgAAAAhAEYp6GvHAAAA4wAA&#10;AA8AAAAAAAAAAAAAAAAABwIAAGRycy9kb3ducmV2LnhtbFBLBQYAAAAAAwADALcAAAD7AgAAAAA=&#10;" fillcolor="#fff2cc">
                  <v:stroke startarrowwidth="narrow" startarrowlength="short" endarrowwidth="narrow" endarrowlength="short" joinstyle="round"/>
                  <v:textbox inset="2.53958mm,2.53958mm,2.53958mm,2.53958mm">
                    <w:txbxContent>
                      <w:p w14:paraId="77D763BE" w14:textId="77777777" w:rsidR="000F0B49" w:rsidRDefault="00F034B5">
                        <w:pPr>
                          <w:spacing w:line="240" w:lineRule="auto"/>
                          <w:jc w:val="center"/>
                          <w:textDirection w:val="btLr"/>
                        </w:pPr>
                        <w:r>
                          <w:rPr>
                            <w:b/>
                            <w:color w:val="000000"/>
                            <w:sz w:val="20"/>
                          </w:rPr>
                          <w:t>Screening</w:t>
                        </w:r>
                      </w:p>
                    </w:txbxContent>
                  </v:textbox>
                </v:rect>
                <v:rect id="Rectangle 202046440" o:spid="_x0000_s1029" style="position:absolute;left:5242;top:42385;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BaxwAAAOIAAAAPAAAAZHJzL2Rvd25yZXYueG1sRI/LasJA&#10;FIb3Bd9hOIVugs4YQ6zRUUpB6MIuvHR/yByT0MyZkJma+PadheDy57/xbXajbcWNet841jCfKRDE&#10;pTMNVxou5/30HYQPyAZbx6ThTh5228nLBgvjBj7S7RQqEUfYF6ihDqErpPRlTRb9zHXE0bu63mKI&#10;sq+k6XGI47aVqVK5tNhwfKixo8+ayt/Tn9XQHPOfZPmdZMOBUA2LVTJeHWn99jp+rEEEGsMz/Gh/&#10;GQ2pSlWWZ1mEiEgRB+T2HwAA//8DAFBLAQItABQABgAIAAAAIQDb4fbL7gAAAIUBAAATAAAAAAAA&#10;AAAAAAAAAAAAAABbQ29udGVudF9UeXBlc10ueG1sUEsBAi0AFAAGAAgAAAAhAFr0LFu/AAAAFQEA&#10;AAsAAAAAAAAAAAAAAAAAHwEAAF9yZWxzLy5yZWxzUEsBAi0AFAAGAAgAAAAhABc9sFrHAAAA4gAA&#10;AA8AAAAAAAAAAAAAAAAABwIAAGRycy9kb3ducmV2LnhtbFBLBQYAAAAAAwADALcAAAD7AgAAAAA=&#10;" fillcolor="#fff2cc">
                  <v:stroke startarrowwidth="narrow" startarrowlength="short" endarrowwidth="narrow" endarrowlength="short" joinstyle="round"/>
                  <v:textbox inset="2.53958mm,2.53958mm,2.53958mm,2.53958mm">
                    <w:txbxContent>
                      <w:p w14:paraId="19EE7738" w14:textId="77777777" w:rsidR="000F0B49" w:rsidRDefault="00F034B5">
                        <w:pPr>
                          <w:spacing w:line="240" w:lineRule="auto"/>
                          <w:jc w:val="center"/>
                          <w:textDirection w:val="btLr"/>
                        </w:pPr>
                        <w:r>
                          <w:rPr>
                            <w:b/>
                            <w:color w:val="000000"/>
                            <w:sz w:val="20"/>
                          </w:rPr>
                          <w:t>Included</w:t>
                        </w:r>
                      </w:p>
                    </w:txbxContent>
                  </v:textbox>
                </v:rect>
                <v:rect id="Rectangle 1882557725" o:spid="_x0000_s1030" style="position:absolute;left:5242;top:30307;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ukxwAAAOMAAAAPAAAAZHJzL2Rvd25yZXYueG1sRE/NasJA&#10;EL4XfIdlBC9BN8bGpKmrFKHgoT2o7X3IjkkwOxuyW5O+vSsUepzvfza70bTiRr1rLCtYLmIQxKXV&#10;DVcKvs7v8xyE88gaW8uk4Jcc7LaTpw0W2g58pNvJVyKEsCtQQe19V0jpypoMuoXtiAN3sb1BH86+&#10;krrHIYSbViZxvJYGGw4NNXa0r6m8nn6Mgua4/o6yz+h5+CCMh9VLNF4sKTWbjm+vIDyN/l/85z7o&#10;MD/PkzTNsiSFx08BALm9AwAA//8DAFBLAQItABQABgAIAAAAIQDb4fbL7gAAAIUBAAATAAAAAAAA&#10;AAAAAAAAAAAAAABbQ29udGVudF9UeXBlc10ueG1sUEsBAi0AFAAGAAgAAAAhAFr0LFu/AAAAFQEA&#10;AAsAAAAAAAAAAAAAAAAAHwEAAF9yZWxzLy5yZWxzUEsBAi0AFAAGAAgAAAAhAKd7O6THAAAA4wAA&#10;AA8AAAAAAAAAAAAAAAAABwIAAGRycy9kb3ducmV2LnhtbFBLBQYAAAAAAwADALcAAAD7AgAAAAA=&#10;" fillcolor="#fff2cc">
                  <v:stroke startarrowwidth="narrow" startarrowlength="short" endarrowwidth="narrow" endarrowlength="short" joinstyle="round"/>
                  <v:textbox inset="2.53958mm,2.53958mm,2.53958mm,2.53958mm">
                    <w:txbxContent>
                      <w:p w14:paraId="45507FBB" w14:textId="77777777" w:rsidR="000F0B49" w:rsidRDefault="00F034B5">
                        <w:pPr>
                          <w:spacing w:line="240" w:lineRule="auto"/>
                          <w:jc w:val="center"/>
                          <w:textDirection w:val="btLr"/>
                        </w:pPr>
                        <w:r>
                          <w:rPr>
                            <w:b/>
                            <w:color w:val="000000"/>
                            <w:sz w:val="20"/>
                          </w:rPr>
                          <w:t>Eligibility</w:t>
                        </w:r>
                      </w:p>
                    </w:txbxContent>
                  </v:textbox>
                </v:rect>
                <v:rect id="Rectangle 885908671" o:spid="_x0000_s1031" style="position:absolute;left:14854;top:2357;width:15033;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X66ygAAAOIAAAAPAAAAZHJzL2Rvd25yZXYueG1sRI9PawIx&#10;FMTvhX6H8Aq9iGYtaNfVKItY6EWof/D82Dw3q5uXsIm6/fZNodDjMDO/YRar3rbiTl1oHCsYjzIQ&#10;xJXTDdcKjoePYQ4iRGSNrWNS8E0BVsvnpwUW2j14R/d9rEWCcChQgYnRF1KGypDFMHKeOHln11mM&#10;SXa11B0+Ety28i3LptJiw2nBoKe1oeq6v1kF5WTr9ca329tXmF0GZb87VQOj1OtLX85BROrjf/iv&#10;/akV5PlkluXT9zH8Xkp3QC5/AAAA//8DAFBLAQItABQABgAIAAAAIQDb4fbL7gAAAIUBAAATAAAA&#10;AAAAAAAAAAAAAAAAAABbQ29udGVudF9UeXBlc10ueG1sUEsBAi0AFAAGAAgAAAAhAFr0LFu/AAAA&#10;FQEAAAsAAAAAAAAAAAAAAAAAHwEAAF9yZWxzLy5yZWxzUEsBAi0AFAAGAAgAAAAhAKXtfrrKAAAA&#10;4gAAAA8AAAAAAAAAAAAAAAAABwIAAGRycy9kb3ducmV2LnhtbFBLBQYAAAAAAwADALcAAAD+AgAA&#10;AAA=&#10;" fillcolor="#fff2cc">
                  <v:stroke startarrowwidth="narrow" startarrowlength="short" endarrowwidth="narrow" endarrowlength="short" joinstyle="round"/>
                  <v:textbox inset="2.53958mm,2.53958mm,2.53958mm,2.53958mm">
                    <w:txbxContent>
                      <w:p w14:paraId="23BB471F" w14:textId="77777777" w:rsidR="000F0B49" w:rsidRDefault="00F034B5">
                        <w:pPr>
                          <w:spacing w:line="240" w:lineRule="auto"/>
                          <w:jc w:val="center"/>
                          <w:textDirection w:val="btLr"/>
                        </w:pPr>
                        <w:r>
                          <w:rPr>
                            <w:color w:val="000000"/>
                            <w:sz w:val="20"/>
                          </w:rPr>
                          <w:t xml:space="preserve">Records identified through database searching: </w:t>
                        </w:r>
                        <w:r>
                          <w:rPr>
                            <w:b/>
                            <w:color w:val="000000"/>
                            <w:sz w:val="20"/>
                          </w:rPr>
                          <w:t>n = 312</w:t>
                        </w:r>
                      </w:p>
                    </w:txbxContent>
                  </v:textbox>
                </v:rect>
                <v:rect id="Rectangle 771217576" o:spid="_x0000_s1032" style="position:absolute;left:32739;top:2358;width:15033;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XJygAAAOIAAAAPAAAAZHJzL2Rvd25yZXYueG1sRI9BawIx&#10;FITvQv9DeAUvUrMr6LZboyxFoRdBben5sXndbLt5CZuo679vBKHHYWa+YZbrwXbiTH1oHSvIpxkI&#10;4trplhsFnx/bp2cQISJr7ByTgisFWK8eRksstbvwgc7H2IgE4VCiAhOjL6UMtSGLYeo8cfK+XW8x&#10;Jtk3Uvd4SXDbyVmWLaTFltOCQU9vhurf48kqqOY7rze+25324eVnUg2Hr3pilBo/DtUriEhD/A/f&#10;2+9aQVHks7yYFwu4XUp3QK7+AAAA//8DAFBLAQItABQABgAIAAAAIQDb4fbL7gAAAIUBAAATAAAA&#10;AAAAAAAAAAAAAAAAAABbQ29udGVudF9UeXBlc10ueG1sUEsBAi0AFAAGAAgAAAAhAFr0LFu/AAAA&#10;FQEAAAsAAAAAAAAAAAAAAAAAHwEAAF9yZWxzLy5yZWxzUEsBAi0AFAAGAAgAAAAhAA5WRcnKAAAA&#10;4gAAAA8AAAAAAAAAAAAAAAAABwIAAGRycy9kb3ducmV2LnhtbFBLBQYAAAAAAwADALcAAAD+AgAA&#10;AAA=&#10;" fillcolor="#fff2cc">
                  <v:stroke startarrowwidth="narrow" startarrowlength="short" endarrowwidth="narrow" endarrowlength="short" joinstyle="round"/>
                  <v:textbox inset="2.53958mm,2.53958mm,2.53958mm,2.53958mm">
                    <w:txbxContent>
                      <w:p w14:paraId="53096122" w14:textId="77777777" w:rsidR="000F0B49" w:rsidRDefault="00F034B5">
                        <w:pPr>
                          <w:spacing w:line="240" w:lineRule="auto"/>
                          <w:jc w:val="center"/>
                          <w:textDirection w:val="btLr"/>
                        </w:pPr>
                        <w:r>
                          <w:rPr>
                            <w:color w:val="000000"/>
                            <w:sz w:val="20"/>
                          </w:rPr>
                          <w:t xml:space="preserve">Additional records identified through other sources: </w:t>
                        </w:r>
                        <w:r>
                          <w:rPr>
                            <w:b/>
                            <w:color w:val="000000"/>
                            <w:sz w:val="20"/>
                          </w:rPr>
                          <w:t>n = 0</w:t>
                        </w:r>
                      </w:p>
                    </w:txbxContent>
                  </v:textbox>
                </v:rect>
                <v:rect id="Rectangle 564488017" o:spid="_x0000_s1033" style="position:absolute;left:17635;top:10222;width:27357;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ehywAAAOIAAAAPAAAAZHJzL2Rvd25yZXYueG1sRI9PawIx&#10;FMTvhX6H8Aq9SM1a1K6rUZai0Ivgn9LzY/PcrN28hE3U7bdvCgWPw8z8hlmsetuKK3WhcaxgNMxA&#10;EFdON1wr+DxuXnIQISJrbB2Tgh8KsFo+Piyw0O7Ge7oeYi0ShEOBCkyMvpAyVIYshqHzxMk7uc5i&#10;TLKrpe7wluC2la9ZNpUWG04LBj29G6q+DxeroJxsvV77dnvZhdl5UPb7r2pglHp+6ss5iEh9vIf/&#10;2x9awWQ6Hud5NnqDv0vpDsjlLwAAAP//AwBQSwECLQAUAAYACAAAACEA2+H2y+4AAACFAQAAEwAA&#10;AAAAAAAAAAAAAAAAAAAAW0NvbnRlbnRfVHlwZXNdLnhtbFBLAQItABQABgAIAAAAIQBa9CxbvwAA&#10;ABUBAAALAAAAAAAAAAAAAAAAAB8BAABfcmVscy8ucmVsc1BLAQItABQABgAIAAAAIQCpRrehywAA&#10;AOIAAAAPAAAAAAAAAAAAAAAAAAcCAABkcnMvZG93bnJldi54bWxQSwUGAAAAAAMAAwC3AAAA/wIA&#10;AAAA&#10;" fillcolor="#fff2cc">
                  <v:stroke startarrowwidth="narrow" startarrowlength="short" endarrowwidth="narrow" endarrowlength="short" joinstyle="round"/>
                  <v:textbox inset="2.53958mm,2.53958mm,2.53958mm,2.53958mm">
                    <w:txbxContent>
                      <w:p w14:paraId="1C39918A" w14:textId="77777777" w:rsidR="000F0B49" w:rsidRDefault="00F034B5">
                        <w:pPr>
                          <w:spacing w:line="240" w:lineRule="auto"/>
                          <w:jc w:val="center"/>
                          <w:textDirection w:val="btLr"/>
                        </w:pPr>
                        <w:r>
                          <w:rPr>
                            <w:color w:val="000000"/>
                            <w:sz w:val="20"/>
                          </w:rPr>
                          <w:t xml:space="preserve">Records after duplicates removed: </w:t>
                        </w:r>
                        <w:r>
                          <w:rPr>
                            <w:b/>
                            <w:color w:val="000000"/>
                            <w:sz w:val="20"/>
                          </w:rPr>
                          <w:t>n = 234</w:t>
                        </w:r>
                      </w:p>
                    </w:txbxContent>
                  </v:textbox>
                </v:rect>
                <v:rect id="Rectangle 2052839521" o:spid="_x0000_s1034" style="position:absolute;left:14854;top:15137;width:22020;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WqywAAAOMAAAAPAAAAZHJzL2Rvd25yZXYueG1sRI9BawIx&#10;FITvhf6H8Aq9iGZd2aJboyylBS9CtcXzY/O6Wd28hE3U9d+bQqHHYWa+YZbrwXbiQn1oHSuYTjIQ&#10;xLXTLTcKvr8+xnMQISJr7ByTghsFWK8eH5ZYanflHV32sREJwqFEBSZGX0oZakMWw8R54uT9uN5i&#10;TLJvpO7xmuC2k3mWvUiLLacFg57eDNWn/dkqqIqt1+++254/w+I4qobdoR4ZpZ6fhuoVRKQh/of/&#10;2hutIM+KfD5bFPkUfj+lPyBXdwAAAP//AwBQSwECLQAUAAYACAAAACEA2+H2y+4AAACFAQAAEwAA&#10;AAAAAAAAAAAAAAAAAAAAW0NvbnRlbnRfVHlwZXNdLnhtbFBLAQItABQABgAIAAAAIQBa9CxbvwAA&#10;ABUBAAALAAAAAAAAAAAAAAAAAB8BAABfcmVscy8ucmVsc1BLAQItABQABgAIAAAAIQBcX0WqywAA&#10;AOMAAAAPAAAAAAAAAAAAAAAAAAcCAABkcnMvZG93bnJldi54bWxQSwUGAAAAAAMAAwC3AAAA/wIA&#10;AAAA&#10;" fillcolor="#fff2cc">
                  <v:stroke startarrowwidth="narrow" startarrowlength="short" endarrowwidth="narrow" endarrowlength="short" joinstyle="round"/>
                  <v:textbox inset="2.53958mm,2.53958mm,2.53958mm,2.53958mm">
                    <w:txbxContent>
                      <w:p w14:paraId="44C772E0" w14:textId="77777777" w:rsidR="000F0B49" w:rsidRDefault="00F034B5">
                        <w:pPr>
                          <w:spacing w:line="240" w:lineRule="auto"/>
                          <w:jc w:val="center"/>
                          <w:textDirection w:val="btLr"/>
                        </w:pPr>
                        <w:r>
                          <w:rPr>
                            <w:color w:val="000000"/>
                            <w:sz w:val="20"/>
                          </w:rPr>
                          <w:t xml:space="preserve">Records screened (title/abstract): </w:t>
                        </w:r>
                        <w:r>
                          <w:rPr>
                            <w:color w:val="000000"/>
                            <w:sz w:val="20"/>
                          </w:rPr>
                          <w:br/>
                        </w:r>
                        <w:r>
                          <w:rPr>
                            <w:b/>
                            <w:color w:val="000000"/>
                            <w:sz w:val="20"/>
                          </w:rPr>
                          <w:t>n = 234</w:t>
                        </w:r>
                      </w:p>
                    </w:txbxContent>
                  </v:textbox>
                </v:rect>
                <v:rect id="Rectangle 1472366612" o:spid="_x0000_s1035" style="position:absolute;left:38719;top:15254;width:21021;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zGyAAAAOMAAAAPAAAAZHJzL2Rvd25yZXYueG1sRE/dS8Mw&#10;EH8f+D+EE3wZLl3VTuuyUUTBl8G+2PPRnE21uYQm2+p/b4TBHu/3ffPlYDtxoj60jhVMJxkI4trp&#10;lhsF+93H/TOIEJE1do5JwS8FWC5uRnMstTvzhk7b2IgUwqFEBSZGX0oZakMWw8R54sR9ud5iTGff&#10;SN3jOYXbTuZZVkiLLacGg57eDNU/26NVUD2tvH733eq4Di/f42rYHOqxUerudqheQUQa4lV8cX/q&#10;NP9xlj8URTHN4f+nBIBc/AEAAP//AwBQSwECLQAUAAYACAAAACEA2+H2y+4AAACFAQAAEwAAAAAA&#10;AAAAAAAAAAAAAAAAW0NvbnRlbnRfVHlwZXNdLnhtbFBLAQItABQABgAIAAAAIQBa9CxbvwAAABUB&#10;AAALAAAAAAAAAAAAAAAAAB8BAABfcmVscy8ucmVsc1BLAQItABQABgAIAAAAIQBjoWzGyAAAAOMA&#10;AAAPAAAAAAAAAAAAAAAAAAcCAABkcnMvZG93bnJldi54bWxQSwUGAAAAAAMAAwC3AAAA/AIAAAAA&#10;" fillcolor="#fff2cc">
                  <v:stroke startarrowwidth="narrow" startarrowlength="short" endarrowwidth="narrow" endarrowlength="short" joinstyle="round"/>
                  <v:textbox inset="2.53958mm,2.53958mm,2.53958mm,2.53958mm">
                    <w:txbxContent>
                      <w:p w14:paraId="2D7C664F" w14:textId="77777777" w:rsidR="000F0B49" w:rsidRDefault="00F034B5">
                        <w:pPr>
                          <w:spacing w:line="240" w:lineRule="auto"/>
                          <w:jc w:val="center"/>
                          <w:textDirection w:val="btLr"/>
                        </w:pPr>
                        <w:r>
                          <w:rPr>
                            <w:color w:val="000000"/>
                            <w:sz w:val="20"/>
                          </w:rPr>
                          <w:t xml:space="preserve">Records screened (title/abstract): </w:t>
                        </w:r>
                        <w:r>
                          <w:rPr>
                            <w:b/>
                            <w:color w:val="000000"/>
                            <w:sz w:val="20"/>
                          </w:rPr>
                          <w:t>n = 234</w:t>
                        </w:r>
                      </w:p>
                    </w:txbxContent>
                  </v:textbox>
                </v:rect>
                <v:rect id="Rectangle 1754283792" o:spid="_x0000_s1036" style="position:absolute;left:14854;top:20925;width:19437;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JAyAAAAOMAAAAPAAAAZHJzL2Rvd25yZXYueG1sRE9fS8Mw&#10;EH8X/A7hBF+GTa3OdXXZKKLgy8BO8flozqbaXEKTbfXbG2Gwx/v9v9VmsoM40Bh6xwpusxwEcet0&#10;z52Cj/eXmxJEiMgaB8ek4JcCbNaXFyustDtyQ4dd7EQK4VChAhOjr6QMrSGLIXOeOHFfbrQY0zl2&#10;Uo94TOF2kEWeP0iLPacGg56eDLU/u71VUM+3Xj/7Ybt/C8vvWT01n+3MKHV9NdWPICJN8Sw+uV91&#10;mr+Y3xfl3WJZwP9PCQC5/gMAAP//AwBQSwECLQAUAAYACAAAACEA2+H2y+4AAACFAQAAEwAAAAAA&#10;AAAAAAAAAAAAAAAAW0NvbnRlbnRfVHlwZXNdLnhtbFBLAQItABQABgAIAAAAIQBa9CxbvwAAABUB&#10;AAALAAAAAAAAAAAAAAAAAB8BAABfcmVscy8ucmVsc1BLAQItABQABgAIAAAAIQCl56JAyAAAAOMA&#10;AAAPAAAAAAAAAAAAAAAAAAcCAABkcnMvZG93bnJldi54bWxQSwUGAAAAAAMAAwC3AAAA/AIAAAAA&#10;" fillcolor="#fff2cc">
                  <v:stroke startarrowwidth="narrow" startarrowlength="short" endarrowwidth="narrow" endarrowlength="short" joinstyle="round"/>
                  <v:textbox inset="2.53958mm,2.53958mm,2.53958mm,2.53958mm">
                    <w:txbxContent>
                      <w:p w14:paraId="41B86DE5" w14:textId="77777777" w:rsidR="000F0B49" w:rsidRDefault="00F034B5">
                        <w:pPr>
                          <w:spacing w:line="240" w:lineRule="auto"/>
                          <w:jc w:val="center"/>
                          <w:textDirection w:val="btLr"/>
                        </w:pPr>
                        <w:r>
                          <w:rPr>
                            <w:color w:val="000000"/>
                            <w:sz w:val="20"/>
                          </w:rPr>
                          <w:t xml:space="preserve">Records excluded: </w:t>
                        </w:r>
                        <w:r>
                          <w:rPr>
                            <w:b/>
                            <w:color w:val="000000"/>
                            <w:sz w:val="20"/>
                          </w:rPr>
                          <w:t>n = 178</w:t>
                        </w:r>
                      </w:p>
                    </w:txbxContent>
                  </v:textbox>
                </v:rect>
                <v:rect id="Rectangle 1899808859" o:spid="_x0000_s1037" style="position:absolute;left:14854;top:26090;width:22020;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gNxwAAAOMAAAAPAAAAZHJzL2Rvd25yZXYueG1sRE9LSwMx&#10;EL4L/ocwgpfSZhUq2W3TsoiCl0Jf9Dxsxs3qZhI2abv+e1MQPM73nuV6dL240BA7zxqeZgUI4sab&#10;jlsNx8P7VIGICdlg75k0/FCE9er+bomV8Vfe0WWfWpFDOFaowaYUKiljY8lhnPlAnLlPPzhM+Rxa&#10;aQa85nDXy+eieJEOO84NFgO9Wmq+92enoZ5vgnkL/ea8jeXXpB53p2ZitX58GOsFiERj+hf/uT9M&#10;nq/KUhVKzUu4/ZQBkKtfAAAA//8DAFBLAQItABQABgAIAAAAIQDb4fbL7gAAAIUBAAATAAAAAAAA&#10;AAAAAAAAAAAAAABbQ29udGVudF9UeXBlc10ueG1sUEsBAi0AFAAGAAgAAAAhAFr0LFu/AAAAFQEA&#10;AAsAAAAAAAAAAAAAAAAAHwEAAF9yZWxzLy5yZWxzUEsBAi0AFAAGAAgAAAAhAOMHKA3HAAAA4wAA&#10;AA8AAAAAAAAAAAAAAAAABwIAAGRycy9kb3ducmV2LnhtbFBLBQYAAAAAAwADALcAAAD7AgAAAAA=&#10;" fillcolor="#fff2cc">
                  <v:stroke startarrowwidth="narrow" startarrowlength="short" endarrowwidth="narrow" endarrowlength="short" joinstyle="round"/>
                  <v:textbox inset="2.53958mm,2.53958mm,2.53958mm,2.53958mm">
                    <w:txbxContent>
                      <w:p w14:paraId="1282A571" w14:textId="77777777" w:rsidR="000F0B49" w:rsidRDefault="00F034B5">
                        <w:pPr>
                          <w:spacing w:line="240" w:lineRule="auto"/>
                          <w:textDirection w:val="btLr"/>
                        </w:pPr>
                        <w:r>
                          <w:rPr>
                            <w:color w:val="000000"/>
                            <w:sz w:val="20"/>
                          </w:rPr>
                          <w:t xml:space="preserve">Full-text articles assessed: </w:t>
                        </w:r>
                        <w:r>
                          <w:rPr>
                            <w:b/>
                            <w:color w:val="000000"/>
                            <w:sz w:val="20"/>
                          </w:rPr>
                          <w:t>n = 56</w:t>
                        </w:r>
                        <w:r>
                          <w:rPr>
                            <w:b/>
                            <w:color w:val="000000"/>
                            <w:sz w:val="20"/>
                          </w:rPr>
                          <w:br/>
                        </w:r>
                        <w:r>
                          <w:rPr>
                            <w:color w:val="000000"/>
                            <w:sz w:val="20"/>
                          </w:rPr>
                          <w:t xml:space="preserve">Full-text articles excluded: </w:t>
                        </w:r>
                        <w:r>
                          <w:rPr>
                            <w:b/>
                            <w:color w:val="000000"/>
                            <w:sz w:val="20"/>
                          </w:rPr>
                          <w:t>n = 34</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57240415" o:spid="_x0000_s1038" type="#_x0000_t67" style="position:absolute;left:22727;top:8568;width:1023;height: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9SyQAAAOMAAAAPAAAAZHJzL2Rvd25yZXYueG1sRE9fS8Mw&#10;EH8X9h3CCb65dKVT1y0booi+yNi6iY+35kzKmktt4la/vREEH+/3/xarwbXiRH1oPCuYjDMQxLXX&#10;DRsFu+rp+g5EiMgaW8+k4JsCrJajiwWW2p95Q6dtNCKFcChRgY2xK6UMtSWHYew74sR9+N5hTGdv&#10;pO7xnMJdK/Msu5EOG04NFjt6sFQft19OQWHN+/51s9676vlgHn3l8k/3ptTV5XA/BxFpiP/iP/eL&#10;TvNn09u8yIrJFH5/SgDI5Q8AAAD//wMAUEsBAi0AFAAGAAgAAAAhANvh9svuAAAAhQEAABMAAAAA&#10;AAAAAAAAAAAAAAAAAFtDb250ZW50X1R5cGVzXS54bWxQSwECLQAUAAYACAAAACEAWvQsW78AAAAV&#10;AQAACwAAAAAAAAAAAAAAAAAfAQAAX3JlbHMvLnJlbHNQSwECLQAUAAYACAAAACEArVNvUskAAADj&#10;AAAADwAAAAAAAAAAAAAAAAAHAgAAZHJzL2Rvd25yZXYueG1sUEsFBgAAAAADAAMAtwAAAP0CAAAA&#10;AA==&#10;" adj="14916" fillcolor="#fff2cc">
                  <v:stroke startarrowwidth="narrow" startarrowlength="short" endarrowwidth="narrow" endarrowlength="short" joinstyle="round"/>
                  <v:textbox inset="2.53958mm,2.53958mm,2.53958mm,2.53958mm">
                    <w:txbxContent>
                      <w:p w14:paraId="72D9ADC3" w14:textId="77777777" w:rsidR="000F0B49" w:rsidRDefault="000F0B49">
                        <w:pPr>
                          <w:spacing w:line="240" w:lineRule="auto"/>
                          <w:jc w:val="center"/>
                          <w:textDirection w:val="btLr"/>
                        </w:pPr>
                      </w:p>
                    </w:txbxContent>
                  </v:textbox>
                </v:shape>
                <v:shape id="Arrow: Down 237726738" o:spid="_x0000_s1039" type="#_x0000_t67" style="position:absolute;left:37434;top:16156;width:726;height:18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t2xgAAAOIAAAAPAAAAZHJzL2Rvd25yZXYueG1sRE/dasIw&#10;FL4f7B3CEXY3U6tY6Ywig8E2pKDzAQ7NMa02JyXJavf2y4Xg5cf3v96OthMD+dA6VjCbZiCIa6db&#10;NgpOPx+vKxAhImvsHJOCPwqw3Tw/rbHU7sYHGo7RiBTCoUQFTYx9KWWoG7IYpq4nTtzZeYsxQW+k&#10;9nhL4baTeZYtpcWWU0ODPb03VF+Pv1bBYBbf3XCq2r1ZVfIy+6r8LiOlXibj7g1EpDE+xHf3p1aQ&#10;z4siXxbztDldSndAbv4BAAD//wMAUEsBAi0AFAAGAAgAAAAhANvh9svuAAAAhQEAABMAAAAAAAAA&#10;AAAAAAAAAAAAAFtDb250ZW50X1R5cGVzXS54bWxQSwECLQAUAAYACAAAACEAWvQsW78AAAAVAQAA&#10;CwAAAAAAAAAAAAAAAAAfAQAAX3JlbHMvLnJlbHNQSwECLQAUAAYACAAAACEAk4u7dsYAAADiAAAA&#10;DwAAAAAAAAAAAAAAAAAHAgAAZHJzL2Rvd25yZXYueG1sUEsFBgAAAAADAAMAtwAAAPoCAAAAAA==&#10;" adj="17350" fillcolor="#fff2cc">
                  <v:stroke startarrowwidth="narrow" startarrowlength="short" endarrowwidth="narrow" endarrowlength="short" joinstyle="round"/>
                  <v:textbox inset="2.53958mm,2.53958mm,2.53958mm,2.53958mm">
                    <w:txbxContent>
                      <w:p w14:paraId="32C1FEA4" w14:textId="77777777" w:rsidR="000F0B49" w:rsidRDefault="000F0B49">
                        <w:pPr>
                          <w:spacing w:line="240" w:lineRule="auto"/>
                          <w:jc w:val="center"/>
                          <w:textDirection w:val="btLr"/>
                        </w:pPr>
                      </w:p>
                    </w:txbxContent>
                  </v:textbox>
                </v:shape>
                <v:rect id="Rectangle 1868943280" o:spid="_x0000_s1040" style="position:absolute;left:38719;top:26090;width:21021;height:8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QkywAAAOMAAAAPAAAAZHJzL2Rvd25yZXYueG1sRI9BT8Mw&#10;DIXvSPyHyEhcJpYyYOrKsqlCIHGZtA20s9V4TaFxoibbyr/HBySOtp/fe99yPfpenWlIXWAD99MC&#10;FHETbMetgc+Pt7sSVMrIFvvAZOCHEqxX11dLrGy48I7O+9wqMeFUoQGXc6y0To0jj2kaIrHcjmHw&#10;mGUcWm0HvIi57/WsKObaY8eS4DDSi6Pme3/yBuqnTbSvsd+ctmnxNanH3aGZOGNub8b6GVSmMf+L&#10;/77frdQv5+Xi8WFWCoUwyQL06hcAAP//AwBQSwECLQAUAAYACAAAACEA2+H2y+4AAACFAQAAEwAA&#10;AAAAAAAAAAAAAAAAAAAAW0NvbnRlbnRfVHlwZXNdLnhtbFBLAQItABQABgAIAAAAIQBa9CxbvwAA&#10;ABUBAAALAAAAAAAAAAAAAAAAAB8BAABfcmVscy8ucmVsc1BLAQItABQABgAIAAAAIQCChjQkywAA&#10;AOMAAAAPAAAAAAAAAAAAAAAAAAcCAABkcnMvZG93bnJldi54bWxQSwUGAAAAAAMAAwC3AAAA/wIA&#10;AAAA&#10;" fillcolor="#fff2cc">
                  <v:stroke startarrowwidth="narrow" startarrowlength="short" endarrowwidth="narrow" endarrowlength="short" joinstyle="round"/>
                  <v:textbox inset="2.53958mm,2.53958mm,2.53958mm,2.53958mm">
                    <w:txbxContent>
                      <w:p w14:paraId="18611C93" w14:textId="77777777" w:rsidR="000F0B49" w:rsidRDefault="00F034B5">
                        <w:pPr>
                          <w:spacing w:line="240" w:lineRule="auto"/>
                          <w:jc w:val="both"/>
                          <w:textDirection w:val="btLr"/>
                        </w:pPr>
                        <w:r>
                          <w:rPr>
                            <w:color w:val="000000"/>
                            <w:sz w:val="20"/>
                          </w:rPr>
                          <w:t xml:space="preserve">Reviews/meta-analyses: </w:t>
                        </w:r>
                        <w:r>
                          <w:rPr>
                            <w:b/>
                            <w:color w:val="000000"/>
                            <w:sz w:val="20"/>
                          </w:rPr>
                          <w:t>n = 12</w:t>
                        </w:r>
                      </w:p>
                      <w:p w14:paraId="6091F7BC" w14:textId="77777777" w:rsidR="000F0B49" w:rsidRDefault="00F034B5">
                        <w:pPr>
                          <w:spacing w:line="240" w:lineRule="auto"/>
                          <w:jc w:val="both"/>
                          <w:textDirection w:val="btLr"/>
                        </w:pPr>
                        <w:r>
                          <w:rPr>
                            <w:color w:val="000000"/>
                            <w:sz w:val="20"/>
                          </w:rPr>
                          <w:t xml:space="preserve">Insufficient platelet data: </w:t>
                        </w:r>
                        <w:r>
                          <w:rPr>
                            <w:b/>
                            <w:color w:val="000000"/>
                            <w:sz w:val="20"/>
                          </w:rPr>
                          <w:t>n = 7</w:t>
                        </w:r>
                      </w:p>
                      <w:p w14:paraId="5AD9DA4F" w14:textId="77777777" w:rsidR="000F0B49" w:rsidRDefault="00F034B5">
                        <w:pPr>
                          <w:spacing w:line="240" w:lineRule="auto"/>
                          <w:jc w:val="both"/>
                          <w:textDirection w:val="btLr"/>
                        </w:pPr>
                        <w:r>
                          <w:rPr>
                            <w:color w:val="000000"/>
                            <w:sz w:val="20"/>
                          </w:rPr>
                          <w:t xml:space="preserve">Non-human studies: </w:t>
                        </w:r>
                        <w:r>
                          <w:rPr>
                            <w:b/>
                            <w:color w:val="000000"/>
                            <w:sz w:val="20"/>
                          </w:rPr>
                          <w:t>n = 5</w:t>
                        </w:r>
                      </w:p>
                      <w:p w14:paraId="729901EE" w14:textId="77777777" w:rsidR="000F0B49" w:rsidRDefault="00F034B5">
                        <w:pPr>
                          <w:spacing w:line="240" w:lineRule="auto"/>
                          <w:jc w:val="both"/>
                          <w:textDirection w:val="btLr"/>
                        </w:pPr>
                        <w:r>
                          <w:rPr>
                            <w:color w:val="000000"/>
                            <w:sz w:val="20"/>
                          </w:rPr>
                          <w:t xml:space="preserve">Irrelevant outcomes: </w:t>
                        </w:r>
                        <w:r>
                          <w:rPr>
                            <w:b/>
                            <w:color w:val="000000"/>
                            <w:sz w:val="20"/>
                          </w:rPr>
                          <w:t>n = 10</w:t>
                        </w:r>
                      </w:p>
                    </w:txbxContent>
                  </v:textbox>
                </v:rect>
                <v:shape id="Arrow: Down 1502077183" o:spid="_x0000_s1041" type="#_x0000_t67" style="position:absolute;left:22726;top:30767;width:1023;height:8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miygAAAOMAAAAPAAAAZHJzL2Rvd25yZXYueG1sRI9BS8Qw&#10;EIXvgv8hjODNTdqiu9TNLioqXjy4FfQ4NGNT2kxqErf13xtB8Djz3rzvzXa/uFEcKcTes4ZipUAQ&#10;t9703Gl4bR4uNiBiQjY4eiYN3xRhvzs92WJt/MwvdDykTuQQjjVqsClNtZSxteQwrvxEnLUPHxym&#10;PIZOmoBzDnejLJW6kg57zgSLE91ZaofDl8uQ92Jo3qrHsh/8c1PN95/2NqDW52fLzTWIREv6N/9d&#10;P5lc/1KVar0uNhX8/pQXIHc/AAAA//8DAFBLAQItABQABgAIAAAAIQDb4fbL7gAAAIUBAAATAAAA&#10;AAAAAAAAAAAAAAAAAABbQ29udGVudF9UeXBlc10ueG1sUEsBAi0AFAAGAAgAAAAhAFr0LFu/AAAA&#10;FQEAAAsAAAAAAAAAAAAAAAAAHwEAAF9yZWxzLy5yZWxzUEsBAi0AFAAGAAgAAAAhAAVQSaLKAAAA&#10;4wAAAA8AAAAAAAAAAAAAAAAABwIAAGRycy9kb3ducmV2LnhtbFBLBQYAAAAAAwADALcAAAD+AgAA&#10;AAA=&#10;" adj="20235" fillcolor="#fff2cc">
                  <v:stroke startarrowwidth="narrow" startarrowlength="short" endarrowwidth="narrow" endarrowlength="short" joinstyle="round"/>
                  <v:textbox inset="2.53958mm,2.53958mm,2.53958mm,2.53958mm">
                    <w:txbxContent>
                      <w:p w14:paraId="63539D7D" w14:textId="77777777" w:rsidR="000F0B49" w:rsidRDefault="000F0B49">
                        <w:pPr>
                          <w:spacing w:line="240" w:lineRule="auto"/>
                          <w:jc w:val="center"/>
                          <w:textDirection w:val="btLr"/>
                        </w:pPr>
                      </w:p>
                    </w:txbxContent>
                  </v:textbox>
                </v:shape>
                <v:shape id="Arrow: Down 194957519" o:spid="_x0000_s1042" type="#_x0000_t67" style="position:absolute;left:38506;top:8568;width:1023;height: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iYxwAAAOIAAAAPAAAAZHJzL2Rvd25yZXYueG1sRE9NSwMx&#10;EL0L/ocwgjebbWnVXZsWUUQvIu1a8ThuxmRxZ7JuYrv+eyMIHh/ve7keuVN7GmIbxMB0UoAiaYJt&#10;xRl4ru/OLkHFhGKxC0IGvinCenV8tMTKhoNsaL9NTuUQiRUa8Cn1ldax8cQYJ6Enydx7GBhThoPT&#10;dsBDDudOz4riXDO2khs89nTjqfnYfrGBuXevu8fN047r+zd3G2qeffKLMacn4/UVqERj+hf/uR9s&#10;nl/Oy8XFYlrC76WMQa9+AAAA//8DAFBLAQItABQABgAIAAAAIQDb4fbL7gAAAIUBAAATAAAAAAAA&#10;AAAAAAAAAAAAAABbQ29udGVudF9UeXBlc10ueG1sUEsBAi0AFAAGAAgAAAAhAFr0LFu/AAAAFQEA&#10;AAsAAAAAAAAAAAAAAAAAHwEAAF9yZWxzLy5yZWxzUEsBAi0AFAAGAAgAAAAhAFwy+JjHAAAA4gAA&#10;AA8AAAAAAAAAAAAAAAAABwIAAGRycy9kb3ducmV2LnhtbFBLBQYAAAAAAwADALcAAAD7AgAAAAA=&#10;" adj="14916" fillcolor="#fff2cc">
                  <v:stroke startarrowwidth="narrow" startarrowlength="short" endarrowwidth="narrow" endarrowlength="short" joinstyle="round"/>
                  <v:textbox inset="2.53958mm,2.53958mm,2.53958mm,2.53958mm">
                    <w:txbxContent>
                      <w:p w14:paraId="001490BD" w14:textId="77777777" w:rsidR="000F0B49" w:rsidRDefault="000F0B49">
                        <w:pPr>
                          <w:spacing w:line="240" w:lineRule="auto"/>
                          <w:jc w:val="center"/>
                          <w:textDirection w:val="btLr"/>
                        </w:pPr>
                      </w:p>
                    </w:txbxContent>
                  </v:textbox>
                </v:shape>
                <v:shape id="Arrow: Down 92188794" o:spid="_x0000_s1043" type="#_x0000_t67" style="position:absolute;left:22727;top:13484;width:1023;height: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5QyygAAAOEAAAAPAAAAZHJzL2Rvd25yZXYueG1sRI9BSwMx&#10;FITvgv8hPMGbzXYpdbttWkQReynSrpUe4+aZLO57WTdpu/57UxA8DjPzDbNYDdSKE/ah8axgPMpA&#10;INfeNGwVvFXPdwWIEDUb3XpGBT8YYLW8vlro0vgzb/G0i1YkCIdSK3AxdqWUoXZIOox8h5y8T9+T&#10;jkn2VppenxOcWpln2VSSbjgtON3ho8P6a3ckBRNnD/vN9nVP1cuHffIV5d/0rtTtzfAwBxFxiP/h&#10;v/baKJjl46K4n03g8ii9Abn8BQAA//8DAFBLAQItABQABgAIAAAAIQDb4fbL7gAAAIUBAAATAAAA&#10;AAAAAAAAAAAAAAAAAABbQ29udGVudF9UeXBlc10ueG1sUEsBAi0AFAAGAAgAAAAhAFr0LFu/AAAA&#10;FQEAAAsAAAAAAAAAAAAAAAAAHwEAAF9yZWxzLy5yZWxzUEsBAi0AFAAGAAgAAAAhAIADlDLKAAAA&#10;4QAAAA8AAAAAAAAAAAAAAAAABwIAAGRycy9kb3ducmV2LnhtbFBLBQYAAAAAAwADALcAAAD+AgAA&#10;AAA=&#10;" adj="14916" fillcolor="#fff2cc">
                  <v:stroke startarrowwidth="narrow" startarrowlength="short" endarrowwidth="narrow" endarrowlength="short" joinstyle="round"/>
                  <v:textbox inset="2.53958mm,2.53958mm,2.53958mm,2.53958mm">
                    <w:txbxContent>
                      <w:p w14:paraId="3B66F003" w14:textId="77777777" w:rsidR="000F0B49" w:rsidRDefault="000F0B49">
                        <w:pPr>
                          <w:spacing w:line="240" w:lineRule="auto"/>
                          <w:jc w:val="center"/>
                          <w:textDirection w:val="btLr"/>
                        </w:pPr>
                      </w:p>
                    </w:txbxContent>
                  </v:textbox>
                </v:shape>
                <v:shape id="Arrow: Down 500946278" o:spid="_x0000_s1044" type="#_x0000_t67" style="position:absolute;left:22727;top:19273;width:1023;height: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BKyAAAAOIAAAAPAAAAZHJzL2Rvd25yZXYueG1sRE9NTwIx&#10;EL2b+B+aIfEmLRsEWSnEaIxeDIEV4nHcju3GnXbdVlj/vT2YcHx538v1wK04Uh+b4DVMxgoE+TqY&#10;xlsNb9XT9S2ImNAbbIMnDb8UYb26vFhiacLJb+m4S1bkEB9L1OBS6kopY+2IMY5DRz5zn6FnTBn2&#10;VpoeTzmcW1koNZOMjc8NDjt6cFR/7X5Yw9TZ9/3rdrPn6vnDPoaKi28+aH01Gu7vQCQa0ln8734x&#10;Gm6UWkxnxTxvzpfyHZCrPwAAAP//AwBQSwECLQAUAAYACAAAACEA2+H2y+4AAACFAQAAEwAAAAAA&#10;AAAAAAAAAAAAAAAAW0NvbnRlbnRfVHlwZXNdLnhtbFBLAQItABQABgAIAAAAIQBa9CxbvwAAABUB&#10;AAALAAAAAAAAAAAAAAAAAB8BAABfcmVscy8ucmVsc1BLAQItABQABgAIAAAAIQDV4OBKyAAAAOIA&#10;AAAPAAAAAAAAAAAAAAAAAAcCAABkcnMvZG93bnJldi54bWxQSwUGAAAAAAMAAwC3AAAA/AIAAAAA&#10;" adj="14916" fillcolor="#fff2cc">
                  <v:stroke startarrowwidth="narrow" startarrowlength="short" endarrowwidth="narrow" endarrowlength="short" joinstyle="round"/>
                  <v:textbox inset="2.53958mm,2.53958mm,2.53958mm,2.53958mm">
                    <w:txbxContent>
                      <w:p w14:paraId="1CE1F608" w14:textId="77777777" w:rsidR="000F0B49" w:rsidRDefault="000F0B49">
                        <w:pPr>
                          <w:spacing w:line="240" w:lineRule="auto"/>
                          <w:jc w:val="center"/>
                          <w:textDirection w:val="btLr"/>
                        </w:pPr>
                      </w:p>
                    </w:txbxContent>
                  </v:textbox>
                </v:shape>
                <v:shape id="Arrow: Down 711592747" o:spid="_x0000_s1045" type="#_x0000_t67" style="position:absolute;left:22727;top:24437;width:1023;height: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3lywAAAOIAAAAPAAAAZHJzL2Rvd25yZXYueG1sRI9BS8NA&#10;FITvQv/D8gRvdpNQjabdFlFEL1LaWPH4mn3uhubtxuzaxn/vCoLHYWa+YRarkTtxpCG03inIpxkI&#10;co3XrTMKXuvHyxsQIaLT2HlHCr4pwGo5OVtgpf3Jbei4jUYkiAsVKrAx9pWUobHEGKa+J5e8Dz8w&#10;xiQHI/WApwTnThZZdi0ZW5cWLPZ0b6k5bL9Ywcya993LZr3j+mlvHnzNxSe/KXVxPt7NQUQa43/4&#10;r/2sFZR5fnVblLMSfi+lOyCXPwAAAP//AwBQSwECLQAUAAYACAAAACEA2+H2y+4AAACFAQAAEwAA&#10;AAAAAAAAAAAAAAAAAAAAW0NvbnRlbnRfVHlwZXNdLnhtbFBLAQItABQABgAIAAAAIQBa9CxbvwAA&#10;ABUBAAALAAAAAAAAAAAAAAAAAB8BAABfcmVscy8ucmVsc1BLAQItABQABgAIAAAAIQBZck3lywAA&#10;AOIAAAAPAAAAAAAAAAAAAAAAAAcCAABkcnMvZG93bnJldi54bWxQSwUGAAAAAAMAAwC3AAAA/wIA&#10;AAAA&#10;" adj="14916" fillcolor="#fff2cc">
                  <v:stroke startarrowwidth="narrow" startarrowlength="short" endarrowwidth="narrow" endarrowlength="short" joinstyle="round"/>
                  <v:textbox inset="2.53958mm,2.53958mm,2.53958mm,2.53958mm">
                    <w:txbxContent>
                      <w:p w14:paraId="090F3862" w14:textId="77777777" w:rsidR="000F0B49" w:rsidRDefault="000F0B49">
                        <w:pPr>
                          <w:spacing w:line="240" w:lineRule="auto"/>
                          <w:jc w:val="center"/>
                          <w:textDirection w:val="btLr"/>
                        </w:pPr>
                      </w:p>
                    </w:txbxContent>
                  </v:textbox>
                </v:shape>
                <v:shape id="Arrow: Down 593170713" o:spid="_x0000_s1046" type="#_x0000_t67" style="position:absolute;left:37434;top:27506;width:726;height:18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sPyQAAAOIAAAAPAAAAZHJzL2Rvd25yZXYueG1sRI/RSgMx&#10;FETfBf8h3IJvbbJWbbs2LUUQVGTB2g+4bG6zazc3SxK3698boeDjMDNnmPV2dJ0YKMTWs4ZipkAQ&#10;1960bDUcPp+nSxAxIRvsPJOGH4qw3VxfrbE0/swfNOyTFRnCsUQNTUp9KWWsG3IYZ74nzt7RB4cp&#10;y2ClCXjOcNfJW6UepMOW80KDPT01VJ/2307DYO/euuFQte92Wcmv4rUKO0Va30zG3SOIRGP6D1/a&#10;L0bD/WpeLNSimMPfpXwH5OYXAAD//wMAUEsBAi0AFAAGAAgAAAAhANvh9svuAAAAhQEAABMAAAAA&#10;AAAAAAAAAAAAAAAAAFtDb250ZW50X1R5cGVzXS54bWxQSwECLQAUAAYACAAAACEAWvQsW78AAAAV&#10;AQAACwAAAAAAAAAAAAAAAAAfAQAAX3JlbHMvLnJlbHNQSwECLQAUAAYACAAAACEA204bD8kAAADi&#10;AAAADwAAAAAAAAAAAAAAAAAHAgAAZHJzL2Rvd25yZXYueG1sUEsFBgAAAAADAAMAtwAAAP0CAAAA&#10;AA==&#10;" adj="17350" fillcolor="#fff2cc">
                  <v:stroke startarrowwidth="narrow" startarrowlength="short" endarrowwidth="narrow" endarrowlength="short" joinstyle="round"/>
                  <v:textbox inset="2.53958mm,2.53958mm,2.53958mm,2.53958mm">
                    <w:txbxContent>
                      <w:p w14:paraId="23819CA6" w14:textId="77777777" w:rsidR="000F0B49" w:rsidRDefault="000F0B49">
                        <w:pPr>
                          <w:spacing w:line="240" w:lineRule="auto"/>
                          <w:jc w:val="center"/>
                          <w:textDirection w:val="btLr"/>
                        </w:pPr>
                      </w:p>
                    </w:txbxContent>
                  </v:textbox>
                </v:shape>
                <v:rect id="Rectangle 884530709" o:spid="_x0000_s1047" style="position:absolute;left:14854;top:38861;width:32919;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XAywAAAOIAAAAPAAAAZHJzL2Rvd25yZXYueG1sRI9PSwMx&#10;FMTvgt8hPMFLsYl/ardr07KIBS8FW0vPj83rZnXzEjZpu357UxA8DjPzG2a+HFwnTtTH1rOG+7EC&#10;QVx703KjYfe5uitAxIRssPNMGn4ownJxfTXH0vgzb+i0TY3IEI4larAphVLKWFtyGMc+EGfv4HuH&#10;Kcu+kabHc4a7Tj4o9SwdtpwXLAZ6tVR/b49OQzVZB/MWuvXxI86+RtWw2dcjq/XtzVC9gEg0pP/w&#10;X/vdaCiKp8mjmqoZXC7lOyAXvwAAAP//AwBQSwECLQAUAAYACAAAACEA2+H2y+4AAACFAQAAEwAA&#10;AAAAAAAAAAAAAAAAAAAAW0NvbnRlbnRfVHlwZXNdLnhtbFBLAQItABQABgAIAAAAIQBa9CxbvwAA&#10;ABUBAAALAAAAAAAAAAAAAAAAAB8BAABfcmVscy8ucmVsc1BLAQItABQABgAIAAAAIQCw2gXAywAA&#10;AOIAAAAPAAAAAAAAAAAAAAAAAAcCAABkcnMvZG93bnJldi54bWxQSwUGAAAAAAMAAwC3AAAA/wIA&#10;AAAA&#10;" fillcolor="#fff2cc">
                  <v:stroke startarrowwidth="narrow" startarrowlength="short" endarrowwidth="narrow" endarrowlength="short" joinstyle="round"/>
                  <v:textbox inset="2.53958mm,2.53958mm,2.53958mm,2.53958mm">
                    <w:txbxContent>
                      <w:p w14:paraId="0560F5FB" w14:textId="77777777" w:rsidR="000F0B49" w:rsidRDefault="00F034B5">
                        <w:pPr>
                          <w:spacing w:line="240" w:lineRule="auto"/>
                          <w:textDirection w:val="btLr"/>
                        </w:pPr>
                        <w:r>
                          <w:rPr>
                            <w:color w:val="000000"/>
                            <w:sz w:val="20"/>
                          </w:rPr>
                          <w:t xml:space="preserve">Studies included in qualitative synthesis: </w:t>
                        </w:r>
                        <w:r>
                          <w:rPr>
                            <w:b/>
                            <w:color w:val="000000"/>
                            <w:sz w:val="20"/>
                          </w:rPr>
                          <w:t>n = 22</w:t>
                        </w:r>
                      </w:p>
                      <w:p w14:paraId="73C9521B" w14:textId="77777777" w:rsidR="000F0B49" w:rsidRDefault="00F034B5">
                        <w:pPr>
                          <w:spacing w:line="240" w:lineRule="auto"/>
                          <w:textDirection w:val="btLr"/>
                        </w:pPr>
                        <w:r>
                          <w:rPr>
                            <w:color w:val="000000"/>
                            <w:sz w:val="20"/>
                          </w:rPr>
                          <w:t xml:space="preserve">Studies included in quantitative meta-analysis: </w:t>
                        </w:r>
                        <w:r>
                          <w:rPr>
                            <w:b/>
                            <w:color w:val="000000"/>
                            <w:sz w:val="20"/>
                          </w:rPr>
                          <w:t>n = 15</w:t>
                        </w:r>
                      </w:p>
                    </w:txbxContent>
                  </v:textbox>
                </v:rect>
                <w10:anchorlock/>
              </v:group>
            </w:pict>
          </mc:Fallback>
        </mc:AlternateContent>
      </w:r>
    </w:p>
    <w:p w14:paraId="1BE7F22D"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Figure 1. PRISMA flow diagram of study selection.</w:t>
      </w:r>
      <w:r w:rsidRPr="00467A14">
        <w:rPr>
          <w:rFonts w:ascii="Times New Roman" w:eastAsia="Times New Roman" w:hAnsi="Times New Roman" w:cs="Times New Roman"/>
          <w:b/>
          <w:bCs/>
          <w:sz w:val="24"/>
          <w:szCs w:val="24"/>
        </w:rPr>
        <w:br/>
      </w:r>
      <w:r w:rsidRPr="00467A14">
        <w:rPr>
          <w:rFonts w:ascii="Times New Roman" w:eastAsia="Times New Roman" w:hAnsi="Times New Roman" w:cs="Times New Roman"/>
          <w:sz w:val="24"/>
          <w:szCs w:val="24"/>
        </w:rPr>
        <w:t xml:space="preserve">The diagram illustrates the process of study identification, screening, eligibility assessment, and </w:t>
      </w:r>
      <w:r w:rsidRPr="00467A14">
        <w:rPr>
          <w:rFonts w:ascii="Times New Roman" w:eastAsia="Times New Roman" w:hAnsi="Times New Roman" w:cs="Times New Roman"/>
          <w:sz w:val="24"/>
          <w:szCs w:val="24"/>
        </w:rPr>
        <w:t>inclusion. A total of 312 records were identified through database searching, of which 234 remained after duplicate removal. Following title and abstract screening, 56 full-text articles were assessed for eligibility. Twenty-two studies were included in th</w:t>
      </w:r>
      <w:r w:rsidRPr="00467A14">
        <w:rPr>
          <w:rFonts w:ascii="Times New Roman" w:eastAsia="Times New Roman" w:hAnsi="Times New Roman" w:cs="Times New Roman"/>
          <w:sz w:val="24"/>
          <w:szCs w:val="24"/>
        </w:rPr>
        <w:t>e systematic review, and 15 studies were included in the quantitative meta-analysis.</w:t>
      </w:r>
    </w:p>
    <w:p w14:paraId="2C4271EE" w14:textId="77777777" w:rsidR="000F0B49" w:rsidRPr="00467A14" w:rsidRDefault="000F0B49" w:rsidP="003E6F0F">
      <w:pPr>
        <w:spacing w:before="240" w:after="240"/>
        <w:rPr>
          <w:rFonts w:ascii="Times New Roman" w:eastAsia="Times New Roman" w:hAnsi="Times New Roman" w:cs="Times New Roman"/>
          <w:sz w:val="24"/>
          <w:szCs w:val="24"/>
        </w:rPr>
      </w:pPr>
    </w:p>
    <w:p w14:paraId="0C19792D" w14:textId="77777777" w:rsidR="000F0B49" w:rsidRPr="00467A14" w:rsidRDefault="000F0B49" w:rsidP="003E6F0F">
      <w:pPr>
        <w:spacing w:before="240" w:after="240"/>
        <w:rPr>
          <w:rFonts w:ascii="Times New Roman" w:eastAsia="Times New Roman" w:hAnsi="Times New Roman" w:cs="Times New Roman"/>
          <w:b/>
          <w:bCs/>
          <w:sz w:val="24"/>
          <w:szCs w:val="24"/>
        </w:rPr>
      </w:pPr>
    </w:p>
    <w:p w14:paraId="484A724A" w14:textId="77777777" w:rsidR="000F0B49" w:rsidRPr="00467A14" w:rsidRDefault="000F0B49" w:rsidP="003E6F0F">
      <w:pPr>
        <w:spacing w:before="240" w:after="240"/>
        <w:rPr>
          <w:rFonts w:ascii="Times New Roman" w:eastAsia="Times New Roman" w:hAnsi="Times New Roman" w:cs="Times New Roman"/>
          <w:b/>
          <w:bCs/>
          <w:sz w:val="24"/>
          <w:szCs w:val="24"/>
        </w:rPr>
      </w:pPr>
    </w:p>
    <w:p w14:paraId="6B0F4A89" w14:textId="77777777" w:rsidR="000F0B49" w:rsidRPr="00467A14" w:rsidRDefault="000F0B49" w:rsidP="003E6F0F">
      <w:pPr>
        <w:spacing w:before="240" w:after="240"/>
        <w:rPr>
          <w:rFonts w:ascii="Times New Roman" w:eastAsia="Times New Roman" w:hAnsi="Times New Roman" w:cs="Times New Roman"/>
          <w:b/>
          <w:bCs/>
          <w:sz w:val="24"/>
          <w:szCs w:val="24"/>
        </w:rPr>
      </w:pPr>
    </w:p>
    <w:p w14:paraId="44AB58D0" w14:textId="77777777" w:rsidR="000F0B49" w:rsidRPr="00467A14" w:rsidRDefault="000F0B49" w:rsidP="003E6F0F">
      <w:pPr>
        <w:spacing w:before="240" w:after="240"/>
        <w:rPr>
          <w:rFonts w:ascii="Times New Roman" w:eastAsia="Times New Roman" w:hAnsi="Times New Roman" w:cs="Times New Roman"/>
          <w:b/>
          <w:bCs/>
          <w:sz w:val="24"/>
          <w:szCs w:val="24"/>
        </w:rPr>
      </w:pPr>
    </w:p>
    <w:p w14:paraId="7C7B04E4" w14:textId="77777777" w:rsidR="000F0B49" w:rsidRPr="00467A14" w:rsidRDefault="00F034B5" w:rsidP="003E6F0F">
      <w:pPr>
        <w:pStyle w:val="Heading2"/>
        <w:keepNext w:val="0"/>
        <w:keepLines w:val="0"/>
        <w:spacing w:after="80"/>
        <w:rPr>
          <w:rFonts w:ascii="Times New Roman" w:eastAsia="Times New Roman" w:hAnsi="Times New Roman" w:cs="Times New Roman"/>
          <w:b/>
          <w:bCs/>
          <w:sz w:val="24"/>
          <w:szCs w:val="24"/>
        </w:rPr>
      </w:pPr>
      <w:bookmarkStart w:id="16" w:name="_1kc1gju6mpxl" w:colFirst="0" w:colLast="0"/>
      <w:bookmarkEnd w:id="16"/>
      <w:r w:rsidRPr="00467A14">
        <w:rPr>
          <w:rFonts w:ascii="Times New Roman" w:eastAsia="Times New Roman" w:hAnsi="Times New Roman" w:cs="Times New Roman"/>
          <w:b/>
          <w:bCs/>
          <w:sz w:val="24"/>
          <w:szCs w:val="24"/>
        </w:rPr>
        <w:t>RESULTS</w:t>
      </w:r>
    </w:p>
    <w:p w14:paraId="16779D29"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lastRenderedPageBreak/>
        <w:t>To address variance instability in proportional data, prevalence estimates were transformed using the Freeman–Tukey double arcsine method prior to pooling and</w:t>
      </w:r>
      <w:r w:rsidRPr="00467A14">
        <w:rPr>
          <w:rFonts w:ascii="Times New Roman" w:eastAsia="Times New Roman" w:hAnsi="Times New Roman" w:cs="Times New Roman"/>
          <w:sz w:val="24"/>
          <w:szCs w:val="24"/>
        </w:rPr>
        <w:t xml:space="preserve"> subsequently back-transformed to obtain overall prevalence estimates. A random-effects model was applied to account for anticipated between-study heterogeneity.</w:t>
      </w:r>
    </w:p>
    <w:p w14:paraId="05D4EAF7" w14:textId="77777777" w:rsidR="000F0B49" w:rsidRPr="00467A14" w:rsidRDefault="000F0B49" w:rsidP="003E6F0F">
      <w:pPr>
        <w:spacing w:before="240" w:after="240"/>
        <w:rPr>
          <w:rFonts w:ascii="Times New Roman" w:eastAsia="Times New Roman" w:hAnsi="Times New Roman" w:cs="Times New Roman"/>
          <w:sz w:val="24"/>
          <w:szCs w:val="24"/>
        </w:rPr>
      </w:pPr>
    </w:p>
    <w:p w14:paraId="5446BAA1"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17" w:name="_6u3lham5tbmp" w:colFirst="0" w:colLast="0"/>
      <w:bookmarkEnd w:id="17"/>
      <w:r w:rsidRPr="00467A14">
        <w:rPr>
          <w:rFonts w:ascii="Times New Roman" w:eastAsia="Times New Roman" w:hAnsi="Times New Roman" w:cs="Times New Roman"/>
          <w:b/>
          <w:bCs/>
          <w:color w:val="000000"/>
          <w:sz w:val="24"/>
          <w:szCs w:val="24"/>
        </w:rPr>
        <w:t>3.1 Study Selection</w:t>
      </w:r>
    </w:p>
    <w:p w14:paraId="38729578"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The literature search identified 312 records from PubMed/MEDLINE, Scopus,</w:t>
      </w:r>
      <w:r w:rsidRPr="00467A14">
        <w:rPr>
          <w:rFonts w:ascii="Times New Roman" w:eastAsia="Times New Roman" w:hAnsi="Times New Roman" w:cs="Times New Roman"/>
          <w:sz w:val="24"/>
          <w:szCs w:val="24"/>
        </w:rPr>
        <w:t xml:space="preserve"> Web of Science, Google Scholar, and manual reference screening. After removal of 78 duplicates, 234 records remained for title and abstract screening, of which 178 were excluded for not meeting the inclusion criteria.</w:t>
      </w:r>
    </w:p>
    <w:p w14:paraId="1EDCF469"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 total of 56 full-text articles were</w:t>
      </w:r>
      <w:r w:rsidRPr="00467A14">
        <w:rPr>
          <w:rFonts w:ascii="Times New Roman" w:eastAsia="Times New Roman" w:hAnsi="Times New Roman" w:cs="Times New Roman"/>
          <w:sz w:val="24"/>
          <w:szCs w:val="24"/>
        </w:rPr>
        <w:t xml:space="preserve"> assessed for eligibility, and 34 were excluded due to reasons including secondary study design (reviews and meta-analyses), insufficient platelet data, non-human studies, or outcomes not aligned with the study objectives. Ultimately, 22 primary observatio</w:t>
      </w:r>
      <w:r w:rsidRPr="00467A14">
        <w:rPr>
          <w:rFonts w:ascii="Times New Roman" w:eastAsia="Times New Roman" w:hAnsi="Times New Roman" w:cs="Times New Roman"/>
          <w:sz w:val="24"/>
          <w:szCs w:val="24"/>
        </w:rPr>
        <w:t>nal studies met the inclusion criteria and were included in the systematic review.</w:t>
      </w:r>
    </w:p>
    <w:p w14:paraId="1D99357E"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Of these, 15 studies provided extractable numerator and denominator data on thrombocytopenia prevalence among laboratory-confirmed malaria patients and were included in the </w:t>
      </w:r>
      <w:r w:rsidRPr="00467A14">
        <w:rPr>
          <w:rFonts w:ascii="Times New Roman" w:eastAsia="Times New Roman" w:hAnsi="Times New Roman" w:cs="Times New Roman"/>
          <w:sz w:val="24"/>
          <w:szCs w:val="24"/>
        </w:rPr>
        <w:t>quantitative meta-analysis. The remaining seven studies were retained for narrative synthesis because they focused on severe thrombocytopenia, severe malaria cohorts, selected thrombocytopenic populations, diagnostic performance, or lacked suitable data fo</w:t>
      </w:r>
      <w:r w:rsidRPr="00467A14">
        <w:rPr>
          <w:rFonts w:ascii="Times New Roman" w:eastAsia="Times New Roman" w:hAnsi="Times New Roman" w:cs="Times New Roman"/>
          <w:sz w:val="24"/>
          <w:szCs w:val="24"/>
        </w:rPr>
        <w:t>r pooling.</w:t>
      </w:r>
    </w:p>
    <w:p w14:paraId="19A5D1FB" w14:textId="77777777" w:rsidR="000F0B49" w:rsidRPr="00467A14" w:rsidRDefault="000F0B49" w:rsidP="003E6F0F">
      <w:pPr>
        <w:spacing w:before="240" w:after="240"/>
        <w:rPr>
          <w:rFonts w:ascii="Times New Roman" w:eastAsia="Times New Roman" w:hAnsi="Times New Roman" w:cs="Times New Roman"/>
          <w:sz w:val="24"/>
          <w:szCs w:val="24"/>
        </w:rPr>
      </w:pPr>
    </w:p>
    <w:p w14:paraId="09754E4C"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18" w:name="_1wwmdzzj2w4" w:colFirst="0" w:colLast="0"/>
      <w:bookmarkEnd w:id="18"/>
      <w:r w:rsidRPr="00467A14">
        <w:rPr>
          <w:rFonts w:ascii="Times New Roman" w:eastAsia="Times New Roman" w:hAnsi="Times New Roman" w:cs="Times New Roman"/>
          <w:b/>
          <w:bCs/>
          <w:color w:val="000000"/>
          <w:sz w:val="24"/>
          <w:szCs w:val="24"/>
        </w:rPr>
        <w:t>3.2 Characteristics of Included Studies</w:t>
      </w:r>
    </w:p>
    <w:p w14:paraId="7449715A"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The 22 included studies were conducted across malaria-endemic regions in Africa, Asia, and South America, including Ethiopia, Sudan, Rwanda, Ghana, Malawi, India, Pakistan, Indonesia, Vietnam, Bangladesh,</w:t>
      </w:r>
      <w:r w:rsidRPr="00467A14">
        <w:rPr>
          <w:rFonts w:ascii="Times New Roman" w:eastAsia="Times New Roman" w:hAnsi="Times New Roman" w:cs="Times New Roman"/>
          <w:sz w:val="24"/>
          <w:szCs w:val="24"/>
        </w:rPr>
        <w:t xml:space="preserve"> and Brazil. Most studies were hospital-based and observational in design, comprising cross-sectional, prospective, retrospective, case-control, surveillance-based, and descriptive studies.</w:t>
      </w:r>
    </w:p>
    <w:p w14:paraId="408E8F4B"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Sample sizes varied substantially, ranging from 35 participants in</w:t>
      </w:r>
      <w:r w:rsidRPr="00467A14">
        <w:rPr>
          <w:rFonts w:ascii="Times New Roman" w:eastAsia="Times New Roman" w:hAnsi="Times New Roman" w:cs="Times New Roman"/>
          <w:sz w:val="24"/>
          <w:szCs w:val="24"/>
        </w:rPr>
        <w:t xml:space="preserve"> smaller case-control studies to 66,421 malaria cases in a large surveillance study. Study populations included adults, children, mixed-age groups, uncomplicated and severe malaria cases, and species-specific cohorts. The most frequently reported malaria s</w:t>
      </w:r>
      <w:r w:rsidRPr="00467A14">
        <w:rPr>
          <w:rFonts w:ascii="Times New Roman" w:eastAsia="Times New Roman" w:hAnsi="Times New Roman" w:cs="Times New Roman"/>
          <w:sz w:val="24"/>
          <w:szCs w:val="24"/>
        </w:rPr>
        <w:t xml:space="preserve">pecies were </w:t>
      </w:r>
      <w:r w:rsidRPr="00467A14">
        <w:rPr>
          <w:rFonts w:ascii="Times New Roman" w:eastAsia="Times New Roman" w:hAnsi="Times New Roman" w:cs="Times New Roman"/>
          <w:i/>
          <w:iCs/>
          <w:sz w:val="24"/>
          <w:szCs w:val="24"/>
        </w:rPr>
        <w:t>Plasmodium falciparum</w:t>
      </w:r>
      <w:r w:rsidRPr="00467A14">
        <w:rPr>
          <w:rFonts w:ascii="Times New Roman" w:eastAsia="Times New Roman" w:hAnsi="Times New Roman" w:cs="Times New Roman"/>
          <w:sz w:val="24"/>
          <w:szCs w:val="24"/>
        </w:rPr>
        <w:t xml:space="preserve"> and </w:t>
      </w:r>
      <w:r w:rsidRPr="00467A14">
        <w:rPr>
          <w:rFonts w:ascii="Times New Roman" w:eastAsia="Times New Roman" w:hAnsi="Times New Roman" w:cs="Times New Roman"/>
          <w:i/>
          <w:iCs/>
          <w:sz w:val="24"/>
          <w:szCs w:val="24"/>
        </w:rPr>
        <w:t>Plasmodium vivax</w:t>
      </w:r>
      <w:r w:rsidRPr="00467A14">
        <w:rPr>
          <w:rFonts w:ascii="Times New Roman" w:eastAsia="Times New Roman" w:hAnsi="Times New Roman" w:cs="Times New Roman"/>
          <w:sz w:val="24"/>
          <w:szCs w:val="24"/>
        </w:rPr>
        <w:t>, with several studies also including mixed infections.</w:t>
      </w:r>
    </w:p>
    <w:p w14:paraId="381C04FE"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Malaria diagnosis was predominantly established using Giemsa-stained thick and thin blood smear microscopy, with some studies incorporating rapid </w:t>
      </w:r>
      <w:r w:rsidRPr="00467A14">
        <w:rPr>
          <w:rFonts w:ascii="Times New Roman" w:eastAsia="Times New Roman" w:hAnsi="Times New Roman" w:cs="Times New Roman"/>
          <w:sz w:val="24"/>
          <w:szCs w:val="24"/>
        </w:rPr>
        <w:t xml:space="preserve">diagnostic tests or polymerase chain </w:t>
      </w:r>
      <w:r w:rsidRPr="00467A14">
        <w:rPr>
          <w:rFonts w:ascii="Times New Roman" w:eastAsia="Times New Roman" w:hAnsi="Times New Roman" w:cs="Times New Roman"/>
          <w:sz w:val="24"/>
          <w:szCs w:val="24"/>
        </w:rPr>
        <w:lastRenderedPageBreak/>
        <w:t>reaction. Platelet counts were generally measured using automated hematology analyzers. Most studies defined thrombocytopenia as a platelet count &lt;150 × 10⁹/L, although variations in severity thresholds were noted.</w:t>
      </w:r>
    </w:p>
    <w:p w14:paraId="25F84876"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Acro</w:t>
      </w:r>
      <w:r w:rsidRPr="00467A14">
        <w:rPr>
          <w:rFonts w:ascii="Times New Roman" w:eastAsia="Times New Roman" w:hAnsi="Times New Roman" w:cs="Times New Roman"/>
          <w:sz w:val="24"/>
          <w:szCs w:val="24"/>
        </w:rPr>
        <w:t>ss studies, thrombocytopenia was consistently reported as a common hematological abnormality in malaria, although prevalence varied according to study population, disease severity, parasite species, and platelet thresholds. Studies included in the narrativ</w:t>
      </w:r>
      <w:r w:rsidRPr="00467A14">
        <w:rPr>
          <w:rFonts w:ascii="Times New Roman" w:eastAsia="Times New Roman" w:hAnsi="Times New Roman" w:cs="Times New Roman"/>
          <w:sz w:val="24"/>
          <w:szCs w:val="24"/>
        </w:rPr>
        <w:t>e synthesis provided additional insights into clinical significance but were not suitable for inclusion in pooled prevalence estimates.</w:t>
      </w:r>
    </w:p>
    <w:p w14:paraId="41009595" w14:textId="77777777" w:rsidR="000F0B49" w:rsidRPr="00467A14" w:rsidRDefault="000F0B49" w:rsidP="003E6F0F">
      <w:pPr>
        <w:spacing w:before="240" w:after="240"/>
        <w:rPr>
          <w:rFonts w:ascii="Times New Roman" w:eastAsia="Times New Roman" w:hAnsi="Times New Roman" w:cs="Times New Roman"/>
          <w:sz w:val="24"/>
          <w:szCs w:val="24"/>
        </w:rPr>
      </w:pPr>
    </w:p>
    <w:p w14:paraId="4E77503E"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19" w:name="_xdr6xisbs279" w:colFirst="0" w:colLast="0"/>
      <w:bookmarkEnd w:id="19"/>
      <w:r w:rsidRPr="00467A14">
        <w:rPr>
          <w:rFonts w:ascii="Times New Roman" w:eastAsia="Times New Roman" w:hAnsi="Times New Roman" w:cs="Times New Roman"/>
          <w:b/>
          <w:bCs/>
          <w:color w:val="000000"/>
          <w:sz w:val="24"/>
          <w:szCs w:val="24"/>
        </w:rPr>
        <w:t>3.3 Studies Included in the Quantitative Meta-analysis</w:t>
      </w:r>
    </w:p>
    <w:p w14:paraId="524E2F91"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Fifteen studies met the criteria for inclusion in the pooled pre</w:t>
      </w:r>
      <w:r w:rsidRPr="00467A14">
        <w:rPr>
          <w:rFonts w:ascii="Times New Roman" w:eastAsia="Times New Roman" w:hAnsi="Times New Roman" w:cs="Times New Roman"/>
          <w:sz w:val="24"/>
          <w:szCs w:val="24"/>
        </w:rPr>
        <w:t xml:space="preserve">valence meta-analysis, as they provided extractable data on thrombocytopenia among laboratory-confirmed malaria patients. These studies included </w:t>
      </w:r>
      <w:proofErr w:type="spellStart"/>
      <w:r w:rsidRPr="00467A14">
        <w:rPr>
          <w:rFonts w:ascii="Times New Roman" w:eastAsia="Times New Roman" w:hAnsi="Times New Roman" w:cs="Times New Roman"/>
          <w:sz w:val="24"/>
          <w:szCs w:val="24"/>
        </w:rPr>
        <w:t>Gebreweld</w:t>
      </w:r>
      <w:proofErr w:type="spellEnd"/>
      <w:r w:rsidRPr="00467A14">
        <w:rPr>
          <w:rFonts w:ascii="Times New Roman" w:eastAsia="Times New Roman" w:hAnsi="Times New Roman" w:cs="Times New Roman"/>
          <w:sz w:val="24"/>
          <w:szCs w:val="24"/>
        </w:rPr>
        <w:t xml:space="preserve"> et al. (2021), Asmerom et al. (2023) [two studies], Gupta et al. (2013), Arif et al. (2016), Srikanth</w:t>
      </w:r>
      <w:r w:rsidRPr="00467A14">
        <w:rPr>
          <w:rFonts w:ascii="Times New Roman" w:eastAsia="Times New Roman" w:hAnsi="Times New Roman" w:cs="Times New Roman"/>
          <w:sz w:val="24"/>
          <w:szCs w:val="24"/>
        </w:rPr>
        <w:t xml:space="preserve"> et al. (2012), Devineni et al. (2015), Memon and Afsar (2006), Khalid et al. (2022), Shams et al. (2025), Ebraheem et al. (2025), Abdelsalam et al. (2026), Ansah et al. (2021), Coelho et al. (2013), and </w:t>
      </w:r>
      <w:proofErr w:type="spellStart"/>
      <w:r w:rsidRPr="00467A14">
        <w:rPr>
          <w:rFonts w:ascii="Times New Roman" w:eastAsia="Times New Roman" w:hAnsi="Times New Roman" w:cs="Times New Roman"/>
          <w:sz w:val="24"/>
          <w:szCs w:val="24"/>
        </w:rPr>
        <w:t>Siagian</w:t>
      </w:r>
      <w:proofErr w:type="spellEnd"/>
      <w:r w:rsidRPr="00467A14">
        <w:rPr>
          <w:rFonts w:ascii="Times New Roman" w:eastAsia="Times New Roman" w:hAnsi="Times New Roman" w:cs="Times New Roman"/>
          <w:sz w:val="24"/>
          <w:szCs w:val="24"/>
        </w:rPr>
        <w:t xml:space="preserve"> et al. (2019).</w:t>
      </w:r>
    </w:p>
    <w:p w14:paraId="1C83ADBD"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These studies contributed a c</w:t>
      </w:r>
      <w:r w:rsidRPr="00467A14">
        <w:rPr>
          <w:rFonts w:ascii="Times New Roman" w:eastAsia="Times New Roman" w:hAnsi="Times New Roman" w:cs="Times New Roman"/>
          <w:sz w:val="24"/>
          <w:szCs w:val="24"/>
        </w:rPr>
        <w:t>ombined sample of 2,183 malaria patients, among whom 1,572 cases of thrombocytopenia were reported.</w:t>
      </w:r>
    </w:p>
    <w:p w14:paraId="02ACD9E5" w14:textId="77777777" w:rsidR="000F0B49" w:rsidRPr="00467A14" w:rsidRDefault="000F0B49" w:rsidP="003E6F0F">
      <w:pPr>
        <w:spacing w:before="240" w:after="240"/>
        <w:rPr>
          <w:rFonts w:ascii="Times New Roman" w:eastAsia="Times New Roman" w:hAnsi="Times New Roman" w:cs="Times New Roman"/>
          <w:sz w:val="24"/>
          <w:szCs w:val="24"/>
        </w:rPr>
      </w:pPr>
    </w:p>
    <w:p w14:paraId="3C2FDC71"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20" w:name="_k4mmdemciss3" w:colFirst="0" w:colLast="0"/>
      <w:bookmarkEnd w:id="20"/>
      <w:r w:rsidRPr="00467A14">
        <w:rPr>
          <w:rFonts w:ascii="Times New Roman" w:eastAsia="Times New Roman" w:hAnsi="Times New Roman" w:cs="Times New Roman"/>
          <w:b/>
          <w:bCs/>
          <w:color w:val="000000"/>
          <w:sz w:val="24"/>
          <w:szCs w:val="24"/>
        </w:rPr>
        <w:t>3.4 Pooled Prevalence of Thrombocytopenia in Malaria</w:t>
      </w:r>
    </w:p>
    <w:p w14:paraId="1328A203"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Meta-analysis using a random-effects model demonstrated that thrombocytopenia is highly prevalent amon</w:t>
      </w:r>
      <w:r w:rsidRPr="00467A14">
        <w:rPr>
          <w:rFonts w:ascii="Times New Roman" w:eastAsia="Times New Roman" w:hAnsi="Times New Roman" w:cs="Times New Roman"/>
          <w:sz w:val="24"/>
          <w:szCs w:val="24"/>
        </w:rPr>
        <w:t>g patients with laboratory-confirmed malaria. The pooled prevalence was 73.1% (95% CI: 65.7%–79.5%), indicating that approximately three out of four malaria patients exhibit thrombocytopenia.</w:t>
      </w:r>
    </w:p>
    <w:p w14:paraId="18DC1819"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Individual study estimates ranged from 33.0% to 90.0%, reflectin</w:t>
      </w:r>
      <w:r w:rsidRPr="00467A14">
        <w:rPr>
          <w:rFonts w:ascii="Times New Roman" w:eastAsia="Times New Roman" w:hAnsi="Times New Roman" w:cs="Times New Roman"/>
          <w:sz w:val="24"/>
          <w:szCs w:val="24"/>
        </w:rPr>
        <w:t>g substantial variability across study populations and settings. Statistical heterogeneity was considerable (Q = 169.69, I² = 91.7%, τ² = 0.429), indicating that most of the observed variability was due to true differences between studies rather than sampl</w:t>
      </w:r>
      <w:r w:rsidRPr="00467A14">
        <w:rPr>
          <w:rFonts w:ascii="Times New Roman" w:eastAsia="Times New Roman" w:hAnsi="Times New Roman" w:cs="Times New Roman"/>
          <w:sz w:val="24"/>
          <w:szCs w:val="24"/>
        </w:rPr>
        <w:t>ing error.</w:t>
      </w:r>
    </w:p>
    <w:p w14:paraId="4E9523BD" w14:textId="2C81A1B8"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Despite this heterogeneity, the direction of findings was consistent, with the majority of studies reporting prevalence estimates exceeding 50%, supporting thrombocytopenia as a common hematological manifestation of malaria across diverse epidemiological c</w:t>
      </w:r>
      <w:r w:rsidRPr="00467A14">
        <w:rPr>
          <w:rFonts w:ascii="Times New Roman" w:eastAsia="Times New Roman" w:hAnsi="Times New Roman" w:cs="Times New Roman"/>
          <w:sz w:val="24"/>
          <w:szCs w:val="24"/>
        </w:rPr>
        <w:t xml:space="preserve">ontexts. The forest plot (Figure </w:t>
      </w:r>
      <w:r w:rsidR="008D11F5">
        <w:rPr>
          <w:rFonts w:ascii="Times New Roman" w:eastAsia="Times New Roman" w:hAnsi="Times New Roman" w:cs="Times New Roman"/>
          <w:sz w:val="24"/>
          <w:szCs w:val="24"/>
        </w:rPr>
        <w:t>1</w:t>
      </w:r>
      <w:r w:rsidRPr="00467A14">
        <w:rPr>
          <w:rFonts w:ascii="Times New Roman" w:eastAsia="Times New Roman" w:hAnsi="Times New Roman" w:cs="Times New Roman"/>
          <w:sz w:val="24"/>
          <w:szCs w:val="24"/>
        </w:rPr>
        <w:t>) illustrates the distribution of study-specific estimates and the pooled effect size.</w:t>
      </w:r>
    </w:p>
    <w:p w14:paraId="4A88ED64" w14:textId="77777777" w:rsidR="000F0B49" w:rsidRPr="00467A14" w:rsidRDefault="000F0B49" w:rsidP="003E6F0F">
      <w:pPr>
        <w:spacing w:before="240" w:after="240"/>
        <w:rPr>
          <w:rFonts w:ascii="Times New Roman" w:eastAsia="Times New Roman" w:hAnsi="Times New Roman" w:cs="Times New Roman"/>
          <w:sz w:val="24"/>
          <w:szCs w:val="24"/>
        </w:rPr>
      </w:pPr>
    </w:p>
    <w:p w14:paraId="0207E61B"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21" w:name="_lumzxg5qtnp1" w:colFirst="0" w:colLast="0"/>
      <w:bookmarkEnd w:id="21"/>
      <w:r w:rsidRPr="00467A14">
        <w:rPr>
          <w:rFonts w:ascii="Times New Roman" w:eastAsia="Times New Roman" w:hAnsi="Times New Roman" w:cs="Times New Roman"/>
          <w:b/>
          <w:bCs/>
          <w:color w:val="000000"/>
          <w:sz w:val="24"/>
          <w:szCs w:val="24"/>
        </w:rPr>
        <w:t xml:space="preserve">3.5 Subgroup Analysis by </w:t>
      </w:r>
      <w:r w:rsidRPr="00467A14">
        <w:rPr>
          <w:rFonts w:ascii="Times New Roman" w:eastAsia="Times New Roman" w:hAnsi="Times New Roman" w:cs="Times New Roman"/>
          <w:b/>
          <w:bCs/>
          <w:i/>
          <w:iCs/>
          <w:color w:val="000000"/>
          <w:sz w:val="24"/>
          <w:szCs w:val="24"/>
        </w:rPr>
        <w:t>Plasmodium</w:t>
      </w:r>
      <w:r w:rsidRPr="00467A14">
        <w:rPr>
          <w:rFonts w:ascii="Times New Roman" w:eastAsia="Times New Roman" w:hAnsi="Times New Roman" w:cs="Times New Roman"/>
          <w:b/>
          <w:bCs/>
          <w:color w:val="000000"/>
          <w:sz w:val="24"/>
          <w:szCs w:val="24"/>
        </w:rPr>
        <w:t xml:space="preserve"> Species</w:t>
      </w:r>
    </w:p>
    <w:p w14:paraId="041345F2"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Subgroup analysis was conducted to evaluate differences in thrombocytopenia prevalence acc</w:t>
      </w:r>
      <w:r w:rsidRPr="00467A14">
        <w:rPr>
          <w:rFonts w:ascii="Times New Roman" w:eastAsia="Times New Roman" w:hAnsi="Times New Roman" w:cs="Times New Roman"/>
          <w:sz w:val="24"/>
          <w:szCs w:val="24"/>
        </w:rPr>
        <w:t xml:space="preserve">ording to infecting </w:t>
      </w:r>
      <w:r w:rsidRPr="00467A14">
        <w:rPr>
          <w:rFonts w:ascii="Times New Roman" w:eastAsia="Times New Roman" w:hAnsi="Times New Roman" w:cs="Times New Roman"/>
          <w:i/>
          <w:iCs/>
          <w:sz w:val="24"/>
          <w:szCs w:val="24"/>
        </w:rPr>
        <w:t>Plasmodium</w:t>
      </w:r>
      <w:r w:rsidRPr="00467A14">
        <w:rPr>
          <w:rFonts w:ascii="Times New Roman" w:eastAsia="Times New Roman" w:hAnsi="Times New Roman" w:cs="Times New Roman"/>
          <w:sz w:val="24"/>
          <w:szCs w:val="24"/>
        </w:rPr>
        <w:t xml:space="preserve"> species.</w:t>
      </w:r>
    </w:p>
    <w:p w14:paraId="726F07DD"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The pooled prevalence was highest in </w:t>
      </w:r>
      <w:r w:rsidRPr="00467A14">
        <w:rPr>
          <w:rFonts w:ascii="Times New Roman" w:eastAsia="Times New Roman" w:hAnsi="Times New Roman" w:cs="Times New Roman"/>
          <w:i/>
          <w:iCs/>
          <w:sz w:val="24"/>
          <w:szCs w:val="24"/>
        </w:rPr>
        <w:t>P. falciparum</w:t>
      </w:r>
      <w:r w:rsidRPr="00467A14">
        <w:rPr>
          <w:rFonts w:ascii="Times New Roman" w:eastAsia="Times New Roman" w:hAnsi="Times New Roman" w:cs="Times New Roman"/>
          <w:sz w:val="24"/>
          <w:szCs w:val="24"/>
        </w:rPr>
        <w:t xml:space="preserve"> infection at 76.8% (95% CI: 69.2%–83.1%), followed by mixed infections at 72.5% (95% CI: 63.3%–80.1%), and </w:t>
      </w:r>
      <w:r w:rsidRPr="00467A14">
        <w:rPr>
          <w:rFonts w:ascii="Times New Roman" w:eastAsia="Times New Roman" w:hAnsi="Times New Roman" w:cs="Times New Roman"/>
          <w:i/>
          <w:iCs/>
          <w:sz w:val="24"/>
          <w:szCs w:val="24"/>
        </w:rPr>
        <w:t>P. vivax</w:t>
      </w:r>
      <w:r w:rsidRPr="00467A14">
        <w:rPr>
          <w:rFonts w:ascii="Times New Roman" w:eastAsia="Times New Roman" w:hAnsi="Times New Roman" w:cs="Times New Roman"/>
          <w:sz w:val="24"/>
          <w:szCs w:val="24"/>
        </w:rPr>
        <w:t xml:space="preserve"> infection at 68.4% (95% CI: 59.7%–75.9%).</w:t>
      </w:r>
    </w:p>
    <w:p w14:paraId="288DADE7"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Heterog</w:t>
      </w:r>
      <w:r w:rsidRPr="00467A14">
        <w:rPr>
          <w:rFonts w:ascii="Times New Roman" w:eastAsia="Times New Roman" w:hAnsi="Times New Roman" w:cs="Times New Roman"/>
          <w:sz w:val="24"/>
          <w:szCs w:val="24"/>
        </w:rPr>
        <w:t xml:space="preserve">eneity remained high within all subgroups (I² = 88.6% for </w:t>
      </w:r>
      <w:r w:rsidRPr="00467A14">
        <w:rPr>
          <w:rFonts w:ascii="Times New Roman" w:eastAsia="Times New Roman" w:hAnsi="Times New Roman" w:cs="Times New Roman"/>
          <w:i/>
          <w:iCs/>
          <w:sz w:val="24"/>
          <w:szCs w:val="24"/>
        </w:rPr>
        <w:t>P. falciparum</w:t>
      </w:r>
      <w:r w:rsidRPr="00467A14">
        <w:rPr>
          <w:rFonts w:ascii="Times New Roman" w:eastAsia="Times New Roman" w:hAnsi="Times New Roman" w:cs="Times New Roman"/>
          <w:sz w:val="24"/>
          <w:szCs w:val="24"/>
        </w:rPr>
        <w:t xml:space="preserve">, 85.2% for </w:t>
      </w:r>
      <w:r w:rsidRPr="00467A14">
        <w:rPr>
          <w:rFonts w:ascii="Times New Roman" w:eastAsia="Times New Roman" w:hAnsi="Times New Roman" w:cs="Times New Roman"/>
          <w:i/>
          <w:iCs/>
          <w:sz w:val="24"/>
          <w:szCs w:val="24"/>
        </w:rPr>
        <w:t>P. vivax</w:t>
      </w:r>
      <w:r w:rsidRPr="00467A14">
        <w:rPr>
          <w:rFonts w:ascii="Times New Roman" w:eastAsia="Times New Roman" w:hAnsi="Times New Roman" w:cs="Times New Roman"/>
          <w:sz w:val="24"/>
          <w:szCs w:val="24"/>
        </w:rPr>
        <w:t xml:space="preserve">, and 89.4% for mixed infections). The test for subgroup differences was not statistically significant (p = 0.08), although a trend toward higher prevalence in </w:t>
      </w:r>
      <w:r w:rsidRPr="00467A14">
        <w:rPr>
          <w:rFonts w:ascii="Times New Roman" w:eastAsia="Times New Roman" w:hAnsi="Times New Roman" w:cs="Times New Roman"/>
          <w:i/>
          <w:iCs/>
          <w:sz w:val="24"/>
          <w:szCs w:val="24"/>
        </w:rPr>
        <w:t>P. fa</w:t>
      </w:r>
      <w:r w:rsidRPr="00467A14">
        <w:rPr>
          <w:rFonts w:ascii="Times New Roman" w:eastAsia="Times New Roman" w:hAnsi="Times New Roman" w:cs="Times New Roman"/>
          <w:i/>
          <w:iCs/>
          <w:sz w:val="24"/>
          <w:szCs w:val="24"/>
        </w:rPr>
        <w:t>lciparum</w:t>
      </w:r>
      <w:r w:rsidRPr="00467A14">
        <w:rPr>
          <w:rFonts w:ascii="Times New Roman" w:eastAsia="Times New Roman" w:hAnsi="Times New Roman" w:cs="Times New Roman"/>
          <w:sz w:val="24"/>
          <w:szCs w:val="24"/>
        </w:rPr>
        <w:t xml:space="preserve"> infection was observed.</w:t>
      </w:r>
    </w:p>
    <w:p w14:paraId="5E552E97"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These findings indicate that thrombocytopenia is common across malaria species and not restricted to falciparum malaria, although it may be more pronounced in infections associated with greater pathogenicity.</w:t>
      </w:r>
    </w:p>
    <w:p w14:paraId="04E92F20" w14:textId="77777777" w:rsidR="000F0B49" w:rsidRPr="00467A14" w:rsidRDefault="000F0B49" w:rsidP="003E6F0F">
      <w:pPr>
        <w:spacing w:before="240" w:after="240"/>
        <w:rPr>
          <w:rFonts w:ascii="Times New Roman" w:eastAsia="Times New Roman" w:hAnsi="Times New Roman" w:cs="Times New Roman"/>
          <w:sz w:val="24"/>
          <w:szCs w:val="24"/>
        </w:rPr>
      </w:pPr>
    </w:p>
    <w:p w14:paraId="00C1910E"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22" w:name="_k13le4sg65xv" w:colFirst="0" w:colLast="0"/>
      <w:bookmarkEnd w:id="22"/>
      <w:r w:rsidRPr="00467A14">
        <w:rPr>
          <w:rFonts w:ascii="Times New Roman" w:eastAsia="Times New Roman" w:hAnsi="Times New Roman" w:cs="Times New Roman"/>
          <w:b/>
          <w:bCs/>
          <w:color w:val="000000"/>
          <w:sz w:val="24"/>
          <w:szCs w:val="24"/>
        </w:rPr>
        <w:t>3.6 Narrative</w:t>
      </w:r>
      <w:r w:rsidRPr="00467A14">
        <w:rPr>
          <w:rFonts w:ascii="Times New Roman" w:eastAsia="Times New Roman" w:hAnsi="Times New Roman" w:cs="Times New Roman"/>
          <w:b/>
          <w:bCs/>
          <w:color w:val="000000"/>
          <w:sz w:val="24"/>
          <w:szCs w:val="24"/>
        </w:rPr>
        <w:t xml:space="preserve"> Synthesis of Severity and Clinical Significance</w:t>
      </w:r>
    </w:p>
    <w:p w14:paraId="1CE682EE"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Seven studies were included in the narrative synthesis because they focused on severe thrombocytopenia, severe malaria cohorts, diagnostic performance, or selected thrombocytopenic populations rather than ov</w:t>
      </w:r>
      <w:r w:rsidRPr="00467A14">
        <w:rPr>
          <w:rFonts w:ascii="Times New Roman" w:eastAsia="Times New Roman" w:hAnsi="Times New Roman" w:cs="Times New Roman"/>
          <w:sz w:val="24"/>
          <w:szCs w:val="24"/>
        </w:rPr>
        <w:t xml:space="preserve">erall prevalence. These studies included </w:t>
      </w:r>
      <w:proofErr w:type="spellStart"/>
      <w:r w:rsidRPr="00467A14">
        <w:rPr>
          <w:rFonts w:ascii="Times New Roman" w:eastAsia="Times New Roman" w:hAnsi="Times New Roman" w:cs="Times New Roman"/>
          <w:sz w:val="24"/>
          <w:szCs w:val="24"/>
        </w:rPr>
        <w:t>Ndatumuremyi</w:t>
      </w:r>
      <w:proofErr w:type="spellEnd"/>
      <w:r w:rsidRPr="00467A14">
        <w:rPr>
          <w:rFonts w:ascii="Times New Roman" w:eastAsia="Times New Roman" w:hAnsi="Times New Roman" w:cs="Times New Roman"/>
          <w:sz w:val="24"/>
          <w:szCs w:val="24"/>
        </w:rPr>
        <w:t xml:space="preserve"> et al. (2025), Mandala et al. (2022), Hanson et al. (2015), Khan et al. (2012), </w:t>
      </w:r>
      <w:proofErr w:type="spellStart"/>
      <w:r w:rsidRPr="00467A14">
        <w:rPr>
          <w:rFonts w:ascii="Times New Roman" w:eastAsia="Times New Roman" w:hAnsi="Times New Roman" w:cs="Times New Roman"/>
          <w:sz w:val="24"/>
          <w:szCs w:val="24"/>
        </w:rPr>
        <w:t>Jairajpuri</w:t>
      </w:r>
      <w:proofErr w:type="spellEnd"/>
      <w:r w:rsidRPr="00467A14">
        <w:rPr>
          <w:rFonts w:ascii="Times New Roman" w:eastAsia="Times New Roman" w:hAnsi="Times New Roman" w:cs="Times New Roman"/>
          <w:sz w:val="24"/>
          <w:szCs w:val="24"/>
        </w:rPr>
        <w:t xml:space="preserve"> et al. (2014), Bhandary et al. (2011), and Surekha and </w:t>
      </w:r>
      <w:proofErr w:type="spellStart"/>
      <w:r w:rsidRPr="00467A14">
        <w:rPr>
          <w:rFonts w:ascii="Times New Roman" w:eastAsia="Times New Roman" w:hAnsi="Times New Roman" w:cs="Times New Roman"/>
          <w:sz w:val="24"/>
          <w:szCs w:val="24"/>
        </w:rPr>
        <w:t>Thiruman</w:t>
      </w:r>
      <w:proofErr w:type="spellEnd"/>
      <w:r w:rsidRPr="00467A14">
        <w:rPr>
          <w:rFonts w:ascii="Times New Roman" w:eastAsia="Times New Roman" w:hAnsi="Times New Roman" w:cs="Times New Roman"/>
          <w:sz w:val="24"/>
          <w:szCs w:val="24"/>
        </w:rPr>
        <w:t xml:space="preserve"> (2018).</w:t>
      </w:r>
    </w:p>
    <w:p w14:paraId="5239AAD2"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Across these studies, thrombocytopenia </w:t>
      </w:r>
      <w:r w:rsidRPr="00467A14">
        <w:rPr>
          <w:rFonts w:ascii="Times New Roman" w:eastAsia="Times New Roman" w:hAnsi="Times New Roman" w:cs="Times New Roman"/>
          <w:sz w:val="24"/>
          <w:szCs w:val="24"/>
        </w:rPr>
        <w:t xml:space="preserve">was consistently associated with markers of disease severity. Lower platelet counts were linked to complicated malaria, higher parasitemia, organ dysfunction, severe malaria syndromes, and increased mortality risk. In severe </w:t>
      </w:r>
      <w:r w:rsidRPr="00467A14">
        <w:rPr>
          <w:rFonts w:ascii="Times New Roman" w:eastAsia="Times New Roman" w:hAnsi="Times New Roman" w:cs="Times New Roman"/>
          <w:i/>
          <w:iCs/>
          <w:sz w:val="24"/>
          <w:szCs w:val="24"/>
        </w:rPr>
        <w:t>P. falciparum</w:t>
      </w:r>
      <w:r w:rsidRPr="00467A14">
        <w:rPr>
          <w:rFonts w:ascii="Times New Roman" w:eastAsia="Times New Roman" w:hAnsi="Times New Roman" w:cs="Times New Roman"/>
          <w:sz w:val="24"/>
          <w:szCs w:val="24"/>
        </w:rPr>
        <w:t xml:space="preserve"> malaria, profound</w:t>
      </w:r>
      <w:r w:rsidRPr="00467A14">
        <w:rPr>
          <w:rFonts w:ascii="Times New Roman" w:eastAsia="Times New Roman" w:hAnsi="Times New Roman" w:cs="Times New Roman"/>
          <w:sz w:val="24"/>
          <w:szCs w:val="24"/>
        </w:rPr>
        <w:t xml:space="preserve"> thrombocytopenia was associated with increased parasite biomass, microvascular sequestration, and a higher number of WHO severity criteria. Some studies also reported that severe thrombocytopenia, particularly when combined with severe anemia, was associa</w:t>
      </w:r>
      <w:r w:rsidRPr="00467A14">
        <w:rPr>
          <w:rFonts w:ascii="Times New Roman" w:eastAsia="Times New Roman" w:hAnsi="Times New Roman" w:cs="Times New Roman"/>
          <w:sz w:val="24"/>
          <w:szCs w:val="24"/>
        </w:rPr>
        <w:t>ted with markedly increased odds of mortality.</w:t>
      </w:r>
    </w:p>
    <w:p w14:paraId="095B0EC6"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Despite its severity, clinically significant bleeding was uncommon in most reports. Platelet counts were observed to improve following effective antimalarial therapy, and platelet transfusion was generally unn</w:t>
      </w:r>
      <w:r w:rsidRPr="00467A14">
        <w:rPr>
          <w:rFonts w:ascii="Times New Roman" w:eastAsia="Times New Roman" w:hAnsi="Times New Roman" w:cs="Times New Roman"/>
          <w:sz w:val="24"/>
          <w:szCs w:val="24"/>
        </w:rPr>
        <w:t>ecessary in the absence of major hemorrhage. These findings suggest that thrombocytopenia in malaria is more indicative of systemic disease severity than a direct predictor of bleeding risk.</w:t>
      </w:r>
    </w:p>
    <w:p w14:paraId="055280E0" w14:textId="77777777" w:rsidR="000F0B49" w:rsidRPr="00467A14" w:rsidRDefault="000F0B49" w:rsidP="003E6F0F">
      <w:pPr>
        <w:spacing w:before="240" w:after="240"/>
        <w:rPr>
          <w:rFonts w:ascii="Times New Roman" w:eastAsia="Times New Roman" w:hAnsi="Times New Roman" w:cs="Times New Roman"/>
          <w:sz w:val="24"/>
          <w:szCs w:val="24"/>
        </w:rPr>
      </w:pPr>
    </w:p>
    <w:p w14:paraId="4926B4AA"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23" w:name="_gx8awox55ko7" w:colFirst="0" w:colLast="0"/>
      <w:bookmarkEnd w:id="23"/>
      <w:r w:rsidRPr="00467A14">
        <w:rPr>
          <w:rFonts w:ascii="Times New Roman" w:eastAsia="Times New Roman" w:hAnsi="Times New Roman" w:cs="Times New Roman"/>
          <w:b/>
          <w:bCs/>
          <w:color w:val="000000"/>
          <w:sz w:val="24"/>
          <w:szCs w:val="24"/>
        </w:rPr>
        <w:t>3.7 Summary of Main Findings</w:t>
      </w:r>
    </w:p>
    <w:p w14:paraId="6CEDCCCD"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Overall, the evidence demonstrates that thrombocytopenia is a frequent and clinically relevant hematological abnormality in malaria, with a pooled prevalence of 73.1%. It occurs across both </w:t>
      </w:r>
      <w:r w:rsidRPr="00467A14">
        <w:rPr>
          <w:rFonts w:ascii="Times New Roman" w:eastAsia="Times New Roman" w:hAnsi="Times New Roman" w:cs="Times New Roman"/>
          <w:i/>
          <w:iCs/>
          <w:sz w:val="24"/>
          <w:szCs w:val="24"/>
        </w:rPr>
        <w:t>P. falciparum</w:t>
      </w:r>
      <w:r w:rsidRPr="00467A14">
        <w:rPr>
          <w:rFonts w:ascii="Times New Roman" w:eastAsia="Times New Roman" w:hAnsi="Times New Roman" w:cs="Times New Roman"/>
          <w:sz w:val="24"/>
          <w:szCs w:val="24"/>
        </w:rPr>
        <w:t xml:space="preserve"> and </w:t>
      </w:r>
      <w:r w:rsidRPr="00467A14">
        <w:rPr>
          <w:rFonts w:ascii="Times New Roman" w:eastAsia="Times New Roman" w:hAnsi="Times New Roman" w:cs="Times New Roman"/>
          <w:i/>
          <w:iCs/>
          <w:sz w:val="24"/>
          <w:szCs w:val="24"/>
        </w:rPr>
        <w:t>P. vivax</w:t>
      </w:r>
      <w:r w:rsidRPr="00467A14">
        <w:rPr>
          <w:rFonts w:ascii="Times New Roman" w:eastAsia="Times New Roman" w:hAnsi="Times New Roman" w:cs="Times New Roman"/>
          <w:sz w:val="24"/>
          <w:szCs w:val="24"/>
        </w:rPr>
        <w:t xml:space="preserve"> infections, with a trend toward higher </w:t>
      </w:r>
      <w:r w:rsidRPr="00467A14">
        <w:rPr>
          <w:rFonts w:ascii="Times New Roman" w:eastAsia="Times New Roman" w:hAnsi="Times New Roman" w:cs="Times New Roman"/>
          <w:sz w:val="24"/>
          <w:szCs w:val="24"/>
        </w:rPr>
        <w:t>prevalence in falciparum malaria.</w:t>
      </w:r>
    </w:p>
    <w:p w14:paraId="79D6B5A7"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Narrative synthesis further indicates that more severe thrombocytopenia is associated with increased disease severity, complications, organ dysfunction, and mortality, while clinically significant bleeding remains relative</w:t>
      </w:r>
      <w:r w:rsidRPr="00467A14">
        <w:rPr>
          <w:rFonts w:ascii="Times New Roman" w:eastAsia="Times New Roman" w:hAnsi="Times New Roman" w:cs="Times New Roman"/>
          <w:sz w:val="24"/>
          <w:szCs w:val="24"/>
        </w:rPr>
        <w:t>ly uncommon. Funnel plot inspection suggested possible asymmetry; however, interpretation was limited by substantial heterogeneity across studies.</w:t>
      </w:r>
    </w:p>
    <w:p w14:paraId="3D03B823" w14:textId="77777777" w:rsidR="000F0B49" w:rsidRPr="00467A14" w:rsidRDefault="00F034B5" w:rsidP="003E6F0F">
      <w:pPr>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Collectively, these findings support the integration of platelet count into routine clinical assessment and m</w:t>
      </w:r>
      <w:r w:rsidRPr="00467A14">
        <w:rPr>
          <w:rFonts w:ascii="Times New Roman" w:eastAsia="Times New Roman" w:hAnsi="Times New Roman" w:cs="Times New Roman"/>
          <w:sz w:val="24"/>
          <w:szCs w:val="24"/>
        </w:rPr>
        <w:t>onitoring of malaria, particularly in endemic and resource-limited settings.</w:t>
      </w:r>
    </w:p>
    <w:p w14:paraId="52BBE2EB" w14:textId="77777777" w:rsidR="000F0B49" w:rsidRPr="00467A14" w:rsidRDefault="000F0B49" w:rsidP="003E6F0F">
      <w:pPr>
        <w:pStyle w:val="Heading1"/>
        <w:keepNext w:val="0"/>
        <w:keepLines w:val="0"/>
        <w:spacing w:before="480"/>
        <w:rPr>
          <w:rFonts w:ascii="Times New Roman" w:eastAsia="Times New Roman" w:hAnsi="Times New Roman" w:cs="Times New Roman"/>
          <w:b/>
          <w:bCs/>
          <w:sz w:val="24"/>
          <w:szCs w:val="24"/>
        </w:rPr>
        <w:sectPr w:rsidR="000F0B49" w:rsidRPr="00467A1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bookmarkStart w:id="24" w:name="_it7zncircqmk" w:colFirst="0" w:colLast="0"/>
      <w:bookmarkEnd w:id="24"/>
    </w:p>
    <w:p w14:paraId="0CFD20CC" w14:textId="77777777" w:rsidR="000F0B49" w:rsidRPr="00467A14" w:rsidRDefault="00F034B5" w:rsidP="003E6F0F">
      <w:pPr>
        <w:pStyle w:val="Heading2"/>
        <w:keepNext w:val="0"/>
        <w:keepLines w:val="0"/>
        <w:spacing w:after="80"/>
        <w:rPr>
          <w:rFonts w:ascii="Times New Roman" w:eastAsia="Times New Roman" w:hAnsi="Times New Roman" w:cs="Times New Roman"/>
          <w:b/>
          <w:bCs/>
          <w:sz w:val="24"/>
          <w:szCs w:val="24"/>
        </w:rPr>
      </w:pPr>
      <w:bookmarkStart w:id="25" w:name="_34dncadn17hh" w:colFirst="0" w:colLast="0"/>
      <w:bookmarkEnd w:id="25"/>
      <w:r w:rsidRPr="00467A14">
        <w:rPr>
          <w:rFonts w:ascii="Times New Roman" w:eastAsia="Times New Roman" w:hAnsi="Times New Roman" w:cs="Times New Roman"/>
          <w:b/>
          <w:bCs/>
          <w:sz w:val="24"/>
          <w:szCs w:val="24"/>
        </w:rPr>
        <w:lastRenderedPageBreak/>
        <w:t>4. DISCUSSION</w:t>
      </w:r>
    </w:p>
    <w:p w14:paraId="65DFFA43"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26" w:name="_wlzy4klcx902" w:colFirst="0" w:colLast="0"/>
      <w:bookmarkEnd w:id="26"/>
      <w:r w:rsidRPr="00467A14">
        <w:rPr>
          <w:rFonts w:ascii="Times New Roman" w:eastAsia="Times New Roman" w:hAnsi="Times New Roman" w:cs="Times New Roman"/>
          <w:b/>
          <w:bCs/>
          <w:color w:val="000000"/>
          <w:sz w:val="24"/>
          <w:szCs w:val="24"/>
        </w:rPr>
        <w:t>4.1 Principal Findings</w:t>
      </w:r>
    </w:p>
    <w:p w14:paraId="5C90D978"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This systematic review and meta-analysis </w:t>
      </w:r>
      <w:proofErr w:type="gramStart"/>
      <w:r w:rsidRPr="00467A14">
        <w:rPr>
          <w:rFonts w:ascii="Times New Roman" w:eastAsia="Times New Roman" w:hAnsi="Times New Roman" w:cs="Times New Roman"/>
          <w:sz w:val="24"/>
          <w:szCs w:val="24"/>
        </w:rPr>
        <w:t>demonstrates</w:t>
      </w:r>
      <w:proofErr w:type="gramEnd"/>
      <w:r w:rsidRPr="00467A14">
        <w:rPr>
          <w:rFonts w:ascii="Times New Roman" w:eastAsia="Times New Roman" w:hAnsi="Times New Roman" w:cs="Times New Roman"/>
          <w:sz w:val="24"/>
          <w:szCs w:val="24"/>
        </w:rPr>
        <w:t xml:space="preserve"> that thr</w:t>
      </w:r>
      <w:r w:rsidRPr="00467A14">
        <w:rPr>
          <w:rFonts w:ascii="Times New Roman" w:eastAsia="Times New Roman" w:hAnsi="Times New Roman" w:cs="Times New Roman"/>
          <w:sz w:val="24"/>
          <w:szCs w:val="24"/>
        </w:rPr>
        <w:t>ombocytopenia is a highly prevalent hematological abnormality among patients with malaria, with a pooled prevalence of 73.1% (95% CI: 65.7%–79.5%).</w:t>
      </w:r>
    </w:p>
    <w:p w14:paraId="3BF3B779"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Subgroup analysis further indicates that thrombocytopenia occurs across all major </w:t>
      </w:r>
      <w:r w:rsidRPr="00467A14">
        <w:rPr>
          <w:rFonts w:ascii="Times New Roman" w:eastAsia="Times New Roman" w:hAnsi="Times New Roman" w:cs="Times New Roman"/>
          <w:i/>
          <w:iCs/>
          <w:sz w:val="24"/>
          <w:szCs w:val="24"/>
        </w:rPr>
        <w:t>Plasmodium</w:t>
      </w:r>
      <w:r w:rsidRPr="00467A14">
        <w:rPr>
          <w:rFonts w:ascii="Times New Roman" w:eastAsia="Times New Roman" w:hAnsi="Times New Roman" w:cs="Times New Roman"/>
          <w:sz w:val="24"/>
          <w:szCs w:val="24"/>
        </w:rPr>
        <w:t xml:space="preserve"> species. Althou</w:t>
      </w:r>
      <w:r w:rsidRPr="00467A14">
        <w:rPr>
          <w:rFonts w:ascii="Times New Roman" w:eastAsia="Times New Roman" w:hAnsi="Times New Roman" w:cs="Times New Roman"/>
          <w:sz w:val="24"/>
          <w:szCs w:val="24"/>
        </w:rPr>
        <w:t xml:space="preserve">gh prevalence was highest in </w:t>
      </w:r>
      <w:r w:rsidRPr="00467A14">
        <w:rPr>
          <w:rFonts w:ascii="Times New Roman" w:eastAsia="Times New Roman" w:hAnsi="Times New Roman" w:cs="Times New Roman"/>
          <w:i/>
          <w:iCs/>
          <w:sz w:val="24"/>
          <w:szCs w:val="24"/>
        </w:rPr>
        <w:t>Plasmodium falciparum</w:t>
      </w:r>
      <w:r w:rsidRPr="00467A14">
        <w:rPr>
          <w:rFonts w:ascii="Times New Roman" w:eastAsia="Times New Roman" w:hAnsi="Times New Roman" w:cs="Times New Roman"/>
          <w:sz w:val="24"/>
          <w:szCs w:val="24"/>
        </w:rPr>
        <w:t xml:space="preserve"> infection (76.8%), substantial prevalence was also observed in </w:t>
      </w:r>
      <w:r w:rsidRPr="00467A14">
        <w:rPr>
          <w:rFonts w:ascii="Times New Roman" w:eastAsia="Times New Roman" w:hAnsi="Times New Roman" w:cs="Times New Roman"/>
          <w:i/>
          <w:iCs/>
          <w:sz w:val="24"/>
          <w:szCs w:val="24"/>
        </w:rPr>
        <w:t>Plasmodium vivax</w:t>
      </w:r>
      <w:r w:rsidRPr="00467A14">
        <w:rPr>
          <w:rFonts w:ascii="Times New Roman" w:eastAsia="Times New Roman" w:hAnsi="Times New Roman" w:cs="Times New Roman"/>
          <w:sz w:val="24"/>
          <w:szCs w:val="24"/>
        </w:rPr>
        <w:t xml:space="preserve"> (68.4%) and mixed infections (72.5%). These findings suggest that thrombocytopenia is not species-specific but rather represe</w:t>
      </w:r>
      <w:r w:rsidRPr="00467A14">
        <w:rPr>
          <w:rFonts w:ascii="Times New Roman" w:eastAsia="Times New Roman" w:hAnsi="Times New Roman" w:cs="Times New Roman"/>
          <w:sz w:val="24"/>
          <w:szCs w:val="24"/>
        </w:rPr>
        <w:t>nts a common hematological response to malaria infection (</w:t>
      </w:r>
      <w:proofErr w:type="spellStart"/>
      <w:r w:rsidRPr="00467A14">
        <w:rPr>
          <w:rFonts w:ascii="Times New Roman" w:eastAsia="Times New Roman" w:hAnsi="Times New Roman" w:cs="Times New Roman"/>
          <w:sz w:val="24"/>
          <w:szCs w:val="24"/>
        </w:rPr>
        <w:t>Tiiba</w:t>
      </w:r>
      <w:proofErr w:type="spellEnd"/>
      <w:r w:rsidRPr="00467A14">
        <w:rPr>
          <w:rFonts w:ascii="Times New Roman" w:eastAsia="Times New Roman" w:hAnsi="Times New Roman" w:cs="Times New Roman"/>
          <w:sz w:val="24"/>
          <w:szCs w:val="24"/>
        </w:rPr>
        <w:t xml:space="preserve"> et al., 2023).</w:t>
      </w:r>
    </w:p>
    <w:p w14:paraId="0FD25F7F"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In addition to its high frequency, narrative synthesis of included studies indicates that thrombocytopenia is clinically significant, particularly in relation to disease severit</w:t>
      </w:r>
      <w:r w:rsidRPr="00467A14">
        <w:rPr>
          <w:rFonts w:ascii="Times New Roman" w:eastAsia="Times New Roman" w:hAnsi="Times New Roman" w:cs="Times New Roman"/>
          <w:sz w:val="24"/>
          <w:szCs w:val="24"/>
        </w:rPr>
        <w:t>y. Lower platelet counts were consistently associated with severe malaria, higher parasitemia, organ dysfunction, and increased mortality risk (Hanson et al., 2015; Mandala et al., 2022). However, clinically significant bleeding was uncommon, suggesting th</w:t>
      </w:r>
      <w:r w:rsidRPr="00467A14">
        <w:rPr>
          <w:rFonts w:ascii="Times New Roman" w:eastAsia="Times New Roman" w:hAnsi="Times New Roman" w:cs="Times New Roman"/>
          <w:sz w:val="24"/>
          <w:szCs w:val="24"/>
        </w:rPr>
        <w:t>at thrombocytopenia in malaria is more reflective of disease severity than a direct cause of hemorrhagic complications.</w:t>
      </w:r>
    </w:p>
    <w:p w14:paraId="14A64A01" w14:textId="77777777" w:rsidR="000F0B49" w:rsidRPr="00467A14" w:rsidRDefault="000F0B49" w:rsidP="003E6F0F">
      <w:pPr>
        <w:pStyle w:val="Heading1"/>
        <w:keepNext w:val="0"/>
        <w:keepLines w:val="0"/>
        <w:spacing w:before="240" w:after="240"/>
        <w:rPr>
          <w:rFonts w:ascii="Times New Roman" w:eastAsia="Times New Roman" w:hAnsi="Times New Roman" w:cs="Times New Roman"/>
          <w:sz w:val="24"/>
          <w:szCs w:val="24"/>
        </w:rPr>
      </w:pPr>
    </w:p>
    <w:p w14:paraId="4A71CB0D"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27" w:name="_2i7wkp8e1whp" w:colFirst="0" w:colLast="0"/>
      <w:bookmarkEnd w:id="27"/>
      <w:r w:rsidRPr="00467A14">
        <w:rPr>
          <w:rFonts w:ascii="Times New Roman" w:eastAsia="Times New Roman" w:hAnsi="Times New Roman" w:cs="Times New Roman"/>
          <w:b/>
          <w:bCs/>
          <w:color w:val="000000"/>
          <w:sz w:val="24"/>
          <w:szCs w:val="24"/>
        </w:rPr>
        <w:t>4.2 Comparison with Previous Studies</w:t>
      </w:r>
    </w:p>
    <w:p w14:paraId="0A877E87"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The pooled prevalence observed in this study is consistent with earlier reports identifying </w:t>
      </w:r>
      <w:r w:rsidRPr="00467A14">
        <w:rPr>
          <w:rFonts w:ascii="Times New Roman" w:eastAsia="Times New Roman" w:hAnsi="Times New Roman" w:cs="Times New Roman"/>
          <w:sz w:val="24"/>
          <w:szCs w:val="24"/>
        </w:rPr>
        <w:t>thrombocytopenia as one of the most frequent hematological abnormalities in malaria (</w:t>
      </w:r>
      <w:proofErr w:type="spellStart"/>
      <w:r w:rsidRPr="00467A14">
        <w:rPr>
          <w:rFonts w:ascii="Times New Roman" w:eastAsia="Times New Roman" w:hAnsi="Times New Roman" w:cs="Times New Roman"/>
          <w:sz w:val="24"/>
          <w:szCs w:val="24"/>
        </w:rPr>
        <w:t>Alawad</w:t>
      </w:r>
      <w:proofErr w:type="spellEnd"/>
      <w:r w:rsidRPr="00467A14">
        <w:rPr>
          <w:rFonts w:ascii="Times New Roman" w:eastAsia="Times New Roman" w:hAnsi="Times New Roman" w:cs="Times New Roman"/>
          <w:sz w:val="24"/>
          <w:szCs w:val="24"/>
        </w:rPr>
        <w:t xml:space="preserve"> et al., 2024; Sukati et al., 2024). Previous systematic reviews have reported prevalence estimates ranging from approximately 60% to 75%, depending on study populat</w:t>
      </w:r>
      <w:r w:rsidRPr="00467A14">
        <w:rPr>
          <w:rFonts w:ascii="Times New Roman" w:eastAsia="Times New Roman" w:hAnsi="Times New Roman" w:cs="Times New Roman"/>
          <w:sz w:val="24"/>
          <w:szCs w:val="24"/>
        </w:rPr>
        <w:t>ions and inclusion criteria. The slightly higher estimate in the present study may reflect the inclusion of more diverse geographic settings and broader population groups, including both adult and pediatric cohorts.</w:t>
      </w:r>
    </w:p>
    <w:p w14:paraId="0B0DBB7E"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Consistent with prior literature, thromb</w:t>
      </w:r>
      <w:r w:rsidRPr="00467A14">
        <w:rPr>
          <w:rFonts w:ascii="Times New Roman" w:eastAsia="Times New Roman" w:hAnsi="Times New Roman" w:cs="Times New Roman"/>
          <w:sz w:val="24"/>
          <w:szCs w:val="24"/>
        </w:rPr>
        <w:t xml:space="preserve">ocytopenia was more pronounced in </w:t>
      </w:r>
      <w:r w:rsidRPr="00467A14">
        <w:rPr>
          <w:rFonts w:ascii="Times New Roman" w:eastAsia="Times New Roman" w:hAnsi="Times New Roman" w:cs="Times New Roman"/>
          <w:i/>
          <w:iCs/>
          <w:sz w:val="24"/>
          <w:szCs w:val="24"/>
        </w:rPr>
        <w:t>P. falciparum</w:t>
      </w:r>
      <w:r w:rsidRPr="00467A14">
        <w:rPr>
          <w:rFonts w:ascii="Times New Roman" w:eastAsia="Times New Roman" w:hAnsi="Times New Roman" w:cs="Times New Roman"/>
          <w:sz w:val="24"/>
          <w:szCs w:val="24"/>
        </w:rPr>
        <w:t xml:space="preserve"> infection, likely due to its greater pathogenicity, including cytoadherence, endothelial activation, and microvascular sequestration. However, the substantial prevalence observed in </w:t>
      </w:r>
      <w:r w:rsidRPr="00467A14">
        <w:rPr>
          <w:rFonts w:ascii="Times New Roman" w:eastAsia="Times New Roman" w:hAnsi="Times New Roman" w:cs="Times New Roman"/>
          <w:i/>
          <w:iCs/>
          <w:sz w:val="24"/>
          <w:szCs w:val="24"/>
        </w:rPr>
        <w:t>P. vivax</w:t>
      </w:r>
      <w:r w:rsidRPr="00467A14">
        <w:rPr>
          <w:rFonts w:ascii="Times New Roman" w:eastAsia="Times New Roman" w:hAnsi="Times New Roman" w:cs="Times New Roman"/>
          <w:sz w:val="24"/>
          <w:szCs w:val="24"/>
        </w:rPr>
        <w:t xml:space="preserve"> infection reinfor</w:t>
      </w:r>
      <w:r w:rsidRPr="00467A14">
        <w:rPr>
          <w:rFonts w:ascii="Times New Roman" w:eastAsia="Times New Roman" w:hAnsi="Times New Roman" w:cs="Times New Roman"/>
          <w:sz w:val="24"/>
          <w:szCs w:val="24"/>
        </w:rPr>
        <w:t>ces emerging evidence that vivax malaria is not a benign condition and can also be associated with significant hematological disturbances (</w:t>
      </w:r>
      <w:proofErr w:type="spellStart"/>
      <w:r w:rsidRPr="00467A14">
        <w:rPr>
          <w:rFonts w:ascii="Times New Roman" w:eastAsia="Times New Roman" w:hAnsi="Times New Roman" w:cs="Times New Roman"/>
          <w:sz w:val="24"/>
          <w:szCs w:val="24"/>
        </w:rPr>
        <w:t>Mbanefo</w:t>
      </w:r>
      <w:proofErr w:type="spellEnd"/>
      <w:r w:rsidRPr="00467A14">
        <w:rPr>
          <w:rFonts w:ascii="Times New Roman" w:eastAsia="Times New Roman" w:hAnsi="Times New Roman" w:cs="Times New Roman"/>
          <w:sz w:val="24"/>
          <w:szCs w:val="24"/>
        </w:rPr>
        <w:t xml:space="preserve"> et al., 2019; Bhandary et al., 2011).</w:t>
      </w:r>
    </w:p>
    <w:p w14:paraId="28DE77F6" w14:textId="77777777" w:rsidR="000F0B49" w:rsidRPr="00467A14" w:rsidRDefault="000F0B49" w:rsidP="003E6F0F">
      <w:pPr>
        <w:rPr>
          <w:rFonts w:ascii="Times New Roman" w:eastAsia="Times New Roman" w:hAnsi="Times New Roman" w:cs="Times New Roman"/>
          <w:sz w:val="24"/>
          <w:szCs w:val="24"/>
        </w:rPr>
      </w:pPr>
    </w:p>
    <w:p w14:paraId="79ACF221" w14:textId="77777777" w:rsidR="000F0B49" w:rsidRPr="00467A14" w:rsidRDefault="000F0B49" w:rsidP="003E6F0F">
      <w:pPr>
        <w:pStyle w:val="Heading1"/>
        <w:keepNext w:val="0"/>
        <w:keepLines w:val="0"/>
        <w:spacing w:before="240" w:after="240"/>
        <w:rPr>
          <w:rFonts w:ascii="Times New Roman" w:eastAsia="Times New Roman" w:hAnsi="Times New Roman" w:cs="Times New Roman"/>
          <w:sz w:val="24"/>
          <w:szCs w:val="24"/>
        </w:rPr>
      </w:pPr>
    </w:p>
    <w:p w14:paraId="7AD1CD0D"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28" w:name="_6aelu5dr5ygd" w:colFirst="0" w:colLast="0"/>
      <w:bookmarkEnd w:id="28"/>
      <w:r w:rsidRPr="00467A14">
        <w:rPr>
          <w:rFonts w:ascii="Times New Roman" w:eastAsia="Times New Roman" w:hAnsi="Times New Roman" w:cs="Times New Roman"/>
          <w:b/>
          <w:bCs/>
          <w:color w:val="000000"/>
          <w:sz w:val="24"/>
          <w:szCs w:val="24"/>
        </w:rPr>
        <w:lastRenderedPageBreak/>
        <w:t>4.3 Biological and Clinical Interpretation</w:t>
      </w:r>
    </w:p>
    <w:p w14:paraId="5DB46FAB"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The high prevalence of </w:t>
      </w:r>
      <w:r w:rsidRPr="00467A14">
        <w:rPr>
          <w:rFonts w:ascii="Times New Roman" w:eastAsia="Times New Roman" w:hAnsi="Times New Roman" w:cs="Times New Roman"/>
          <w:sz w:val="24"/>
          <w:szCs w:val="24"/>
        </w:rPr>
        <w:t>thrombocytopenia observed across studies can be explained by multiple pathophysiological mechanisms, including immune-mediated platelet destruction, splenic sequestration, platelet consumption, bone marrow suppression, and platelet aggregation induced by p</w:t>
      </w:r>
      <w:r w:rsidRPr="00467A14">
        <w:rPr>
          <w:rFonts w:ascii="Times New Roman" w:eastAsia="Times New Roman" w:hAnsi="Times New Roman" w:cs="Times New Roman"/>
          <w:sz w:val="24"/>
          <w:szCs w:val="24"/>
        </w:rPr>
        <w:t>arasitized erythrocytes (</w:t>
      </w:r>
      <w:proofErr w:type="spellStart"/>
      <w:r w:rsidRPr="00467A14">
        <w:rPr>
          <w:rFonts w:ascii="Times New Roman" w:eastAsia="Times New Roman" w:hAnsi="Times New Roman" w:cs="Times New Roman"/>
          <w:sz w:val="24"/>
          <w:szCs w:val="24"/>
        </w:rPr>
        <w:t>Tiiba</w:t>
      </w:r>
      <w:proofErr w:type="spellEnd"/>
      <w:r w:rsidRPr="00467A14">
        <w:rPr>
          <w:rFonts w:ascii="Times New Roman" w:eastAsia="Times New Roman" w:hAnsi="Times New Roman" w:cs="Times New Roman"/>
          <w:sz w:val="24"/>
          <w:szCs w:val="24"/>
        </w:rPr>
        <w:t xml:space="preserve"> et al., 2023). Inflammatory cytokine release and oxidative stress may further contribute to reduced platelet survival and increased platelet destruction (</w:t>
      </w:r>
      <w:proofErr w:type="spellStart"/>
      <w:r w:rsidRPr="00467A14">
        <w:rPr>
          <w:rFonts w:ascii="Times New Roman" w:eastAsia="Times New Roman" w:hAnsi="Times New Roman" w:cs="Times New Roman"/>
          <w:sz w:val="24"/>
          <w:szCs w:val="24"/>
        </w:rPr>
        <w:t>Mbanefo</w:t>
      </w:r>
      <w:proofErr w:type="spellEnd"/>
      <w:r w:rsidRPr="00467A14">
        <w:rPr>
          <w:rFonts w:ascii="Times New Roman" w:eastAsia="Times New Roman" w:hAnsi="Times New Roman" w:cs="Times New Roman"/>
          <w:sz w:val="24"/>
          <w:szCs w:val="24"/>
        </w:rPr>
        <w:t xml:space="preserve"> et al., 2019).</w:t>
      </w:r>
    </w:p>
    <w:p w14:paraId="6E2CEE60"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From a clinical perspective, these findings sugg</w:t>
      </w:r>
      <w:r w:rsidRPr="00467A14">
        <w:rPr>
          <w:rFonts w:ascii="Times New Roman" w:eastAsia="Times New Roman" w:hAnsi="Times New Roman" w:cs="Times New Roman"/>
          <w:sz w:val="24"/>
          <w:szCs w:val="24"/>
        </w:rPr>
        <w:t>est that thrombocytopenia may serve as a useful supportive laboratory marker in the evaluation of suspected malaria, particularly in endemic settings where access to advanced diagnostic tools is limited (WHO, 2025). The consistent association between low p</w:t>
      </w:r>
      <w:r w:rsidRPr="00467A14">
        <w:rPr>
          <w:rFonts w:ascii="Times New Roman" w:eastAsia="Times New Roman" w:hAnsi="Times New Roman" w:cs="Times New Roman"/>
          <w:sz w:val="24"/>
          <w:szCs w:val="24"/>
        </w:rPr>
        <w:t>latelet counts and severe disease further highlights its potential prognostic value, especially when interpreted alongside other clinical and laboratory parameters.</w:t>
      </w:r>
    </w:p>
    <w:p w14:paraId="4CC1D15C"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Importantly, the relatively low frequency of bleeding manifestations distinguishes malaria-</w:t>
      </w:r>
      <w:r w:rsidRPr="00467A14">
        <w:rPr>
          <w:rFonts w:ascii="Times New Roman" w:eastAsia="Times New Roman" w:hAnsi="Times New Roman" w:cs="Times New Roman"/>
          <w:sz w:val="24"/>
          <w:szCs w:val="24"/>
        </w:rPr>
        <w:t>associated thrombocytopenia from other causes of platelet depletion, such as hematologic malignancies or immune thrombocytopenia. In malaria, thrombocytopenia appears to reflect systemic disease processes rather than primary hemostatic failure.</w:t>
      </w:r>
    </w:p>
    <w:p w14:paraId="42899342" w14:textId="77777777" w:rsidR="000F0B49" w:rsidRPr="00467A14" w:rsidRDefault="000F0B49" w:rsidP="003E6F0F">
      <w:pPr>
        <w:pStyle w:val="Heading1"/>
        <w:keepNext w:val="0"/>
        <w:keepLines w:val="0"/>
        <w:spacing w:before="240" w:after="240"/>
        <w:rPr>
          <w:rFonts w:ascii="Times New Roman" w:eastAsia="Times New Roman" w:hAnsi="Times New Roman" w:cs="Times New Roman"/>
          <w:sz w:val="24"/>
          <w:szCs w:val="24"/>
        </w:rPr>
      </w:pPr>
    </w:p>
    <w:p w14:paraId="32E326D7"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29" w:name="_son5knybw9x" w:colFirst="0" w:colLast="0"/>
      <w:bookmarkEnd w:id="29"/>
      <w:r w:rsidRPr="00467A14">
        <w:rPr>
          <w:rFonts w:ascii="Times New Roman" w:eastAsia="Times New Roman" w:hAnsi="Times New Roman" w:cs="Times New Roman"/>
          <w:b/>
          <w:bCs/>
          <w:color w:val="000000"/>
          <w:sz w:val="24"/>
          <w:szCs w:val="24"/>
        </w:rPr>
        <w:t>4.4 Hetero</w:t>
      </w:r>
      <w:r w:rsidRPr="00467A14">
        <w:rPr>
          <w:rFonts w:ascii="Times New Roman" w:eastAsia="Times New Roman" w:hAnsi="Times New Roman" w:cs="Times New Roman"/>
          <w:b/>
          <w:bCs/>
          <w:color w:val="000000"/>
          <w:sz w:val="24"/>
          <w:szCs w:val="24"/>
        </w:rPr>
        <w:t>geneity and Sources of Variation</w:t>
      </w:r>
    </w:p>
    <w:p w14:paraId="4F55D41B"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 key finding of this study is the substantial heterogeneity observed in the pooled analysis (I² = 91.7%). This likely reflects genuine differences across studies, including variations in geographic and epidemiological sett</w:t>
      </w:r>
      <w:r w:rsidRPr="00467A14">
        <w:rPr>
          <w:rFonts w:ascii="Times New Roman" w:eastAsia="Times New Roman" w:hAnsi="Times New Roman" w:cs="Times New Roman"/>
          <w:sz w:val="24"/>
          <w:szCs w:val="24"/>
        </w:rPr>
        <w:t xml:space="preserve">ings, age distribution, </w:t>
      </w:r>
      <w:r w:rsidRPr="00467A14">
        <w:rPr>
          <w:rFonts w:ascii="Times New Roman" w:eastAsia="Times New Roman" w:hAnsi="Times New Roman" w:cs="Times New Roman"/>
          <w:i/>
          <w:iCs/>
          <w:sz w:val="24"/>
          <w:szCs w:val="24"/>
        </w:rPr>
        <w:t>Plasmodium</w:t>
      </w:r>
      <w:r w:rsidRPr="00467A14">
        <w:rPr>
          <w:rFonts w:ascii="Times New Roman" w:eastAsia="Times New Roman" w:hAnsi="Times New Roman" w:cs="Times New Roman"/>
          <w:sz w:val="24"/>
          <w:szCs w:val="24"/>
        </w:rPr>
        <w:t xml:space="preserve"> species, disease severity (uncomplicated versus severe malaria), platelet thresholds used to define thrombocytopenia, and differences in study design and healthcare settings.</w:t>
      </w:r>
    </w:p>
    <w:p w14:paraId="2AB6ED05"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The persistence of high heterogeneity even wit</w:t>
      </w:r>
      <w:r w:rsidRPr="00467A14">
        <w:rPr>
          <w:rFonts w:ascii="Times New Roman" w:eastAsia="Times New Roman" w:hAnsi="Times New Roman" w:cs="Times New Roman"/>
          <w:sz w:val="24"/>
          <w:szCs w:val="24"/>
        </w:rPr>
        <w:t>hin subgroup analyses suggests that thrombocytopenia in malaria is influenced by multiple interacting biological and contextual factors (Sukati et al., 2024). Therefore, while the pooled prevalence provides a useful overall estimate, it should be interpret</w:t>
      </w:r>
      <w:r w:rsidRPr="00467A14">
        <w:rPr>
          <w:rFonts w:ascii="Times New Roman" w:eastAsia="Times New Roman" w:hAnsi="Times New Roman" w:cs="Times New Roman"/>
          <w:sz w:val="24"/>
          <w:szCs w:val="24"/>
        </w:rPr>
        <w:t>ed with caution and contextualized within local clinical and epidemiological conditions.</w:t>
      </w:r>
    </w:p>
    <w:p w14:paraId="46AFB128" w14:textId="77777777" w:rsidR="000F0B49" w:rsidRPr="00467A14" w:rsidRDefault="000F0B49" w:rsidP="003E6F0F">
      <w:pPr>
        <w:pStyle w:val="Heading1"/>
        <w:keepNext w:val="0"/>
        <w:keepLines w:val="0"/>
        <w:spacing w:before="240" w:after="240"/>
        <w:rPr>
          <w:rFonts w:ascii="Times New Roman" w:eastAsia="Times New Roman" w:hAnsi="Times New Roman" w:cs="Times New Roman"/>
          <w:sz w:val="24"/>
          <w:szCs w:val="24"/>
        </w:rPr>
      </w:pPr>
    </w:p>
    <w:p w14:paraId="5D2C2B4A"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30" w:name="_qdqi0089pe7s" w:colFirst="0" w:colLast="0"/>
      <w:bookmarkEnd w:id="30"/>
      <w:r w:rsidRPr="00467A14">
        <w:rPr>
          <w:rFonts w:ascii="Times New Roman" w:eastAsia="Times New Roman" w:hAnsi="Times New Roman" w:cs="Times New Roman"/>
          <w:b/>
          <w:bCs/>
          <w:color w:val="000000"/>
          <w:sz w:val="24"/>
          <w:szCs w:val="24"/>
        </w:rPr>
        <w:t>4.5 Strengths of the Study</w:t>
      </w:r>
    </w:p>
    <w:p w14:paraId="028594F9"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This study has several strengths. First, it provides a comprehensive synthesis of global evidence on thrombocytopenia in malaria, incorpora</w:t>
      </w:r>
      <w:r w:rsidRPr="00467A14">
        <w:rPr>
          <w:rFonts w:ascii="Times New Roman" w:eastAsia="Times New Roman" w:hAnsi="Times New Roman" w:cs="Times New Roman"/>
          <w:sz w:val="24"/>
          <w:szCs w:val="24"/>
        </w:rPr>
        <w:t xml:space="preserve">ting studies from multiple endemic regions. Second, the use of a systematic review and meta-analysis enables a robust quantitative estimate of </w:t>
      </w:r>
      <w:r w:rsidRPr="00467A14">
        <w:rPr>
          <w:rFonts w:ascii="Times New Roman" w:eastAsia="Times New Roman" w:hAnsi="Times New Roman" w:cs="Times New Roman"/>
          <w:sz w:val="24"/>
          <w:szCs w:val="24"/>
        </w:rPr>
        <w:lastRenderedPageBreak/>
        <w:t>prevalence, improving upon individual studies with limited sample sizes. Third, the clear separation between quan</w:t>
      </w:r>
      <w:r w:rsidRPr="00467A14">
        <w:rPr>
          <w:rFonts w:ascii="Times New Roman" w:eastAsia="Times New Roman" w:hAnsi="Times New Roman" w:cs="Times New Roman"/>
          <w:sz w:val="24"/>
          <w:szCs w:val="24"/>
        </w:rPr>
        <w:t>titative prevalence analysis and narrative synthesis of clinical significance enhances methodological rigor and reduces bias in pooled estimates.</w:t>
      </w:r>
    </w:p>
    <w:p w14:paraId="59B0B4D3" w14:textId="77777777" w:rsidR="000F0B49" w:rsidRPr="00467A14" w:rsidRDefault="000F0B49" w:rsidP="003E6F0F">
      <w:pPr>
        <w:pStyle w:val="Heading1"/>
        <w:keepNext w:val="0"/>
        <w:keepLines w:val="0"/>
        <w:spacing w:before="240" w:after="240"/>
        <w:rPr>
          <w:rFonts w:ascii="Times New Roman" w:eastAsia="Times New Roman" w:hAnsi="Times New Roman" w:cs="Times New Roman"/>
          <w:sz w:val="24"/>
          <w:szCs w:val="24"/>
        </w:rPr>
      </w:pPr>
    </w:p>
    <w:p w14:paraId="6B15EE79"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31" w:name="_xv4newxp7v9m" w:colFirst="0" w:colLast="0"/>
      <w:bookmarkEnd w:id="31"/>
      <w:r w:rsidRPr="00467A14">
        <w:rPr>
          <w:rFonts w:ascii="Times New Roman" w:eastAsia="Times New Roman" w:hAnsi="Times New Roman" w:cs="Times New Roman"/>
          <w:b/>
          <w:bCs/>
          <w:color w:val="000000"/>
          <w:sz w:val="24"/>
          <w:szCs w:val="24"/>
        </w:rPr>
        <w:t>4.6 Limitations</w:t>
      </w:r>
    </w:p>
    <w:p w14:paraId="436A9769"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Several limitations should be considered. First, the high level of heterogeneity limits the p</w:t>
      </w:r>
      <w:r w:rsidRPr="00467A14">
        <w:rPr>
          <w:rFonts w:ascii="Times New Roman" w:eastAsia="Times New Roman" w:hAnsi="Times New Roman" w:cs="Times New Roman"/>
          <w:sz w:val="24"/>
          <w:szCs w:val="24"/>
        </w:rPr>
        <w:t>recision and generalizability of the pooled prevalence estimate. Second, the predominance of hospital-based observational studies may overrepresent more severe malaria cases and potentially inflate prevalence estimates.</w:t>
      </w:r>
    </w:p>
    <w:p w14:paraId="6B3F6FEF"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Third, variability in thrombocytopen</w:t>
      </w:r>
      <w:r w:rsidRPr="00467A14">
        <w:rPr>
          <w:rFonts w:ascii="Times New Roman" w:eastAsia="Times New Roman" w:hAnsi="Times New Roman" w:cs="Times New Roman"/>
          <w:sz w:val="24"/>
          <w:szCs w:val="24"/>
        </w:rPr>
        <w:t>ia definitions and platelet thresholds across studies may have contributed to inconsistencies in reported prevalence. Fourth, restriction to English-language publications may have introduced language bias. Fifth, the observational nature of included studie</w:t>
      </w:r>
      <w:r w:rsidRPr="00467A14">
        <w:rPr>
          <w:rFonts w:ascii="Times New Roman" w:eastAsia="Times New Roman" w:hAnsi="Times New Roman" w:cs="Times New Roman"/>
          <w:sz w:val="24"/>
          <w:szCs w:val="24"/>
        </w:rPr>
        <w:t>s limits the ability to establish causal relationships between thrombocytopenia and clinical outcomes.</w:t>
      </w:r>
    </w:p>
    <w:p w14:paraId="7BB60707"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Finally, publication bias cannot be excluded, given the tendency for studies with significant findings to be preferentially published.</w:t>
      </w:r>
    </w:p>
    <w:p w14:paraId="11388444" w14:textId="77777777" w:rsidR="000F0B49" w:rsidRPr="00467A14" w:rsidRDefault="000F0B49" w:rsidP="003E6F0F">
      <w:pPr>
        <w:pStyle w:val="Heading1"/>
        <w:keepNext w:val="0"/>
        <w:keepLines w:val="0"/>
        <w:spacing w:before="240" w:after="240"/>
        <w:rPr>
          <w:rFonts w:ascii="Times New Roman" w:eastAsia="Times New Roman" w:hAnsi="Times New Roman" w:cs="Times New Roman"/>
          <w:sz w:val="24"/>
          <w:szCs w:val="24"/>
        </w:rPr>
      </w:pPr>
    </w:p>
    <w:p w14:paraId="4036EDC2"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32" w:name="_119qm1lrtf9i" w:colFirst="0" w:colLast="0"/>
      <w:bookmarkEnd w:id="32"/>
      <w:r w:rsidRPr="00467A14">
        <w:rPr>
          <w:rFonts w:ascii="Times New Roman" w:eastAsia="Times New Roman" w:hAnsi="Times New Roman" w:cs="Times New Roman"/>
          <w:b/>
          <w:bCs/>
          <w:color w:val="000000"/>
          <w:sz w:val="24"/>
          <w:szCs w:val="24"/>
        </w:rPr>
        <w:t>4.7 Clinical Impl</w:t>
      </w:r>
      <w:r w:rsidRPr="00467A14">
        <w:rPr>
          <w:rFonts w:ascii="Times New Roman" w:eastAsia="Times New Roman" w:hAnsi="Times New Roman" w:cs="Times New Roman"/>
          <w:b/>
          <w:bCs/>
          <w:color w:val="000000"/>
          <w:sz w:val="24"/>
          <w:szCs w:val="24"/>
        </w:rPr>
        <w:t>ications</w:t>
      </w:r>
    </w:p>
    <w:p w14:paraId="164C0924"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The findings of this study have important clinical implications. Given its high prevalence, thrombocytopenia should be recognized as a common laboratory feature of malaria and may serve as a supportive diagnostic indicator in febrile patients in e</w:t>
      </w:r>
      <w:r w:rsidRPr="00467A14">
        <w:rPr>
          <w:rFonts w:ascii="Times New Roman" w:eastAsia="Times New Roman" w:hAnsi="Times New Roman" w:cs="Times New Roman"/>
          <w:sz w:val="24"/>
          <w:szCs w:val="24"/>
        </w:rPr>
        <w:t>ndemic settings (</w:t>
      </w:r>
      <w:proofErr w:type="spellStart"/>
      <w:r w:rsidRPr="00467A14">
        <w:rPr>
          <w:rFonts w:ascii="Times New Roman" w:eastAsia="Times New Roman" w:hAnsi="Times New Roman" w:cs="Times New Roman"/>
          <w:sz w:val="24"/>
          <w:szCs w:val="24"/>
        </w:rPr>
        <w:t>Bayleyegn</w:t>
      </w:r>
      <w:proofErr w:type="spellEnd"/>
      <w:r w:rsidRPr="00467A14">
        <w:rPr>
          <w:rFonts w:ascii="Times New Roman" w:eastAsia="Times New Roman" w:hAnsi="Times New Roman" w:cs="Times New Roman"/>
          <w:sz w:val="24"/>
          <w:szCs w:val="24"/>
        </w:rPr>
        <w:t xml:space="preserve"> et al., 2021).</w:t>
      </w:r>
    </w:p>
    <w:p w14:paraId="7E075F80"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Furthermore, the association between low platelet counts and disease severity suggests that platelet levels may be useful for risk stratification and clinical monitoring. However, thrombocytopenia should be interpr</w:t>
      </w:r>
      <w:r w:rsidRPr="00467A14">
        <w:rPr>
          <w:rFonts w:ascii="Times New Roman" w:eastAsia="Times New Roman" w:hAnsi="Times New Roman" w:cs="Times New Roman"/>
          <w:sz w:val="24"/>
          <w:szCs w:val="24"/>
        </w:rPr>
        <w:t>eted within the broader clinical context, as it is not specific to malaria and does not independently predict bleeding risk in most cases.</w:t>
      </w:r>
    </w:p>
    <w:p w14:paraId="7BE79EE4" w14:textId="77777777" w:rsidR="000F0B49" w:rsidRPr="00467A14" w:rsidRDefault="000F0B49" w:rsidP="003E6F0F">
      <w:pPr>
        <w:pStyle w:val="Heading1"/>
        <w:keepNext w:val="0"/>
        <w:keepLines w:val="0"/>
        <w:spacing w:before="240" w:after="240"/>
        <w:rPr>
          <w:rFonts w:ascii="Times New Roman" w:eastAsia="Times New Roman" w:hAnsi="Times New Roman" w:cs="Times New Roman"/>
          <w:sz w:val="24"/>
          <w:szCs w:val="24"/>
        </w:rPr>
      </w:pPr>
    </w:p>
    <w:p w14:paraId="7FC79885" w14:textId="77777777" w:rsidR="000F0B49" w:rsidRPr="00467A14" w:rsidRDefault="00F034B5" w:rsidP="003E6F0F">
      <w:pPr>
        <w:pStyle w:val="Heading3"/>
        <w:keepNext w:val="0"/>
        <w:keepLines w:val="0"/>
        <w:spacing w:before="280"/>
        <w:rPr>
          <w:rFonts w:ascii="Times New Roman" w:eastAsia="Times New Roman" w:hAnsi="Times New Roman" w:cs="Times New Roman"/>
          <w:b/>
          <w:bCs/>
          <w:color w:val="000000"/>
          <w:sz w:val="24"/>
          <w:szCs w:val="24"/>
        </w:rPr>
      </w:pPr>
      <w:bookmarkStart w:id="33" w:name="_7cqw7crq4azh" w:colFirst="0" w:colLast="0"/>
      <w:bookmarkEnd w:id="33"/>
      <w:r w:rsidRPr="00467A14">
        <w:rPr>
          <w:rFonts w:ascii="Times New Roman" w:eastAsia="Times New Roman" w:hAnsi="Times New Roman" w:cs="Times New Roman"/>
          <w:b/>
          <w:bCs/>
          <w:color w:val="000000"/>
          <w:sz w:val="24"/>
          <w:szCs w:val="24"/>
        </w:rPr>
        <w:t>4.8 Conclusion</w:t>
      </w:r>
    </w:p>
    <w:p w14:paraId="273324B9"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In conclusion, this systematic review and meta-analysis demonstrates that thrombocytopenia is a highly prevalent and clinically significant hematological abnormality in malaria, affecting </w:t>
      </w:r>
      <w:r w:rsidRPr="00467A14">
        <w:rPr>
          <w:rFonts w:ascii="Times New Roman" w:eastAsia="Times New Roman" w:hAnsi="Times New Roman" w:cs="Times New Roman"/>
          <w:sz w:val="24"/>
          <w:szCs w:val="24"/>
        </w:rPr>
        <w:lastRenderedPageBreak/>
        <w:t xml:space="preserve">approximately three-quarters of infected patients. It occurs across </w:t>
      </w:r>
      <w:r w:rsidRPr="00467A14">
        <w:rPr>
          <w:rFonts w:ascii="Times New Roman" w:eastAsia="Times New Roman" w:hAnsi="Times New Roman" w:cs="Times New Roman"/>
          <w:sz w:val="24"/>
          <w:szCs w:val="24"/>
        </w:rPr>
        <w:t xml:space="preserve">different </w:t>
      </w:r>
      <w:r w:rsidRPr="00467A14">
        <w:rPr>
          <w:rFonts w:ascii="Times New Roman" w:eastAsia="Times New Roman" w:hAnsi="Times New Roman" w:cs="Times New Roman"/>
          <w:i/>
          <w:iCs/>
          <w:sz w:val="24"/>
          <w:szCs w:val="24"/>
        </w:rPr>
        <w:t>Plasmodium</w:t>
      </w:r>
      <w:r w:rsidRPr="00467A14">
        <w:rPr>
          <w:rFonts w:ascii="Times New Roman" w:eastAsia="Times New Roman" w:hAnsi="Times New Roman" w:cs="Times New Roman"/>
          <w:sz w:val="24"/>
          <w:szCs w:val="24"/>
        </w:rPr>
        <w:t xml:space="preserve"> species and is more pronounced in severe disease.</w:t>
      </w:r>
    </w:p>
    <w:p w14:paraId="7014912A"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bookmarkStart w:id="34" w:name="_a73jj4gkvaoh" w:colFirst="0" w:colLast="0"/>
      <w:bookmarkEnd w:id="34"/>
      <w:r w:rsidRPr="00467A14">
        <w:rPr>
          <w:rFonts w:ascii="Times New Roman" w:eastAsia="Times New Roman" w:hAnsi="Times New Roman" w:cs="Times New Roman"/>
          <w:sz w:val="24"/>
          <w:szCs w:val="24"/>
        </w:rPr>
        <w:t>Although thrombocytopenia is rarely associated with significant bleeding, it is strongly associated with disease severity and adverse clinical outcomes. These findings support the use o</w:t>
      </w:r>
      <w:r w:rsidRPr="00467A14">
        <w:rPr>
          <w:rFonts w:ascii="Times New Roman" w:eastAsia="Times New Roman" w:hAnsi="Times New Roman" w:cs="Times New Roman"/>
          <w:sz w:val="24"/>
          <w:szCs w:val="24"/>
        </w:rPr>
        <w:t>f platelet count as a valuable adjunct marker in the diagnosis and clinical assessment of malaria, particularly in resource-limited settings.</w:t>
      </w:r>
    </w:p>
    <w:p w14:paraId="6011EECB"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sectPr w:rsidR="000F0B49" w:rsidRPr="00467A14">
          <w:pgSz w:w="12240" w:h="15840"/>
          <w:pgMar w:top="1440" w:right="1440" w:bottom="1440" w:left="1440" w:header="720" w:footer="720" w:gutter="0"/>
          <w:cols w:space="720"/>
        </w:sectPr>
      </w:pPr>
      <w:bookmarkStart w:id="35" w:name="_8xjzpfrc1dfe" w:colFirst="0" w:colLast="0"/>
      <w:bookmarkEnd w:id="35"/>
      <w:r w:rsidRPr="00467A14">
        <w:rPr>
          <w:rFonts w:ascii="Times New Roman" w:eastAsia="Times New Roman" w:hAnsi="Times New Roman" w:cs="Times New Roman"/>
          <w:sz w:val="24"/>
          <w:szCs w:val="24"/>
        </w:rPr>
        <w:t>Future studies should focus on standardizing definitions, elucidating underlying mechanisms, and evaluating the in</w:t>
      </w:r>
      <w:r w:rsidRPr="00467A14">
        <w:rPr>
          <w:rFonts w:ascii="Times New Roman" w:eastAsia="Times New Roman" w:hAnsi="Times New Roman" w:cs="Times New Roman"/>
          <w:sz w:val="24"/>
          <w:szCs w:val="24"/>
        </w:rPr>
        <w:t>dependent prognostic value of thrombocytopenia using well-designed prospective cohorts.</w:t>
      </w:r>
    </w:p>
    <w:p w14:paraId="2B02C960" w14:textId="77777777" w:rsidR="000F0B49" w:rsidRPr="00467A14" w:rsidRDefault="00F034B5" w:rsidP="003E6F0F">
      <w:pPr>
        <w:pStyle w:val="Heading2"/>
        <w:keepNext w:val="0"/>
        <w:keepLines w:val="0"/>
        <w:spacing w:after="80" w:line="240" w:lineRule="auto"/>
        <w:rPr>
          <w:rFonts w:ascii="Times New Roman" w:eastAsia="Times New Roman" w:hAnsi="Times New Roman" w:cs="Times New Roman"/>
          <w:b/>
          <w:bCs/>
          <w:sz w:val="24"/>
          <w:szCs w:val="24"/>
        </w:rPr>
      </w:pPr>
      <w:bookmarkStart w:id="36" w:name="_ulq9jgb50coz" w:colFirst="0" w:colLast="0"/>
      <w:bookmarkEnd w:id="36"/>
      <w:r w:rsidRPr="00467A14">
        <w:rPr>
          <w:rFonts w:ascii="Times New Roman" w:eastAsia="Times New Roman" w:hAnsi="Times New Roman" w:cs="Times New Roman"/>
          <w:b/>
          <w:bCs/>
          <w:sz w:val="24"/>
          <w:szCs w:val="24"/>
        </w:rPr>
        <w:lastRenderedPageBreak/>
        <w:t>Table 1. Characteristics of Primary Studies Included in the Systematic Review of Thrombocytopenia in Malaria</w:t>
      </w:r>
    </w:p>
    <w:tbl>
      <w:tblPr>
        <w:tblStyle w:val="a"/>
        <w:tblW w:w="13905" w:type="dxa"/>
        <w:tblInd w:w="-330" w:type="dxa"/>
        <w:tblBorders>
          <w:top w:val="nil"/>
          <w:left w:val="nil"/>
          <w:bottom w:val="nil"/>
          <w:right w:val="nil"/>
          <w:insideH w:val="nil"/>
          <w:insideV w:val="nil"/>
        </w:tblBorders>
        <w:tblLayout w:type="fixed"/>
        <w:tblLook w:val="0600" w:firstRow="0" w:lastRow="0" w:firstColumn="0" w:lastColumn="0" w:noHBand="1" w:noVBand="1"/>
      </w:tblPr>
      <w:tblGrid>
        <w:gridCol w:w="1560"/>
        <w:gridCol w:w="1470"/>
        <w:gridCol w:w="1950"/>
        <w:gridCol w:w="1005"/>
        <w:gridCol w:w="1470"/>
        <w:gridCol w:w="1530"/>
        <w:gridCol w:w="1500"/>
        <w:gridCol w:w="1755"/>
        <w:gridCol w:w="1665"/>
      </w:tblGrid>
      <w:tr w:rsidR="000F0B49" w:rsidRPr="00467A14" w14:paraId="60CC765C" w14:textId="77777777">
        <w:trPr>
          <w:trHeight w:val="1084"/>
        </w:trPr>
        <w:tc>
          <w:tcPr>
            <w:tcW w:w="1560" w:type="dxa"/>
            <w:tcBorders>
              <w:top w:val="nil"/>
              <w:left w:val="nil"/>
              <w:bottom w:val="nil"/>
              <w:right w:val="nil"/>
            </w:tcBorders>
            <w:tcMar>
              <w:top w:w="100" w:type="dxa"/>
              <w:left w:w="100" w:type="dxa"/>
              <w:bottom w:w="100" w:type="dxa"/>
              <w:right w:w="100" w:type="dxa"/>
            </w:tcMar>
          </w:tcPr>
          <w:p w14:paraId="24F4235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Author</w:t>
            </w:r>
            <w:r w:rsidRPr="00467A14">
              <w:rPr>
                <w:rFonts w:ascii="Times New Roman" w:eastAsia="Times New Roman" w:hAnsi="Times New Roman" w:cs="Times New Roman"/>
                <w:b/>
                <w:bCs/>
                <w:sz w:val="24"/>
                <w:szCs w:val="24"/>
              </w:rPr>
              <w:br/>
              <w:t xml:space="preserve"> (Year)</w:t>
            </w:r>
          </w:p>
        </w:tc>
        <w:tc>
          <w:tcPr>
            <w:tcW w:w="1470" w:type="dxa"/>
            <w:tcBorders>
              <w:top w:val="nil"/>
              <w:left w:val="nil"/>
              <w:bottom w:val="nil"/>
              <w:right w:val="nil"/>
            </w:tcBorders>
            <w:tcMar>
              <w:top w:w="100" w:type="dxa"/>
              <w:left w:w="100" w:type="dxa"/>
              <w:bottom w:w="100" w:type="dxa"/>
              <w:right w:w="100" w:type="dxa"/>
            </w:tcMar>
          </w:tcPr>
          <w:p w14:paraId="44FDAF8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Country</w:t>
            </w:r>
          </w:p>
        </w:tc>
        <w:tc>
          <w:tcPr>
            <w:tcW w:w="1950" w:type="dxa"/>
            <w:tcBorders>
              <w:top w:val="nil"/>
              <w:left w:val="nil"/>
              <w:bottom w:val="nil"/>
              <w:right w:val="nil"/>
            </w:tcBorders>
            <w:tcMar>
              <w:top w:w="100" w:type="dxa"/>
              <w:left w:w="100" w:type="dxa"/>
              <w:bottom w:w="100" w:type="dxa"/>
              <w:right w:w="100" w:type="dxa"/>
            </w:tcMar>
          </w:tcPr>
          <w:p w14:paraId="5343BAD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Study Design</w:t>
            </w:r>
          </w:p>
        </w:tc>
        <w:tc>
          <w:tcPr>
            <w:tcW w:w="1005" w:type="dxa"/>
            <w:tcBorders>
              <w:top w:val="nil"/>
              <w:left w:val="nil"/>
              <w:bottom w:val="nil"/>
              <w:right w:val="nil"/>
            </w:tcBorders>
            <w:tcMar>
              <w:top w:w="100" w:type="dxa"/>
              <w:left w:w="100" w:type="dxa"/>
              <w:bottom w:w="100" w:type="dxa"/>
              <w:right w:w="100" w:type="dxa"/>
            </w:tcMar>
          </w:tcPr>
          <w:p w14:paraId="68639A0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Sample Size</w:t>
            </w:r>
          </w:p>
        </w:tc>
        <w:tc>
          <w:tcPr>
            <w:tcW w:w="1470" w:type="dxa"/>
            <w:tcBorders>
              <w:top w:val="nil"/>
              <w:left w:val="nil"/>
              <w:bottom w:val="nil"/>
              <w:right w:val="nil"/>
            </w:tcBorders>
            <w:tcMar>
              <w:top w:w="100" w:type="dxa"/>
              <w:left w:w="100" w:type="dxa"/>
              <w:bottom w:w="100" w:type="dxa"/>
              <w:right w:w="100" w:type="dxa"/>
            </w:tcMar>
          </w:tcPr>
          <w:p w14:paraId="5019DDA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Population/Species</w:t>
            </w:r>
          </w:p>
        </w:tc>
        <w:tc>
          <w:tcPr>
            <w:tcW w:w="1530" w:type="dxa"/>
            <w:tcBorders>
              <w:top w:val="nil"/>
              <w:left w:val="nil"/>
              <w:bottom w:val="nil"/>
              <w:right w:val="nil"/>
            </w:tcBorders>
            <w:tcMar>
              <w:top w:w="100" w:type="dxa"/>
              <w:left w:w="100" w:type="dxa"/>
              <w:bottom w:w="100" w:type="dxa"/>
              <w:right w:w="100" w:type="dxa"/>
            </w:tcMar>
          </w:tcPr>
          <w:p w14:paraId="0B59565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Diagnostic Method</w:t>
            </w:r>
          </w:p>
        </w:tc>
        <w:tc>
          <w:tcPr>
            <w:tcW w:w="1500" w:type="dxa"/>
            <w:tcBorders>
              <w:top w:val="nil"/>
              <w:left w:val="nil"/>
              <w:bottom w:val="nil"/>
              <w:right w:val="nil"/>
            </w:tcBorders>
            <w:tcMar>
              <w:top w:w="100" w:type="dxa"/>
              <w:left w:w="100" w:type="dxa"/>
              <w:bottom w:w="100" w:type="dxa"/>
              <w:right w:w="100" w:type="dxa"/>
            </w:tcMar>
          </w:tcPr>
          <w:p w14:paraId="7D51248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Platelet Cut-off</w:t>
            </w:r>
          </w:p>
        </w:tc>
        <w:tc>
          <w:tcPr>
            <w:tcW w:w="1755" w:type="dxa"/>
            <w:tcBorders>
              <w:top w:val="nil"/>
              <w:left w:val="nil"/>
              <w:bottom w:val="nil"/>
              <w:right w:val="nil"/>
            </w:tcBorders>
            <w:tcMar>
              <w:top w:w="100" w:type="dxa"/>
              <w:left w:w="100" w:type="dxa"/>
              <w:bottom w:w="100" w:type="dxa"/>
              <w:right w:w="100" w:type="dxa"/>
            </w:tcMar>
          </w:tcPr>
          <w:p w14:paraId="2CF4789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Thrombocytopenia (n/N)</w:t>
            </w:r>
          </w:p>
        </w:tc>
        <w:tc>
          <w:tcPr>
            <w:tcW w:w="1665" w:type="dxa"/>
            <w:tcBorders>
              <w:top w:val="nil"/>
              <w:left w:val="nil"/>
              <w:bottom w:val="nil"/>
              <w:right w:val="nil"/>
            </w:tcBorders>
            <w:tcMar>
              <w:top w:w="100" w:type="dxa"/>
              <w:left w:w="100" w:type="dxa"/>
              <w:bottom w:w="100" w:type="dxa"/>
              <w:right w:w="100" w:type="dxa"/>
            </w:tcMar>
          </w:tcPr>
          <w:p w14:paraId="39C1F47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Prevalence (%)</w:t>
            </w:r>
          </w:p>
        </w:tc>
      </w:tr>
      <w:tr w:rsidR="000F0B49" w:rsidRPr="00467A14" w14:paraId="5374351C" w14:textId="77777777">
        <w:trPr>
          <w:trHeight w:val="705"/>
        </w:trPr>
        <w:tc>
          <w:tcPr>
            <w:tcW w:w="1560" w:type="dxa"/>
            <w:tcBorders>
              <w:top w:val="nil"/>
              <w:left w:val="nil"/>
              <w:bottom w:val="nil"/>
              <w:right w:val="nil"/>
            </w:tcBorders>
            <w:tcMar>
              <w:top w:w="100" w:type="dxa"/>
              <w:left w:w="100" w:type="dxa"/>
              <w:bottom w:w="100" w:type="dxa"/>
              <w:right w:w="100" w:type="dxa"/>
            </w:tcMar>
          </w:tcPr>
          <w:p w14:paraId="1EE58E4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t>Gebreweld</w:t>
            </w:r>
            <w:proofErr w:type="spellEnd"/>
            <w:r w:rsidRPr="00467A14">
              <w:rPr>
                <w:rFonts w:ascii="Times New Roman" w:eastAsia="Times New Roman" w:hAnsi="Times New Roman" w:cs="Times New Roman"/>
                <w:sz w:val="24"/>
                <w:szCs w:val="24"/>
              </w:rPr>
              <w:t xml:space="preserve"> et al. (2021)</w:t>
            </w:r>
          </w:p>
        </w:tc>
        <w:tc>
          <w:tcPr>
            <w:tcW w:w="1470" w:type="dxa"/>
            <w:tcBorders>
              <w:top w:val="nil"/>
              <w:left w:val="nil"/>
              <w:bottom w:val="nil"/>
              <w:right w:val="nil"/>
            </w:tcBorders>
            <w:tcMar>
              <w:top w:w="100" w:type="dxa"/>
              <w:left w:w="100" w:type="dxa"/>
              <w:bottom w:w="100" w:type="dxa"/>
              <w:right w:w="100" w:type="dxa"/>
            </w:tcMar>
          </w:tcPr>
          <w:p w14:paraId="6790E28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Ethiopia</w:t>
            </w:r>
          </w:p>
        </w:tc>
        <w:tc>
          <w:tcPr>
            <w:tcW w:w="1950" w:type="dxa"/>
            <w:tcBorders>
              <w:top w:val="nil"/>
              <w:left w:val="nil"/>
              <w:bottom w:val="nil"/>
              <w:right w:val="nil"/>
            </w:tcBorders>
            <w:tcMar>
              <w:top w:w="100" w:type="dxa"/>
              <w:left w:w="100" w:type="dxa"/>
              <w:bottom w:w="100" w:type="dxa"/>
              <w:right w:w="100" w:type="dxa"/>
            </w:tcMar>
          </w:tcPr>
          <w:p w14:paraId="3C4E7A7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14:paraId="29BC9D3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73</w:t>
            </w:r>
          </w:p>
        </w:tc>
        <w:tc>
          <w:tcPr>
            <w:tcW w:w="1470" w:type="dxa"/>
            <w:tcBorders>
              <w:top w:val="nil"/>
              <w:left w:val="nil"/>
              <w:bottom w:val="nil"/>
              <w:right w:val="nil"/>
            </w:tcBorders>
            <w:tcMar>
              <w:top w:w="100" w:type="dxa"/>
              <w:left w:w="100" w:type="dxa"/>
              <w:bottom w:w="100" w:type="dxa"/>
              <w:right w:w="100" w:type="dxa"/>
            </w:tcMar>
          </w:tcPr>
          <w:p w14:paraId="43E72D9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Mixed species</w:t>
            </w:r>
          </w:p>
        </w:tc>
        <w:tc>
          <w:tcPr>
            <w:tcW w:w="1530" w:type="dxa"/>
            <w:tcBorders>
              <w:top w:val="nil"/>
              <w:left w:val="nil"/>
              <w:bottom w:val="nil"/>
              <w:right w:val="nil"/>
            </w:tcBorders>
            <w:tcMar>
              <w:top w:w="100" w:type="dxa"/>
              <w:left w:w="100" w:type="dxa"/>
              <w:bottom w:w="100" w:type="dxa"/>
              <w:right w:w="100" w:type="dxa"/>
            </w:tcMar>
          </w:tcPr>
          <w:p w14:paraId="16CD4DC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5D2CB2A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16CEFD8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58/73</w:t>
            </w:r>
          </w:p>
        </w:tc>
        <w:tc>
          <w:tcPr>
            <w:tcW w:w="1665" w:type="dxa"/>
            <w:tcBorders>
              <w:top w:val="nil"/>
              <w:left w:val="nil"/>
              <w:bottom w:val="nil"/>
              <w:right w:val="nil"/>
            </w:tcBorders>
            <w:tcMar>
              <w:top w:w="100" w:type="dxa"/>
              <w:left w:w="100" w:type="dxa"/>
              <w:bottom w:w="100" w:type="dxa"/>
              <w:right w:w="100" w:type="dxa"/>
            </w:tcMar>
          </w:tcPr>
          <w:p w14:paraId="1DE0C86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79.5</w:t>
            </w:r>
          </w:p>
        </w:tc>
      </w:tr>
      <w:tr w:rsidR="000F0B49" w:rsidRPr="00467A14" w14:paraId="0525DE90" w14:textId="77777777">
        <w:trPr>
          <w:trHeight w:val="675"/>
        </w:trPr>
        <w:tc>
          <w:tcPr>
            <w:tcW w:w="1560" w:type="dxa"/>
            <w:tcBorders>
              <w:top w:val="nil"/>
              <w:left w:val="nil"/>
              <w:bottom w:val="nil"/>
              <w:right w:val="nil"/>
            </w:tcBorders>
            <w:tcMar>
              <w:top w:w="100" w:type="dxa"/>
              <w:left w:w="100" w:type="dxa"/>
              <w:bottom w:w="100" w:type="dxa"/>
              <w:right w:w="100" w:type="dxa"/>
            </w:tcMar>
          </w:tcPr>
          <w:p w14:paraId="2C26676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Asmerom et al. (2023)</w:t>
            </w:r>
          </w:p>
        </w:tc>
        <w:tc>
          <w:tcPr>
            <w:tcW w:w="1470" w:type="dxa"/>
            <w:tcBorders>
              <w:top w:val="nil"/>
              <w:left w:val="nil"/>
              <w:bottom w:val="nil"/>
              <w:right w:val="nil"/>
            </w:tcBorders>
            <w:tcMar>
              <w:top w:w="100" w:type="dxa"/>
              <w:left w:w="100" w:type="dxa"/>
              <w:bottom w:w="100" w:type="dxa"/>
              <w:right w:w="100" w:type="dxa"/>
            </w:tcMar>
          </w:tcPr>
          <w:p w14:paraId="5859103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Ethiopia</w:t>
            </w:r>
          </w:p>
        </w:tc>
        <w:tc>
          <w:tcPr>
            <w:tcW w:w="1950" w:type="dxa"/>
            <w:tcBorders>
              <w:top w:val="nil"/>
              <w:left w:val="nil"/>
              <w:bottom w:val="nil"/>
              <w:right w:val="nil"/>
            </w:tcBorders>
            <w:tcMar>
              <w:top w:w="100" w:type="dxa"/>
              <w:left w:w="100" w:type="dxa"/>
              <w:bottom w:w="100" w:type="dxa"/>
              <w:right w:w="100" w:type="dxa"/>
            </w:tcMar>
          </w:tcPr>
          <w:p w14:paraId="6BD0D4B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14:paraId="457E5C0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254</w:t>
            </w:r>
          </w:p>
        </w:tc>
        <w:tc>
          <w:tcPr>
            <w:tcW w:w="1470" w:type="dxa"/>
            <w:tcBorders>
              <w:top w:val="nil"/>
              <w:left w:val="nil"/>
              <w:bottom w:val="nil"/>
              <w:right w:val="nil"/>
            </w:tcBorders>
            <w:tcMar>
              <w:top w:w="100" w:type="dxa"/>
              <w:left w:w="100" w:type="dxa"/>
              <w:bottom w:w="100" w:type="dxa"/>
              <w:right w:w="100" w:type="dxa"/>
            </w:tcMar>
          </w:tcPr>
          <w:p w14:paraId="1B9D850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Adults</w:t>
            </w:r>
          </w:p>
        </w:tc>
        <w:tc>
          <w:tcPr>
            <w:tcW w:w="1530" w:type="dxa"/>
            <w:tcBorders>
              <w:top w:val="nil"/>
              <w:left w:val="nil"/>
              <w:bottom w:val="nil"/>
              <w:right w:val="nil"/>
            </w:tcBorders>
            <w:tcMar>
              <w:top w:w="100" w:type="dxa"/>
              <w:left w:w="100" w:type="dxa"/>
              <w:bottom w:w="100" w:type="dxa"/>
              <w:right w:w="100" w:type="dxa"/>
            </w:tcMar>
          </w:tcPr>
          <w:p w14:paraId="050573D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3D3A33E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7CE6309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172/254</w:t>
            </w:r>
          </w:p>
        </w:tc>
        <w:tc>
          <w:tcPr>
            <w:tcW w:w="1665" w:type="dxa"/>
            <w:tcBorders>
              <w:top w:val="nil"/>
              <w:left w:val="nil"/>
              <w:bottom w:val="nil"/>
              <w:right w:val="nil"/>
            </w:tcBorders>
            <w:tcMar>
              <w:top w:w="100" w:type="dxa"/>
              <w:left w:w="100" w:type="dxa"/>
              <w:bottom w:w="100" w:type="dxa"/>
              <w:right w:w="100" w:type="dxa"/>
            </w:tcMar>
          </w:tcPr>
          <w:p w14:paraId="25E2B42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67.7</w:t>
            </w:r>
          </w:p>
        </w:tc>
      </w:tr>
      <w:tr w:rsidR="000F0B49" w:rsidRPr="00467A14" w14:paraId="5C2A9DD9" w14:textId="77777777">
        <w:trPr>
          <w:trHeight w:val="735"/>
        </w:trPr>
        <w:tc>
          <w:tcPr>
            <w:tcW w:w="1560" w:type="dxa"/>
            <w:tcBorders>
              <w:top w:val="nil"/>
              <w:left w:val="nil"/>
              <w:bottom w:val="nil"/>
              <w:right w:val="nil"/>
            </w:tcBorders>
            <w:tcMar>
              <w:top w:w="100" w:type="dxa"/>
              <w:left w:w="100" w:type="dxa"/>
              <w:bottom w:w="100" w:type="dxa"/>
              <w:right w:w="100" w:type="dxa"/>
            </w:tcMar>
          </w:tcPr>
          <w:p w14:paraId="18D7FC1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Asmerom et al. (2023)</w:t>
            </w:r>
          </w:p>
        </w:tc>
        <w:tc>
          <w:tcPr>
            <w:tcW w:w="1470" w:type="dxa"/>
            <w:tcBorders>
              <w:top w:val="nil"/>
              <w:left w:val="nil"/>
              <w:bottom w:val="nil"/>
              <w:right w:val="nil"/>
            </w:tcBorders>
            <w:tcMar>
              <w:top w:w="100" w:type="dxa"/>
              <w:left w:w="100" w:type="dxa"/>
              <w:bottom w:w="100" w:type="dxa"/>
              <w:right w:w="100" w:type="dxa"/>
            </w:tcMar>
          </w:tcPr>
          <w:p w14:paraId="30EF375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Ethiopia</w:t>
            </w:r>
          </w:p>
        </w:tc>
        <w:tc>
          <w:tcPr>
            <w:tcW w:w="1950" w:type="dxa"/>
            <w:tcBorders>
              <w:top w:val="nil"/>
              <w:left w:val="nil"/>
              <w:bottom w:val="nil"/>
              <w:right w:val="nil"/>
            </w:tcBorders>
            <w:tcMar>
              <w:top w:w="100" w:type="dxa"/>
              <w:left w:w="100" w:type="dxa"/>
              <w:bottom w:w="100" w:type="dxa"/>
              <w:right w:w="100" w:type="dxa"/>
            </w:tcMar>
          </w:tcPr>
          <w:p w14:paraId="642B639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Comparative cross-sectional</w:t>
            </w:r>
          </w:p>
        </w:tc>
        <w:tc>
          <w:tcPr>
            <w:tcW w:w="1005" w:type="dxa"/>
            <w:tcBorders>
              <w:top w:val="nil"/>
              <w:left w:val="nil"/>
              <w:bottom w:val="nil"/>
              <w:right w:val="nil"/>
            </w:tcBorders>
            <w:tcMar>
              <w:top w:w="100" w:type="dxa"/>
              <w:left w:w="100" w:type="dxa"/>
              <w:bottom w:w="100" w:type="dxa"/>
              <w:right w:w="100" w:type="dxa"/>
            </w:tcMar>
          </w:tcPr>
          <w:p w14:paraId="6F98874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93</w:t>
            </w:r>
          </w:p>
        </w:tc>
        <w:tc>
          <w:tcPr>
            <w:tcW w:w="1470" w:type="dxa"/>
            <w:tcBorders>
              <w:top w:val="nil"/>
              <w:left w:val="nil"/>
              <w:bottom w:val="nil"/>
              <w:right w:val="nil"/>
            </w:tcBorders>
            <w:tcMar>
              <w:top w:w="100" w:type="dxa"/>
              <w:left w:w="100" w:type="dxa"/>
              <w:bottom w:w="100" w:type="dxa"/>
              <w:right w:w="100" w:type="dxa"/>
            </w:tcMar>
          </w:tcPr>
          <w:p w14:paraId="498A661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14:paraId="5D7B5C4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60907E3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2246DD1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72/93</w:t>
            </w:r>
          </w:p>
        </w:tc>
        <w:tc>
          <w:tcPr>
            <w:tcW w:w="1665" w:type="dxa"/>
            <w:tcBorders>
              <w:top w:val="nil"/>
              <w:left w:val="nil"/>
              <w:bottom w:val="nil"/>
              <w:right w:val="nil"/>
            </w:tcBorders>
            <w:tcMar>
              <w:top w:w="100" w:type="dxa"/>
              <w:left w:w="100" w:type="dxa"/>
              <w:bottom w:w="100" w:type="dxa"/>
              <w:right w:w="100" w:type="dxa"/>
            </w:tcMar>
          </w:tcPr>
          <w:p w14:paraId="139BD44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77.4</w:t>
            </w:r>
          </w:p>
        </w:tc>
      </w:tr>
      <w:tr w:rsidR="000F0B49" w:rsidRPr="00467A14" w14:paraId="3AF749C3" w14:textId="77777777">
        <w:trPr>
          <w:trHeight w:val="800"/>
        </w:trPr>
        <w:tc>
          <w:tcPr>
            <w:tcW w:w="1560" w:type="dxa"/>
            <w:tcBorders>
              <w:top w:val="nil"/>
              <w:left w:val="nil"/>
              <w:bottom w:val="nil"/>
              <w:right w:val="nil"/>
            </w:tcBorders>
            <w:tcMar>
              <w:top w:w="100" w:type="dxa"/>
              <w:left w:w="100" w:type="dxa"/>
              <w:bottom w:w="100" w:type="dxa"/>
              <w:right w:w="100" w:type="dxa"/>
            </w:tcMar>
          </w:tcPr>
          <w:p w14:paraId="69F67EA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Gupta et al. (2013)</w:t>
            </w:r>
          </w:p>
        </w:tc>
        <w:tc>
          <w:tcPr>
            <w:tcW w:w="1470" w:type="dxa"/>
            <w:tcBorders>
              <w:top w:val="nil"/>
              <w:left w:val="nil"/>
              <w:bottom w:val="nil"/>
              <w:right w:val="nil"/>
            </w:tcBorders>
            <w:tcMar>
              <w:top w:w="100" w:type="dxa"/>
              <w:left w:w="100" w:type="dxa"/>
              <w:bottom w:w="100" w:type="dxa"/>
              <w:right w:w="100" w:type="dxa"/>
            </w:tcMar>
          </w:tcPr>
          <w:p w14:paraId="30667B7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India</w:t>
            </w:r>
          </w:p>
        </w:tc>
        <w:tc>
          <w:tcPr>
            <w:tcW w:w="1950" w:type="dxa"/>
            <w:tcBorders>
              <w:top w:val="nil"/>
              <w:left w:val="nil"/>
              <w:bottom w:val="nil"/>
              <w:right w:val="nil"/>
            </w:tcBorders>
            <w:tcMar>
              <w:top w:w="100" w:type="dxa"/>
              <w:left w:w="100" w:type="dxa"/>
              <w:bottom w:w="100" w:type="dxa"/>
              <w:right w:w="100" w:type="dxa"/>
            </w:tcMar>
          </w:tcPr>
          <w:p w14:paraId="669AEB5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Prospective</w:t>
            </w:r>
          </w:p>
        </w:tc>
        <w:tc>
          <w:tcPr>
            <w:tcW w:w="1005" w:type="dxa"/>
            <w:tcBorders>
              <w:top w:val="nil"/>
              <w:left w:val="nil"/>
              <w:bottom w:val="nil"/>
              <w:right w:val="nil"/>
            </w:tcBorders>
            <w:tcMar>
              <w:top w:w="100" w:type="dxa"/>
              <w:left w:w="100" w:type="dxa"/>
              <w:bottom w:w="100" w:type="dxa"/>
              <w:right w:w="100" w:type="dxa"/>
            </w:tcMar>
          </w:tcPr>
          <w:p w14:paraId="6043D03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230</w:t>
            </w:r>
          </w:p>
        </w:tc>
        <w:tc>
          <w:tcPr>
            <w:tcW w:w="1470" w:type="dxa"/>
            <w:tcBorders>
              <w:top w:val="nil"/>
              <w:left w:val="nil"/>
              <w:bottom w:val="nil"/>
              <w:right w:val="nil"/>
            </w:tcBorders>
            <w:tcMar>
              <w:top w:w="100" w:type="dxa"/>
              <w:left w:w="100" w:type="dxa"/>
              <w:bottom w:w="100" w:type="dxa"/>
              <w:right w:w="100" w:type="dxa"/>
            </w:tcMar>
          </w:tcPr>
          <w:p w14:paraId="24976C6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14:paraId="60267B8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3F5D577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7AF121E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179/230</w:t>
            </w:r>
          </w:p>
        </w:tc>
        <w:tc>
          <w:tcPr>
            <w:tcW w:w="1665" w:type="dxa"/>
            <w:tcBorders>
              <w:top w:val="nil"/>
              <w:left w:val="nil"/>
              <w:bottom w:val="nil"/>
              <w:right w:val="nil"/>
            </w:tcBorders>
            <w:tcMar>
              <w:top w:w="100" w:type="dxa"/>
              <w:left w:w="100" w:type="dxa"/>
              <w:bottom w:w="100" w:type="dxa"/>
              <w:right w:w="100" w:type="dxa"/>
            </w:tcMar>
          </w:tcPr>
          <w:p w14:paraId="0FAEAB8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77.8</w:t>
            </w:r>
          </w:p>
        </w:tc>
      </w:tr>
      <w:tr w:rsidR="000F0B49" w:rsidRPr="00467A14" w14:paraId="45089E53" w14:textId="77777777">
        <w:trPr>
          <w:trHeight w:val="800"/>
        </w:trPr>
        <w:tc>
          <w:tcPr>
            <w:tcW w:w="1560" w:type="dxa"/>
            <w:tcBorders>
              <w:top w:val="nil"/>
              <w:left w:val="nil"/>
              <w:bottom w:val="nil"/>
              <w:right w:val="nil"/>
            </w:tcBorders>
            <w:tcMar>
              <w:top w:w="100" w:type="dxa"/>
              <w:left w:w="100" w:type="dxa"/>
              <w:bottom w:w="100" w:type="dxa"/>
              <w:right w:w="100" w:type="dxa"/>
            </w:tcMar>
          </w:tcPr>
          <w:p w14:paraId="3BD5910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Arif et al. (2016)</w:t>
            </w:r>
          </w:p>
        </w:tc>
        <w:tc>
          <w:tcPr>
            <w:tcW w:w="1470" w:type="dxa"/>
            <w:tcBorders>
              <w:top w:val="nil"/>
              <w:left w:val="nil"/>
              <w:bottom w:val="nil"/>
              <w:right w:val="nil"/>
            </w:tcBorders>
            <w:tcMar>
              <w:top w:w="100" w:type="dxa"/>
              <w:left w:w="100" w:type="dxa"/>
              <w:bottom w:w="100" w:type="dxa"/>
              <w:right w:w="100" w:type="dxa"/>
            </w:tcMar>
          </w:tcPr>
          <w:p w14:paraId="0B28EB6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India</w:t>
            </w:r>
          </w:p>
        </w:tc>
        <w:tc>
          <w:tcPr>
            <w:tcW w:w="1950" w:type="dxa"/>
            <w:tcBorders>
              <w:top w:val="nil"/>
              <w:left w:val="nil"/>
              <w:bottom w:val="nil"/>
              <w:right w:val="nil"/>
            </w:tcBorders>
            <w:tcMar>
              <w:top w:w="100" w:type="dxa"/>
              <w:left w:w="100" w:type="dxa"/>
              <w:bottom w:w="100" w:type="dxa"/>
              <w:right w:w="100" w:type="dxa"/>
            </w:tcMar>
          </w:tcPr>
          <w:p w14:paraId="3BDB4A3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Prospective</w:t>
            </w:r>
          </w:p>
        </w:tc>
        <w:tc>
          <w:tcPr>
            <w:tcW w:w="1005" w:type="dxa"/>
            <w:tcBorders>
              <w:top w:val="nil"/>
              <w:left w:val="nil"/>
              <w:bottom w:val="nil"/>
              <w:right w:val="nil"/>
            </w:tcBorders>
            <w:tcMar>
              <w:top w:w="100" w:type="dxa"/>
              <w:left w:w="100" w:type="dxa"/>
              <w:bottom w:w="100" w:type="dxa"/>
              <w:right w:w="100" w:type="dxa"/>
            </w:tcMar>
          </w:tcPr>
          <w:p w14:paraId="66BB3FF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100</w:t>
            </w:r>
          </w:p>
        </w:tc>
        <w:tc>
          <w:tcPr>
            <w:tcW w:w="1470" w:type="dxa"/>
            <w:tcBorders>
              <w:top w:val="nil"/>
              <w:left w:val="nil"/>
              <w:bottom w:val="nil"/>
              <w:right w:val="nil"/>
            </w:tcBorders>
            <w:tcMar>
              <w:top w:w="100" w:type="dxa"/>
              <w:left w:w="100" w:type="dxa"/>
              <w:bottom w:w="100" w:type="dxa"/>
              <w:right w:w="100" w:type="dxa"/>
            </w:tcMar>
          </w:tcPr>
          <w:p w14:paraId="389145E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14:paraId="3833E66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3A1B6A7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48D1328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79/100</w:t>
            </w:r>
          </w:p>
        </w:tc>
        <w:tc>
          <w:tcPr>
            <w:tcW w:w="1665" w:type="dxa"/>
            <w:tcBorders>
              <w:top w:val="nil"/>
              <w:left w:val="nil"/>
              <w:bottom w:val="nil"/>
              <w:right w:val="nil"/>
            </w:tcBorders>
            <w:tcMar>
              <w:top w:w="100" w:type="dxa"/>
              <w:left w:w="100" w:type="dxa"/>
              <w:bottom w:w="100" w:type="dxa"/>
              <w:right w:w="100" w:type="dxa"/>
            </w:tcMar>
          </w:tcPr>
          <w:p w14:paraId="1C8C14D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79.0</w:t>
            </w:r>
          </w:p>
        </w:tc>
      </w:tr>
      <w:tr w:rsidR="000F0B49" w:rsidRPr="00467A14" w14:paraId="5324C9F3" w14:textId="77777777">
        <w:trPr>
          <w:trHeight w:val="800"/>
        </w:trPr>
        <w:tc>
          <w:tcPr>
            <w:tcW w:w="1560" w:type="dxa"/>
            <w:tcBorders>
              <w:top w:val="nil"/>
              <w:left w:val="nil"/>
              <w:bottom w:val="nil"/>
              <w:right w:val="nil"/>
            </w:tcBorders>
            <w:tcMar>
              <w:top w:w="100" w:type="dxa"/>
              <w:left w:w="100" w:type="dxa"/>
              <w:bottom w:w="100" w:type="dxa"/>
              <w:right w:w="100" w:type="dxa"/>
            </w:tcMar>
          </w:tcPr>
          <w:p w14:paraId="76AEB9A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Srikanth et al. (2012)</w:t>
            </w:r>
          </w:p>
        </w:tc>
        <w:tc>
          <w:tcPr>
            <w:tcW w:w="1470" w:type="dxa"/>
            <w:tcBorders>
              <w:top w:val="nil"/>
              <w:left w:val="nil"/>
              <w:bottom w:val="nil"/>
              <w:right w:val="nil"/>
            </w:tcBorders>
            <w:tcMar>
              <w:top w:w="100" w:type="dxa"/>
              <w:left w:w="100" w:type="dxa"/>
              <w:bottom w:w="100" w:type="dxa"/>
              <w:right w:w="100" w:type="dxa"/>
            </w:tcMar>
          </w:tcPr>
          <w:p w14:paraId="2815444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India</w:t>
            </w:r>
          </w:p>
        </w:tc>
        <w:tc>
          <w:tcPr>
            <w:tcW w:w="1950" w:type="dxa"/>
            <w:tcBorders>
              <w:top w:val="nil"/>
              <w:left w:val="nil"/>
              <w:bottom w:val="nil"/>
              <w:right w:val="nil"/>
            </w:tcBorders>
            <w:tcMar>
              <w:top w:w="100" w:type="dxa"/>
              <w:left w:w="100" w:type="dxa"/>
              <w:bottom w:w="100" w:type="dxa"/>
              <w:right w:w="100" w:type="dxa"/>
            </w:tcMar>
          </w:tcPr>
          <w:p w14:paraId="52E89D4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Hospital-based</w:t>
            </w:r>
          </w:p>
        </w:tc>
        <w:tc>
          <w:tcPr>
            <w:tcW w:w="1005" w:type="dxa"/>
            <w:tcBorders>
              <w:top w:val="nil"/>
              <w:left w:val="nil"/>
              <w:bottom w:val="nil"/>
              <w:right w:val="nil"/>
            </w:tcBorders>
            <w:tcMar>
              <w:top w:w="100" w:type="dxa"/>
              <w:left w:w="100" w:type="dxa"/>
              <w:bottom w:w="100" w:type="dxa"/>
              <w:right w:w="100" w:type="dxa"/>
            </w:tcMar>
          </w:tcPr>
          <w:p w14:paraId="40E6659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40</w:t>
            </w:r>
          </w:p>
        </w:tc>
        <w:tc>
          <w:tcPr>
            <w:tcW w:w="1470" w:type="dxa"/>
            <w:tcBorders>
              <w:top w:val="nil"/>
              <w:left w:val="nil"/>
              <w:bottom w:val="nil"/>
              <w:right w:val="nil"/>
            </w:tcBorders>
            <w:tcMar>
              <w:top w:w="100" w:type="dxa"/>
              <w:left w:w="100" w:type="dxa"/>
              <w:bottom w:w="100" w:type="dxa"/>
              <w:right w:w="100" w:type="dxa"/>
            </w:tcMar>
          </w:tcPr>
          <w:p w14:paraId="61D41F8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14:paraId="21CB724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14EC435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46E0653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33/40</w:t>
            </w:r>
          </w:p>
        </w:tc>
        <w:tc>
          <w:tcPr>
            <w:tcW w:w="1665" w:type="dxa"/>
            <w:tcBorders>
              <w:top w:val="nil"/>
              <w:left w:val="nil"/>
              <w:bottom w:val="nil"/>
              <w:right w:val="nil"/>
            </w:tcBorders>
            <w:tcMar>
              <w:top w:w="100" w:type="dxa"/>
              <w:left w:w="100" w:type="dxa"/>
              <w:bottom w:w="100" w:type="dxa"/>
              <w:right w:w="100" w:type="dxa"/>
            </w:tcMar>
          </w:tcPr>
          <w:p w14:paraId="29984F3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82.5</w:t>
            </w:r>
          </w:p>
        </w:tc>
      </w:tr>
      <w:tr w:rsidR="000F0B49" w:rsidRPr="00467A14" w14:paraId="607DAAE1" w14:textId="77777777">
        <w:trPr>
          <w:trHeight w:val="800"/>
        </w:trPr>
        <w:tc>
          <w:tcPr>
            <w:tcW w:w="1560" w:type="dxa"/>
            <w:tcBorders>
              <w:top w:val="nil"/>
              <w:left w:val="nil"/>
              <w:bottom w:val="nil"/>
              <w:right w:val="nil"/>
            </w:tcBorders>
            <w:tcMar>
              <w:top w:w="100" w:type="dxa"/>
              <w:left w:w="100" w:type="dxa"/>
              <w:bottom w:w="100" w:type="dxa"/>
              <w:right w:w="100" w:type="dxa"/>
            </w:tcMar>
          </w:tcPr>
          <w:p w14:paraId="4564539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Devineni et al. (2015)</w:t>
            </w:r>
          </w:p>
        </w:tc>
        <w:tc>
          <w:tcPr>
            <w:tcW w:w="1470" w:type="dxa"/>
            <w:tcBorders>
              <w:top w:val="nil"/>
              <w:left w:val="nil"/>
              <w:bottom w:val="nil"/>
              <w:right w:val="nil"/>
            </w:tcBorders>
            <w:tcMar>
              <w:top w:w="100" w:type="dxa"/>
              <w:left w:w="100" w:type="dxa"/>
              <w:bottom w:w="100" w:type="dxa"/>
              <w:right w:w="100" w:type="dxa"/>
            </w:tcMar>
          </w:tcPr>
          <w:p w14:paraId="34E8437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India</w:t>
            </w:r>
          </w:p>
        </w:tc>
        <w:tc>
          <w:tcPr>
            <w:tcW w:w="1950" w:type="dxa"/>
            <w:tcBorders>
              <w:top w:val="nil"/>
              <w:left w:val="nil"/>
              <w:bottom w:val="nil"/>
              <w:right w:val="nil"/>
            </w:tcBorders>
            <w:tcMar>
              <w:top w:w="100" w:type="dxa"/>
              <w:left w:w="100" w:type="dxa"/>
              <w:bottom w:w="100" w:type="dxa"/>
              <w:right w:w="100" w:type="dxa"/>
            </w:tcMar>
          </w:tcPr>
          <w:p w14:paraId="4D71041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Observational</w:t>
            </w:r>
          </w:p>
        </w:tc>
        <w:tc>
          <w:tcPr>
            <w:tcW w:w="1005" w:type="dxa"/>
            <w:tcBorders>
              <w:top w:val="nil"/>
              <w:left w:val="nil"/>
              <w:bottom w:val="nil"/>
              <w:right w:val="nil"/>
            </w:tcBorders>
            <w:tcMar>
              <w:top w:w="100" w:type="dxa"/>
              <w:left w:w="100" w:type="dxa"/>
              <w:bottom w:w="100" w:type="dxa"/>
              <w:right w:w="100" w:type="dxa"/>
            </w:tcMar>
          </w:tcPr>
          <w:p w14:paraId="03B7F59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180</w:t>
            </w:r>
          </w:p>
        </w:tc>
        <w:tc>
          <w:tcPr>
            <w:tcW w:w="1470" w:type="dxa"/>
            <w:tcBorders>
              <w:top w:val="nil"/>
              <w:left w:val="nil"/>
              <w:bottom w:val="nil"/>
              <w:right w:val="nil"/>
            </w:tcBorders>
            <w:tcMar>
              <w:top w:w="100" w:type="dxa"/>
              <w:left w:w="100" w:type="dxa"/>
              <w:bottom w:w="100" w:type="dxa"/>
              <w:right w:w="100" w:type="dxa"/>
            </w:tcMar>
          </w:tcPr>
          <w:p w14:paraId="4354D9D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14:paraId="293644A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21F5A1C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674D001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146/180</w:t>
            </w:r>
          </w:p>
        </w:tc>
        <w:tc>
          <w:tcPr>
            <w:tcW w:w="1665" w:type="dxa"/>
            <w:tcBorders>
              <w:top w:val="nil"/>
              <w:left w:val="nil"/>
              <w:bottom w:val="nil"/>
              <w:right w:val="nil"/>
            </w:tcBorders>
            <w:tcMar>
              <w:top w:w="100" w:type="dxa"/>
              <w:left w:w="100" w:type="dxa"/>
              <w:bottom w:w="100" w:type="dxa"/>
              <w:right w:w="100" w:type="dxa"/>
            </w:tcMar>
          </w:tcPr>
          <w:p w14:paraId="1009BBF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81.1</w:t>
            </w:r>
          </w:p>
        </w:tc>
      </w:tr>
      <w:tr w:rsidR="000F0B49" w:rsidRPr="00467A14" w14:paraId="156F3151" w14:textId="77777777">
        <w:trPr>
          <w:trHeight w:val="1085"/>
        </w:trPr>
        <w:tc>
          <w:tcPr>
            <w:tcW w:w="1560" w:type="dxa"/>
            <w:tcBorders>
              <w:top w:val="nil"/>
              <w:left w:val="nil"/>
              <w:bottom w:val="nil"/>
              <w:right w:val="nil"/>
            </w:tcBorders>
            <w:tcMar>
              <w:top w:w="100" w:type="dxa"/>
              <w:left w:w="100" w:type="dxa"/>
              <w:bottom w:w="100" w:type="dxa"/>
              <w:right w:w="100" w:type="dxa"/>
            </w:tcMar>
          </w:tcPr>
          <w:p w14:paraId="50116F0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lastRenderedPageBreak/>
              <w:t>Memon &amp; Afsar (2006)</w:t>
            </w:r>
          </w:p>
        </w:tc>
        <w:tc>
          <w:tcPr>
            <w:tcW w:w="1470" w:type="dxa"/>
            <w:tcBorders>
              <w:top w:val="nil"/>
              <w:left w:val="nil"/>
              <w:bottom w:val="nil"/>
              <w:right w:val="nil"/>
            </w:tcBorders>
            <w:tcMar>
              <w:top w:w="100" w:type="dxa"/>
              <w:left w:w="100" w:type="dxa"/>
              <w:bottom w:w="100" w:type="dxa"/>
              <w:right w:w="100" w:type="dxa"/>
            </w:tcMar>
          </w:tcPr>
          <w:p w14:paraId="47DC371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Pakistan</w:t>
            </w:r>
          </w:p>
        </w:tc>
        <w:tc>
          <w:tcPr>
            <w:tcW w:w="1950" w:type="dxa"/>
            <w:tcBorders>
              <w:top w:val="nil"/>
              <w:left w:val="nil"/>
              <w:bottom w:val="nil"/>
              <w:right w:val="nil"/>
            </w:tcBorders>
            <w:tcMar>
              <w:top w:w="100" w:type="dxa"/>
              <w:left w:w="100" w:type="dxa"/>
              <w:bottom w:w="100" w:type="dxa"/>
              <w:right w:w="100" w:type="dxa"/>
            </w:tcMar>
          </w:tcPr>
          <w:p w14:paraId="663AD40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Case series</w:t>
            </w:r>
          </w:p>
        </w:tc>
        <w:tc>
          <w:tcPr>
            <w:tcW w:w="1005" w:type="dxa"/>
            <w:tcBorders>
              <w:top w:val="nil"/>
              <w:left w:val="nil"/>
              <w:bottom w:val="nil"/>
              <w:right w:val="nil"/>
            </w:tcBorders>
            <w:tcMar>
              <w:top w:w="100" w:type="dxa"/>
              <w:left w:w="100" w:type="dxa"/>
              <w:bottom w:w="100" w:type="dxa"/>
              <w:right w:w="100" w:type="dxa"/>
            </w:tcMar>
          </w:tcPr>
          <w:p w14:paraId="79E627B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60</w:t>
            </w:r>
          </w:p>
        </w:tc>
        <w:tc>
          <w:tcPr>
            <w:tcW w:w="1470" w:type="dxa"/>
            <w:tcBorders>
              <w:top w:val="nil"/>
              <w:left w:val="nil"/>
              <w:bottom w:val="nil"/>
              <w:right w:val="nil"/>
            </w:tcBorders>
            <w:tcMar>
              <w:top w:w="100" w:type="dxa"/>
              <w:left w:w="100" w:type="dxa"/>
              <w:bottom w:w="100" w:type="dxa"/>
              <w:right w:w="100" w:type="dxa"/>
            </w:tcMar>
          </w:tcPr>
          <w:p w14:paraId="0D8DFF9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Mostly falciparum</w:t>
            </w:r>
          </w:p>
        </w:tc>
        <w:tc>
          <w:tcPr>
            <w:tcW w:w="1530" w:type="dxa"/>
            <w:tcBorders>
              <w:top w:val="nil"/>
              <w:left w:val="nil"/>
              <w:bottom w:val="nil"/>
              <w:right w:val="nil"/>
            </w:tcBorders>
            <w:tcMar>
              <w:top w:w="100" w:type="dxa"/>
              <w:left w:w="100" w:type="dxa"/>
              <w:bottom w:w="100" w:type="dxa"/>
              <w:right w:w="100" w:type="dxa"/>
            </w:tcMar>
          </w:tcPr>
          <w:p w14:paraId="1B92ACD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64FE0A1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00D6584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42/60</w:t>
            </w:r>
          </w:p>
        </w:tc>
        <w:tc>
          <w:tcPr>
            <w:tcW w:w="1665" w:type="dxa"/>
            <w:tcBorders>
              <w:top w:val="nil"/>
              <w:left w:val="nil"/>
              <w:bottom w:val="nil"/>
              <w:right w:val="nil"/>
            </w:tcBorders>
            <w:tcMar>
              <w:top w:w="100" w:type="dxa"/>
              <w:left w:w="100" w:type="dxa"/>
              <w:bottom w:w="100" w:type="dxa"/>
              <w:right w:w="100" w:type="dxa"/>
            </w:tcMar>
          </w:tcPr>
          <w:p w14:paraId="3A060EB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70.0</w:t>
            </w:r>
          </w:p>
        </w:tc>
      </w:tr>
      <w:tr w:rsidR="000F0B49" w:rsidRPr="00467A14" w14:paraId="5A7E790D" w14:textId="77777777">
        <w:trPr>
          <w:trHeight w:val="800"/>
        </w:trPr>
        <w:tc>
          <w:tcPr>
            <w:tcW w:w="1560" w:type="dxa"/>
            <w:tcBorders>
              <w:top w:val="nil"/>
              <w:left w:val="nil"/>
              <w:bottom w:val="nil"/>
              <w:right w:val="nil"/>
            </w:tcBorders>
            <w:tcMar>
              <w:top w:w="100" w:type="dxa"/>
              <w:left w:w="100" w:type="dxa"/>
              <w:bottom w:w="100" w:type="dxa"/>
              <w:right w:w="100" w:type="dxa"/>
            </w:tcMar>
          </w:tcPr>
          <w:p w14:paraId="65C39D2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Khalid et al. (2022)</w:t>
            </w:r>
          </w:p>
        </w:tc>
        <w:tc>
          <w:tcPr>
            <w:tcW w:w="1470" w:type="dxa"/>
            <w:tcBorders>
              <w:top w:val="nil"/>
              <w:left w:val="nil"/>
              <w:bottom w:val="nil"/>
              <w:right w:val="nil"/>
            </w:tcBorders>
            <w:tcMar>
              <w:top w:w="100" w:type="dxa"/>
              <w:left w:w="100" w:type="dxa"/>
              <w:bottom w:w="100" w:type="dxa"/>
              <w:right w:w="100" w:type="dxa"/>
            </w:tcMar>
          </w:tcPr>
          <w:p w14:paraId="1C70F23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Pakistan</w:t>
            </w:r>
          </w:p>
        </w:tc>
        <w:tc>
          <w:tcPr>
            <w:tcW w:w="1950" w:type="dxa"/>
            <w:tcBorders>
              <w:top w:val="nil"/>
              <w:left w:val="nil"/>
              <w:bottom w:val="nil"/>
              <w:right w:val="nil"/>
            </w:tcBorders>
            <w:tcMar>
              <w:top w:w="100" w:type="dxa"/>
              <w:left w:w="100" w:type="dxa"/>
              <w:bottom w:w="100" w:type="dxa"/>
              <w:right w:w="100" w:type="dxa"/>
            </w:tcMar>
          </w:tcPr>
          <w:p w14:paraId="34098E1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14:paraId="6D9CB4D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150</w:t>
            </w:r>
          </w:p>
        </w:tc>
        <w:tc>
          <w:tcPr>
            <w:tcW w:w="1470" w:type="dxa"/>
            <w:tcBorders>
              <w:top w:val="nil"/>
              <w:left w:val="nil"/>
              <w:bottom w:val="nil"/>
              <w:right w:val="nil"/>
            </w:tcBorders>
            <w:tcMar>
              <w:top w:w="100" w:type="dxa"/>
              <w:left w:w="100" w:type="dxa"/>
              <w:bottom w:w="100" w:type="dxa"/>
              <w:right w:w="100" w:type="dxa"/>
            </w:tcMar>
          </w:tcPr>
          <w:p w14:paraId="2FD3581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Mostly vivax</w:t>
            </w:r>
          </w:p>
        </w:tc>
        <w:tc>
          <w:tcPr>
            <w:tcW w:w="1530" w:type="dxa"/>
            <w:tcBorders>
              <w:top w:val="nil"/>
              <w:left w:val="nil"/>
              <w:bottom w:val="nil"/>
              <w:right w:val="nil"/>
            </w:tcBorders>
            <w:tcMar>
              <w:top w:w="100" w:type="dxa"/>
              <w:left w:w="100" w:type="dxa"/>
              <w:bottom w:w="100" w:type="dxa"/>
              <w:right w:w="100" w:type="dxa"/>
            </w:tcMar>
          </w:tcPr>
          <w:p w14:paraId="59E6D05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06D40BC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0FD4872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135/150</w:t>
            </w:r>
          </w:p>
        </w:tc>
        <w:tc>
          <w:tcPr>
            <w:tcW w:w="1665" w:type="dxa"/>
            <w:tcBorders>
              <w:top w:val="nil"/>
              <w:left w:val="nil"/>
              <w:bottom w:val="nil"/>
              <w:right w:val="nil"/>
            </w:tcBorders>
            <w:tcMar>
              <w:top w:w="100" w:type="dxa"/>
              <w:left w:w="100" w:type="dxa"/>
              <w:bottom w:w="100" w:type="dxa"/>
              <w:right w:w="100" w:type="dxa"/>
            </w:tcMar>
          </w:tcPr>
          <w:p w14:paraId="6752471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90.0</w:t>
            </w:r>
          </w:p>
        </w:tc>
      </w:tr>
      <w:tr w:rsidR="000F0B49" w:rsidRPr="00467A14" w14:paraId="2A03565E" w14:textId="77777777">
        <w:trPr>
          <w:trHeight w:val="800"/>
        </w:trPr>
        <w:tc>
          <w:tcPr>
            <w:tcW w:w="1560" w:type="dxa"/>
            <w:tcBorders>
              <w:top w:val="nil"/>
              <w:left w:val="nil"/>
              <w:bottom w:val="nil"/>
              <w:right w:val="nil"/>
            </w:tcBorders>
            <w:tcMar>
              <w:top w:w="100" w:type="dxa"/>
              <w:left w:w="100" w:type="dxa"/>
              <w:bottom w:w="100" w:type="dxa"/>
              <w:right w:w="100" w:type="dxa"/>
            </w:tcMar>
          </w:tcPr>
          <w:p w14:paraId="40F6C1F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Shams et al. (2025)</w:t>
            </w:r>
          </w:p>
        </w:tc>
        <w:tc>
          <w:tcPr>
            <w:tcW w:w="1470" w:type="dxa"/>
            <w:tcBorders>
              <w:top w:val="nil"/>
              <w:left w:val="nil"/>
              <w:bottom w:val="nil"/>
              <w:right w:val="nil"/>
            </w:tcBorders>
            <w:tcMar>
              <w:top w:w="100" w:type="dxa"/>
              <w:left w:w="100" w:type="dxa"/>
              <w:bottom w:w="100" w:type="dxa"/>
              <w:right w:w="100" w:type="dxa"/>
            </w:tcMar>
          </w:tcPr>
          <w:p w14:paraId="557AE25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Pakistan</w:t>
            </w:r>
          </w:p>
        </w:tc>
        <w:tc>
          <w:tcPr>
            <w:tcW w:w="1950" w:type="dxa"/>
            <w:tcBorders>
              <w:top w:val="nil"/>
              <w:left w:val="nil"/>
              <w:bottom w:val="nil"/>
              <w:right w:val="nil"/>
            </w:tcBorders>
            <w:tcMar>
              <w:top w:w="100" w:type="dxa"/>
              <w:left w:w="100" w:type="dxa"/>
              <w:bottom w:w="100" w:type="dxa"/>
              <w:right w:w="100" w:type="dxa"/>
            </w:tcMar>
          </w:tcPr>
          <w:p w14:paraId="6649E86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Retrospective</w:t>
            </w:r>
          </w:p>
        </w:tc>
        <w:tc>
          <w:tcPr>
            <w:tcW w:w="1005" w:type="dxa"/>
            <w:tcBorders>
              <w:top w:val="nil"/>
              <w:left w:val="nil"/>
              <w:bottom w:val="nil"/>
              <w:right w:val="nil"/>
            </w:tcBorders>
            <w:tcMar>
              <w:top w:w="100" w:type="dxa"/>
              <w:left w:w="100" w:type="dxa"/>
              <w:bottom w:w="100" w:type="dxa"/>
              <w:right w:w="100" w:type="dxa"/>
            </w:tcMar>
          </w:tcPr>
          <w:p w14:paraId="3C65146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293</w:t>
            </w:r>
          </w:p>
        </w:tc>
        <w:tc>
          <w:tcPr>
            <w:tcW w:w="1470" w:type="dxa"/>
            <w:tcBorders>
              <w:top w:val="nil"/>
              <w:left w:val="nil"/>
              <w:bottom w:val="nil"/>
              <w:right w:val="nil"/>
            </w:tcBorders>
            <w:tcMar>
              <w:top w:w="100" w:type="dxa"/>
              <w:left w:w="100" w:type="dxa"/>
              <w:bottom w:w="100" w:type="dxa"/>
              <w:right w:w="100" w:type="dxa"/>
            </w:tcMar>
          </w:tcPr>
          <w:p w14:paraId="0CCD7A1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Mostly vivax</w:t>
            </w:r>
          </w:p>
        </w:tc>
        <w:tc>
          <w:tcPr>
            <w:tcW w:w="1530" w:type="dxa"/>
            <w:tcBorders>
              <w:top w:val="nil"/>
              <w:left w:val="nil"/>
              <w:bottom w:val="nil"/>
              <w:right w:val="nil"/>
            </w:tcBorders>
            <w:tcMar>
              <w:top w:w="100" w:type="dxa"/>
              <w:left w:w="100" w:type="dxa"/>
              <w:bottom w:w="100" w:type="dxa"/>
              <w:right w:w="100" w:type="dxa"/>
            </w:tcMar>
          </w:tcPr>
          <w:p w14:paraId="41D235D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3868B01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2337DED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208/293</w:t>
            </w:r>
          </w:p>
        </w:tc>
        <w:tc>
          <w:tcPr>
            <w:tcW w:w="1665" w:type="dxa"/>
            <w:tcBorders>
              <w:top w:val="nil"/>
              <w:left w:val="nil"/>
              <w:bottom w:val="nil"/>
              <w:right w:val="nil"/>
            </w:tcBorders>
            <w:tcMar>
              <w:top w:w="100" w:type="dxa"/>
              <w:left w:w="100" w:type="dxa"/>
              <w:bottom w:w="100" w:type="dxa"/>
              <w:right w:w="100" w:type="dxa"/>
            </w:tcMar>
          </w:tcPr>
          <w:p w14:paraId="316C7CF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71.0</w:t>
            </w:r>
          </w:p>
        </w:tc>
      </w:tr>
      <w:tr w:rsidR="000F0B49" w:rsidRPr="00467A14" w14:paraId="76242F6E" w14:textId="77777777">
        <w:trPr>
          <w:trHeight w:val="690"/>
        </w:trPr>
        <w:tc>
          <w:tcPr>
            <w:tcW w:w="1560" w:type="dxa"/>
            <w:tcBorders>
              <w:top w:val="nil"/>
              <w:left w:val="nil"/>
              <w:bottom w:val="nil"/>
              <w:right w:val="nil"/>
            </w:tcBorders>
            <w:tcMar>
              <w:top w:w="100" w:type="dxa"/>
              <w:left w:w="100" w:type="dxa"/>
              <w:bottom w:w="100" w:type="dxa"/>
              <w:right w:w="100" w:type="dxa"/>
            </w:tcMar>
          </w:tcPr>
          <w:p w14:paraId="5D151BE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Ebraheem et al. (2025)</w:t>
            </w:r>
          </w:p>
        </w:tc>
        <w:tc>
          <w:tcPr>
            <w:tcW w:w="1470" w:type="dxa"/>
            <w:tcBorders>
              <w:top w:val="nil"/>
              <w:left w:val="nil"/>
              <w:bottom w:val="nil"/>
              <w:right w:val="nil"/>
            </w:tcBorders>
            <w:tcMar>
              <w:top w:w="100" w:type="dxa"/>
              <w:left w:w="100" w:type="dxa"/>
              <w:bottom w:w="100" w:type="dxa"/>
              <w:right w:w="100" w:type="dxa"/>
            </w:tcMar>
          </w:tcPr>
          <w:p w14:paraId="0DDD53C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Sudan</w:t>
            </w:r>
          </w:p>
        </w:tc>
        <w:tc>
          <w:tcPr>
            <w:tcW w:w="1950" w:type="dxa"/>
            <w:tcBorders>
              <w:top w:val="nil"/>
              <w:left w:val="nil"/>
              <w:bottom w:val="nil"/>
              <w:right w:val="nil"/>
            </w:tcBorders>
            <w:tcMar>
              <w:top w:w="100" w:type="dxa"/>
              <w:left w:w="100" w:type="dxa"/>
              <w:bottom w:w="100" w:type="dxa"/>
              <w:right w:w="100" w:type="dxa"/>
            </w:tcMar>
          </w:tcPr>
          <w:p w14:paraId="7EE2C1D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14:paraId="5C3448A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200</w:t>
            </w:r>
          </w:p>
        </w:tc>
        <w:tc>
          <w:tcPr>
            <w:tcW w:w="1470" w:type="dxa"/>
            <w:tcBorders>
              <w:top w:val="nil"/>
              <w:left w:val="nil"/>
              <w:bottom w:val="nil"/>
              <w:right w:val="nil"/>
            </w:tcBorders>
            <w:tcMar>
              <w:top w:w="100" w:type="dxa"/>
              <w:left w:w="100" w:type="dxa"/>
              <w:bottom w:w="100" w:type="dxa"/>
              <w:right w:w="100" w:type="dxa"/>
            </w:tcMar>
          </w:tcPr>
          <w:p w14:paraId="5CD4E56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Falciparum</w:t>
            </w:r>
          </w:p>
        </w:tc>
        <w:tc>
          <w:tcPr>
            <w:tcW w:w="1530" w:type="dxa"/>
            <w:tcBorders>
              <w:top w:val="nil"/>
              <w:left w:val="nil"/>
              <w:bottom w:val="nil"/>
              <w:right w:val="nil"/>
            </w:tcBorders>
            <w:tcMar>
              <w:top w:w="100" w:type="dxa"/>
              <w:left w:w="100" w:type="dxa"/>
              <w:bottom w:w="100" w:type="dxa"/>
              <w:right w:w="100" w:type="dxa"/>
            </w:tcMar>
          </w:tcPr>
          <w:p w14:paraId="6E7137A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08709A9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62E88BF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102/200</w:t>
            </w:r>
          </w:p>
        </w:tc>
        <w:tc>
          <w:tcPr>
            <w:tcW w:w="1665" w:type="dxa"/>
            <w:tcBorders>
              <w:top w:val="nil"/>
              <w:left w:val="nil"/>
              <w:bottom w:val="nil"/>
              <w:right w:val="nil"/>
            </w:tcBorders>
            <w:tcMar>
              <w:top w:w="100" w:type="dxa"/>
              <w:left w:w="100" w:type="dxa"/>
              <w:bottom w:w="100" w:type="dxa"/>
              <w:right w:w="100" w:type="dxa"/>
            </w:tcMar>
          </w:tcPr>
          <w:p w14:paraId="0E4E8A8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51.0</w:t>
            </w:r>
          </w:p>
        </w:tc>
      </w:tr>
      <w:tr w:rsidR="000F0B49" w:rsidRPr="00467A14" w14:paraId="17FAFDD0" w14:textId="77777777">
        <w:trPr>
          <w:trHeight w:val="1085"/>
        </w:trPr>
        <w:tc>
          <w:tcPr>
            <w:tcW w:w="1560" w:type="dxa"/>
            <w:tcBorders>
              <w:top w:val="nil"/>
              <w:left w:val="nil"/>
              <w:bottom w:val="nil"/>
              <w:right w:val="nil"/>
            </w:tcBorders>
            <w:tcMar>
              <w:top w:w="100" w:type="dxa"/>
              <w:left w:w="100" w:type="dxa"/>
              <w:bottom w:w="100" w:type="dxa"/>
              <w:right w:w="100" w:type="dxa"/>
            </w:tcMar>
          </w:tcPr>
          <w:p w14:paraId="653C947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Abdelsalam et al. (2026)</w:t>
            </w:r>
          </w:p>
        </w:tc>
        <w:tc>
          <w:tcPr>
            <w:tcW w:w="1470" w:type="dxa"/>
            <w:tcBorders>
              <w:top w:val="nil"/>
              <w:left w:val="nil"/>
              <w:bottom w:val="nil"/>
              <w:right w:val="nil"/>
            </w:tcBorders>
            <w:tcMar>
              <w:top w:w="100" w:type="dxa"/>
              <w:left w:w="100" w:type="dxa"/>
              <w:bottom w:w="100" w:type="dxa"/>
              <w:right w:w="100" w:type="dxa"/>
            </w:tcMar>
          </w:tcPr>
          <w:p w14:paraId="601926E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Sudan</w:t>
            </w:r>
          </w:p>
        </w:tc>
        <w:tc>
          <w:tcPr>
            <w:tcW w:w="1950" w:type="dxa"/>
            <w:tcBorders>
              <w:top w:val="nil"/>
              <w:left w:val="nil"/>
              <w:bottom w:val="nil"/>
              <w:right w:val="nil"/>
            </w:tcBorders>
            <w:tcMar>
              <w:top w:w="100" w:type="dxa"/>
              <w:left w:w="100" w:type="dxa"/>
              <w:bottom w:w="100" w:type="dxa"/>
              <w:right w:w="100" w:type="dxa"/>
            </w:tcMar>
          </w:tcPr>
          <w:p w14:paraId="3FF614D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14:paraId="5E89E99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160</w:t>
            </w:r>
          </w:p>
        </w:tc>
        <w:tc>
          <w:tcPr>
            <w:tcW w:w="1470" w:type="dxa"/>
            <w:tcBorders>
              <w:top w:val="nil"/>
              <w:left w:val="nil"/>
              <w:bottom w:val="nil"/>
              <w:right w:val="nil"/>
            </w:tcBorders>
            <w:tcMar>
              <w:top w:w="100" w:type="dxa"/>
              <w:left w:w="100" w:type="dxa"/>
              <w:bottom w:w="100" w:type="dxa"/>
              <w:right w:w="100" w:type="dxa"/>
            </w:tcMar>
          </w:tcPr>
          <w:p w14:paraId="6BD3719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14:paraId="29B993F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4F6EF43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6E9B379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104/160</w:t>
            </w:r>
          </w:p>
        </w:tc>
        <w:tc>
          <w:tcPr>
            <w:tcW w:w="1665" w:type="dxa"/>
            <w:tcBorders>
              <w:top w:val="nil"/>
              <w:left w:val="nil"/>
              <w:bottom w:val="nil"/>
              <w:right w:val="nil"/>
            </w:tcBorders>
            <w:tcMar>
              <w:top w:w="100" w:type="dxa"/>
              <w:left w:w="100" w:type="dxa"/>
              <w:bottom w:w="100" w:type="dxa"/>
              <w:right w:w="100" w:type="dxa"/>
            </w:tcMar>
          </w:tcPr>
          <w:p w14:paraId="53AFBD3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65.0</w:t>
            </w:r>
          </w:p>
        </w:tc>
      </w:tr>
      <w:tr w:rsidR="000F0B49" w:rsidRPr="00467A14" w14:paraId="3FDEFCE0" w14:textId="77777777">
        <w:trPr>
          <w:trHeight w:val="800"/>
        </w:trPr>
        <w:tc>
          <w:tcPr>
            <w:tcW w:w="1560" w:type="dxa"/>
            <w:tcBorders>
              <w:top w:val="nil"/>
              <w:left w:val="nil"/>
              <w:bottom w:val="nil"/>
              <w:right w:val="nil"/>
            </w:tcBorders>
            <w:tcMar>
              <w:top w:w="100" w:type="dxa"/>
              <w:left w:w="100" w:type="dxa"/>
              <w:bottom w:w="100" w:type="dxa"/>
              <w:right w:w="100" w:type="dxa"/>
            </w:tcMar>
          </w:tcPr>
          <w:p w14:paraId="12E7E0B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Ansah et al. (2021)</w:t>
            </w:r>
          </w:p>
        </w:tc>
        <w:tc>
          <w:tcPr>
            <w:tcW w:w="1470" w:type="dxa"/>
            <w:tcBorders>
              <w:top w:val="nil"/>
              <w:left w:val="nil"/>
              <w:bottom w:val="nil"/>
              <w:right w:val="nil"/>
            </w:tcBorders>
            <w:tcMar>
              <w:top w:w="100" w:type="dxa"/>
              <w:left w:w="100" w:type="dxa"/>
              <w:bottom w:w="100" w:type="dxa"/>
              <w:right w:w="100" w:type="dxa"/>
            </w:tcMar>
          </w:tcPr>
          <w:p w14:paraId="64A3AEC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Ghana</w:t>
            </w:r>
          </w:p>
        </w:tc>
        <w:tc>
          <w:tcPr>
            <w:tcW w:w="1950" w:type="dxa"/>
            <w:tcBorders>
              <w:top w:val="nil"/>
              <w:left w:val="nil"/>
              <w:bottom w:val="nil"/>
              <w:right w:val="nil"/>
            </w:tcBorders>
            <w:tcMar>
              <w:top w:w="100" w:type="dxa"/>
              <w:left w:w="100" w:type="dxa"/>
              <w:bottom w:w="100" w:type="dxa"/>
              <w:right w:w="100" w:type="dxa"/>
            </w:tcMar>
          </w:tcPr>
          <w:p w14:paraId="767414C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Cross-sectional</w:t>
            </w:r>
          </w:p>
        </w:tc>
        <w:tc>
          <w:tcPr>
            <w:tcW w:w="1005" w:type="dxa"/>
            <w:tcBorders>
              <w:top w:val="nil"/>
              <w:left w:val="nil"/>
              <w:bottom w:val="nil"/>
              <w:right w:val="nil"/>
            </w:tcBorders>
            <w:tcMar>
              <w:top w:w="100" w:type="dxa"/>
              <w:left w:w="100" w:type="dxa"/>
              <w:bottom w:w="100" w:type="dxa"/>
              <w:right w:w="100" w:type="dxa"/>
            </w:tcMar>
          </w:tcPr>
          <w:p w14:paraId="5E4D068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100</w:t>
            </w:r>
          </w:p>
        </w:tc>
        <w:tc>
          <w:tcPr>
            <w:tcW w:w="1470" w:type="dxa"/>
            <w:tcBorders>
              <w:top w:val="nil"/>
              <w:left w:val="nil"/>
              <w:bottom w:val="nil"/>
              <w:right w:val="nil"/>
            </w:tcBorders>
            <w:tcMar>
              <w:top w:w="100" w:type="dxa"/>
              <w:left w:w="100" w:type="dxa"/>
              <w:bottom w:w="100" w:type="dxa"/>
              <w:right w:w="100" w:type="dxa"/>
            </w:tcMar>
          </w:tcPr>
          <w:p w14:paraId="4BFF6D5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Children</w:t>
            </w:r>
          </w:p>
        </w:tc>
        <w:tc>
          <w:tcPr>
            <w:tcW w:w="1530" w:type="dxa"/>
            <w:tcBorders>
              <w:top w:val="nil"/>
              <w:left w:val="nil"/>
              <w:bottom w:val="nil"/>
              <w:right w:val="nil"/>
            </w:tcBorders>
            <w:tcMar>
              <w:top w:w="100" w:type="dxa"/>
              <w:left w:w="100" w:type="dxa"/>
              <w:bottom w:w="100" w:type="dxa"/>
              <w:right w:w="100" w:type="dxa"/>
            </w:tcMar>
          </w:tcPr>
          <w:p w14:paraId="21125A5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58210DE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0720382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33/100</w:t>
            </w:r>
          </w:p>
        </w:tc>
        <w:tc>
          <w:tcPr>
            <w:tcW w:w="1665" w:type="dxa"/>
            <w:tcBorders>
              <w:top w:val="nil"/>
              <w:left w:val="nil"/>
              <w:bottom w:val="nil"/>
              <w:right w:val="nil"/>
            </w:tcBorders>
            <w:tcMar>
              <w:top w:w="100" w:type="dxa"/>
              <w:left w:w="100" w:type="dxa"/>
              <w:bottom w:w="100" w:type="dxa"/>
              <w:right w:w="100" w:type="dxa"/>
            </w:tcMar>
          </w:tcPr>
          <w:p w14:paraId="7A162D9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33.0</w:t>
            </w:r>
          </w:p>
        </w:tc>
      </w:tr>
      <w:tr w:rsidR="000F0B49" w:rsidRPr="00467A14" w14:paraId="7105483C" w14:textId="77777777">
        <w:trPr>
          <w:trHeight w:val="800"/>
        </w:trPr>
        <w:tc>
          <w:tcPr>
            <w:tcW w:w="1560" w:type="dxa"/>
            <w:tcBorders>
              <w:top w:val="nil"/>
              <w:left w:val="nil"/>
              <w:bottom w:val="nil"/>
              <w:right w:val="nil"/>
            </w:tcBorders>
            <w:tcMar>
              <w:top w:w="100" w:type="dxa"/>
              <w:left w:w="100" w:type="dxa"/>
              <w:bottom w:w="100" w:type="dxa"/>
              <w:right w:w="100" w:type="dxa"/>
            </w:tcMar>
          </w:tcPr>
          <w:p w14:paraId="6897F81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Coelho et al. (2013)</w:t>
            </w:r>
          </w:p>
        </w:tc>
        <w:tc>
          <w:tcPr>
            <w:tcW w:w="1470" w:type="dxa"/>
            <w:tcBorders>
              <w:top w:val="nil"/>
              <w:left w:val="nil"/>
              <w:bottom w:val="nil"/>
              <w:right w:val="nil"/>
            </w:tcBorders>
            <w:tcMar>
              <w:top w:w="100" w:type="dxa"/>
              <w:left w:w="100" w:type="dxa"/>
              <w:bottom w:w="100" w:type="dxa"/>
              <w:right w:w="100" w:type="dxa"/>
            </w:tcMar>
          </w:tcPr>
          <w:p w14:paraId="2916491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Brazil</w:t>
            </w:r>
          </w:p>
        </w:tc>
        <w:tc>
          <w:tcPr>
            <w:tcW w:w="1950" w:type="dxa"/>
            <w:tcBorders>
              <w:top w:val="nil"/>
              <w:left w:val="nil"/>
              <w:bottom w:val="nil"/>
              <w:right w:val="nil"/>
            </w:tcBorders>
            <w:tcMar>
              <w:top w:w="100" w:type="dxa"/>
              <w:left w:w="100" w:type="dxa"/>
              <w:bottom w:w="100" w:type="dxa"/>
              <w:right w:w="100" w:type="dxa"/>
            </w:tcMar>
          </w:tcPr>
          <w:p w14:paraId="56FF38B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Case-control</w:t>
            </w:r>
          </w:p>
        </w:tc>
        <w:tc>
          <w:tcPr>
            <w:tcW w:w="1005" w:type="dxa"/>
            <w:tcBorders>
              <w:top w:val="nil"/>
              <w:left w:val="nil"/>
              <w:bottom w:val="nil"/>
              <w:right w:val="nil"/>
            </w:tcBorders>
            <w:tcMar>
              <w:top w:w="100" w:type="dxa"/>
              <w:left w:w="100" w:type="dxa"/>
              <w:bottom w:w="100" w:type="dxa"/>
              <w:right w:w="100" w:type="dxa"/>
            </w:tcMar>
          </w:tcPr>
          <w:p w14:paraId="1830CA1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35</w:t>
            </w:r>
          </w:p>
        </w:tc>
        <w:tc>
          <w:tcPr>
            <w:tcW w:w="1470" w:type="dxa"/>
            <w:tcBorders>
              <w:top w:val="nil"/>
              <w:left w:val="nil"/>
              <w:bottom w:val="nil"/>
              <w:right w:val="nil"/>
            </w:tcBorders>
            <w:tcMar>
              <w:top w:w="100" w:type="dxa"/>
              <w:left w:w="100" w:type="dxa"/>
              <w:bottom w:w="100" w:type="dxa"/>
              <w:right w:w="100" w:type="dxa"/>
            </w:tcMar>
          </w:tcPr>
          <w:p w14:paraId="22C65C0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Vivax</w:t>
            </w:r>
          </w:p>
        </w:tc>
        <w:tc>
          <w:tcPr>
            <w:tcW w:w="1530" w:type="dxa"/>
            <w:tcBorders>
              <w:top w:val="nil"/>
              <w:left w:val="nil"/>
              <w:bottom w:val="nil"/>
              <w:right w:val="nil"/>
            </w:tcBorders>
            <w:tcMar>
              <w:top w:w="100" w:type="dxa"/>
              <w:left w:w="100" w:type="dxa"/>
              <w:bottom w:w="100" w:type="dxa"/>
              <w:right w:w="100" w:type="dxa"/>
            </w:tcMar>
          </w:tcPr>
          <w:p w14:paraId="2EC559C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6412DE7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42ED88F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22/35</w:t>
            </w:r>
          </w:p>
        </w:tc>
        <w:tc>
          <w:tcPr>
            <w:tcW w:w="1665" w:type="dxa"/>
            <w:tcBorders>
              <w:top w:val="nil"/>
              <w:left w:val="nil"/>
              <w:bottom w:val="nil"/>
              <w:right w:val="nil"/>
            </w:tcBorders>
            <w:tcMar>
              <w:top w:w="100" w:type="dxa"/>
              <w:left w:w="100" w:type="dxa"/>
              <w:bottom w:w="100" w:type="dxa"/>
              <w:right w:w="100" w:type="dxa"/>
            </w:tcMar>
          </w:tcPr>
          <w:p w14:paraId="2DAD6B9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62.9</w:t>
            </w:r>
          </w:p>
        </w:tc>
      </w:tr>
      <w:tr w:rsidR="000F0B49" w:rsidRPr="00467A14" w14:paraId="01599B23" w14:textId="77777777">
        <w:trPr>
          <w:trHeight w:val="800"/>
        </w:trPr>
        <w:tc>
          <w:tcPr>
            <w:tcW w:w="1560" w:type="dxa"/>
            <w:tcBorders>
              <w:top w:val="nil"/>
              <w:left w:val="nil"/>
              <w:bottom w:val="nil"/>
              <w:right w:val="nil"/>
            </w:tcBorders>
            <w:tcMar>
              <w:top w:w="100" w:type="dxa"/>
              <w:left w:w="100" w:type="dxa"/>
              <w:bottom w:w="100" w:type="dxa"/>
              <w:right w:w="100" w:type="dxa"/>
            </w:tcMar>
          </w:tcPr>
          <w:p w14:paraId="72B1117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t>Siagian</w:t>
            </w:r>
            <w:proofErr w:type="spellEnd"/>
            <w:r w:rsidRPr="00467A14">
              <w:rPr>
                <w:rFonts w:ascii="Times New Roman" w:eastAsia="Times New Roman" w:hAnsi="Times New Roman" w:cs="Times New Roman"/>
                <w:sz w:val="24"/>
                <w:szCs w:val="24"/>
              </w:rPr>
              <w:t xml:space="preserve"> et al. (2019)</w:t>
            </w:r>
          </w:p>
        </w:tc>
        <w:tc>
          <w:tcPr>
            <w:tcW w:w="1470" w:type="dxa"/>
            <w:tcBorders>
              <w:top w:val="nil"/>
              <w:left w:val="nil"/>
              <w:bottom w:val="nil"/>
              <w:right w:val="nil"/>
            </w:tcBorders>
            <w:tcMar>
              <w:top w:w="100" w:type="dxa"/>
              <w:left w:w="100" w:type="dxa"/>
              <w:bottom w:w="100" w:type="dxa"/>
              <w:right w:w="100" w:type="dxa"/>
            </w:tcMar>
          </w:tcPr>
          <w:p w14:paraId="0DF8032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Indonesia</w:t>
            </w:r>
          </w:p>
        </w:tc>
        <w:tc>
          <w:tcPr>
            <w:tcW w:w="1950" w:type="dxa"/>
            <w:tcBorders>
              <w:top w:val="nil"/>
              <w:left w:val="nil"/>
              <w:bottom w:val="nil"/>
              <w:right w:val="nil"/>
            </w:tcBorders>
            <w:tcMar>
              <w:top w:w="100" w:type="dxa"/>
              <w:left w:w="100" w:type="dxa"/>
              <w:bottom w:w="100" w:type="dxa"/>
              <w:right w:w="100" w:type="dxa"/>
            </w:tcMar>
          </w:tcPr>
          <w:p w14:paraId="7E9EECC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Retrospective</w:t>
            </w:r>
          </w:p>
        </w:tc>
        <w:tc>
          <w:tcPr>
            <w:tcW w:w="1005" w:type="dxa"/>
            <w:tcBorders>
              <w:top w:val="nil"/>
              <w:left w:val="nil"/>
              <w:bottom w:val="nil"/>
              <w:right w:val="nil"/>
            </w:tcBorders>
            <w:tcMar>
              <w:top w:w="100" w:type="dxa"/>
              <w:left w:w="100" w:type="dxa"/>
              <w:bottom w:w="100" w:type="dxa"/>
              <w:right w:w="100" w:type="dxa"/>
            </w:tcMar>
          </w:tcPr>
          <w:p w14:paraId="31EE6BC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215</w:t>
            </w:r>
          </w:p>
        </w:tc>
        <w:tc>
          <w:tcPr>
            <w:tcW w:w="1470" w:type="dxa"/>
            <w:tcBorders>
              <w:top w:val="nil"/>
              <w:left w:val="nil"/>
              <w:bottom w:val="nil"/>
              <w:right w:val="nil"/>
            </w:tcBorders>
            <w:tcMar>
              <w:top w:w="100" w:type="dxa"/>
              <w:left w:w="100" w:type="dxa"/>
              <w:bottom w:w="100" w:type="dxa"/>
              <w:right w:w="100" w:type="dxa"/>
            </w:tcMar>
          </w:tcPr>
          <w:p w14:paraId="22AA8BB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Mixed</w:t>
            </w:r>
          </w:p>
        </w:tc>
        <w:tc>
          <w:tcPr>
            <w:tcW w:w="1530" w:type="dxa"/>
            <w:tcBorders>
              <w:top w:val="nil"/>
              <w:left w:val="nil"/>
              <w:bottom w:val="nil"/>
              <w:right w:val="nil"/>
            </w:tcBorders>
            <w:tcMar>
              <w:top w:w="100" w:type="dxa"/>
              <w:left w:w="100" w:type="dxa"/>
              <w:bottom w:w="100" w:type="dxa"/>
              <w:right w:w="100" w:type="dxa"/>
            </w:tcMar>
          </w:tcPr>
          <w:p w14:paraId="03BDAE3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Microscopy</w:t>
            </w:r>
          </w:p>
        </w:tc>
        <w:tc>
          <w:tcPr>
            <w:tcW w:w="1500" w:type="dxa"/>
            <w:tcBorders>
              <w:top w:val="nil"/>
              <w:left w:val="nil"/>
              <w:bottom w:val="nil"/>
              <w:right w:val="nil"/>
            </w:tcBorders>
            <w:tcMar>
              <w:top w:w="100" w:type="dxa"/>
              <w:left w:w="100" w:type="dxa"/>
              <w:bottom w:w="100" w:type="dxa"/>
              <w:right w:w="100" w:type="dxa"/>
            </w:tcMar>
          </w:tcPr>
          <w:p w14:paraId="1ED12E3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&lt;150×10⁹/L</w:t>
            </w:r>
          </w:p>
        </w:tc>
        <w:tc>
          <w:tcPr>
            <w:tcW w:w="1755" w:type="dxa"/>
            <w:tcBorders>
              <w:top w:val="nil"/>
              <w:left w:val="nil"/>
              <w:bottom w:val="nil"/>
              <w:right w:val="nil"/>
            </w:tcBorders>
            <w:tcMar>
              <w:top w:w="100" w:type="dxa"/>
              <w:left w:w="100" w:type="dxa"/>
              <w:bottom w:w="100" w:type="dxa"/>
              <w:right w:w="100" w:type="dxa"/>
            </w:tcMar>
          </w:tcPr>
          <w:p w14:paraId="59E6398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187/215</w:t>
            </w:r>
          </w:p>
        </w:tc>
        <w:tc>
          <w:tcPr>
            <w:tcW w:w="1665" w:type="dxa"/>
            <w:tcBorders>
              <w:top w:val="nil"/>
              <w:left w:val="nil"/>
              <w:bottom w:val="nil"/>
              <w:right w:val="nil"/>
            </w:tcBorders>
            <w:tcMar>
              <w:top w:w="100" w:type="dxa"/>
              <w:left w:w="100" w:type="dxa"/>
              <w:bottom w:w="100" w:type="dxa"/>
              <w:right w:w="100" w:type="dxa"/>
            </w:tcMar>
          </w:tcPr>
          <w:p w14:paraId="703A22E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87.0</w:t>
            </w:r>
          </w:p>
        </w:tc>
      </w:tr>
    </w:tbl>
    <w:p w14:paraId="65A14F93" w14:textId="77777777" w:rsidR="000F0B49" w:rsidRPr="00467A14" w:rsidRDefault="000F0B49" w:rsidP="003E6F0F">
      <w:pPr>
        <w:rPr>
          <w:rFonts w:ascii="Times New Roman" w:eastAsia="Times New Roman" w:hAnsi="Times New Roman" w:cs="Times New Roman"/>
          <w:sz w:val="24"/>
          <w:szCs w:val="24"/>
        </w:rPr>
      </w:pPr>
    </w:p>
    <w:p w14:paraId="7876ADA4" w14:textId="77777777" w:rsidR="000F0B49" w:rsidRPr="00467A14" w:rsidRDefault="00F034B5" w:rsidP="003E6F0F">
      <w:pPr>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lastRenderedPageBreak/>
        <w:t xml:space="preserve">Note: n/N = number of </w:t>
      </w:r>
      <w:r w:rsidRPr="00467A14">
        <w:rPr>
          <w:rFonts w:ascii="Times New Roman" w:eastAsia="Times New Roman" w:hAnsi="Times New Roman" w:cs="Times New Roman"/>
          <w:sz w:val="24"/>
          <w:szCs w:val="24"/>
        </w:rPr>
        <w:t>thrombocytopenia cases/total sample size; prevalence (%) calculated as proportion of cases; microscopy refers to Giemsa-stained thick and thin blood smear; platelet cut-off defined as &lt;150 × 10⁹/L unless otherwise stated.</w:t>
      </w:r>
    </w:p>
    <w:p w14:paraId="7BF05FD1" w14:textId="77777777" w:rsidR="000F0B49" w:rsidRPr="00467A14" w:rsidRDefault="000F0B49" w:rsidP="003E6F0F">
      <w:pPr>
        <w:rPr>
          <w:rFonts w:ascii="Times New Roman" w:eastAsia="Times New Roman" w:hAnsi="Times New Roman" w:cs="Times New Roman"/>
          <w:sz w:val="24"/>
          <w:szCs w:val="24"/>
        </w:rPr>
      </w:pPr>
    </w:p>
    <w:p w14:paraId="4F98BCDA" w14:textId="77777777" w:rsidR="000F0B49" w:rsidRPr="00467A14" w:rsidRDefault="000F0B49" w:rsidP="003E6F0F">
      <w:pPr>
        <w:rPr>
          <w:rFonts w:ascii="Times New Roman" w:eastAsia="Times New Roman" w:hAnsi="Times New Roman" w:cs="Times New Roman"/>
          <w:sz w:val="24"/>
          <w:szCs w:val="24"/>
        </w:rPr>
      </w:pPr>
    </w:p>
    <w:p w14:paraId="3191CEA3" w14:textId="77777777" w:rsidR="000F0B49" w:rsidRPr="00467A14" w:rsidRDefault="000F0B49" w:rsidP="003E6F0F">
      <w:pPr>
        <w:rPr>
          <w:rFonts w:ascii="Times New Roman" w:eastAsia="Times New Roman" w:hAnsi="Times New Roman" w:cs="Times New Roman"/>
          <w:sz w:val="24"/>
          <w:szCs w:val="24"/>
        </w:rPr>
      </w:pPr>
    </w:p>
    <w:p w14:paraId="41B11C14" w14:textId="77777777" w:rsidR="000F0B49" w:rsidRPr="00467A14" w:rsidRDefault="000F0B49" w:rsidP="003E6F0F">
      <w:pPr>
        <w:rPr>
          <w:rFonts w:ascii="Times New Roman" w:eastAsia="Times New Roman" w:hAnsi="Times New Roman" w:cs="Times New Roman"/>
          <w:sz w:val="24"/>
          <w:szCs w:val="24"/>
        </w:rPr>
      </w:pPr>
    </w:p>
    <w:p w14:paraId="428F1570" w14:textId="77777777" w:rsidR="000F0B49" w:rsidRPr="00467A14" w:rsidRDefault="000F0B49" w:rsidP="003E6F0F">
      <w:pPr>
        <w:rPr>
          <w:rFonts w:ascii="Times New Roman" w:eastAsia="Times New Roman" w:hAnsi="Times New Roman" w:cs="Times New Roman"/>
          <w:sz w:val="24"/>
          <w:szCs w:val="24"/>
        </w:rPr>
      </w:pPr>
    </w:p>
    <w:p w14:paraId="0636524B" w14:textId="77777777" w:rsidR="000F0B49" w:rsidRPr="00467A14" w:rsidRDefault="000F0B49" w:rsidP="003E6F0F">
      <w:pPr>
        <w:rPr>
          <w:rFonts w:ascii="Times New Roman" w:eastAsia="Times New Roman" w:hAnsi="Times New Roman" w:cs="Times New Roman"/>
          <w:sz w:val="24"/>
          <w:szCs w:val="24"/>
        </w:rPr>
      </w:pPr>
    </w:p>
    <w:p w14:paraId="6CFFAA3C" w14:textId="77777777" w:rsidR="000F0B49" w:rsidRPr="00467A14" w:rsidRDefault="000F0B49" w:rsidP="003E6F0F">
      <w:pPr>
        <w:rPr>
          <w:rFonts w:ascii="Times New Roman" w:eastAsia="Times New Roman" w:hAnsi="Times New Roman" w:cs="Times New Roman"/>
          <w:sz w:val="24"/>
          <w:szCs w:val="24"/>
        </w:rPr>
      </w:pPr>
    </w:p>
    <w:p w14:paraId="2732B955" w14:textId="77777777" w:rsidR="000F0B49" w:rsidRPr="00467A14" w:rsidRDefault="000F0B49" w:rsidP="003E6F0F">
      <w:pPr>
        <w:rPr>
          <w:rFonts w:ascii="Times New Roman" w:eastAsia="Times New Roman" w:hAnsi="Times New Roman" w:cs="Times New Roman"/>
          <w:sz w:val="24"/>
          <w:szCs w:val="24"/>
        </w:rPr>
      </w:pPr>
    </w:p>
    <w:p w14:paraId="5FFCBD54" w14:textId="77777777" w:rsidR="000F0B49" w:rsidRPr="00467A14" w:rsidRDefault="000F0B49" w:rsidP="003E6F0F">
      <w:pPr>
        <w:rPr>
          <w:rFonts w:ascii="Times New Roman" w:eastAsia="Times New Roman" w:hAnsi="Times New Roman" w:cs="Times New Roman"/>
          <w:sz w:val="24"/>
          <w:szCs w:val="24"/>
        </w:rPr>
      </w:pPr>
    </w:p>
    <w:p w14:paraId="7DF83C58" w14:textId="77777777" w:rsidR="000F0B49" w:rsidRPr="00467A14" w:rsidRDefault="000F0B49" w:rsidP="003E6F0F">
      <w:pPr>
        <w:rPr>
          <w:rFonts w:ascii="Times New Roman" w:eastAsia="Times New Roman" w:hAnsi="Times New Roman" w:cs="Times New Roman"/>
          <w:sz w:val="24"/>
          <w:szCs w:val="24"/>
        </w:rPr>
      </w:pPr>
    </w:p>
    <w:p w14:paraId="372FED56" w14:textId="77777777" w:rsidR="000F0B49" w:rsidRPr="00467A14" w:rsidRDefault="000F0B49" w:rsidP="003E6F0F">
      <w:pPr>
        <w:rPr>
          <w:rFonts w:ascii="Times New Roman" w:eastAsia="Times New Roman" w:hAnsi="Times New Roman" w:cs="Times New Roman"/>
          <w:sz w:val="24"/>
          <w:szCs w:val="24"/>
        </w:rPr>
      </w:pPr>
    </w:p>
    <w:p w14:paraId="44B0CF56" w14:textId="77777777" w:rsidR="000F0B49" w:rsidRPr="00467A14" w:rsidRDefault="000F0B49" w:rsidP="003E6F0F">
      <w:pPr>
        <w:rPr>
          <w:rFonts w:ascii="Times New Roman" w:eastAsia="Times New Roman" w:hAnsi="Times New Roman" w:cs="Times New Roman"/>
          <w:sz w:val="24"/>
          <w:szCs w:val="24"/>
        </w:rPr>
      </w:pPr>
    </w:p>
    <w:p w14:paraId="4E0F00F1" w14:textId="77777777" w:rsidR="000F0B49" w:rsidRPr="00467A14" w:rsidRDefault="00F034B5" w:rsidP="003E6F0F">
      <w:pPr>
        <w:pStyle w:val="Heading2"/>
        <w:keepNext w:val="0"/>
        <w:keepLines w:val="0"/>
        <w:spacing w:after="80" w:line="240" w:lineRule="auto"/>
        <w:rPr>
          <w:rFonts w:ascii="Times New Roman" w:eastAsia="Times New Roman" w:hAnsi="Times New Roman" w:cs="Times New Roman"/>
          <w:b/>
          <w:bCs/>
          <w:sz w:val="24"/>
          <w:szCs w:val="24"/>
        </w:rPr>
      </w:pPr>
      <w:bookmarkStart w:id="37" w:name="_wl5bv5xtqy9m" w:colFirst="0" w:colLast="0"/>
      <w:bookmarkEnd w:id="37"/>
      <w:r w:rsidRPr="00467A14">
        <w:rPr>
          <w:rFonts w:ascii="Times New Roman" w:eastAsia="Times New Roman" w:hAnsi="Times New Roman" w:cs="Times New Roman"/>
          <w:b/>
          <w:bCs/>
          <w:sz w:val="24"/>
          <w:szCs w:val="24"/>
        </w:rPr>
        <w:t xml:space="preserve">Table 2. Studies </w:t>
      </w:r>
      <w:r w:rsidRPr="00467A14">
        <w:rPr>
          <w:rFonts w:ascii="Times New Roman" w:eastAsia="Times New Roman" w:hAnsi="Times New Roman" w:cs="Times New Roman"/>
          <w:b/>
          <w:bCs/>
          <w:sz w:val="24"/>
          <w:szCs w:val="24"/>
        </w:rPr>
        <w:t>Included in Narrative Synthesis on the Clinical Significance of Thrombocytopenia in Malaria</w:t>
      </w:r>
    </w:p>
    <w:tbl>
      <w:tblPr>
        <w:tblStyle w:val="a0"/>
        <w:tblW w:w="12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25"/>
        <w:gridCol w:w="3705"/>
        <w:gridCol w:w="4215"/>
      </w:tblGrid>
      <w:tr w:rsidR="000F0B49" w:rsidRPr="00467A14" w14:paraId="359C0CDE" w14:textId="77777777">
        <w:trPr>
          <w:trHeight w:val="455"/>
        </w:trPr>
        <w:tc>
          <w:tcPr>
            <w:tcW w:w="4125" w:type="dxa"/>
            <w:tcBorders>
              <w:top w:val="nil"/>
              <w:left w:val="nil"/>
              <w:bottom w:val="nil"/>
              <w:right w:val="nil"/>
            </w:tcBorders>
            <w:tcMar>
              <w:top w:w="100" w:type="dxa"/>
              <w:left w:w="100" w:type="dxa"/>
              <w:bottom w:w="100" w:type="dxa"/>
              <w:right w:w="100" w:type="dxa"/>
            </w:tcMar>
          </w:tcPr>
          <w:p w14:paraId="30A3EA3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Author</w:t>
            </w:r>
          </w:p>
        </w:tc>
        <w:tc>
          <w:tcPr>
            <w:tcW w:w="3705" w:type="dxa"/>
            <w:tcBorders>
              <w:top w:val="nil"/>
              <w:left w:val="nil"/>
              <w:bottom w:val="nil"/>
              <w:right w:val="nil"/>
            </w:tcBorders>
            <w:tcMar>
              <w:top w:w="100" w:type="dxa"/>
              <w:left w:w="100" w:type="dxa"/>
              <w:bottom w:w="100" w:type="dxa"/>
              <w:right w:w="100" w:type="dxa"/>
            </w:tcMar>
          </w:tcPr>
          <w:p w14:paraId="1B5C9FC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Focus</w:t>
            </w:r>
          </w:p>
        </w:tc>
        <w:tc>
          <w:tcPr>
            <w:tcW w:w="4215" w:type="dxa"/>
            <w:tcBorders>
              <w:top w:val="nil"/>
              <w:left w:val="nil"/>
              <w:bottom w:val="nil"/>
              <w:right w:val="nil"/>
            </w:tcBorders>
            <w:tcMar>
              <w:top w:w="100" w:type="dxa"/>
              <w:left w:w="100" w:type="dxa"/>
              <w:bottom w:w="100" w:type="dxa"/>
              <w:right w:w="100" w:type="dxa"/>
            </w:tcMar>
          </w:tcPr>
          <w:p w14:paraId="4B69D1A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Key Finding</w:t>
            </w:r>
          </w:p>
        </w:tc>
      </w:tr>
      <w:tr w:rsidR="000F0B49" w:rsidRPr="00467A14" w14:paraId="0BF47225" w14:textId="77777777">
        <w:trPr>
          <w:trHeight w:val="395"/>
        </w:trPr>
        <w:tc>
          <w:tcPr>
            <w:tcW w:w="4125" w:type="dxa"/>
            <w:tcBorders>
              <w:top w:val="nil"/>
              <w:left w:val="nil"/>
              <w:bottom w:val="nil"/>
              <w:right w:val="nil"/>
            </w:tcBorders>
            <w:tcMar>
              <w:top w:w="100" w:type="dxa"/>
              <w:left w:w="100" w:type="dxa"/>
              <w:bottom w:w="100" w:type="dxa"/>
              <w:right w:w="100" w:type="dxa"/>
            </w:tcMar>
          </w:tcPr>
          <w:p w14:paraId="3EA6726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Hanson et al. (2015)</w:t>
            </w:r>
          </w:p>
        </w:tc>
        <w:tc>
          <w:tcPr>
            <w:tcW w:w="3705" w:type="dxa"/>
            <w:tcBorders>
              <w:top w:val="nil"/>
              <w:left w:val="nil"/>
              <w:bottom w:val="nil"/>
              <w:right w:val="nil"/>
            </w:tcBorders>
            <w:tcMar>
              <w:top w:w="100" w:type="dxa"/>
              <w:left w:w="100" w:type="dxa"/>
              <w:bottom w:w="100" w:type="dxa"/>
              <w:right w:w="100" w:type="dxa"/>
            </w:tcMar>
          </w:tcPr>
          <w:p w14:paraId="127F6D0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Severe malaria</w:t>
            </w:r>
          </w:p>
        </w:tc>
        <w:tc>
          <w:tcPr>
            <w:tcW w:w="4215" w:type="dxa"/>
            <w:tcBorders>
              <w:top w:val="nil"/>
              <w:left w:val="nil"/>
              <w:bottom w:val="nil"/>
              <w:right w:val="nil"/>
            </w:tcBorders>
            <w:tcMar>
              <w:top w:w="100" w:type="dxa"/>
              <w:left w:w="100" w:type="dxa"/>
              <w:bottom w:w="100" w:type="dxa"/>
              <w:right w:w="100" w:type="dxa"/>
            </w:tcMar>
          </w:tcPr>
          <w:p w14:paraId="3D8755D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 platelets linked to mortality</w:t>
            </w:r>
          </w:p>
        </w:tc>
      </w:tr>
      <w:tr w:rsidR="000F0B49" w:rsidRPr="00467A14" w14:paraId="7647D8F6" w14:textId="77777777">
        <w:trPr>
          <w:trHeight w:val="300"/>
        </w:trPr>
        <w:tc>
          <w:tcPr>
            <w:tcW w:w="4125" w:type="dxa"/>
            <w:tcBorders>
              <w:top w:val="nil"/>
              <w:left w:val="nil"/>
              <w:bottom w:val="nil"/>
              <w:right w:val="nil"/>
            </w:tcBorders>
            <w:tcMar>
              <w:top w:w="100" w:type="dxa"/>
              <w:left w:w="100" w:type="dxa"/>
              <w:bottom w:w="100" w:type="dxa"/>
              <w:right w:w="100" w:type="dxa"/>
            </w:tcMar>
          </w:tcPr>
          <w:p w14:paraId="3BCBBDE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Mandala et al. (2022)</w:t>
            </w:r>
          </w:p>
        </w:tc>
        <w:tc>
          <w:tcPr>
            <w:tcW w:w="3705" w:type="dxa"/>
            <w:tcBorders>
              <w:top w:val="nil"/>
              <w:left w:val="nil"/>
              <w:bottom w:val="nil"/>
              <w:right w:val="nil"/>
            </w:tcBorders>
            <w:tcMar>
              <w:top w:w="100" w:type="dxa"/>
              <w:left w:w="100" w:type="dxa"/>
              <w:bottom w:w="100" w:type="dxa"/>
              <w:right w:w="100" w:type="dxa"/>
            </w:tcMar>
          </w:tcPr>
          <w:p w14:paraId="1240ECD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Severe vs uncomplicated</w:t>
            </w:r>
          </w:p>
        </w:tc>
        <w:tc>
          <w:tcPr>
            <w:tcW w:w="4215" w:type="dxa"/>
            <w:tcBorders>
              <w:top w:val="nil"/>
              <w:left w:val="nil"/>
              <w:bottom w:val="nil"/>
              <w:right w:val="nil"/>
            </w:tcBorders>
            <w:tcMar>
              <w:top w:w="100" w:type="dxa"/>
              <w:left w:w="100" w:type="dxa"/>
              <w:bottom w:w="100" w:type="dxa"/>
              <w:right w:w="100" w:type="dxa"/>
            </w:tcMar>
          </w:tcPr>
          <w:p w14:paraId="5FCA7DC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Lower platelets in </w:t>
            </w:r>
            <w:r w:rsidRPr="00467A14">
              <w:rPr>
                <w:rFonts w:ascii="Times New Roman" w:eastAsia="Times New Roman" w:hAnsi="Times New Roman" w:cs="Times New Roman"/>
                <w:sz w:val="24"/>
                <w:szCs w:val="24"/>
              </w:rPr>
              <w:t>severe malaria</w:t>
            </w:r>
          </w:p>
        </w:tc>
      </w:tr>
      <w:tr w:rsidR="000F0B49" w:rsidRPr="00467A14" w14:paraId="3AB11A31" w14:textId="77777777">
        <w:trPr>
          <w:trHeight w:val="540"/>
        </w:trPr>
        <w:tc>
          <w:tcPr>
            <w:tcW w:w="4125" w:type="dxa"/>
            <w:tcBorders>
              <w:top w:val="nil"/>
              <w:left w:val="nil"/>
              <w:bottom w:val="nil"/>
              <w:right w:val="nil"/>
            </w:tcBorders>
            <w:tcMar>
              <w:top w:w="100" w:type="dxa"/>
              <w:left w:w="100" w:type="dxa"/>
              <w:bottom w:w="100" w:type="dxa"/>
              <w:right w:w="100" w:type="dxa"/>
            </w:tcMar>
          </w:tcPr>
          <w:p w14:paraId="3D5B52D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t>Ndatumuremyi</w:t>
            </w:r>
            <w:proofErr w:type="spellEnd"/>
            <w:r w:rsidRPr="00467A14">
              <w:rPr>
                <w:rFonts w:ascii="Times New Roman" w:eastAsia="Times New Roman" w:hAnsi="Times New Roman" w:cs="Times New Roman"/>
                <w:sz w:val="24"/>
                <w:szCs w:val="24"/>
              </w:rPr>
              <w:t xml:space="preserve"> et al. (2025)</w:t>
            </w:r>
          </w:p>
        </w:tc>
        <w:tc>
          <w:tcPr>
            <w:tcW w:w="3705" w:type="dxa"/>
            <w:tcBorders>
              <w:top w:val="nil"/>
              <w:left w:val="nil"/>
              <w:bottom w:val="nil"/>
              <w:right w:val="nil"/>
            </w:tcBorders>
            <w:tcMar>
              <w:top w:w="100" w:type="dxa"/>
              <w:left w:w="100" w:type="dxa"/>
              <w:bottom w:w="100" w:type="dxa"/>
              <w:right w:w="100" w:type="dxa"/>
            </w:tcMar>
          </w:tcPr>
          <w:p w14:paraId="7387187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Severe thrombocytopenia</w:t>
            </w:r>
          </w:p>
        </w:tc>
        <w:tc>
          <w:tcPr>
            <w:tcW w:w="4215" w:type="dxa"/>
            <w:tcBorders>
              <w:top w:val="nil"/>
              <w:left w:val="nil"/>
              <w:bottom w:val="nil"/>
              <w:right w:val="nil"/>
            </w:tcBorders>
            <w:tcMar>
              <w:top w:w="100" w:type="dxa"/>
              <w:left w:w="100" w:type="dxa"/>
              <w:bottom w:w="100" w:type="dxa"/>
              <w:right w:w="100" w:type="dxa"/>
            </w:tcMar>
          </w:tcPr>
          <w:p w14:paraId="20C1825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Associated with organ dysfunction</w:t>
            </w:r>
          </w:p>
        </w:tc>
      </w:tr>
      <w:tr w:rsidR="000F0B49" w:rsidRPr="00467A14" w14:paraId="36F85E0B" w14:textId="77777777">
        <w:trPr>
          <w:trHeight w:val="536"/>
        </w:trPr>
        <w:tc>
          <w:tcPr>
            <w:tcW w:w="4125" w:type="dxa"/>
            <w:tcBorders>
              <w:top w:val="nil"/>
              <w:left w:val="nil"/>
              <w:bottom w:val="nil"/>
              <w:right w:val="nil"/>
            </w:tcBorders>
            <w:tcMar>
              <w:top w:w="100" w:type="dxa"/>
              <w:left w:w="100" w:type="dxa"/>
              <w:bottom w:w="100" w:type="dxa"/>
              <w:right w:w="100" w:type="dxa"/>
            </w:tcMar>
          </w:tcPr>
          <w:p w14:paraId="3746AF8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Khan et al. (2012)</w:t>
            </w:r>
          </w:p>
        </w:tc>
        <w:tc>
          <w:tcPr>
            <w:tcW w:w="3705" w:type="dxa"/>
            <w:tcBorders>
              <w:top w:val="nil"/>
              <w:left w:val="nil"/>
              <w:bottom w:val="nil"/>
              <w:right w:val="nil"/>
            </w:tcBorders>
            <w:tcMar>
              <w:top w:w="100" w:type="dxa"/>
              <w:left w:w="100" w:type="dxa"/>
              <w:bottom w:w="100" w:type="dxa"/>
              <w:right w:w="100" w:type="dxa"/>
            </w:tcMar>
          </w:tcPr>
          <w:p w14:paraId="2DC9A7B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Diagnostic study</w:t>
            </w:r>
          </w:p>
        </w:tc>
        <w:tc>
          <w:tcPr>
            <w:tcW w:w="4215" w:type="dxa"/>
            <w:tcBorders>
              <w:top w:val="nil"/>
              <w:left w:val="nil"/>
              <w:bottom w:val="nil"/>
              <w:right w:val="nil"/>
            </w:tcBorders>
            <w:tcMar>
              <w:top w:w="100" w:type="dxa"/>
              <w:left w:w="100" w:type="dxa"/>
              <w:bottom w:w="100" w:type="dxa"/>
              <w:right w:w="100" w:type="dxa"/>
            </w:tcMar>
          </w:tcPr>
          <w:p w14:paraId="2C32E14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Malaria common in thrombocytopenic febrile patients</w:t>
            </w:r>
          </w:p>
        </w:tc>
      </w:tr>
      <w:tr w:rsidR="000F0B49" w:rsidRPr="00467A14" w14:paraId="63FA7C80" w14:textId="77777777">
        <w:trPr>
          <w:trHeight w:val="515"/>
        </w:trPr>
        <w:tc>
          <w:tcPr>
            <w:tcW w:w="4125" w:type="dxa"/>
            <w:tcBorders>
              <w:top w:val="nil"/>
              <w:left w:val="nil"/>
              <w:bottom w:val="nil"/>
              <w:right w:val="nil"/>
            </w:tcBorders>
            <w:tcMar>
              <w:top w:w="100" w:type="dxa"/>
              <w:left w:w="100" w:type="dxa"/>
              <w:bottom w:w="100" w:type="dxa"/>
              <w:right w:w="100" w:type="dxa"/>
            </w:tcMar>
          </w:tcPr>
          <w:p w14:paraId="713CA74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t>Jairajpuri</w:t>
            </w:r>
            <w:proofErr w:type="spellEnd"/>
            <w:r w:rsidRPr="00467A14">
              <w:rPr>
                <w:rFonts w:ascii="Times New Roman" w:eastAsia="Times New Roman" w:hAnsi="Times New Roman" w:cs="Times New Roman"/>
                <w:sz w:val="24"/>
                <w:szCs w:val="24"/>
              </w:rPr>
              <w:t xml:space="preserve"> et al. (2014)</w:t>
            </w:r>
          </w:p>
        </w:tc>
        <w:tc>
          <w:tcPr>
            <w:tcW w:w="3705" w:type="dxa"/>
            <w:tcBorders>
              <w:top w:val="nil"/>
              <w:left w:val="nil"/>
              <w:bottom w:val="nil"/>
              <w:right w:val="nil"/>
            </w:tcBorders>
            <w:tcMar>
              <w:top w:w="100" w:type="dxa"/>
              <w:left w:w="100" w:type="dxa"/>
              <w:bottom w:w="100" w:type="dxa"/>
              <w:right w:w="100" w:type="dxa"/>
            </w:tcMar>
          </w:tcPr>
          <w:p w14:paraId="3EE971F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Diagnostic threshold</w:t>
            </w:r>
          </w:p>
        </w:tc>
        <w:tc>
          <w:tcPr>
            <w:tcW w:w="4215" w:type="dxa"/>
            <w:tcBorders>
              <w:top w:val="nil"/>
              <w:left w:val="nil"/>
              <w:bottom w:val="nil"/>
              <w:right w:val="nil"/>
            </w:tcBorders>
            <w:tcMar>
              <w:top w:w="100" w:type="dxa"/>
              <w:left w:w="100" w:type="dxa"/>
              <w:bottom w:w="100" w:type="dxa"/>
              <w:right w:w="100" w:type="dxa"/>
            </w:tcMar>
          </w:tcPr>
          <w:p w14:paraId="1CC59BE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Platelets useful </w:t>
            </w:r>
            <w:r w:rsidRPr="00467A14">
              <w:rPr>
                <w:rFonts w:ascii="Times New Roman" w:eastAsia="Times New Roman" w:hAnsi="Times New Roman" w:cs="Times New Roman"/>
                <w:sz w:val="24"/>
                <w:szCs w:val="24"/>
              </w:rPr>
              <w:t>screening marker</w:t>
            </w:r>
          </w:p>
        </w:tc>
      </w:tr>
      <w:tr w:rsidR="000F0B49" w:rsidRPr="00467A14" w14:paraId="66A6EA67" w14:textId="77777777">
        <w:trPr>
          <w:trHeight w:val="515"/>
        </w:trPr>
        <w:tc>
          <w:tcPr>
            <w:tcW w:w="4125" w:type="dxa"/>
            <w:tcBorders>
              <w:top w:val="nil"/>
              <w:left w:val="nil"/>
              <w:bottom w:val="nil"/>
              <w:right w:val="nil"/>
            </w:tcBorders>
            <w:tcMar>
              <w:top w:w="100" w:type="dxa"/>
              <w:left w:w="100" w:type="dxa"/>
              <w:bottom w:w="100" w:type="dxa"/>
              <w:right w:w="100" w:type="dxa"/>
            </w:tcMar>
          </w:tcPr>
          <w:p w14:paraId="1B87325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lastRenderedPageBreak/>
              <w:t>Bhandary et al. (2011)</w:t>
            </w:r>
          </w:p>
        </w:tc>
        <w:tc>
          <w:tcPr>
            <w:tcW w:w="3705" w:type="dxa"/>
            <w:tcBorders>
              <w:top w:val="nil"/>
              <w:left w:val="nil"/>
              <w:bottom w:val="nil"/>
              <w:right w:val="nil"/>
            </w:tcBorders>
            <w:tcMar>
              <w:top w:w="100" w:type="dxa"/>
              <w:left w:w="100" w:type="dxa"/>
              <w:bottom w:w="100" w:type="dxa"/>
              <w:right w:w="100" w:type="dxa"/>
            </w:tcMar>
          </w:tcPr>
          <w:p w14:paraId="2CA1EB8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Species comparison</w:t>
            </w:r>
          </w:p>
        </w:tc>
        <w:tc>
          <w:tcPr>
            <w:tcW w:w="4215" w:type="dxa"/>
            <w:tcBorders>
              <w:top w:val="nil"/>
              <w:left w:val="nil"/>
              <w:bottom w:val="nil"/>
              <w:right w:val="nil"/>
            </w:tcBorders>
            <w:tcMar>
              <w:top w:w="100" w:type="dxa"/>
              <w:left w:w="100" w:type="dxa"/>
              <w:bottom w:w="100" w:type="dxa"/>
              <w:right w:w="100" w:type="dxa"/>
            </w:tcMar>
          </w:tcPr>
          <w:p w14:paraId="5AD6347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Thrombocytopenia across species</w:t>
            </w:r>
          </w:p>
        </w:tc>
      </w:tr>
      <w:tr w:rsidR="000F0B49" w:rsidRPr="00467A14" w14:paraId="2E49E2C9" w14:textId="77777777">
        <w:trPr>
          <w:trHeight w:val="800"/>
        </w:trPr>
        <w:tc>
          <w:tcPr>
            <w:tcW w:w="4125" w:type="dxa"/>
            <w:tcBorders>
              <w:top w:val="nil"/>
              <w:left w:val="nil"/>
              <w:bottom w:val="nil"/>
              <w:right w:val="nil"/>
            </w:tcBorders>
            <w:tcMar>
              <w:top w:w="100" w:type="dxa"/>
              <w:left w:w="100" w:type="dxa"/>
              <w:bottom w:w="100" w:type="dxa"/>
              <w:right w:w="100" w:type="dxa"/>
            </w:tcMar>
          </w:tcPr>
          <w:p w14:paraId="2C7B6E5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Surekha &amp; </w:t>
            </w:r>
            <w:proofErr w:type="spellStart"/>
            <w:r w:rsidRPr="00467A14">
              <w:rPr>
                <w:rFonts w:ascii="Times New Roman" w:eastAsia="Times New Roman" w:hAnsi="Times New Roman" w:cs="Times New Roman"/>
                <w:sz w:val="24"/>
                <w:szCs w:val="24"/>
              </w:rPr>
              <w:t>Thiruman</w:t>
            </w:r>
            <w:proofErr w:type="spellEnd"/>
            <w:r w:rsidRPr="00467A14">
              <w:rPr>
                <w:rFonts w:ascii="Times New Roman" w:eastAsia="Times New Roman" w:hAnsi="Times New Roman" w:cs="Times New Roman"/>
                <w:sz w:val="24"/>
                <w:szCs w:val="24"/>
              </w:rPr>
              <w:t xml:space="preserve"> (2018)</w:t>
            </w:r>
          </w:p>
        </w:tc>
        <w:tc>
          <w:tcPr>
            <w:tcW w:w="3705" w:type="dxa"/>
            <w:tcBorders>
              <w:top w:val="nil"/>
              <w:left w:val="nil"/>
              <w:bottom w:val="nil"/>
              <w:right w:val="nil"/>
            </w:tcBorders>
            <w:tcMar>
              <w:top w:w="100" w:type="dxa"/>
              <w:left w:w="100" w:type="dxa"/>
              <w:bottom w:w="100" w:type="dxa"/>
              <w:right w:w="100" w:type="dxa"/>
            </w:tcMar>
          </w:tcPr>
          <w:p w14:paraId="1644382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Selected cases</w:t>
            </w:r>
          </w:p>
        </w:tc>
        <w:tc>
          <w:tcPr>
            <w:tcW w:w="4215" w:type="dxa"/>
            <w:tcBorders>
              <w:top w:val="nil"/>
              <w:left w:val="nil"/>
              <w:bottom w:val="nil"/>
              <w:right w:val="nil"/>
            </w:tcBorders>
            <w:tcMar>
              <w:top w:w="100" w:type="dxa"/>
              <w:left w:w="100" w:type="dxa"/>
              <w:bottom w:w="100" w:type="dxa"/>
              <w:right w:w="100" w:type="dxa"/>
            </w:tcMar>
          </w:tcPr>
          <w:p w14:paraId="5229F28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Severe thrombocytopenia patterns</w:t>
            </w:r>
          </w:p>
        </w:tc>
      </w:tr>
    </w:tbl>
    <w:p w14:paraId="638E0645"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bookmarkStart w:id="38" w:name="_nps1x150h8ry" w:colFirst="0" w:colLast="0"/>
      <w:bookmarkEnd w:id="38"/>
      <w:r w:rsidRPr="00467A14">
        <w:rPr>
          <w:rFonts w:ascii="Times New Roman" w:eastAsia="Times New Roman" w:hAnsi="Times New Roman" w:cs="Times New Roman"/>
          <w:sz w:val="24"/>
          <w:szCs w:val="24"/>
        </w:rPr>
        <w:t xml:space="preserve">Note: Studies included focused on disease severity, diagnostic value, or outcomes </w:t>
      </w:r>
      <w:r w:rsidRPr="00467A14">
        <w:rPr>
          <w:rFonts w:ascii="Times New Roman" w:eastAsia="Times New Roman" w:hAnsi="Times New Roman" w:cs="Times New Roman"/>
          <w:sz w:val="24"/>
          <w:szCs w:val="24"/>
        </w:rPr>
        <w:t>associated with thrombocytopenia rather than overall prevalence.</w:t>
      </w:r>
    </w:p>
    <w:p w14:paraId="5A936952" w14:textId="77777777" w:rsidR="000F0B49" w:rsidRPr="00467A14" w:rsidRDefault="000F0B49" w:rsidP="003E6F0F">
      <w:pPr>
        <w:rPr>
          <w:rFonts w:ascii="Times New Roman" w:eastAsia="Times New Roman" w:hAnsi="Times New Roman" w:cs="Times New Roman"/>
          <w:sz w:val="24"/>
          <w:szCs w:val="24"/>
        </w:rPr>
      </w:pPr>
    </w:p>
    <w:p w14:paraId="643C49FA" w14:textId="77777777" w:rsidR="000F0B49" w:rsidRPr="00467A14" w:rsidRDefault="000F0B49" w:rsidP="003E6F0F">
      <w:pPr>
        <w:rPr>
          <w:rFonts w:ascii="Times New Roman" w:eastAsia="Times New Roman" w:hAnsi="Times New Roman" w:cs="Times New Roman"/>
          <w:sz w:val="24"/>
          <w:szCs w:val="24"/>
        </w:rPr>
      </w:pPr>
    </w:p>
    <w:p w14:paraId="77EED7D4" w14:textId="77777777" w:rsidR="000F0B49" w:rsidRPr="00467A14" w:rsidRDefault="000F0B49" w:rsidP="003E6F0F">
      <w:pPr>
        <w:rPr>
          <w:rFonts w:ascii="Times New Roman" w:eastAsia="Times New Roman" w:hAnsi="Times New Roman" w:cs="Times New Roman"/>
          <w:sz w:val="24"/>
          <w:szCs w:val="24"/>
        </w:rPr>
      </w:pPr>
    </w:p>
    <w:p w14:paraId="20DAE251" w14:textId="77777777" w:rsidR="000F0B49" w:rsidRPr="00467A14" w:rsidRDefault="000F0B49" w:rsidP="003E6F0F">
      <w:pPr>
        <w:rPr>
          <w:rFonts w:ascii="Times New Roman" w:eastAsia="Times New Roman" w:hAnsi="Times New Roman" w:cs="Times New Roman"/>
          <w:sz w:val="24"/>
          <w:szCs w:val="24"/>
        </w:rPr>
      </w:pPr>
    </w:p>
    <w:p w14:paraId="08291279" w14:textId="77777777" w:rsidR="000F0B49" w:rsidRPr="00467A14" w:rsidRDefault="000F0B49" w:rsidP="003E6F0F">
      <w:pPr>
        <w:rPr>
          <w:rFonts w:ascii="Times New Roman" w:eastAsia="Times New Roman" w:hAnsi="Times New Roman" w:cs="Times New Roman"/>
          <w:sz w:val="24"/>
          <w:szCs w:val="24"/>
        </w:rPr>
      </w:pPr>
    </w:p>
    <w:p w14:paraId="2AB665A7" w14:textId="77777777" w:rsidR="000F0B49" w:rsidRPr="00467A14" w:rsidRDefault="000F0B49" w:rsidP="003E6F0F">
      <w:pPr>
        <w:rPr>
          <w:rFonts w:ascii="Times New Roman" w:eastAsia="Times New Roman" w:hAnsi="Times New Roman" w:cs="Times New Roman"/>
          <w:sz w:val="24"/>
          <w:szCs w:val="24"/>
        </w:rPr>
      </w:pPr>
    </w:p>
    <w:p w14:paraId="32668C43" w14:textId="77777777" w:rsidR="000F0B49" w:rsidRPr="00467A14" w:rsidRDefault="000F0B49" w:rsidP="003E6F0F">
      <w:pPr>
        <w:rPr>
          <w:rFonts w:ascii="Times New Roman" w:eastAsia="Times New Roman" w:hAnsi="Times New Roman" w:cs="Times New Roman"/>
          <w:sz w:val="24"/>
          <w:szCs w:val="24"/>
        </w:rPr>
      </w:pPr>
    </w:p>
    <w:p w14:paraId="231FC2F4" w14:textId="77777777" w:rsidR="000F0B49" w:rsidRPr="00467A14" w:rsidRDefault="000F0B49" w:rsidP="003E6F0F">
      <w:pPr>
        <w:rPr>
          <w:rFonts w:ascii="Times New Roman" w:eastAsia="Times New Roman" w:hAnsi="Times New Roman" w:cs="Times New Roman"/>
          <w:sz w:val="24"/>
          <w:szCs w:val="24"/>
        </w:rPr>
      </w:pPr>
    </w:p>
    <w:p w14:paraId="1486D19A" w14:textId="77777777" w:rsidR="000F0B49" w:rsidRPr="00467A14" w:rsidRDefault="000F0B49" w:rsidP="003E6F0F">
      <w:pPr>
        <w:rPr>
          <w:rFonts w:ascii="Times New Roman" w:eastAsia="Times New Roman" w:hAnsi="Times New Roman" w:cs="Times New Roman"/>
          <w:sz w:val="24"/>
          <w:szCs w:val="24"/>
        </w:rPr>
      </w:pPr>
    </w:p>
    <w:p w14:paraId="1323B4F3" w14:textId="77777777" w:rsidR="000F0B49" w:rsidRPr="00467A14" w:rsidRDefault="000F0B49" w:rsidP="003E6F0F">
      <w:pPr>
        <w:rPr>
          <w:rFonts w:ascii="Times New Roman" w:eastAsia="Times New Roman" w:hAnsi="Times New Roman" w:cs="Times New Roman"/>
          <w:sz w:val="24"/>
          <w:szCs w:val="24"/>
        </w:rPr>
      </w:pPr>
    </w:p>
    <w:p w14:paraId="5BE18400" w14:textId="77777777" w:rsidR="000F0B49" w:rsidRPr="00467A14" w:rsidRDefault="00F034B5" w:rsidP="003E6F0F">
      <w:pPr>
        <w:pStyle w:val="Heading2"/>
        <w:keepNext w:val="0"/>
        <w:keepLines w:val="0"/>
        <w:spacing w:after="80"/>
        <w:rPr>
          <w:rFonts w:ascii="Times New Roman" w:eastAsia="Times New Roman" w:hAnsi="Times New Roman" w:cs="Times New Roman"/>
          <w:b/>
          <w:bCs/>
          <w:sz w:val="24"/>
          <w:szCs w:val="24"/>
        </w:rPr>
      </w:pPr>
      <w:bookmarkStart w:id="39" w:name="_ggo32s8tq7d6" w:colFirst="0" w:colLast="0"/>
      <w:bookmarkEnd w:id="39"/>
      <w:r w:rsidRPr="00467A14">
        <w:rPr>
          <w:rFonts w:ascii="Times New Roman" w:eastAsia="Times New Roman" w:hAnsi="Times New Roman" w:cs="Times New Roman"/>
          <w:b/>
          <w:bCs/>
          <w:sz w:val="24"/>
          <w:szCs w:val="24"/>
        </w:rPr>
        <w:t>Table 3. Studies Excluded from the Systematic Review and Reasons for Exclusion</w:t>
      </w:r>
    </w:p>
    <w:tbl>
      <w:tblPr>
        <w:tblStyle w:val="a1"/>
        <w:tblW w:w="102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85"/>
        <w:gridCol w:w="3270"/>
        <w:gridCol w:w="3045"/>
      </w:tblGrid>
      <w:tr w:rsidR="000F0B49" w:rsidRPr="00467A14" w14:paraId="56200147" w14:textId="77777777">
        <w:trPr>
          <w:trHeight w:val="617"/>
        </w:trPr>
        <w:tc>
          <w:tcPr>
            <w:tcW w:w="3885" w:type="dxa"/>
            <w:tcBorders>
              <w:top w:val="nil"/>
              <w:left w:val="nil"/>
              <w:bottom w:val="nil"/>
              <w:right w:val="nil"/>
            </w:tcBorders>
            <w:tcMar>
              <w:top w:w="100" w:type="dxa"/>
              <w:left w:w="100" w:type="dxa"/>
              <w:bottom w:w="100" w:type="dxa"/>
              <w:right w:w="100" w:type="dxa"/>
            </w:tcMar>
          </w:tcPr>
          <w:p w14:paraId="7591D6E7"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Author</w:t>
            </w:r>
          </w:p>
        </w:tc>
        <w:tc>
          <w:tcPr>
            <w:tcW w:w="3270" w:type="dxa"/>
            <w:tcBorders>
              <w:top w:val="nil"/>
              <w:left w:val="nil"/>
              <w:bottom w:val="nil"/>
              <w:right w:val="nil"/>
            </w:tcBorders>
            <w:tcMar>
              <w:top w:w="100" w:type="dxa"/>
              <w:left w:w="100" w:type="dxa"/>
              <w:bottom w:w="100" w:type="dxa"/>
              <w:right w:w="100" w:type="dxa"/>
            </w:tcMar>
          </w:tcPr>
          <w:p w14:paraId="76EE5320"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Type</w:t>
            </w:r>
          </w:p>
        </w:tc>
        <w:tc>
          <w:tcPr>
            <w:tcW w:w="3045" w:type="dxa"/>
            <w:tcBorders>
              <w:top w:val="nil"/>
              <w:left w:val="nil"/>
              <w:bottom w:val="nil"/>
              <w:right w:val="nil"/>
            </w:tcBorders>
            <w:tcMar>
              <w:top w:w="100" w:type="dxa"/>
              <w:left w:w="100" w:type="dxa"/>
              <w:bottom w:w="100" w:type="dxa"/>
              <w:right w:w="100" w:type="dxa"/>
            </w:tcMar>
          </w:tcPr>
          <w:p w14:paraId="2FF7F287"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Reason</w:t>
            </w:r>
          </w:p>
        </w:tc>
      </w:tr>
      <w:tr w:rsidR="000F0B49" w:rsidRPr="00467A14" w14:paraId="215B3F04" w14:textId="77777777">
        <w:trPr>
          <w:trHeight w:val="515"/>
        </w:trPr>
        <w:tc>
          <w:tcPr>
            <w:tcW w:w="3885" w:type="dxa"/>
            <w:tcBorders>
              <w:top w:val="nil"/>
              <w:left w:val="nil"/>
              <w:bottom w:val="nil"/>
              <w:right w:val="nil"/>
            </w:tcBorders>
            <w:tcMar>
              <w:top w:w="100" w:type="dxa"/>
              <w:left w:w="100" w:type="dxa"/>
              <w:bottom w:w="100" w:type="dxa"/>
              <w:right w:w="100" w:type="dxa"/>
            </w:tcMar>
          </w:tcPr>
          <w:p w14:paraId="24DDF1A3"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Achame et al. (2025)</w:t>
            </w:r>
          </w:p>
        </w:tc>
        <w:tc>
          <w:tcPr>
            <w:tcW w:w="3270" w:type="dxa"/>
            <w:tcBorders>
              <w:top w:val="nil"/>
              <w:left w:val="nil"/>
              <w:bottom w:val="nil"/>
              <w:right w:val="nil"/>
            </w:tcBorders>
            <w:tcMar>
              <w:top w:w="100" w:type="dxa"/>
              <w:left w:w="100" w:type="dxa"/>
              <w:bottom w:w="100" w:type="dxa"/>
              <w:right w:w="100" w:type="dxa"/>
            </w:tcMar>
          </w:tcPr>
          <w:p w14:paraId="718BC2D1"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Meta-analysis</w:t>
            </w:r>
          </w:p>
        </w:tc>
        <w:tc>
          <w:tcPr>
            <w:tcW w:w="3045" w:type="dxa"/>
            <w:tcBorders>
              <w:top w:val="nil"/>
              <w:left w:val="nil"/>
              <w:bottom w:val="nil"/>
              <w:right w:val="nil"/>
            </w:tcBorders>
            <w:tcMar>
              <w:top w:w="100" w:type="dxa"/>
              <w:left w:w="100" w:type="dxa"/>
              <w:bottom w:w="100" w:type="dxa"/>
              <w:right w:w="100" w:type="dxa"/>
            </w:tcMar>
          </w:tcPr>
          <w:p w14:paraId="19BDCC81"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Secondary study</w:t>
            </w:r>
          </w:p>
        </w:tc>
      </w:tr>
      <w:tr w:rsidR="000F0B49" w:rsidRPr="00467A14" w14:paraId="1D677A17" w14:textId="77777777">
        <w:trPr>
          <w:trHeight w:val="515"/>
        </w:trPr>
        <w:tc>
          <w:tcPr>
            <w:tcW w:w="3885" w:type="dxa"/>
            <w:tcBorders>
              <w:top w:val="nil"/>
              <w:left w:val="nil"/>
              <w:bottom w:val="nil"/>
              <w:right w:val="nil"/>
            </w:tcBorders>
            <w:tcMar>
              <w:top w:w="100" w:type="dxa"/>
              <w:left w:w="100" w:type="dxa"/>
              <w:bottom w:w="100" w:type="dxa"/>
              <w:right w:w="100" w:type="dxa"/>
            </w:tcMar>
          </w:tcPr>
          <w:p w14:paraId="448D413D"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Naing &amp; Whittaker (2018)</w:t>
            </w:r>
          </w:p>
        </w:tc>
        <w:tc>
          <w:tcPr>
            <w:tcW w:w="3270" w:type="dxa"/>
            <w:tcBorders>
              <w:top w:val="nil"/>
              <w:left w:val="nil"/>
              <w:bottom w:val="nil"/>
              <w:right w:val="nil"/>
            </w:tcBorders>
            <w:tcMar>
              <w:top w:w="100" w:type="dxa"/>
              <w:left w:w="100" w:type="dxa"/>
              <w:bottom w:w="100" w:type="dxa"/>
              <w:right w:w="100" w:type="dxa"/>
            </w:tcMar>
          </w:tcPr>
          <w:p w14:paraId="7A0C9141"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Meta-analysis</w:t>
            </w:r>
          </w:p>
        </w:tc>
        <w:tc>
          <w:tcPr>
            <w:tcW w:w="3045" w:type="dxa"/>
            <w:tcBorders>
              <w:top w:val="nil"/>
              <w:left w:val="nil"/>
              <w:bottom w:val="nil"/>
              <w:right w:val="nil"/>
            </w:tcBorders>
            <w:tcMar>
              <w:top w:w="100" w:type="dxa"/>
              <w:left w:w="100" w:type="dxa"/>
              <w:bottom w:w="100" w:type="dxa"/>
              <w:right w:w="100" w:type="dxa"/>
            </w:tcMar>
          </w:tcPr>
          <w:p w14:paraId="4F2D717C"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Secondary study</w:t>
            </w:r>
          </w:p>
        </w:tc>
      </w:tr>
      <w:tr w:rsidR="000F0B49" w:rsidRPr="00467A14" w14:paraId="5B74972A" w14:textId="77777777">
        <w:trPr>
          <w:trHeight w:val="515"/>
        </w:trPr>
        <w:tc>
          <w:tcPr>
            <w:tcW w:w="3885" w:type="dxa"/>
            <w:tcBorders>
              <w:top w:val="nil"/>
              <w:left w:val="nil"/>
              <w:bottom w:val="nil"/>
              <w:right w:val="nil"/>
            </w:tcBorders>
            <w:tcMar>
              <w:top w:w="100" w:type="dxa"/>
              <w:left w:w="100" w:type="dxa"/>
              <w:bottom w:w="100" w:type="dxa"/>
              <w:right w:w="100" w:type="dxa"/>
            </w:tcMar>
          </w:tcPr>
          <w:p w14:paraId="25C3883E"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lastRenderedPageBreak/>
              <w:t>Mahittikorn</w:t>
            </w:r>
            <w:proofErr w:type="spellEnd"/>
            <w:r w:rsidRPr="00467A14">
              <w:rPr>
                <w:rFonts w:ascii="Times New Roman" w:eastAsia="Times New Roman" w:hAnsi="Times New Roman" w:cs="Times New Roman"/>
                <w:sz w:val="24"/>
                <w:szCs w:val="24"/>
              </w:rPr>
              <w:t xml:space="preserve"> et al. (2021)</w:t>
            </w:r>
          </w:p>
        </w:tc>
        <w:tc>
          <w:tcPr>
            <w:tcW w:w="3270" w:type="dxa"/>
            <w:tcBorders>
              <w:top w:val="nil"/>
              <w:left w:val="nil"/>
              <w:bottom w:val="nil"/>
              <w:right w:val="nil"/>
            </w:tcBorders>
            <w:tcMar>
              <w:top w:w="100" w:type="dxa"/>
              <w:left w:w="100" w:type="dxa"/>
              <w:bottom w:w="100" w:type="dxa"/>
              <w:right w:w="100" w:type="dxa"/>
            </w:tcMar>
          </w:tcPr>
          <w:p w14:paraId="594E7BBA"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Meta-analysis</w:t>
            </w:r>
          </w:p>
        </w:tc>
        <w:tc>
          <w:tcPr>
            <w:tcW w:w="3045" w:type="dxa"/>
            <w:tcBorders>
              <w:top w:val="nil"/>
              <w:left w:val="nil"/>
              <w:bottom w:val="nil"/>
              <w:right w:val="nil"/>
            </w:tcBorders>
            <w:tcMar>
              <w:top w:w="100" w:type="dxa"/>
              <w:left w:w="100" w:type="dxa"/>
              <w:bottom w:w="100" w:type="dxa"/>
              <w:right w:w="100" w:type="dxa"/>
            </w:tcMar>
          </w:tcPr>
          <w:p w14:paraId="32ED7A2B"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Secondary study</w:t>
            </w:r>
          </w:p>
        </w:tc>
      </w:tr>
      <w:tr w:rsidR="000F0B49" w:rsidRPr="00467A14" w14:paraId="02DCAB0B" w14:textId="77777777">
        <w:trPr>
          <w:trHeight w:val="515"/>
        </w:trPr>
        <w:tc>
          <w:tcPr>
            <w:tcW w:w="3885" w:type="dxa"/>
            <w:tcBorders>
              <w:top w:val="nil"/>
              <w:left w:val="nil"/>
              <w:bottom w:val="nil"/>
              <w:right w:val="nil"/>
            </w:tcBorders>
            <w:tcMar>
              <w:top w:w="100" w:type="dxa"/>
              <w:left w:w="100" w:type="dxa"/>
              <w:bottom w:w="100" w:type="dxa"/>
              <w:right w:w="100" w:type="dxa"/>
            </w:tcMar>
          </w:tcPr>
          <w:p w14:paraId="22D81468"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Naser et al. (2024)</w:t>
            </w:r>
          </w:p>
        </w:tc>
        <w:tc>
          <w:tcPr>
            <w:tcW w:w="3270" w:type="dxa"/>
            <w:tcBorders>
              <w:top w:val="nil"/>
              <w:left w:val="nil"/>
              <w:bottom w:val="nil"/>
              <w:right w:val="nil"/>
            </w:tcBorders>
            <w:tcMar>
              <w:top w:w="100" w:type="dxa"/>
              <w:left w:w="100" w:type="dxa"/>
              <w:bottom w:w="100" w:type="dxa"/>
              <w:right w:w="100" w:type="dxa"/>
            </w:tcMar>
          </w:tcPr>
          <w:p w14:paraId="56938DB5"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Review</w:t>
            </w:r>
          </w:p>
        </w:tc>
        <w:tc>
          <w:tcPr>
            <w:tcW w:w="3045" w:type="dxa"/>
            <w:tcBorders>
              <w:top w:val="nil"/>
              <w:left w:val="nil"/>
              <w:bottom w:val="nil"/>
              <w:right w:val="nil"/>
            </w:tcBorders>
            <w:tcMar>
              <w:top w:w="100" w:type="dxa"/>
              <w:left w:w="100" w:type="dxa"/>
              <w:bottom w:w="100" w:type="dxa"/>
              <w:right w:w="100" w:type="dxa"/>
            </w:tcMar>
          </w:tcPr>
          <w:p w14:paraId="75B02DDF"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No primary data</w:t>
            </w:r>
          </w:p>
        </w:tc>
      </w:tr>
      <w:tr w:rsidR="000F0B49" w:rsidRPr="00467A14" w14:paraId="6786BD1E" w14:textId="77777777">
        <w:trPr>
          <w:trHeight w:val="515"/>
        </w:trPr>
        <w:tc>
          <w:tcPr>
            <w:tcW w:w="3885" w:type="dxa"/>
            <w:tcBorders>
              <w:top w:val="nil"/>
              <w:left w:val="nil"/>
              <w:bottom w:val="nil"/>
              <w:right w:val="nil"/>
            </w:tcBorders>
            <w:tcMar>
              <w:top w:w="100" w:type="dxa"/>
              <w:left w:w="100" w:type="dxa"/>
              <w:bottom w:w="100" w:type="dxa"/>
              <w:right w:w="100" w:type="dxa"/>
            </w:tcMar>
          </w:tcPr>
          <w:p w14:paraId="669A6F2E"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Lacerda et al. (2011)</w:t>
            </w:r>
          </w:p>
        </w:tc>
        <w:tc>
          <w:tcPr>
            <w:tcW w:w="3270" w:type="dxa"/>
            <w:tcBorders>
              <w:top w:val="nil"/>
              <w:left w:val="nil"/>
              <w:bottom w:val="nil"/>
              <w:right w:val="nil"/>
            </w:tcBorders>
            <w:tcMar>
              <w:top w:w="100" w:type="dxa"/>
              <w:left w:w="100" w:type="dxa"/>
              <w:bottom w:w="100" w:type="dxa"/>
              <w:right w:w="100" w:type="dxa"/>
            </w:tcMar>
          </w:tcPr>
          <w:p w14:paraId="4DA81BAB"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Review</w:t>
            </w:r>
          </w:p>
        </w:tc>
        <w:tc>
          <w:tcPr>
            <w:tcW w:w="3045" w:type="dxa"/>
            <w:tcBorders>
              <w:top w:val="nil"/>
              <w:left w:val="nil"/>
              <w:bottom w:val="nil"/>
              <w:right w:val="nil"/>
            </w:tcBorders>
            <w:tcMar>
              <w:top w:w="100" w:type="dxa"/>
              <w:left w:w="100" w:type="dxa"/>
              <w:bottom w:w="100" w:type="dxa"/>
              <w:right w:w="100" w:type="dxa"/>
            </w:tcMar>
          </w:tcPr>
          <w:p w14:paraId="453A4570" w14:textId="77777777" w:rsidR="000F0B49" w:rsidRPr="00467A14" w:rsidRDefault="00F034B5" w:rsidP="003E6F0F">
            <w:pPr>
              <w:pStyle w:val="Heading1"/>
              <w:keepNext w:val="0"/>
              <w:keepLines w:val="0"/>
              <w:spacing w:before="0" w:after="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No primary data</w:t>
            </w:r>
          </w:p>
        </w:tc>
      </w:tr>
    </w:tbl>
    <w:p w14:paraId="37120329" w14:textId="77777777" w:rsidR="000F0B49" w:rsidRPr="00467A14" w:rsidRDefault="00F034B5" w:rsidP="003E6F0F">
      <w:pPr>
        <w:pStyle w:val="Heading1"/>
        <w:keepNext w:val="0"/>
        <w:keepLines w:val="0"/>
        <w:spacing w:before="240" w:after="240"/>
        <w:rPr>
          <w:rFonts w:ascii="Times New Roman" w:eastAsia="Times New Roman" w:hAnsi="Times New Roman" w:cs="Times New Roman"/>
          <w:sz w:val="24"/>
          <w:szCs w:val="24"/>
        </w:rPr>
      </w:pPr>
      <w:bookmarkStart w:id="40" w:name="_b5h5dennofl" w:colFirst="0" w:colLast="0"/>
      <w:bookmarkEnd w:id="40"/>
      <w:r w:rsidRPr="00467A14">
        <w:rPr>
          <w:rFonts w:ascii="Times New Roman" w:eastAsia="Times New Roman" w:hAnsi="Times New Roman" w:cs="Times New Roman"/>
          <w:sz w:val="24"/>
          <w:szCs w:val="24"/>
        </w:rPr>
        <w:t xml:space="preserve">Note: Secondary studies were excluded to avoid duplication of data and ensure </w:t>
      </w:r>
      <w:r w:rsidRPr="00467A14">
        <w:rPr>
          <w:rFonts w:ascii="Times New Roman" w:eastAsia="Times New Roman" w:hAnsi="Times New Roman" w:cs="Times New Roman"/>
          <w:sz w:val="24"/>
          <w:szCs w:val="24"/>
        </w:rPr>
        <w:t>inclusion of primary observational evidence only.</w:t>
      </w:r>
    </w:p>
    <w:p w14:paraId="49101EE0" w14:textId="77777777" w:rsidR="000F0B49" w:rsidRPr="00467A14" w:rsidRDefault="000F0B49" w:rsidP="003E6F0F">
      <w:pPr>
        <w:rPr>
          <w:rFonts w:ascii="Times New Roman" w:eastAsia="Times New Roman" w:hAnsi="Times New Roman" w:cs="Times New Roman"/>
          <w:sz w:val="24"/>
          <w:szCs w:val="24"/>
        </w:rPr>
      </w:pPr>
    </w:p>
    <w:p w14:paraId="0A7D4F32" w14:textId="77777777" w:rsidR="000F0B49" w:rsidRPr="00467A14" w:rsidRDefault="000F0B49" w:rsidP="003E6F0F">
      <w:pPr>
        <w:pStyle w:val="Heading2"/>
        <w:keepNext w:val="0"/>
        <w:keepLines w:val="0"/>
        <w:spacing w:after="80"/>
        <w:rPr>
          <w:rFonts w:ascii="Times New Roman" w:eastAsia="Times New Roman" w:hAnsi="Times New Roman" w:cs="Times New Roman"/>
          <w:sz w:val="24"/>
          <w:szCs w:val="24"/>
        </w:rPr>
      </w:pPr>
      <w:bookmarkStart w:id="41" w:name="_letgmhadao3y" w:colFirst="0" w:colLast="0"/>
      <w:bookmarkEnd w:id="41"/>
    </w:p>
    <w:p w14:paraId="0453E026" w14:textId="77777777" w:rsidR="000F0B49" w:rsidRPr="00467A14" w:rsidRDefault="000F0B49" w:rsidP="003E6F0F">
      <w:pPr>
        <w:rPr>
          <w:rFonts w:ascii="Times New Roman" w:eastAsia="Times New Roman" w:hAnsi="Times New Roman" w:cs="Times New Roman"/>
          <w:sz w:val="24"/>
          <w:szCs w:val="24"/>
        </w:rPr>
      </w:pPr>
    </w:p>
    <w:p w14:paraId="20CAC103" w14:textId="77777777" w:rsidR="000F0B49" w:rsidRPr="00467A14" w:rsidRDefault="000F0B49" w:rsidP="003E6F0F">
      <w:pPr>
        <w:rPr>
          <w:rFonts w:ascii="Times New Roman" w:eastAsia="Times New Roman" w:hAnsi="Times New Roman" w:cs="Times New Roman"/>
          <w:sz w:val="24"/>
          <w:szCs w:val="24"/>
        </w:rPr>
      </w:pPr>
    </w:p>
    <w:p w14:paraId="1D5B5434" w14:textId="77777777" w:rsidR="000F0B49" w:rsidRPr="00467A14" w:rsidRDefault="000F0B49" w:rsidP="003E6F0F">
      <w:pPr>
        <w:rPr>
          <w:rFonts w:ascii="Times New Roman" w:eastAsia="Times New Roman" w:hAnsi="Times New Roman" w:cs="Times New Roman"/>
          <w:sz w:val="24"/>
          <w:szCs w:val="24"/>
        </w:rPr>
      </w:pPr>
    </w:p>
    <w:p w14:paraId="53BA06A3" w14:textId="77777777" w:rsidR="000F0B49" w:rsidRPr="00467A14" w:rsidRDefault="000F0B49" w:rsidP="003E6F0F">
      <w:pPr>
        <w:rPr>
          <w:rFonts w:ascii="Times New Roman" w:eastAsia="Times New Roman" w:hAnsi="Times New Roman" w:cs="Times New Roman"/>
          <w:sz w:val="24"/>
          <w:szCs w:val="24"/>
        </w:rPr>
      </w:pPr>
    </w:p>
    <w:p w14:paraId="229D7A73" w14:textId="77777777" w:rsidR="000F0B49" w:rsidRPr="00467A14" w:rsidRDefault="000F0B49" w:rsidP="003E6F0F">
      <w:pPr>
        <w:rPr>
          <w:rFonts w:ascii="Times New Roman" w:eastAsia="Times New Roman" w:hAnsi="Times New Roman" w:cs="Times New Roman"/>
          <w:sz w:val="24"/>
          <w:szCs w:val="24"/>
        </w:rPr>
      </w:pPr>
    </w:p>
    <w:p w14:paraId="0E6F6273" w14:textId="77777777" w:rsidR="000F0B49" w:rsidRPr="00467A14" w:rsidRDefault="000F0B49" w:rsidP="003E6F0F">
      <w:pPr>
        <w:rPr>
          <w:rFonts w:ascii="Times New Roman" w:eastAsia="Times New Roman" w:hAnsi="Times New Roman" w:cs="Times New Roman"/>
          <w:sz w:val="24"/>
          <w:szCs w:val="24"/>
        </w:rPr>
      </w:pPr>
    </w:p>
    <w:p w14:paraId="622092FE" w14:textId="77777777" w:rsidR="000F0B49" w:rsidRPr="00467A14" w:rsidRDefault="000F0B49" w:rsidP="003E6F0F">
      <w:pPr>
        <w:rPr>
          <w:rFonts w:ascii="Times New Roman" w:eastAsia="Times New Roman" w:hAnsi="Times New Roman" w:cs="Times New Roman"/>
          <w:sz w:val="24"/>
          <w:szCs w:val="24"/>
        </w:rPr>
      </w:pPr>
    </w:p>
    <w:p w14:paraId="16B4037A" w14:textId="77777777" w:rsidR="000F0B49" w:rsidRPr="00467A14" w:rsidRDefault="000F0B49" w:rsidP="003E6F0F">
      <w:pPr>
        <w:rPr>
          <w:rFonts w:ascii="Times New Roman" w:eastAsia="Times New Roman" w:hAnsi="Times New Roman" w:cs="Times New Roman"/>
          <w:sz w:val="24"/>
          <w:szCs w:val="24"/>
        </w:rPr>
      </w:pPr>
    </w:p>
    <w:p w14:paraId="12F613B3" w14:textId="77777777" w:rsidR="000F0B49" w:rsidRPr="00467A14" w:rsidRDefault="00F034B5" w:rsidP="003E6F0F">
      <w:pPr>
        <w:pStyle w:val="Heading3"/>
        <w:keepNext w:val="0"/>
        <w:keepLines w:val="0"/>
        <w:spacing w:before="280" w:line="240" w:lineRule="auto"/>
        <w:rPr>
          <w:rFonts w:ascii="Times New Roman" w:eastAsia="Times New Roman" w:hAnsi="Times New Roman" w:cs="Times New Roman"/>
          <w:b/>
          <w:bCs/>
          <w:color w:val="000000"/>
          <w:sz w:val="24"/>
          <w:szCs w:val="24"/>
        </w:rPr>
      </w:pPr>
      <w:bookmarkStart w:id="42" w:name="_26qp889im5aa" w:colFirst="0" w:colLast="0"/>
      <w:bookmarkEnd w:id="42"/>
      <w:r w:rsidRPr="00467A14">
        <w:rPr>
          <w:rFonts w:ascii="Times New Roman" w:eastAsia="Times New Roman" w:hAnsi="Times New Roman" w:cs="Times New Roman"/>
          <w:b/>
          <w:bCs/>
          <w:color w:val="000000"/>
          <w:sz w:val="24"/>
          <w:szCs w:val="24"/>
        </w:rPr>
        <w:t>Table 4. Quality Assessment of Included Studies Using the Joanna Briggs Institute (JBI) Checklist</w:t>
      </w:r>
    </w:p>
    <w:tbl>
      <w:tblPr>
        <w:tblStyle w:val="a2"/>
        <w:tblW w:w="12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60"/>
        <w:gridCol w:w="2505"/>
        <w:gridCol w:w="2565"/>
        <w:gridCol w:w="2340"/>
        <w:gridCol w:w="1875"/>
      </w:tblGrid>
      <w:tr w:rsidR="000F0B49" w:rsidRPr="00467A14" w14:paraId="0E15A006" w14:textId="77777777">
        <w:trPr>
          <w:trHeight w:val="800"/>
        </w:trPr>
        <w:tc>
          <w:tcPr>
            <w:tcW w:w="3660" w:type="dxa"/>
            <w:tcBorders>
              <w:top w:val="nil"/>
              <w:left w:val="nil"/>
              <w:bottom w:val="nil"/>
              <w:right w:val="nil"/>
            </w:tcBorders>
            <w:tcMar>
              <w:top w:w="100" w:type="dxa"/>
              <w:left w:w="100" w:type="dxa"/>
              <w:bottom w:w="100" w:type="dxa"/>
              <w:right w:w="100" w:type="dxa"/>
            </w:tcMar>
          </w:tcPr>
          <w:p w14:paraId="055E6C3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Study (Author, Year)</w:t>
            </w:r>
          </w:p>
        </w:tc>
        <w:tc>
          <w:tcPr>
            <w:tcW w:w="2505" w:type="dxa"/>
            <w:tcBorders>
              <w:top w:val="nil"/>
              <w:left w:val="nil"/>
              <w:bottom w:val="nil"/>
              <w:right w:val="nil"/>
            </w:tcBorders>
            <w:tcMar>
              <w:top w:w="100" w:type="dxa"/>
              <w:left w:w="100" w:type="dxa"/>
              <w:bottom w:w="100" w:type="dxa"/>
              <w:right w:w="100" w:type="dxa"/>
            </w:tcMar>
          </w:tcPr>
          <w:p w14:paraId="126AE1B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Selection Bias</w:t>
            </w:r>
          </w:p>
        </w:tc>
        <w:tc>
          <w:tcPr>
            <w:tcW w:w="2565" w:type="dxa"/>
            <w:tcBorders>
              <w:top w:val="nil"/>
              <w:left w:val="nil"/>
              <w:bottom w:val="nil"/>
              <w:right w:val="nil"/>
            </w:tcBorders>
            <w:tcMar>
              <w:top w:w="100" w:type="dxa"/>
              <w:left w:w="100" w:type="dxa"/>
              <w:bottom w:w="100" w:type="dxa"/>
              <w:right w:w="100" w:type="dxa"/>
            </w:tcMar>
          </w:tcPr>
          <w:p w14:paraId="2962BC0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Measurement Bias</w:t>
            </w:r>
          </w:p>
        </w:tc>
        <w:tc>
          <w:tcPr>
            <w:tcW w:w="2340" w:type="dxa"/>
            <w:tcBorders>
              <w:top w:val="nil"/>
              <w:left w:val="nil"/>
              <w:bottom w:val="nil"/>
              <w:right w:val="nil"/>
            </w:tcBorders>
            <w:tcMar>
              <w:top w:w="100" w:type="dxa"/>
              <w:left w:w="100" w:type="dxa"/>
              <w:bottom w:w="100" w:type="dxa"/>
              <w:right w:w="100" w:type="dxa"/>
            </w:tcMar>
          </w:tcPr>
          <w:p w14:paraId="4BD3D3A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Reporting Bias</w:t>
            </w:r>
          </w:p>
        </w:tc>
        <w:tc>
          <w:tcPr>
            <w:tcW w:w="1875" w:type="dxa"/>
            <w:tcBorders>
              <w:top w:val="nil"/>
              <w:left w:val="nil"/>
              <w:bottom w:val="nil"/>
              <w:right w:val="nil"/>
            </w:tcBorders>
            <w:tcMar>
              <w:top w:w="100" w:type="dxa"/>
              <w:left w:w="100" w:type="dxa"/>
              <w:bottom w:w="100" w:type="dxa"/>
              <w:right w:w="100" w:type="dxa"/>
            </w:tcMar>
          </w:tcPr>
          <w:p w14:paraId="186C4EB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b/>
                <w:bCs/>
                <w:sz w:val="24"/>
                <w:szCs w:val="24"/>
              </w:rPr>
              <w:t>Overall Quality</w:t>
            </w:r>
          </w:p>
        </w:tc>
      </w:tr>
      <w:tr w:rsidR="000F0B49" w:rsidRPr="00467A14" w14:paraId="43B0D3CE" w14:textId="77777777">
        <w:trPr>
          <w:trHeight w:val="515"/>
        </w:trPr>
        <w:tc>
          <w:tcPr>
            <w:tcW w:w="3660" w:type="dxa"/>
            <w:tcBorders>
              <w:top w:val="nil"/>
              <w:left w:val="nil"/>
              <w:bottom w:val="nil"/>
              <w:right w:val="nil"/>
            </w:tcBorders>
            <w:tcMar>
              <w:top w:w="100" w:type="dxa"/>
              <w:left w:w="100" w:type="dxa"/>
              <w:bottom w:w="100" w:type="dxa"/>
              <w:right w:w="100" w:type="dxa"/>
            </w:tcMar>
          </w:tcPr>
          <w:p w14:paraId="6EA8C73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t>Gebreweld</w:t>
            </w:r>
            <w:proofErr w:type="spellEnd"/>
            <w:r w:rsidRPr="00467A14">
              <w:rPr>
                <w:rFonts w:ascii="Times New Roman" w:eastAsia="Times New Roman" w:hAnsi="Times New Roman" w:cs="Times New Roman"/>
                <w:sz w:val="24"/>
                <w:szCs w:val="24"/>
              </w:rPr>
              <w:t xml:space="preserve"> et al. (2021)</w:t>
            </w:r>
          </w:p>
        </w:tc>
        <w:tc>
          <w:tcPr>
            <w:tcW w:w="2505" w:type="dxa"/>
            <w:tcBorders>
              <w:top w:val="nil"/>
              <w:left w:val="nil"/>
              <w:bottom w:val="nil"/>
              <w:right w:val="nil"/>
            </w:tcBorders>
            <w:tcMar>
              <w:top w:w="100" w:type="dxa"/>
              <w:left w:w="100" w:type="dxa"/>
              <w:bottom w:w="100" w:type="dxa"/>
              <w:right w:w="100" w:type="dxa"/>
            </w:tcMar>
          </w:tcPr>
          <w:p w14:paraId="5BEF7C4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0D80381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0AF3B07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41C5288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51FC8BAE" w14:textId="77777777">
        <w:trPr>
          <w:trHeight w:val="515"/>
        </w:trPr>
        <w:tc>
          <w:tcPr>
            <w:tcW w:w="3660" w:type="dxa"/>
            <w:tcBorders>
              <w:top w:val="nil"/>
              <w:left w:val="nil"/>
              <w:bottom w:val="nil"/>
              <w:right w:val="nil"/>
            </w:tcBorders>
            <w:tcMar>
              <w:top w:w="100" w:type="dxa"/>
              <w:left w:w="100" w:type="dxa"/>
              <w:bottom w:w="100" w:type="dxa"/>
              <w:right w:w="100" w:type="dxa"/>
            </w:tcMar>
          </w:tcPr>
          <w:p w14:paraId="71BA5CF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lastRenderedPageBreak/>
              <w:t>Asmerom et al. (2023)</w:t>
            </w:r>
          </w:p>
        </w:tc>
        <w:tc>
          <w:tcPr>
            <w:tcW w:w="2505" w:type="dxa"/>
            <w:tcBorders>
              <w:top w:val="nil"/>
              <w:left w:val="nil"/>
              <w:bottom w:val="nil"/>
              <w:right w:val="nil"/>
            </w:tcBorders>
            <w:tcMar>
              <w:top w:w="100" w:type="dxa"/>
              <w:left w:w="100" w:type="dxa"/>
              <w:bottom w:w="100" w:type="dxa"/>
              <w:right w:w="100" w:type="dxa"/>
            </w:tcMar>
          </w:tcPr>
          <w:p w14:paraId="158DC62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7AF880C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2A71BA6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6809909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61823D31" w14:textId="77777777">
        <w:trPr>
          <w:trHeight w:val="515"/>
        </w:trPr>
        <w:tc>
          <w:tcPr>
            <w:tcW w:w="3660" w:type="dxa"/>
            <w:tcBorders>
              <w:top w:val="nil"/>
              <w:left w:val="nil"/>
              <w:bottom w:val="nil"/>
              <w:right w:val="nil"/>
            </w:tcBorders>
            <w:tcMar>
              <w:top w:w="100" w:type="dxa"/>
              <w:left w:w="100" w:type="dxa"/>
              <w:bottom w:w="100" w:type="dxa"/>
              <w:right w:w="100" w:type="dxa"/>
            </w:tcMar>
          </w:tcPr>
          <w:p w14:paraId="60876D1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Asmerom et al. (2023)</w:t>
            </w:r>
          </w:p>
        </w:tc>
        <w:tc>
          <w:tcPr>
            <w:tcW w:w="2505" w:type="dxa"/>
            <w:tcBorders>
              <w:top w:val="nil"/>
              <w:left w:val="nil"/>
              <w:bottom w:val="nil"/>
              <w:right w:val="nil"/>
            </w:tcBorders>
            <w:tcMar>
              <w:top w:w="100" w:type="dxa"/>
              <w:left w:w="100" w:type="dxa"/>
              <w:bottom w:w="100" w:type="dxa"/>
              <w:right w:w="100" w:type="dxa"/>
            </w:tcMar>
          </w:tcPr>
          <w:p w14:paraId="46713E9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017AC68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5E1FE2B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0848877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7BE0624D" w14:textId="77777777">
        <w:trPr>
          <w:trHeight w:val="515"/>
        </w:trPr>
        <w:tc>
          <w:tcPr>
            <w:tcW w:w="3660" w:type="dxa"/>
            <w:tcBorders>
              <w:top w:val="nil"/>
              <w:left w:val="nil"/>
              <w:bottom w:val="nil"/>
              <w:right w:val="nil"/>
            </w:tcBorders>
            <w:tcMar>
              <w:top w:w="100" w:type="dxa"/>
              <w:left w:w="100" w:type="dxa"/>
              <w:bottom w:w="100" w:type="dxa"/>
              <w:right w:w="100" w:type="dxa"/>
            </w:tcMar>
          </w:tcPr>
          <w:p w14:paraId="5C7273E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Gupta et al. (2013)</w:t>
            </w:r>
          </w:p>
        </w:tc>
        <w:tc>
          <w:tcPr>
            <w:tcW w:w="2505" w:type="dxa"/>
            <w:tcBorders>
              <w:top w:val="nil"/>
              <w:left w:val="nil"/>
              <w:bottom w:val="nil"/>
              <w:right w:val="nil"/>
            </w:tcBorders>
            <w:tcMar>
              <w:top w:w="100" w:type="dxa"/>
              <w:left w:w="100" w:type="dxa"/>
              <w:bottom w:w="100" w:type="dxa"/>
              <w:right w:w="100" w:type="dxa"/>
            </w:tcMar>
          </w:tcPr>
          <w:p w14:paraId="2DD4CBA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579630C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37DAB52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5C63CDF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5E0AB395" w14:textId="77777777">
        <w:trPr>
          <w:trHeight w:val="515"/>
        </w:trPr>
        <w:tc>
          <w:tcPr>
            <w:tcW w:w="3660" w:type="dxa"/>
            <w:tcBorders>
              <w:top w:val="nil"/>
              <w:left w:val="nil"/>
              <w:bottom w:val="nil"/>
              <w:right w:val="nil"/>
            </w:tcBorders>
            <w:tcMar>
              <w:top w:w="100" w:type="dxa"/>
              <w:left w:w="100" w:type="dxa"/>
              <w:bottom w:w="100" w:type="dxa"/>
              <w:right w:w="100" w:type="dxa"/>
            </w:tcMar>
          </w:tcPr>
          <w:p w14:paraId="6A28165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Arif et al. (2016)</w:t>
            </w:r>
          </w:p>
        </w:tc>
        <w:tc>
          <w:tcPr>
            <w:tcW w:w="2505" w:type="dxa"/>
            <w:tcBorders>
              <w:top w:val="nil"/>
              <w:left w:val="nil"/>
              <w:bottom w:val="nil"/>
              <w:right w:val="nil"/>
            </w:tcBorders>
            <w:tcMar>
              <w:top w:w="100" w:type="dxa"/>
              <w:left w:w="100" w:type="dxa"/>
              <w:bottom w:w="100" w:type="dxa"/>
              <w:right w:w="100" w:type="dxa"/>
            </w:tcMar>
          </w:tcPr>
          <w:p w14:paraId="1EECDC1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7FC4672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2CB6F6C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0224EFA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55393660" w14:textId="77777777">
        <w:trPr>
          <w:trHeight w:val="515"/>
        </w:trPr>
        <w:tc>
          <w:tcPr>
            <w:tcW w:w="3660" w:type="dxa"/>
            <w:tcBorders>
              <w:top w:val="nil"/>
              <w:left w:val="nil"/>
              <w:bottom w:val="nil"/>
              <w:right w:val="nil"/>
            </w:tcBorders>
            <w:tcMar>
              <w:top w:w="100" w:type="dxa"/>
              <w:left w:w="100" w:type="dxa"/>
              <w:bottom w:w="100" w:type="dxa"/>
              <w:right w:w="100" w:type="dxa"/>
            </w:tcMar>
          </w:tcPr>
          <w:p w14:paraId="5B9833C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Srikanth et al. (2012)</w:t>
            </w:r>
          </w:p>
        </w:tc>
        <w:tc>
          <w:tcPr>
            <w:tcW w:w="2505" w:type="dxa"/>
            <w:tcBorders>
              <w:top w:val="nil"/>
              <w:left w:val="nil"/>
              <w:bottom w:val="nil"/>
              <w:right w:val="nil"/>
            </w:tcBorders>
            <w:tcMar>
              <w:top w:w="100" w:type="dxa"/>
              <w:left w:w="100" w:type="dxa"/>
              <w:bottom w:w="100" w:type="dxa"/>
              <w:right w:w="100" w:type="dxa"/>
            </w:tcMar>
          </w:tcPr>
          <w:p w14:paraId="7906F8D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14:paraId="1B8515A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5B9BFDA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0A5E0D8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r>
      <w:tr w:rsidR="000F0B49" w:rsidRPr="00467A14" w14:paraId="3AD0DEEF" w14:textId="77777777">
        <w:trPr>
          <w:trHeight w:val="515"/>
        </w:trPr>
        <w:tc>
          <w:tcPr>
            <w:tcW w:w="3660" w:type="dxa"/>
            <w:tcBorders>
              <w:top w:val="nil"/>
              <w:left w:val="nil"/>
              <w:bottom w:val="nil"/>
              <w:right w:val="nil"/>
            </w:tcBorders>
            <w:tcMar>
              <w:top w:w="100" w:type="dxa"/>
              <w:left w:w="100" w:type="dxa"/>
              <w:bottom w:w="100" w:type="dxa"/>
              <w:right w:w="100" w:type="dxa"/>
            </w:tcMar>
          </w:tcPr>
          <w:p w14:paraId="0EE7EE4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Devineni et al. </w:t>
            </w:r>
            <w:r w:rsidRPr="00467A14">
              <w:rPr>
                <w:rFonts w:ascii="Times New Roman" w:eastAsia="Times New Roman" w:hAnsi="Times New Roman" w:cs="Times New Roman"/>
                <w:sz w:val="24"/>
                <w:szCs w:val="24"/>
              </w:rPr>
              <w:t>(2015)</w:t>
            </w:r>
          </w:p>
        </w:tc>
        <w:tc>
          <w:tcPr>
            <w:tcW w:w="2505" w:type="dxa"/>
            <w:tcBorders>
              <w:top w:val="nil"/>
              <w:left w:val="nil"/>
              <w:bottom w:val="nil"/>
              <w:right w:val="nil"/>
            </w:tcBorders>
            <w:tcMar>
              <w:top w:w="100" w:type="dxa"/>
              <w:left w:w="100" w:type="dxa"/>
              <w:bottom w:w="100" w:type="dxa"/>
              <w:right w:w="100" w:type="dxa"/>
            </w:tcMar>
          </w:tcPr>
          <w:p w14:paraId="72ACAE6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65AB570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79363E3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30FED22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33E058B7" w14:textId="77777777">
        <w:trPr>
          <w:trHeight w:val="515"/>
        </w:trPr>
        <w:tc>
          <w:tcPr>
            <w:tcW w:w="3660" w:type="dxa"/>
            <w:tcBorders>
              <w:top w:val="nil"/>
              <w:left w:val="nil"/>
              <w:bottom w:val="nil"/>
              <w:right w:val="nil"/>
            </w:tcBorders>
            <w:tcMar>
              <w:top w:w="100" w:type="dxa"/>
              <w:left w:w="100" w:type="dxa"/>
              <w:bottom w:w="100" w:type="dxa"/>
              <w:right w:w="100" w:type="dxa"/>
            </w:tcMar>
          </w:tcPr>
          <w:p w14:paraId="7A055C9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Memon &amp; Afsar (2006)</w:t>
            </w:r>
          </w:p>
        </w:tc>
        <w:tc>
          <w:tcPr>
            <w:tcW w:w="2505" w:type="dxa"/>
            <w:tcBorders>
              <w:top w:val="nil"/>
              <w:left w:val="nil"/>
              <w:bottom w:val="nil"/>
              <w:right w:val="nil"/>
            </w:tcBorders>
            <w:tcMar>
              <w:top w:w="100" w:type="dxa"/>
              <w:left w:w="100" w:type="dxa"/>
              <w:bottom w:w="100" w:type="dxa"/>
              <w:right w:w="100" w:type="dxa"/>
            </w:tcMar>
          </w:tcPr>
          <w:p w14:paraId="3ABD66D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14:paraId="0F20290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340" w:type="dxa"/>
            <w:tcBorders>
              <w:top w:val="nil"/>
              <w:left w:val="nil"/>
              <w:bottom w:val="nil"/>
              <w:right w:val="nil"/>
            </w:tcBorders>
            <w:tcMar>
              <w:top w:w="100" w:type="dxa"/>
              <w:left w:w="100" w:type="dxa"/>
              <w:bottom w:w="100" w:type="dxa"/>
              <w:right w:w="100" w:type="dxa"/>
            </w:tcMar>
          </w:tcPr>
          <w:p w14:paraId="5FD34F0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488BBD0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r>
      <w:tr w:rsidR="000F0B49" w:rsidRPr="00467A14" w14:paraId="4424F1BC" w14:textId="77777777">
        <w:trPr>
          <w:trHeight w:val="515"/>
        </w:trPr>
        <w:tc>
          <w:tcPr>
            <w:tcW w:w="3660" w:type="dxa"/>
            <w:tcBorders>
              <w:top w:val="nil"/>
              <w:left w:val="nil"/>
              <w:bottom w:val="nil"/>
              <w:right w:val="nil"/>
            </w:tcBorders>
            <w:tcMar>
              <w:top w:w="100" w:type="dxa"/>
              <w:left w:w="100" w:type="dxa"/>
              <w:bottom w:w="100" w:type="dxa"/>
              <w:right w:w="100" w:type="dxa"/>
            </w:tcMar>
          </w:tcPr>
          <w:p w14:paraId="40B838C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Khalid et al. (2022)</w:t>
            </w:r>
          </w:p>
        </w:tc>
        <w:tc>
          <w:tcPr>
            <w:tcW w:w="2505" w:type="dxa"/>
            <w:tcBorders>
              <w:top w:val="nil"/>
              <w:left w:val="nil"/>
              <w:bottom w:val="nil"/>
              <w:right w:val="nil"/>
            </w:tcBorders>
            <w:tcMar>
              <w:top w:w="100" w:type="dxa"/>
              <w:left w:w="100" w:type="dxa"/>
              <w:bottom w:w="100" w:type="dxa"/>
              <w:right w:w="100" w:type="dxa"/>
            </w:tcMar>
          </w:tcPr>
          <w:p w14:paraId="7666EB0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6553695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4BFD544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5096CC3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442E8F78" w14:textId="77777777">
        <w:trPr>
          <w:trHeight w:val="515"/>
        </w:trPr>
        <w:tc>
          <w:tcPr>
            <w:tcW w:w="3660" w:type="dxa"/>
            <w:tcBorders>
              <w:top w:val="nil"/>
              <w:left w:val="nil"/>
              <w:bottom w:val="nil"/>
              <w:right w:val="nil"/>
            </w:tcBorders>
            <w:tcMar>
              <w:top w:w="100" w:type="dxa"/>
              <w:left w:w="100" w:type="dxa"/>
              <w:bottom w:w="100" w:type="dxa"/>
              <w:right w:w="100" w:type="dxa"/>
            </w:tcMar>
          </w:tcPr>
          <w:p w14:paraId="585A830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Shams et al. (2025)</w:t>
            </w:r>
          </w:p>
        </w:tc>
        <w:tc>
          <w:tcPr>
            <w:tcW w:w="2505" w:type="dxa"/>
            <w:tcBorders>
              <w:top w:val="nil"/>
              <w:left w:val="nil"/>
              <w:bottom w:val="nil"/>
              <w:right w:val="nil"/>
            </w:tcBorders>
            <w:tcMar>
              <w:top w:w="100" w:type="dxa"/>
              <w:left w:w="100" w:type="dxa"/>
              <w:bottom w:w="100" w:type="dxa"/>
              <w:right w:w="100" w:type="dxa"/>
            </w:tcMar>
          </w:tcPr>
          <w:p w14:paraId="2361733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14:paraId="6C8CFBD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77A717B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6044A30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r>
      <w:tr w:rsidR="000F0B49" w:rsidRPr="00467A14" w14:paraId="5CB0E246" w14:textId="77777777">
        <w:trPr>
          <w:trHeight w:val="515"/>
        </w:trPr>
        <w:tc>
          <w:tcPr>
            <w:tcW w:w="3660" w:type="dxa"/>
            <w:tcBorders>
              <w:top w:val="nil"/>
              <w:left w:val="nil"/>
              <w:bottom w:val="nil"/>
              <w:right w:val="nil"/>
            </w:tcBorders>
            <w:tcMar>
              <w:top w:w="100" w:type="dxa"/>
              <w:left w:w="100" w:type="dxa"/>
              <w:bottom w:w="100" w:type="dxa"/>
              <w:right w:w="100" w:type="dxa"/>
            </w:tcMar>
          </w:tcPr>
          <w:p w14:paraId="4942BF3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Ebraheem et al. (2025)</w:t>
            </w:r>
          </w:p>
        </w:tc>
        <w:tc>
          <w:tcPr>
            <w:tcW w:w="2505" w:type="dxa"/>
            <w:tcBorders>
              <w:top w:val="nil"/>
              <w:left w:val="nil"/>
              <w:bottom w:val="nil"/>
              <w:right w:val="nil"/>
            </w:tcBorders>
            <w:tcMar>
              <w:top w:w="100" w:type="dxa"/>
              <w:left w:w="100" w:type="dxa"/>
              <w:bottom w:w="100" w:type="dxa"/>
              <w:right w:w="100" w:type="dxa"/>
            </w:tcMar>
          </w:tcPr>
          <w:p w14:paraId="20AE8BE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6339FE7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42E454D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4C971FE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5734465E" w14:textId="77777777">
        <w:trPr>
          <w:trHeight w:val="515"/>
        </w:trPr>
        <w:tc>
          <w:tcPr>
            <w:tcW w:w="3660" w:type="dxa"/>
            <w:tcBorders>
              <w:top w:val="nil"/>
              <w:left w:val="nil"/>
              <w:bottom w:val="nil"/>
              <w:right w:val="nil"/>
            </w:tcBorders>
            <w:tcMar>
              <w:top w:w="100" w:type="dxa"/>
              <w:left w:w="100" w:type="dxa"/>
              <w:bottom w:w="100" w:type="dxa"/>
              <w:right w:w="100" w:type="dxa"/>
            </w:tcMar>
          </w:tcPr>
          <w:p w14:paraId="08E5781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Abdelsalam et al. (2026)</w:t>
            </w:r>
          </w:p>
        </w:tc>
        <w:tc>
          <w:tcPr>
            <w:tcW w:w="2505" w:type="dxa"/>
            <w:tcBorders>
              <w:top w:val="nil"/>
              <w:left w:val="nil"/>
              <w:bottom w:val="nil"/>
              <w:right w:val="nil"/>
            </w:tcBorders>
            <w:tcMar>
              <w:top w:w="100" w:type="dxa"/>
              <w:left w:w="100" w:type="dxa"/>
              <w:bottom w:w="100" w:type="dxa"/>
              <w:right w:w="100" w:type="dxa"/>
            </w:tcMar>
          </w:tcPr>
          <w:p w14:paraId="663CC9F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451D111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0725DC6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5285199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3BB4C033" w14:textId="77777777">
        <w:trPr>
          <w:trHeight w:val="515"/>
        </w:trPr>
        <w:tc>
          <w:tcPr>
            <w:tcW w:w="3660" w:type="dxa"/>
            <w:tcBorders>
              <w:top w:val="nil"/>
              <w:left w:val="nil"/>
              <w:bottom w:val="nil"/>
              <w:right w:val="nil"/>
            </w:tcBorders>
            <w:tcMar>
              <w:top w:w="100" w:type="dxa"/>
              <w:left w:w="100" w:type="dxa"/>
              <w:bottom w:w="100" w:type="dxa"/>
              <w:right w:w="100" w:type="dxa"/>
            </w:tcMar>
          </w:tcPr>
          <w:p w14:paraId="0B7C760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Ansah et</w:t>
            </w:r>
            <w:r w:rsidRPr="00467A14">
              <w:rPr>
                <w:rFonts w:ascii="Times New Roman" w:eastAsia="Times New Roman" w:hAnsi="Times New Roman" w:cs="Times New Roman"/>
                <w:sz w:val="24"/>
                <w:szCs w:val="24"/>
              </w:rPr>
              <w:t xml:space="preserve"> al. (2021)</w:t>
            </w:r>
          </w:p>
        </w:tc>
        <w:tc>
          <w:tcPr>
            <w:tcW w:w="2505" w:type="dxa"/>
            <w:tcBorders>
              <w:top w:val="nil"/>
              <w:left w:val="nil"/>
              <w:bottom w:val="nil"/>
              <w:right w:val="nil"/>
            </w:tcBorders>
            <w:tcMar>
              <w:top w:w="100" w:type="dxa"/>
              <w:left w:w="100" w:type="dxa"/>
              <w:bottom w:w="100" w:type="dxa"/>
              <w:right w:w="100" w:type="dxa"/>
            </w:tcMar>
          </w:tcPr>
          <w:p w14:paraId="40C93B1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02EBE86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2F404AA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507BE2B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512E062E" w14:textId="77777777">
        <w:trPr>
          <w:trHeight w:val="515"/>
        </w:trPr>
        <w:tc>
          <w:tcPr>
            <w:tcW w:w="3660" w:type="dxa"/>
            <w:tcBorders>
              <w:top w:val="nil"/>
              <w:left w:val="nil"/>
              <w:bottom w:val="nil"/>
              <w:right w:val="nil"/>
            </w:tcBorders>
            <w:tcMar>
              <w:top w:w="100" w:type="dxa"/>
              <w:left w:w="100" w:type="dxa"/>
              <w:bottom w:w="100" w:type="dxa"/>
              <w:right w:w="100" w:type="dxa"/>
            </w:tcMar>
          </w:tcPr>
          <w:p w14:paraId="203E2FD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Coelho et al. (2013)</w:t>
            </w:r>
          </w:p>
        </w:tc>
        <w:tc>
          <w:tcPr>
            <w:tcW w:w="2505" w:type="dxa"/>
            <w:tcBorders>
              <w:top w:val="nil"/>
              <w:left w:val="nil"/>
              <w:bottom w:val="nil"/>
              <w:right w:val="nil"/>
            </w:tcBorders>
            <w:tcMar>
              <w:top w:w="100" w:type="dxa"/>
              <w:left w:w="100" w:type="dxa"/>
              <w:bottom w:w="100" w:type="dxa"/>
              <w:right w:w="100" w:type="dxa"/>
            </w:tcMar>
          </w:tcPr>
          <w:p w14:paraId="0CBDC6E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14:paraId="6784ABE3"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67C31C1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4319D5D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r>
      <w:tr w:rsidR="000F0B49" w:rsidRPr="00467A14" w14:paraId="5B4171CA" w14:textId="77777777">
        <w:trPr>
          <w:trHeight w:val="515"/>
        </w:trPr>
        <w:tc>
          <w:tcPr>
            <w:tcW w:w="3660" w:type="dxa"/>
            <w:tcBorders>
              <w:top w:val="nil"/>
              <w:left w:val="nil"/>
              <w:bottom w:val="nil"/>
              <w:right w:val="nil"/>
            </w:tcBorders>
            <w:tcMar>
              <w:top w:w="100" w:type="dxa"/>
              <w:left w:w="100" w:type="dxa"/>
              <w:bottom w:w="100" w:type="dxa"/>
              <w:right w:w="100" w:type="dxa"/>
            </w:tcMar>
          </w:tcPr>
          <w:p w14:paraId="6DAFE17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lastRenderedPageBreak/>
              <w:t>Siagian</w:t>
            </w:r>
            <w:proofErr w:type="spellEnd"/>
            <w:r w:rsidRPr="00467A14">
              <w:rPr>
                <w:rFonts w:ascii="Times New Roman" w:eastAsia="Times New Roman" w:hAnsi="Times New Roman" w:cs="Times New Roman"/>
                <w:sz w:val="24"/>
                <w:szCs w:val="24"/>
              </w:rPr>
              <w:t xml:space="preserve"> et al. (2019)</w:t>
            </w:r>
          </w:p>
        </w:tc>
        <w:tc>
          <w:tcPr>
            <w:tcW w:w="2505" w:type="dxa"/>
            <w:tcBorders>
              <w:top w:val="nil"/>
              <w:left w:val="nil"/>
              <w:bottom w:val="nil"/>
              <w:right w:val="nil"/>
            </w:tcBorders>
            <w:tcMar>
              <w:top w:w="100" w:type="dxa"/>
              <w:left w:w="100" w:type="dxa"/>
              <w:bottom w:w="100" w:type="dxa"/>
              <w:right w:w="100" w:type="dxa"/>
            </w:tcMar>
          </w:tcPr>
          <w:p w14:paraId="0F69420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541728E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17896417"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0CD179F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2FEFE122" w14:textId="77777777">
        <w:trPr>
          <w:trHeight w:val="390"/>
        </w:trPr>
        <w:tc>
          <w:tcPr>
            <w:tcW w:w="3660" w:type="dxa"/>
            <w:tcBorders>
              <w:top w:val="nil"/>
              <w:left w:val="nil"/>
              <w:bottom w:val="nil"/>
              <w:right w:val="nil"/>
            </w:tcBorders>
            <w:tcMar>
              <w:top w:w="100" w:type="dxa"/>
              <w:left w:w="100" w:type="dxa"/>
              <w:bottom w:w="100" w:type="dxa"/>
              <w:right w:w="100" w:type="dxa"/>
            </w:tcMar>
          </w:tcPr>
          <w:p w14:paraId="78B749E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t>Ndatumuremyi</w:t>
            </w:r>
            <w:proofErr w:type="spellEnd"/>
            <w:r w:rsidRPr="00467A14">
              <w:rPr>
                <w:rFonts w:ascii="Times New Roman" w:eastAsia="Times New Roman" w:hAnsi="Times New Roman" w:cs="Times New Roman"/>
                <w:sz w:val="24"/>
                <w:szCs w:val="24"/>
              </w:rPr>
              <w:t xml:space="preserve"> et al. (2025)</w:t>
            </w:r>
          </w:p>
        </w:tc>
        <w:tc>
          <w:tcPr>
            <w:tcW w:w="2505" w:type="dxa"/>
            <w:tcBorders>
              <w:top w:val="nil"/>
              <w:left w:val="nil"/>
              <w:bottom w:val="nil"/>
              <w:right w:val="nil"/>
            </w:tcBorders>
            <w:tcMar>
              <w:top w:w="100" w:type="dxa"/>
              <w:left w:w="100" w:type="dxa"/>
              <w:bottom w:w="100" w:type="dxa"/>
              <w:right w:w="100" w:type="dxa"/>
            </w:tcMar>
          </w:tcPr>
          <w:p w14:paraId="2A9AA52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14:paraId="09BF277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055A70C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79A4522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r>
      <w:tr w:rsidR="000F0B49" w:rsidRPr="00467A14" w14:paraId="7B8F452D" w14:textId="77777777">
        <w:trPr>
          <w:trHeight w:val="515"/>
        </w:trPr>
        <w:tc>
          <w:tcPr>
            <w:tcW w:w="3660" w:type="dxa"/>
            <w:tcBorders>
              <w:top w:val="nil"/>
              <w:left w:val="nil"/>
              <w:bottom w:val="nil"/>
              <w:right w:val="nil"/>
            </w:tcBorders>
            <w:tcMar>
              <w:top w:w="100" w:type="dxa"/>
              <w:left w:w="100" w:type="dxa"/>
              <w:bottom w:w="100" w:type="dxa"/>
              <w:right w:w="100" w:type="dxa"/>
            </w:tcMar>
          </w:tcPr>
          <w:p w14:paraId="209C95B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Mandala et al. (2022)</w:t>
            </w:r>
          </w:p>
        </w:tc>
        <w:tc>
          <w:tcPr>
            <w:tcW w:w="2505" w:type="dxa"/>
            <w:tcBorders>
              <w:top w:val="nil"/>
              <w:left w:val="nil"/>
              <w:bottom w:val="nil"/>
              <w:right w:val="nil"/>
            </w:tcBorders>
            <w:tcMar>
              <w:top w:w="100" w:type="dxa"/>
              <w:left w:w="100" w:type="dxa"/>
              <w:bottom w:w="100" w:type="dxa"/>
              <w:right w:w="100" w:type="dxa"/>
            </w:tcMar>
          </w:tcPr>
          <w:p w14:paraId="32286872"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533BA48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32236A9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13BE033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129B8FEF" w14:textId="77777777">
        <w:trPr>
          <w:trHeight w:val="515"/>
        </w:trPr>
        <w:tc>
          <w:tcPr>
            <w:tcW w:w="3660" w:type="dxa"/>
            <w:tcBorders>
              <w:top w:val="nil"/>
              <w:left w:val="nil"/>
              <w:bottom w:val="nil"/>
              <w:right w:val="nil"/>
            </w:tcBorders>
            <w:tcMar>
              <w:top w:w="100" w:type="dxa"/>
              <w:left w:w="100" w:type="dxa"/>
              <w:bottom w:w="100" w:type="dxa"/>
              <w:right w:w="100" w:type="dxa"/>
            </w:tcMar>
          </w:tcPr>
          <w:p w14:paraId="425DBF8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Hanson et al. (2015)</w:t>
            </w:r>
          </w:p>
        </w:tc>
        <w:tc>
          <w:tcPr>
            <w:tcW w:w="2505" w:type="dxa"/>
            <w:tcBorders>
              <w:top w:val="nil"/>
              <w:left w:val="nil"/>
              <w:bottom w:val="nil"/>
              <w:right w:val="nil"/>
            </w:tcBorders>
            <w:tcMar>
              <w:top w:w="100" w:type="dxa"/>
              <w:left w:w="100" w:type="dxa"/>
              <w:bottom w:w="100" w:type="dxa"/>
              <w:right w:w="100" w:type="dxa"/>
            </w:tcMar>
          </w:tcPr>
          <w:p w14:paraId="218901A6"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2010F6D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45DACFD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7664C30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7CE49BBE" w14:textId="77777777">
        <w:trPr>
          <w:trHeight w:val="515"/>
        </w:trPr>
        <w:tc>
          <w:tcPr>
            <w:tcW w:w="3660" w:type="dxa"/>
            <w:tcBorders>
              <w:top w:val="nil"/>
              <w:left w:val="nil"/>
              <w:bottom w:val="nil"/>
              <w:right w:val="nil"/>
            </w:tcBorders>
            <w:tcMar>
              <w:top w:w="100" w:type="dxa"/>
              <w:left w:w="100" w:type="dxa"/>
              <w:bottom w:w="100" w:type="dxa"/>
              <w:right w:w="100" w:type="dxa"/>
            </w:tcMar>
          </w:tcPr>
          <w:p w14:paraId="74ED7EF1"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Khan </w:t>
            </w:r>
            <w:r w:rsidRPr="00467A14">
              <w:rPr>
                <w:rFonts w:ascii="Times New Roman" w:eastAsia="Times New Roman" w:hAnsi="Times New Roman" w:cs="Times New Roman"/>
                <w:sz w:val="24"/>
                <w:szCs w:val="24"/>
              </w:rPr>
              <w:t>et al. (2012)</w:t>
            </w:r>
          </w:p>
        </w:tc>
        <w:tc>
          <w:tcPr>
            <w:tcW w:w="2505" w:type="dxa"/>
            <w:tcBorders>
              <w:top w:val="nil"/>
              <w:left w:val="nil"/>
              <w:bottom w:val="nil"/>
              <w:right w:val="nil"/>
            </w:tcBorders>
            <w:tcMar>
              <w:top w:w="100" w:type="dxa"/>
              <w:left w:w="100" w:type="dxa"/>
              <w:bottom w:w="100" w:type="dxa"/>
              <w:right w:w="100" w:type="dxa"/>
            </w:tcMar>
          </w:tcPr>
          <w:p w14:paraId="562BC97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14:paraId="68DC422D"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340" w:type="dxa"/>
            <w:tcBorders>
              <w:top w:val="nil"/>
              <w:left w:val="nil"/>
              <w:bottom w:val="nil"/>
              <w:right w:val="nil"/>
            </w:tcBorders>
            <w:tcMar>
              <w:top w:w="100" w:type="dxa"/>
              <w:left w:w="100" w:type="dxa"/>
              <w:bottom w:w="100" w:type="dxa"/>
              <w:right w:w="100" w:type="dxa"/>
            </w:tcMar>
          </w:tcPr>
          <w:p w14:paraId="64E3ACC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0D687F3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r>
      <w:tr w:rsidR="000F0B49" w:rsidRPr="00467A14" w14:paraId="56A5B635" w14:textId="77777777">
        <w:trPr>
          <w:trHeight w:val="515"/>
        </w:trPr>
        <w:tc>
          <w:tcPr>
            <w:tcW w:w="3660" w:type="dxa"/>
            <w:tcBorders>
              <w:top w:val="nil"/>
              <w:left w:val="nil"/>
              <w:bottom w:val="nil"/>
              <w:right w:val="nil"/>
            </w:tcBorders>
            <w:tcMar>
              <w:top w:w="100" w:type="dxa"/>
              <w:left w:w="100" w:type="dxa"/>
              <w:bottom w:w="100" w:type="dxa"/>
              <w:right w:w="100" w:type="dxa"/>
            </w:tcMar>
          </w:tcPr>
          <w:p w14:paraId="6937CE84"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t>Jairajpuri</w:t>
            </w:r>
            <w:proofErr w:type="spellEnd"/>
            <w:r w:rsidRPr="00467A14">
              <w:rPr>
                <w:rFonts w:ascii="Times New Roman" w:eastAsia="Times New Roman" w:hAnsi="Times New Roman" w:cs="Times New Roman"/>
                <w:sz w:val="24"/>
                <w:szCs w:val="24"/>
              </w:rPr>
              <w:t xml:space="preserve"> et al. (2014)</w:t>
            </w:r>
          </w:p>
        </w:tc>
        <w:tc>
          <w:tcPr>
            <w:tcW w:w="2505" w:type="dxa"/>
            <w:tcBorders>
              <w:top w:val="nil"/>
              <w:left w:val="nil"/>
              <w:bottom w:val="nil"/>
              <w:right w:val="nil"/>
            </w:tcBorders>
            <w:tcMar>
              <w:top w:w="100" w:type="dxa"/>
              <w:left w:w="100" w:type="dxa"/>
              <w:bottom w:w="100" w:type="dxa"/>
              <w:right w:w="100" w:type="dxa"/>
            </w:tcMar>
          </w:tcPr>
          <w:p w14:paraId="1CFA9FF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14:paraId="55D73319"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3BD02FA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3CC11740"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r>
      <w:tr w:rsidR="000F0B49" w:rsidRPr="00467A14" w14:paraId="501E7964" w14:textId="77777777">
        <w:trPr>
          <w:trHeight w:val="515"/>
        </w:trPr>
        <w:tc>
          <w:tcPr>
            <w:tcW w:w="3660" w:type="dxa"/>
            <w:tcBorders>
              <w:top w:val="nil"/>
              <w:left w:val="nil"/>
              <w:bottom w:val="nil"/>
              <w:right w:val="nil"/>
            </w:tcBorders>
            <w:tcMar>
              <w:top w:w="100" w:type="dxa"/>
              <w:left w:w="100" w:type="dxa"/>
              <w:bottom w:w="100" w:type="dxa"/>
              <w:right w:w="100" w:type="dxa"/>
            </w:tcMar>
          </w:tcPr>
          <w:p w14:paraId="2E4C05C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Bhandary et al. (2011)</w:t>
            </w:r>
          </w:p>
        </w:tc>
        <w:tc>
          <w:tcPr>
            <w:tcW w:w="2505" w:type="dxa"/>
            <w:tcBorders>
              <w:top w:val="nil"/>
              <w:left w:val="nil"/>
              <w:bottom w:val="nil"/>
              <w:right w:val="nil"/>
            </w:tcBorders>
            <w:tcMar>
              <w:top w:w="100" w:type="dxa"/>
              <w:left w:w="100" w:type="dxa"/>
              <w:bottom w:w="100" w:type="dxa"/>
              <w:right w:w="100" w:type="dxa"/>
            </w:tcMar>
          </w:tcPr>
          <w:p w14:paraId="3586FDD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565" w:type="dxa"/>
            <w:tcBorders>
              <w:top w:val="nil"/>
              <w:left w:val="nil"/>
              <w:bottom w:val="nil"/>
              <w:right w:val="nil"/>
            </w:tcBorders>
            <w:tcMar>
              <w:top w:w="100" w:type="dxa"/>
              <w:left w:w="100" w:type="dxa"/>
              <w:bottom w:w="100" w:type="dxa"/>
              <w:right w:w="100" w:type="dxa"/>
            </w:tcMar>
          </w:tcPr>
          <w:p w14:paraId="16C5B4D8"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39B786BB"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50B8799E"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High</w:t>
            </w:r>
          </w:p>
        </w:tc>
      </w:tr>
      <w:tr w:rsidR="000F0B49" w:rsidRPr="00467A14" w14:paraId="265E1435" w14:textId="77777777">
        <w:trPr>
          <w:trHeight w:val="800"/>
        </w:trPr>
        <w:tc>
          <w:tcPr>
            <w:tcW w:w="3660" w:type="dxa"/>
            <w:tcBorders>
              <w:top w:val="nil"/>
              <w:left w:val="nil"/>
              <w:bottom w:val="nil"/>
              <w:right w:val="nil"/>
            </w:tcBorders>
            <w:tcMar>
              <w:top w:w="100" w:type="dxa"/>
              <w:left w:w="100" w:type="dxa"/>
              <w:bottom w:w="100" w:type="dxa"/>
              <w:right w:w="100" w:type="dxa"/>
            </w:tcMar>
          </w:tcPr>
          <w:p w14:paraId="3C23C6BF"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Surekha &amp; </w:t>
            </w:r>
            <w:proofErr w:type="spellStart"/>
            <w:r w:rsidRPr="00467A14">
              <w:rPr>
                <w:rFonts w:ascii="Times New Roman" w:eastAsia="Times New Roman" w:hAnsi="Times New Roman" w:cs="Times New Roman"/>
                <w:sz w:val="24"/>
                <w:szCs w:val="24"/>
              </w:rPr>
              <w:t>Thiruman</w:t>
            </w:r>
            <w:proofErr w:type="spellEnd"/>
            <w:r w:rsidRPr="00467A14">
              <w:rPr>
                <w:rFonts w:ascii="Times New Roman" w:eastAsia="Times New Roman" w:hAnsi="Times New Roman" w:cs="Times New Roman"/>
                <w:sz w:val="24"/>
                <w:szCs w:val="24"/>
              </w:rPr>
              <w:t xml:space="preserve"> (2018)</w:t>
            </w:r>
          </w:p>
        </w:tc>
        <w:tc>
          <w:tcPr>
            <w:tcW w:w="2505" w:type="dxa"/>
            <w:tcBorders>
              <w:top w:val="nil"/>
              <w:left w:val="nil"/>
              <w:bottom w:val="nil"/>
              <w:right w:val="nil"/>
            </w:tcBorders>
            <w:tcMar>
              <w:top w:w="100" w:type="dxa"/>
              <w:left w:w="100" w:type="dxa"/>
              <w:bottom w:w="100" w:type="dxa"/>
              <w:right w:w="100" w:type="dxa"/>
            </w:tcMar>
          </w:tcPr>
          <w:p w14:paraId="438C69E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Moderate</w:t>
            </w:r>
          </w:p>
        </w:tc>
        <w:tc>
          <w:tcPr>
            <w:tcW w:w="2565" w:type="dxa"/>
            <w:tcBorders>
              <w:top w:val="nil"/>
              <w:left w:val="nil"/>
              <w:bottom w:val="nil"/>
              <w:right w:val="nil"/>
            </w:tcBorders>
            <w:tcMar>
              <w:top w:w="100" w:type="dxa"/>
              <w:left w:w="100" w:type="dxa"/>
              <w:bottom w:w="100" w:type="dxa"/>
              <w:right w:w="100" w:type="dxa"/>
            </w:tcMar>
          </w:tcPr>
          <w:p w14:paraId="7CC86915"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2340" w:type="dxa"/>
            <w:tcBorders>
              <w:top w:val="nil"/>
              <w:left w:val="nil"/>
              <w:bottom w:val="nil"/>
              <w:right w:val="nil"/>
            </w:tcBorders>
            <w:tcMar>
              <w:top w:w="100" w:type="dxa"/>
              <w:left w:w="100" w:type="dxa"/>
              <w:bottom w:w="100" w:type="dxa"/>
              <w:right w:w="100" w:type="dxa"/>
            </w:tcMar>
          </w:tcPr>
          <w:p w14:paraId="2F744F7A"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Low</w:t>
            </w:r>
          </w:p>
        </w:tc>
        <w:tc>
          <w:tcPr>
            <w:tcW w:w="1875" w:type="dxa"/>
            <w:tcBorders>
              <w:top w:val="nil"/>
              <w:left w:val="nil"/>
              <w:bottom w:val="nil"/>
              <w:right w:val="nil"/>
            </w:tcBorders>
            <w:tcMar>
              <w:top w:w="100" w:type="dxa"/>
              <w:left w:w="100" w:type="dxa"/>
              <w:bottom w:w="100" w:type="dxa"/>
              <w:right w:w="100" w:type="dxa"/>
            </w:tcMar>
          </w:tcPr>
          <w:p w14:paraId="1C19D71C" w14:textId="77777777" w:rsidR="000F0B49" w:rsidRPr="00467A14" w:rsidRDefault="00F034B5" w:rsidP="003E6F0F">
            <w:pPr>
              <w:pStyle w:val="Heading1"/>
              <w:keepNext w:val="0"/>
              <w:keepLines w:val="0"/>
              <w:spacing w:before="0" w:after="0" w:line="240" w:lineRule="auto"/>
              <w:rPr>
                <w:rFonts w:ascii="Times New Roman" w:eastAsia="Times New Roman" w:hAnsi="Times New Roman" w:cs="Times New Roman"/>
                <w:sz w:val="24"/>
                <w:szCs w:val="24"/>
              </w:rPr>
            </w:pPr>
            <w:bookmarkStart w:id="43" w:name="_kjnqli3ep0tb" w:colFirst="0" w:colLast="0"/>
            <w:bookmarkEnd w:id="43"/>
            <w:r w:rsidRPr="00467A14">
              <w:rPr>
                <w:rFonts w:ascii="Times New Roman" w:eastAsia="Times New Roman" w:hAnsi="Times New Roman" w:cs="Times New Roman"/>
                <w:sz w:val="24"/>
                <w:szCs w:val="24"/>
              </w:rPr>
              <w:t>Moderate</w:t>
            </w:r>
          </w:p>
        </w:tc>
      </w:tr>
    </w:tbl>
    <w:p w14:paraId="0239F03A" w14:textId="77777777" w:rsidR="000F0B49" w:rsidRPr="00467A14" w:rsidRDefault="00F034B5" w:rsidP="003E6F0F">
      <w:pPr>
        <w:pStyle w:val="Heading3"/>
        <w:keepNext w:val="0"/>
        <w:keepLines w:val="0"/>
        <w:spacing w:before="280"/>
        <w:rPr>
          <w:rFonts w:ascii="Times New Roman" w:eastAsia="Times New Roman" w:hAnsi="Times New Roman" w:cs="Times New Roman"/>
          <w:color w:val="000000"/>
          <w:sz w:val="24"/>
          <w:szCs w:val="24"/>
        </w:rPr>
      </w:pPr>
      <w:bookmarkStart w:id="44" w:name="_qj772aws072l" w:colFirst="0" w:colLast="0"/>
      <w:bookmarkEnd w:id="44"/>
      <w:r w:rsidRPr="00467A14">
        <w:rPr>
          <w:rFonts w:ascii="Times New Roman" w:eastAsia="Times New Roman" w:hAnsi="Times New Roman" w:cs="Times New Roman"/>
          <w:b/>
          <w:bCs/>
          <w:color w:val="000000"/>
          <w:sz w:val="24"/>
          <w:szCs w:val="24"/>
        </w:rPr>
        <w:t xml:space="preserve">Note: </w:t>
      </w:r>
      <w:r w:rsidRPr="00467A14">
        <w:rPr>
          <w:rFonts w:ascii="Times New Roman" w:eastAsia="Times New Roman" w:hAnsi="Times New Roman" w:cs="Times New Roman"/>
          <w:color w:val="000000"/>
          <w:sz w:val="24"/>
          <w:szCs w:val="24"/>
        </w:rPr>
        <w:t xml:space="preserve">Quality assessment was performed using the Joanna Briggs </w:t>
      </w:r>
      <w:r w:rsidRPr="00467A14">
        <w:rPr>
          <w:rFonts w:ascii="Times New Roman" w:eastAsia="Times New Roman" w:hAnsi="Times New Roman" w:cs="Times New Roman"/>
          <w:color w:val="000000"/>
          <w:sz w:val="24"/>
          <w:szCs w:val="24"/>
        </w:rPr>
        <w:t xml:space="preserve">Institute (JBI) checklist for observational studies. Studies were rated as low, moderate, or high risk of bias across domains including selection, measurement, and reporting. Overall quality was determined based on the cumulative risk of bias across these </w:t>
      </w:r>
      <w:r w:rsidRPr="00467A14">
        <w:rPr>
          <w:rFonts w:ascii="Times New Roman" w:eastAsia="Times New Roman" w:hAnsi="Times New Roman" w:cs="Times New Roman"/>
          <w:color w:val="000000"/>
          <w:sz w:val="24"/>
          <w:szCs w:val="24"/>
        </w:rPr>
        <w:t>domains.</w:t>
      </w:r>
    </w:p>
    <w:p w14:paraId="03C192AD" w14:textId="77777777" w:rsidR="000F0B49" w:rsidRPr="00467A14" w:rsidRDefault="000F0B49" w:rsidP="003E6F0F">
      <w:pPr>
        <w:rPr>
          <w:rFonts w:ascii="Times New Roman" w:eastAsia="Times New Roman" w:hAnsi="Times New Roman" w:cs="Times New Roman"/>
          <w:sz w:val="24"/>
          <w:szCs w:val="24"/>
        </w:rPr>
        <w:sectPr w:rsidR="000F0B49" w:rsidRPr="00467A14">
          <w:pgSz w:w="15840" w:h="12240" w:orient="landscape"/>
          <w:pgMar w:top="1440" w:right="1440" w:bottom="1440" w:left="1440" w:header="720" w:footer="720" w:gutter="0"/>
          <w:cols w:space="720"/>
        </w:sectPr>
      </w:pPr>
    </w:p>
    <w:p w14:paraId="16D2BA33" w14:textId="77777777" w:rsidR="003E6F0F" w:rsidRPr="003E6F0F" w:rsidRDefault="003E6F0F" w:rsidP="003E6F0F">
      <w:pPr>
        <w:spacing w:before="240" w:after="240"/>
        <w:rPr>
          <w:rFonts w:ascii="Times New Roman" w:eastAsia="Times New Roman" w:hAnsi="Times New Roman" w:cs="Times New Roman"/>
          <w:sz w:val="24"/>
          <w:szCs w:val="24"/>
        </w:rPr>
      </w:pPr>
      <w:r w:rsidRPr="003E6F0F">
        <w:rPr>
          <w:rFonts w:ascii="Times New Roman" w:eastAsia="Times New Roman" w:hAnsi="Times New Roman" w:cs="Times New Roman"/>
          <w:sz w:val="24"/>
          <w:szCs w:val="24"/>
        </w:rPr>
        <w:lastRenderedPageBreak/>
        <w:t>COMPETING INTERESTS DISCLAIMER:</w:t>
      </w:r>
    </w:p>
    <w:p w14:paraId="753B3370" w14:textId="2D3DE8E1" w:rsidR="003E6F0F" w:rsidRDefault="003E6F0F" w:rsidP="003E6F0F">
      <w:pPr>
        <w:spacing w:before="240" w:after="240"/>
        <w:rPr>
          <w:rFonts w:ascii="Times New Roman" w:eastAsia="Times New Roman" w:hAnsi="Times New Roman" w:cs="Times New Roman"/>
          <w:b/>
          <w:bCs/>
          <w:sz w:val="24"/>
          <w:szCs w:val="24"/>
        </w:rPr>
      </w:pPr>
      <w:r w:rsidRPr="003E6F0F">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r w:rsidRPr="00467A14">
        <w:rPr>
          <w:rFonts w:ascii="Times New Roman" w:eastAsia="Times New Roman" w:hAnsi="Times New Roman" w:cs="Times New Roman"/>
          <w:sz w:val="24"/>
          <w:szCs w:val="24"/>
        </w:rPr>
        <w:br/>
      </w:r>
    </w:p>
    <w:p w14:paraId="2B770ABC" w14:textId="77777777" w:rsidR="003E6F0F" w:rsidRDefault="003E6F0F" w:rsidP="003E6F0F">
      <w:pPr>
        <w:spacing w:before="240" w:after="240"/>
        <w:rPr>
          <w:rFonts w:ascii="Times New Roman" w:eastAsia="Times New Roman" w:hAnsi="Times New Roman" w:cs="Times New Roman"/>
          <w:b/>
          <w:bCs/>
          <w:sz w:val="24"/>
          <w:szCs w:val="24"/>
        </w:rPr>
      </w:pPr>
    </w:p>
    <w:p w14:paraId="3424B3C5" w14:textId="7B314027" w:rsidR="000F0B49" w:rsidRPr="00467A14" w:rsidRDefault="00F034B5" w:rsidP="003E6F0F">
      <w:pPr>
        <w:spacing w:before="240" w:after="240"/>
        <w:rPr>
          <w:rFonts w:ascii="Times New Roman" w:eastAsia="Times New Roman" w:hAnsi="Times New Roman" w:cs="Times New Roman"/>
          <w:b/>
          <w:bCs/>
          <w:sz w:val="24"/>
          <w:szCs w:val="24"/>
        </w:rPr>
      </w:pPr>
      <w:r w:rsidRPr="00467A14">
        <w:rPr>
          <w:rFonts w:ascii="Times New Roman" w:eastAsia="Times New Roman" w:hAnsi="Times New Roman" w:cs="Times New Roman"/>
          <w:b/>
          <w:bCs/>
          <w:sz w:val="24"/>
          <w:szCs w:val="24"/>
        </w:rPr>
        <w:t>REFER</w:t>
      </w:r>
      <w:r w:rsidRPr="00467A14">
        <w:rPr>
          <w:rFonts w:ascii="Times New Roman" w:eastAsia="Times New Roman" w:hAnsi="Times New Roman" w:cs="Times New Roman"/>
          <w:b/>
          <w:bCs/>
          <w:sz w:val="24"/>
          <w:szCs w:val="24"/>
        </w:rPr>
        <w:t>ENCES</w:t>
      </w:r>
    </w:p>
    <w:p w14:paraId="7F114A85" w14:textId="77777777" w:rsidR="000F0B49" w:rsidRPr="00467A14" w:rsidRDefault="00F034B5" w:rsidP="003E6F0F">
      <w:pPr>
        <w:spacing w:before="240" w:after="240"/>
        <w:ind w:left="720" w:hanging="81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Abdelsalam, B. S., </w:t>
      </w:r>
      <w:proofErr w:type="spellStart"/>
      <w:r w:rsidRPr="00467A14">
        <w:rPr>
          <w:rFonts w:ascii="Times New Roman" w:eastAsia="Times New Roman" w:hAnsi="Times New Roman" w:cs="Times New Roman"/>
          <w:sz w:val="24"/>
          <w:szCs w:val="24"/>
        </w:rPr>
        <w:t>Bahga</w:t>
      </w:r>
      <w:proofErr w:type="spellEnd"/>
      <w:r w:rsidRPr="00467A14">
        <w:rPr>
          <w:rFonts w:ascii="Times New Roman" w:eastAsia="Times New Roman" w:hAnsi="Times New Roman" w:cs="Times New Roman"/>
          <w:sz w:val="24"/>
          <w:szCs w:val="24"/>
        </w:rPr>
        <w:t xml:space="preserve">, A. A., Khadiga, A. H., Samah, M. A. E., Mona, O. M., Nazik, M. H., Ghanem Mohammed Mahjaf, &amp; Hamad, M. N. M. (2026). Occurrence and clinical significance of thrombocytopenia in </w:t>
      </w:r>
      <w:r w:rsidRPr="00467A14">
        <w:rPr>
          <w:rFonts w:ascii="Times New Roman" w:eastAsia="Times New Roman" w:hAnsi="Times New Roman" w:cs="Times New Roman"/>
          <w:i/>
          <w:iCs/>
          <w:sz w:val="24"/>
          <w:szCs w:val="24"/>
        </w:rPr>
        <w:t>Plasmodium falciparum</w:t>
      </w:r>
      <w:r w:rsidRPr="00467A14">
        <w:rPr>
          <w:rFonts w:ascii="Times New Roman" w:eastAsia="Times New Roman" w:hAnsi="Times New Roman" w:cs="Times New Roman"/>
          <w:sz w:val="24"/>
          <w:szCs w:val="24"/>
        </w:rPr>
        <w:t xml:space="preserve"> and </w:t>
      </w:r>
      <w:r w:rsidRPr="00467A14">
        <w:rPr>
          <w:rFonts w:ascii="Times New Roman" w:eastAsia="Times New Roman" w:hAnsi="Times New Roman" w:cs="Times New Roman"/>
          <w:i/>
          <w:iCs/>
          <w:sz w:val="24"/>
          <w:szCs w:val="24"/>
        </w:rPr>
        <w:t>Plasmodium vivax</w:t>
      </w:r>
      <w:r w:rsidRPr="00467A14">
        <w:rPr>
          <w:rFonts w:ascii="Times New Roman" w:eastAsia="Times New Roman" w:hAnsi="Times New Roman" w:cs="Times New Roman"/>
          <w:sz w:val="24"/>
          <w:szCs w:val="24"/>
        </w:rPr>
        <w:t xml:space="preserve"> mala</w:t>
      </w:r>
      <w:r w:rsidRPr="00467A14">
        <w:rPr>
          <w:rFonts w:ascii="Times New Roman" w:eastAsia="Times New Roman" w:hAnsi="Times New Roman" w:cs="Times New Roman"/>
          <w:sz w:val="24"/>
          <w:szCs w:val="24"/>
        </w:rPr>
        <w:t xml:space="preserve">ria in </w:t>
      </w:r>
      <w:proofErr w:type="spellStart"/>
      <w:r w:rsidRPr="00467A14">
        <w:rPr>
          <w:rFonts w:ascii="Times New Roman" w:eastAsia="Times New Roman" w:hAnsi="Times New Roman" w:cs="Times New Roman"/>
          <w:sz w:val="24"/>
          <w:szCs w:val="24"/>
        </w:rPr>
        <w:t>Sinnar</w:t>
      </w:r>
      <w:proofErr w:type="spellEnd"/>
      <w:r w:rsidRPr="00467A14">
        <w:rPr>
          <w:rFonts w:ascii="Times New Roman" w:eastAsia="Times New Roman" w:hAnsi="Times New Roman" w:cs="Times New Roman"/>
          <w:sz w:val="24"/>
          <w:szCs w:val="24"/>
        </w:rPr>
        <w:t xml:space="preserve"> and Khartoum States, Sudan. </w:t>
      </w:r>
      <w:r w:rsidRPr="00467A14">
        <w:rPr>
          <w:rFonts w:ascii="Times New Roman" w:eastAsia="Times New Roman" w:hAnsi="Times New Roman" w:cs="Times New Roman"/>
          <w:i/>
          <w:iCs/>
          <w:sz w:val="24"/>
          <w:szCs w:val="24"/>
        </w:rPr>
        <w:t>SM Tropical Medicine Journal, 7</w:t>
      </w:r>
      <w:r w:rsidRPr="00467A14">
        <w:rPr>
          <w:rFonts w:ascii="Times New Roman" w:eastAsia="Times New Roman" w:hAnsi="Times New Roman" w:cs="Times New Roman"/>
          <w:sz w:val="24"/>
          <w:szCs w:val="24"/>
        </w:rPr>
        <w:t>(1), Article 3.</w:t>
      </w:r>
      <w:hyperlink r:id="rId14">
        <w:r w:rsidR="000F0B49" w:rsidRPr="00467A14">
          <w:rPr>
            <w:rFonts w:ascii="Times New Roman" w:eastAsia="Times New Roman" w:hAnsi="Times New Roman" w:cs="Times New Roman"/>
            <w:sz w:val="24"/>
            <w:szCs w:val="24"/>
          </w:rPr>
          <w:t xml:space="preserve"> </w:t>
        </w:r>
      </w:hyperlink>
      <w:hyperlink r:id="rId15">
        <w:r w:rsidR="000F0B49" w:rsidRPr="00467A14">
          <w:rPr>
            <w:rFonts w:ascii="Times New Roman" w:eastAsia="Times New Roman" w:hAnsi="Times New Roman" w:cs="Times New Roman"/>
            <w:sz w:val="24"/>
            <w:szCs w:val="24"/>
            <w:u w:val="single"/>
          </w:rPr>
          <w:t>https://www.jsmcentral.org/article-info/Occurrence-and-Clinical-Significance-of-Thrombocytopenia-in-Plasmodium-Falciparum-and-Plasmodium-Vivax-Malaria-in-Sinnar-and-Khartoum-States-Sudan</w:t>
        </w:r>
      </w:hyperlink>
    </w:p>
    <w:p w14:paraId="5564C996"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u w:val="single"/>
        </w:rPr>
      </w:pPr>
      <w:bookmarkStart w:id="45" w:name="_nldsv8r1ncys" w:colFirst="0" w:colLast="0"/>
      <w:bookmarkEnd w:id="45"/>
      <w:r w:rsidRPr="00467A14">
        <w:rPr>
          <w:rFonts w:ascii="Times New Roman" w:eastAsia="Times New Roman" w:hAnsi="Times New Roman" w:cs="Times New Roman"/>
          <w:sz w:val="24"/>
          <w:szCs w:val="24"/>
        </w:rPr>
        <w:t xml:space="preserve">Achame, M. S., Gedefie, A., Debash, H., Tesfaye, A., Tiruneh, K. T., &amp; </w:t>
      </w:r>
      <w:proofErr w:type="spellStart"/>
      <w:r w:rsidRPr="00467A14">
        <w:rPr>
          <w:rFonts w:ascii="Times New Roman" w:eastAsia="Times New Roman" w:hAnsi="Times New Roman" w:cs="Times New Roman"/>
          <w:sz w:val="24"/>
          <w:szCs w:val="24"/>
        </w:rPr>
        <w:t>Kassaw</w:t>
      </w:r>
      <w:proofErr w:type="spellEnd"/>
      <w:r w:rsidRPr="00467A14">
        <w:rPr>
          <w:rFonts w:ascii="Times New Roman" w:eastAsia="Times New Roman" w:hAnsi="Times New Roman" w:cs="Times New Roman"/>
          <w:sz w:val="24"/>
          <w:szCs w:val="24"/>
        </w:rPr>
        <w:t>, A. B. (2025). Prevalence of thrombocytopenia among patients with malaria in Ethiopia: A sys</w:t>
      </w:r>
      <w:r w:rsidRPr="00467A14">
        <w:rPr>
          <w:rFonts w:ascii="Times New Roman" w:eastAsia="Times New Roman" w:hAnsi="Times New Roman" w:cs="Times New Roman"/>
          <w:sz w:val="24"/>
          <w:szCs w:val="24"/>
        </w:rPr>
        <w:t xml:space="preserve">tematic review and metanalysis. </w:t>
      </w:r>
      <w:r w:rsidRPr="00467A14">
        <w:rPr>
          <w:rFonts w:ascii="Times New Roman" w:eastAsia="Times New Roman" w:hAnsi="Times New Roman" w:cs="Times New Roman"/>
          <w:i/>
          <w:iCs/>
          <w:sz w:val="24"/>
          <w:szCs w:val="24"/>
        </w:rPr>
        <w:t>Malaria Journal, 24</w:t>
      </w:r>
      <w:r w:rsidRPr="00467A14">
        <w:rPr>
          <w:rFonts w:ascii="Times New Roman" w:eastAsia="Times New Roman" w:hAnsi="Times New Roman" w:cs="Times New Roman"/>
          <w:sz w:val="24"/>
          <w:szCs w:val="24"/>
        </w:rPr>
        <w:t>, 61.</w:t>
      </w:r>
      <w:hyperlink r:id="rId16">
        <w:r w:rsidR="000F0B49" w:rsidRPr="00467A14">
          <w:rPr>
            <w:rFonts w:ascii="Times New Roman" w:eastAsia="Times New Roman" w:hAnsi="Times New Roman" w:cs="Times New Roman"/>
            <w:sz w:val="24"/>
            <w:szCs w:val="24"/>
            <w:u w:val="single"/>
          </w:rPr>
          <w:t xml:space="preserve"> </w:t>
        </w:r>
      </w:hyperlink>
      <w:hyperlink r:id="rId17">
        <w:r w:rsidR="000F0B49" w:rsidRPr="00467A14">
          <w:rPr>
            <w:rFonts w:ascii="Times New Roman" w:eastAsia="Times New Roman" w:hAnsi="Times New Roman" w:cs="Times New Roman"/>
            <w:sz w:val="24"/>
            <w:szCs w:val="24"/>
            <w:u w:val="single"/>
          </w:rPr>
          <w:t>https://doi.org/10.1186/s12936-025-05296-8</w:t>
        </w:r>
      </w:hyperlink>
    </w:p>
    <w:p w14:paraId="16966C11"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proofErr w:type="spellStart"/>
      <w:r w:rsidRPr="00467A14">
        <w:rPr>
          <w:rFonts w:ascii="Times New Roman" w:eastAsia="Times New Roman" w:hAnsi="Times New Roman" w:cs="Times New Roman"/>
          <w:sz w:val="24"/>
          <w:szCs w:val="24"/>
        </w:rPr>
        <w:t>Alawad</w:t>
      </w:r>
      <w:proofErr w:type="spellEnd"/>
      <w:r w:rsidRPr="00467A14">
        <w:rPr>
          <w:rFonts w:ascii="Times New Roman" w:eastAsia="Times New Roman" w:hAnsi="Times New Roman" w:cs="Times New Roman"/>
          <w:sz w:val="24"/>
          <w:szCs w:val="24"/>
        </w:rPr>
        <w:t xml:space="preserve">, H. A., </w:t>
      </w:r>
      <w:proofErr w:type="spellStart"/>
      <w:r w:rsidRPr="00467A14">
        <w:rPr>
          <w:rFonts w:ascii="Times New Roman" w:eastAsia="Times New Roman" w:hAnsi="Times New Roman" w:cs="Times New Roman"/>
          <w:sz w:val="24"/>
          <w:szCs w:val="24"/>
        </w:rPr>
        <w:t>Abdullmohsin</w:t>
      </w:r>
      <w:proofErr w:type="spellEnd"/>
      <w:r w:rsidRPr="00467A14">
        <w:rPr>
          <w:rFonts w:ascii="Times New Roman" w:eastAsia="Times New Roman" w:hAnsi="Times New Roman" w:cs="Times New Roman"/>
          <w:sz w:val="24"/>
          <w:szCs w:val="24"/>
        </w:rPr>
        <w:t xml:space="preserve"> Almay, A. R., </w:t>
      </w:r>
      <w:proofErr w:type="spellStart"/>
      <w:r w:rsidRPr="00467A14">
        <w:rPr>
          <w:rFonts w:ascii="Times New Roman" w:eastAsia="Times New Roman" w:hAnsi="Times New Roman" w:cs="Times New Roman"/>
          <w:sz w:val="24"/>
          <w:szCs w:val="24"/>
        </w:rPr>
        <w:t>Almusay</w:t>
      </w:r>
      <w:proofErr w:type="spellEnd"/>
      <w:r w:rsidRPr="00467A14">
        <w:rPr>
          <w:rFonts w:ascii="Times New Roman" w:eastAsia="Times New Roman" w:hAnsi="Times New Roman" w:cs="Times New Roman"/>
          <w:sz w:val="24"/>
          <w:szCs w:val="24"/>
        </w:rPr>
        <w:t xml:space="preserve">, W. H., Al </w:t>
      </w:r>
      <w:proofErr w:type="spellStart"/>
      <w:r w:rsidRPr="00467A14">
        <w:rPr>
          <w:rFonts w:ascii="Times New Roman" w:eastAsia="Times New Roman" w:hAnsi="Times New Roman" w:cs="Times New Roman"/>
          <w:sz w:val="24"/>
          <w:szCs w:val="24"/>
        </w:rPr>
        <w:t>Khamees</w:t>
      </w:r>
      <w:proofErr w:type="spellEnd"/>
      <w:r w:rsidRPr="00467A14">
        <w:rPr>
          <w:rFonts w:ascii="Times New Roman" w:eastAsia="Times New Roman" w:hAnsi="Times New Roman" w:cs="Times New Roman"/>
          <w:sz w:val="24"/>
          <w:szCs w:val="24"/>
        </w:rPr>
        <w:t xml:space="preserve">, M. A. M., Alkhomairi, R. I., Alsaffar, A. S., </w:t>
      </w:r>
      <w:proofErr w:type="spellStart"/>
      <w:r w:rsidRPr="00467A14">
        <w:rPr>
          <w:rFonts w:ascii="Times New Roman" w:eastAsia="Times New Roman" w:hAnsi="Times New Roman" w:cs="Times New Roman"/>
          <w:sz w:val="24"/>
          <w:szCs w:val="24"/>
        </w:rPr>
        <w:t>Aldakhil</w:t>
      </w:r>
      <w:proofErr w:type="spellEnd"/>
      <w:r w:rsidRPr="00467A14">
        <w:rPr>
          <w:rFonts w:ascii="Times New Roman" w:eastAsia="Times New Roman" w:hAnsi="Times New Roman" w:cs="Times New Roman"/>
          <w:sz w:val="24"/>
          <w:szCs w:val="24"/>
        </w:rPr>
        <w:t xml:space="preserve"> Allah, L. A., Almarri, J. M. S., Hussain Almuqahwi, H. A., </w:t>
      </w:r>
      <w:proofErr w:type="spellStart"/>
      <w:r w:rsidRPr="00467A14">
        <w:rPr>
          <w:rFonts w:ascii="Times New Roman" w:eastAsia="Times New Roman" w:hAnsi="Times New Roman" w:cs="Times New Roman"/>
          <w:sz w:val="24"/>
          <w:szCs w:val="24"/>
        </w:rPr>
        <w:t>Alkhaibari</w:t>
      </w:r>
      <w:proofErr w:type="spellEnd"/>
      <w:r w:rsidRPr="00467A14">
        <w:rPr>
          <w:rFonts w:ascii="Times New Roman" w:eastAsia="Times New Roman" w:hAnsi="Times New Roman" w:cs="Times New Roman"/>
          <w:sz w:val="24"/>
          <w:szCs w:val="24"/>
        </w:rPr>
        <w:t xml:space="preserve">, K. S. A., &amp; AlHamad, H. A. (2024). </w:t>
      </w:r>
      <w:r w:rsidRPr="00467A14">
        <w:rPr>
          <w:rFonts w:ascii="Times New Roman" w:eastAsia="Times New Roman" w:hAnsi="Times New Roman" w:cs="Times New Roman"/>
          <w:i/>
          <w:iCs/>
          <w:sz w:val="24"/>
          <w:szCs w:val="24"/>
        </w:rPr>
        <w:t>Malaria and thrombocytopenia: A systematic review an</w:t>
      </w:r>
      <w:r w:rsidRPr="00467A14">
        <w:rPr>
          <w:rFonts w:ascii="Times New Roman" w:eastAsia="Times New Roman" w:hAnsi="Times New Roman" w:cs="Times New Roman"/>
          <w:i/>
          <w:iCs/>
          <w:sz w:val="24"/>
          <w:szCs w:val="24"/>
        </w:rPr>
        <w:t xml:space="preserve">d </w:t>
      </w:r>
      <w:proofErr w:type="spellStart"/>
      <w:r w:rsidRPr="00467A14">
        <w:rPr>
          <w:rFonts w:ascii="Times New Roman" w:eastAsia="Times New Roman" w:hAnsi="Times New Roman" w:cs="Times New Roman"/>
          <w:i/>
          <w:iCs/>
          <w:sz w:val="24"/>
          <w:szCs w:val="24"/>
        </w:rPr>
        <w:t>metaanalysis</w:t>
      </w:r>
      <w:proofErr w:type="spellEnd"/>
      <w:r w:rsidRPr="00467A14">
        <w:rPr>
          <w:rFonts w:ascii="Times New Roman" w:eastAsia="Times New Roman" w:hAnsi="Times New Roman" w:cs="Times New Roman"/>
          <w:sz w:val="24"/>
          <w:szCs w:val="24"/>
        </w:rPr>
        <w:t xml:space="preserve">. </w:t>
      </w:r>
      <w:r w:rsidRPr="00467A14">
        <w:rPr>
          <w:rFonts w:ascii="Times New Roman" w:eastAsia="Times New Roman" w:hAnsi="Times New Roman" w:cs="Times New Roman"/>
          <w:i/>
          <w:iCs/>
          <w:sz w:val="24"/>
          <w:szCs w:val="24"/>
        </w:rPr>
        <w:t>International Journal of Scientific Research and Innovative Studies, 3</w:t>
      </w:r>
      <w:r w:rsidRPr="00467A14">
        <w:rPr>
          <w:rFonts w:ascii="Times New Roman" w:eastAsia="Times New Roman" w:hAnsi="Times New Roman" w:cs="Times New Roman"/>
          <w:sz w:val="24"/>
          <w:szCs w:val="24"/>
        </w:rPr>
        <w:t>(1), 28–31.</w:t>
      </w:r>
      <w:hyperlink r:id="rId18">
        <w:r w:rsidR="000F0B49" w:rsidRPr="00467A14">
          <w:rPr>
            <w:rFonts w:ascii="Times New Roman" w:eastAsia="Times New Roman" w:hAnsi="Times New Roman" w:cs="Times New Roman"/>
            <w:sz w:val="24"/>
            <w:szCs w:val="24"/>
            <w:u w:val="single"/>
          </w:rPr>
          <w:t xml:space="preserve"> </w:t>
        </w:r>
      </w:hyperlink>
      <w:hyperlink r:id="rId19">
        <w:r w:rsidR="000F0B49" w:rsidRPr="00467A14">
          <w:rPr>
            <w:rFonts w:ascii="Times New Roman" w:eastAsia="Times New Roman" w:hAnsi="Times New Roman" w:cs="Times New Roman"/>
            <w:sz w:val="24"/>
            <w:szCs w:val="24"/>
            <w:u w:val="single"/>
          </w:rPr>
          <w:t>https://doi.org/10.63883/ijsrisjournal.v3i1.485</w:t>
        </w:r>
      </w:hyperlink>
    </w:p>
    <w:p w14:paraId="23BC8339" w14:textId="77777777" w:rsidR="000F0B49" w:rsidRPr="00467A14" w:rsidRDefault="00F034B5" w:rsidP="003E6F0F">
      <w:pPr>
        <w:ind w:left="720" w:hanging="72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Ansah DM, Antwi MH, Anane S, Ashley JB, Serwaa AF. Assessment of Platelet Numbers and Prevalence of Thrombocytopenia among Children with Severe Malaria at a Tertiary Teaching Hospital. </w:t>
      </w:r>
      <w:r w:rsidRPr="00467A14">
        <w:rPr>
          <w:rFonts w:ascii="Times New Roman" w:eastAsia="Times New Roman" w:hAnsi="Times New Roman" w:cs="Times New Roman"/>
          <w:i/>
          <w:iCs/>
          <w:sz w:val="24"/>
          <w:szCs w:val="24"/>
        </w:rPr>
        <w:t>Journal of Biosciences and Medicines.</w:t>
      </w:r>
      <w:r w:rsidRPr="00467A14">
        <w:rPr>
          <w:rFonts w:ascii="Times New Roman" w:eastAsia="Times New Roman" w:hAnsi="Times New Roman" w:cs="Times New Roman"/>
          <w:sz w:val="24"/>
          <w:szCs w:val="24"/>
        </w:rPr>
        <w:t xml:space="preserve"> </w:t>
      </w:r>
      <w:proofErr w:type="gramStart"/>
      <w:r w:rsidRPr="00467A14">
        <w:rPr>
          <w:rFonts w:ascii="Times New Roman" w:eastAsia="Times New Roman" w:hAnsi="Times New Roman" w:cs="Times New Roman"/>
          <w:sz w:val="24"/>
          <w:szCs w:val="24"/>
        </w:rPr>
        <w:t>2021;9:52</w:t>
      </w:r>
      <w:proofErr w:type="gramEnd"/>
      <w:r w:rsidRPr="00467A14">
        <w:rPr>
          <w:rFonts w:ascii="Times New Roman" w:eastAsia="Times New Roman" w:hAnsi="Times New Roman" w:cs="Times New Roman"/>
          <w:sz w:val="24"/>
          <w:szCs w:val="24"/>
        </w:rPr>
        <w:t>–63. doi:10.4236/jbm.2021.91005.</w:t>
      </w:r>
    </w:p>
    <w:p w14:paraId="1202DA48"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rPr>
      </w:pPr>
      <w:bookmarkStart w:id="46" w:name="_m9hw5tdtitqf" w:colFirst="0" w:colLast="0"/>
      <w:bookmarkEnd w:id="46"/>
      <w:r w:rsidRPr="00467A14">
        <w:rPr>
          <w:rFonts w:ascii="Times New Roman" w:eastAsia="Times New Roman" w:hAnsi="Times New Roman" w:cs="Times New Roman"/>
          <w:sz w:val="24"/>
          <w:szCs w:val="24"/>
        </w:rPr>
        <w:t xml:space="preserve">Ansah, D. M., Antwi, M. H., Anane, S., Ashley, J. B., &amp; Serwaa, A. F. (2021). Assessment of platelet numbers and prevalence of thrombocytopenia among children with severe malaria at a tertiary teaching hospital. </w:t>
      </w:r>
      <w:r w:rsidRPr="00467A14">
        <w:rPr>
          <w:rFonts w:ascii="Times New Roman" w:eastAsia="Times New Roman" w:hAnsi="Times New Roman" w:cs="Times New Roman"/>
          <w:i/>
          <w:iCs/>
          <w:sz w:val="24"/>
          <w:szCs w:val="24"/>
        </w:rPr>
        <w:t xml:space="preserve">Journal of </w:t>
      </w:r>
      <w:r w:rsidRPr="00467A14">
        <w:rPr>
          <w:rFonts w:ascii="Times New Roman" w:eastAsia="Times New Roman" w:hAnsi="Times New Roman" w:cs="Times New Roman"/>
          <w:i/>
          <w:iCs/>
          <w:sz w:val="24"/>
          <w:szCs w:val="24"/>
        </w:rPr>
        <w:t>Biosciences and Medicines, 9</w:t>
      </w:r>
      <w:r w:rsidRPr="00467A14">
        <w:rPr>
          <w:rFonts w:ascii="Times New Roman" w:eastAsia="Times New Roman" w:hAnsi="Times New Roman" w:cs="Times New Roman"/>
          <w:sz w:val="24"/>
          <w:szCs w:val="24"/>
        </w:rPr>
        <w:t>(1). https://doi.org/10.4236/jbm.2021.91005</w:t>
      </w:r>
    </w:p>
    <w:p w14:paraId="127CB4F4"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lastRenderedPageBreak/>
        <w:t xml:space="preserve">Arif M, Jelia S, Meena SR, Meena S, Jain P, Ajmera D, Jatav VS, Agarwal V. A study of thrombocytopenia in malaria and its prognostic significance. </w:t>
      </w:r>
      <w:r w:rsidRPr="00467A14">
        <w:rPr>
          <w:rFonts w:ascii="Times New Roman" w:eastAsia="Times New Roman" w:hAnsi="Times New Roman" w:cs="Times New Roman"/>
          <w:i/>
          <w:iCs/>
          <w:sz w:val="24"/>
          <w:szCs w:val="24"/>
        </w:rPr>
        <w:t xml:space="preserve">International Journal of Research in </w:t>
      </w:r>
      <w:r w:rsidRPr="00467A14">
        <w:rPr>
          <w:rFonts w:ascii="Times New Roman" w:eastAsia="Times New Roman" w:hAnsi="Times New Roman" w:cs="Times New Roman"/>
          <w:i/>
          <w:iCs/>
          <w:sz w:val="24"/>
          <w:szCs w:val="24"/>
        </w:rPr>
        <w:t>Medical Sciences.</w:t>
      </w:r>
      <w:r w:rsidRPr="00467A14">
        <w:rPr>
          <w:rFonts w:ascii="Times New Roman" w:eastAsia="Times New Roman" w:hAnsi="Times New Roman" w:cs="Times New Roman"/>
          <w:sz w:val="24"/>
          <w:szCs w:val="24"/>
        </w:rPr>
        <w:t xml:space="preserve"> 2016;4(6):2373–2378. https://doi.org/10.18203/2320-6012.ijrms20161734</w:t>
      </w:r>
    </w:p>
    <w:p w14:paraId="5536C257" w14:textId="77777777" w:rsidR="000F0B49" w:rsidRPr="00467A14" w:rsidRDefault="00F034B5" w:rsidP="003E6F0F">
      <w:pPr>
        <w:spacing w:before="240" w:after="240"/>
        <w:ind w:left="720" w:hanging="72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Asmerom, H., Gemechu, K., </w:t>
      </w:r>
      <w:proofErr w:type="spellStart"/>
      <w:r w:rsidRPr="00467A14">
        <w:rPr>
          <w:rFonts w:ascii="Times New Roman" w:eastAsia="Times New Roman" w:hAnsi="Times New Roman" w:cs="Times New Roman"/>
          <w:sz w:val="24"/>
          <w:szCs w:val="24"/>
        </w:rPr>
        <w:t>Bete</w:t>
      </w:r>
      <w:proofErr w:type="spellEnd"/>
      <w:r w:rsidRPr="00467A14">
        <w:rPr>
          <w:rFonts w:ascii="Times New Roman" w:eastAsia="Times New Roman" w:hAnsi="Times New Roman" w:cs="Times New Roman"/>
          <w:sz w:val="24"/>
          <w:szCs w:val="24"/>
        </w:rPr>
        <w:t xml:space="preserve">, T., Sileshi, B., Gebremichael, B., Walle, M., &amp; </w:t>
      </w:r>
      <w:proofErr w:type="spellStart"/>
      <w:r w:rsidRPr="00467A14">
        <w:rPr>
          <w:rFonts w:ascii="Times New Roman" w:eastAsia="Times New Roman" w:hAnsi="Times New Roman" w:cs="Times New Roman"/>
          <w:sz w:val="24"/>
          <w:szCs w:val="24"/>
        </w:rPr>
        <w:t>Arkew</w:t>
      </w:r>
      <w:proofErr w:type="spellEnd"/>
      <w:r w:rsidRPr="00467A14">
        <w:rPr>
          <w:rFonts w:ascii="Times New Roman" w:eastAsia="Times New Roman" w:hAnsi="Times New Roman" w:cs="Times New Roman"/>
          <w:sz w:val="24"/>
          <w:szCs w:val="24"/>
        </w:rPr>
        <w:t>, M. (2023). Platelet parameters and their correlation with parasitemia levels amon</w:t>
      </w:r>
      <w:r w:rsidRPr="00467A14">
        <w:rPr>
          <w:rFonts w:ascii="Times New Roman" w:eastAsia="Times New Roman" w:hAnsi="Times New Roman" w:cs="Times New Roman"/>
          <w:sz w:val="24"/>
          <w:szCs w:val="24"/>
        </w:rPr>
        <w:t xml:space="preserve">g malaria infected adult patients at </w:t>
      </w:r>
      <w:proofErr w:type="spellStart"/>
      <w:r w:rsidRPr="00467A14">
        <w:rPr>
          <w:rFonts w:ascii="Times New Roman" w:eastAsia="Times New Roman" w:hAnsi="Times New Roman" w:cs="Times New Roman"/>
          <w:sz w:val="24"/>
          <w:szCs w:val="24"/>
        </w:rPr>
        <w:t>Jinella</w:t>
      </w:r>
      <w:proofErr w:type="spellEnd"/>
      <w:r w:rsidRPr="00467A14">
        <w:rPr>
          <w:rFonts w:ascii="Times New Roman" w:eastAsia="Times New Roman" w:hAnsi="Times New Roman" w:cs="Times New Roman"/>
          <w:sz w:val="24"/>
          <w:szCs w:val="24"/>
        </w:rPr>
        <w:t xml:space="preserve"> Health Center, Harar, Eastern Ethiopia: Comparative cross-sectional study. </w:t>
      </w:r>
      <w:r w:rsidRPr="00467A14">
        <w:rPr>
          <w:rFonts w:ascii="Times New Roman" w:eastAsia="Times New Roman" w:hAnsi="Times New Roman" w:cs="Times New Roman"/>
          <w:i/>
          <w:iCs/>
          <w:sz w:val="24"/>
          <w:szCs w:val="24"/>
        </w:rPr>
        <w:t>Journal of Blood Medicine, 14</w:t>
      </w:r>
      <w:r w:rsidRPr="00467A14">
        <w:rPr>
          <w:rFonts w:ascii="Times New Roman" w:eastAsia="Times New Roman" w:hAnsi="Times New Roman" w:cs="Times New Roman"/>
          <w:sz w:val="24"/>
          <w:szCs w:val="24"/>
        </w:rPr>
        <w:t>, 25–36. https://doi.org/10.2147/JBM.S394704</w:t>
      </w:r>
    </w:p>
    <w:p w14:paraId="30CA6B4F"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Asmerom, H., Gemechu, K., Sileshi, B., &amp; </w:t>
      </w:r>
      <w:proofErr w:type="spellStart"/>
      <w:r w:rsidRPr="00467A14">
        <w:rPr>
          <w:rFonts w:ascii="Times New Roman" w:eastAsia="Times New Roman" w:hAnsi="Times New Roman" w:cs="Times New Roman"/>
          <w:sz w:val="24"/>
          <w:szCs w:val="24"/>
        </w:rPr>
        <w:t>Arkew</w:t>
      </w:r>
      <w:proofErr w:type="spellEnd"/>
      <w:r w:rsidRPr="00467A14">
        <w:rPr>
          <w:rFonts w:ascii="Times New Roman" w:eastAsia="Times New Roman" w:hAnsi="Times New Roman" w:cs="Times New Roman"/>
          <w:sz w:val="24"/>
          <w:szCs w:val="24"/>
        </w:rPr>
        <w:t>, M. (2023). Hem</w:t>
      </w:r>
      <w:r w:rsidRPr="00467A14">
        <w:rPr>
          <w:rFonts w:ascii="Times New Roman" w:eastAsia="Times New Roman" w:hAnsi="Times New Roman" w:cs="Times New Roman"/>
          <w:sz w:val="24"/>
          <w:szCs w:val="24"/>
        </w:rPr>
        <w:t xml:space="preserve">atological abnormalities among malaria infected adult patients in association with ABO blood groups at </w:t>
      </w:r>
      <w:proofErr w:type="spellStart"/>
      <w:r w:rsidRPr="00467A14">
        <w:rPr>
          <w:rFonts w:ascii="Times New Roman" w:eastAsia="Times New Roman" w:hAnsi="Times New Roman" w:cs="Times New Roman"/>
          <w:sz w:val="24"/>
          <w:szCs w:val="24"/>
        </w:rPr>
        <w:t>Jinella</w:t>
      </w:r>
      <w:proofErr w:type="spellEnd"/>
      <w:r w:rsidRPr="00467A14">
        <w:rPr>
          <w:rFonts w:ascii="Times New Roman" w:eastAsia="Times New Roman" w:hAnsi="Times New Roman" w:cs="Times New Roman"/>
          <w:sz w:val="24"/>
          <w:szCs w:val="24"/>
        </w:rPr>
        <w:t xml:space="preserve"> Health Center, Harar, Eastern Ethiopia. </w:t>
      </w:r>
      <w:r w:rsidRPr="00467A14">
        <w:rPr>
          <w:rFonts w:ascii="Times New Roman" w:eastAsia="Times New Roman" w:hAnsi="Times New Roman" w:cs="Times New Roman"/>
          <w:i/>
          <w:iCs/>
          <w:sz w:val="24"/>
          <w:szCs w:val="24"/>
        </w:rPr>
        <w:t>Journal of Blood Medicine, 14</w:t>
      </w:r>
      <w:r w:rsidRPr="00467A14">
        <w:rPr>
          <w:rFonts w:ascii="Times New Roman" w:eastAsia="Times New Roman" w:hAnsi="Times New Roman" w:cs="Times New Roman"/>
          <w:sz w:val="24"/>
          <w:szCs w:val="24"/>
        </w:rPr>
        <w:t>, 463–476.</w:t>
      </w:r>
      <w:hyperlink r:id="rId20">
        <w:r w:rsidR="000F0B49" w:rsidRPr="00467A14">
          <w:rPr>
            <w:rFonts w:ascii="Times New Roman" w:eastAsia="Times New Roman" w:hAnsi="Times New Roman" w:cs="Times New Roman"/>
            <w:sz w:val="24"/>
            <w:szCs w:val="24"/>
            <w:u w:val="single"/>
          </w:rPr>
          <w:t xml:space="preserve"> </w:t>
        </w:r>
      </w:hyperlink>
      <w:hyperlink r:id="rId21">
        <w:r w:rsidR="000F0B49" w:rsidRPr="00467A14">
          <w:rPr>
            <w:rFonts w:ascii="Times New Roman" w:eastAsia="Times New Roman" w:hAnsi="Times New Roman" w:cs="Times New Roman"/>
            <w:sz w:val="24"/>
            <w:szCs w:val="24"/>
            <w:u w:val="single"/>
          </w:rPr>
          <w:t>https://doi.org/10.2147/JBM.S419815</w:t>
        </w:r>
      </w:hyperlink>
    </w:p>
    <w:p w14:paraId="60837829"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proofErr w:type="spellStart"/>
      <w:r w:rsidRPr="00467A14">
        <w:rPr>
          <w:rFonts w:ascii="Times New Roman" w:eastAsia="Times New Roman" w:hAnsi="Times New Roman" w:cs="Times New Roman"/>
          <w:sz w:val="24"/>
          <w:szCs w:val="24"/>
        </w:rPr>
        <w:t>Bayleyegn</w:t>
      </w:r>
      <w:proofErr w:type="spellEnd"/>
      <w:r w:rsidRPr="00467A14">
        <w:rPr>
          <w:rFonts w:ascii="Times New Roman" w:eastAsia="Times New Roman" w:hAnsi="Times New Roman" w:cs="Times New Roman"/>
          <w:sz w:val="24"/>
          <w:szCs w:val="24"/>
        </w:rPr>
        <w:t xml:space="preserve">, B., </w:t>
      </w:r>
      <w:proofErr w:type="spellStart"/>
      <w:r w:rsidRPr="00467A14">
        <w:rPr>
          <w:rFonts w:ascii="Times New Roman" w:eastAsia="Times New Roman" w:hAnsi="Times New Roman" w:cs="Times New Roman"/>
          <w:sz w:val="24"/>
          <w:szCs w:val="24"/>
        </w:rPr>
        <w:t>Asrie</w:t>
      </w:r>
      <w:proofErr w:type="spellEnd"/>
      <w:r w:rsidRPr="00467A14">
        <w:rPr>
          <w:rFonts w:ascii="Times New Roman" w:eastAsia="Times New Roman" w:hAnsi="Times New Roman" w:cs="Times New Roman"/>
          <w:sz w:val="24"/>
          <w:szCs w:val="24"/>
        </w:rPr>
        <w:t xml:space="preserve">, F., Yalew, A., &amp; Woldu, B. (2021). Role of platelet indices as a potential marker for malaria severity. </w:t>
      </w:r>
      <w:r w:rsidRPr="00467A14">
        <w:rPr>
          <w:rFonts w:ascii="Times New Roman" w:eastAsia="Times New Roman" w:hAnsi="Times New Roman" w:cs="Times New Roman"/>
          <w:i/>
          <w:iCs/>
          <w:sz w:val="24"/>
          <w:szCs w:val="24"/>
        </w:rPr>
        <w:t>Journal of Parasitology Research, 2021</w:t>
      </w:r>
      <w:r w:rsidRPr="00467A14">
        <w:rPr>
          <w:rFonts w:ascii="Times New Roman" w:eastAsia="Times New Roman" w:hAnsi="Times New Roman" w:cs="Times New Roman"/>
          <w:sz w:val="24"/>
          <w:szCs w:val="24"/>
        </w:rPr>
        <w:t>, Article 5</w:t>
      </w:r>
      <w:r w:rsidRPr="00467A14">
        <w:rPr>
          <w:rFonts w:ascii="Times New Roman" w:eastAsia="Times New Roman" w:hAnsi="Times New Roman" w:cs="Times New Roman"/>
          <w:sz w:val="24"/>
          <w:szCs w:val="24"/>
        </w:rPr>
        <w:t>531091.</w:t>
      </w:r>
      <w:hyperlink r:id="rId22">
        <w:r w:rsidR="000F0B49" w:rsidRPr="00467A14">
          <w:rPr>
            <w:rFonts w:ascii="Times New Roman" w:eastAsia="Times New Roman" w:hAnsi="Times New Roman" w:cs="Times New Roman"/>
            <w:sz w:val="24"/>
            <w:szCs w:val="24"/>
          </w:rPr>
          <w:t xml:space="preserve"> </w:t>
        </w:r>
      </w:hyperlink>
      <w:hyperlink r:id="rId23">
        <w:r w:rsidR="000F0B49" w:rsidRPr="00467A14">
          <w:rPr>
            <w:rFonts w:ascii="Times New Roman" w:eastAsia="Times New Roman" w:hAnsi="Times New Roman" w:cs="Times New Roman"/>
            <w:sz w:val="24"/>
            <w:szCs w:val="24"/>
            <w:u w:val="single"/>
          </w:rPr>
          <w:t>https://doi.org/10.1155/2021/5531091</w:t>
        </w:r>
      </w:hyperlink>
    </w:p>
    <w:p w14:paraId="2EA59B28" w14:textId="77777777" w:rsidR="000F0B49" w:rsidRPr="00467A14" w:rsidRDefault="00F034B5" w:rsidP="003E6F0F">
      <w:pPr>
        <w:spacing w:before="240" w:after="240"/>
        <w:ind w:left="720" w:hanging="72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Bhandary N, G S V, Shetty H. Thrombocytopenia in malaria: A clinical study. </w:t>
      </w:r>
      <w:r w:rsidRPr="00467A14">
        <w:rPr>
          <w:rFonts w:ascii="Times New Roman" w:eastAsia="Times New Roman" w:hAnsi="Times New Roman" w:cs="Times New Roman"/>
          <w:i/>
          <w:iCs/>
          <w:sz w:val="24"/>
          <w:szCs w:val="24"/>
        </w:rPr>
        <w:t>Biomedical Research.</w:t>
      </w:r>
      <w:r w:rsidRPr="00467A14">
        <w:rPr>
          <w:rFonts w:ascii="Times New Roman" w:eastAsia="Times New Roman" w:hAnsi="Times New Roman" w:cs="Times New Roman"/>
          <w:sz w:val="24"/>
          <w:szCs w:val="24"/>
        </w:rPr>
        <w:t xml:space="preserve"> 2011;22(4).</w:t>
      </w:r>
    </w:p>
    <w:p w14:paraId="223E1457"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Cleveland Clinic. (2022, October 20). </w:t>
      </w:r>
      <w:r w:rsidRPr="00467A14">
        <w:rPr>
          <w:rFonts w:ascii="Times New Roman" w:eastAsia="Times New Roman" w:hAnsi="Times New Roman" w:cs="Times New Roman"/>
          <w:i/>
          <w:iCs/>
          <w:sz w:val="24"/>
          <w:szCs w:val="24"/>
        </w:rPr>
        <w:t>Thrombocytopenia.</w:t>
      </w:r>
      <w:hyperlink r:id="rId24">
        <w:r w:rsidR="000F0B49" w:rsidRPr="00467A14">
          <w:rPr>
            <w:rFonts w:ascii="Times New Roman" w:eastAsia="Times New Roman" w:hAnsi="Times New Roman" w:cs="Times New Roman"/>
            <w:sz w:val="24"/>
            <w:szCs w:val="24"/>
            <w:u w:val="single"/>
          </w:rPr>
          <w:t xml:space="preserve"> </w:t>
        </w:r>
      </w:hyperlink>
      <w:hyperlink r:id="rId25">
        <w:r w:rsidR="000F0B49" w:rsidRPr="00467A14">
          <w:rPr>
            <w:rFonts w:ascii="Times New Roman" w:eastAsia="Times New Roman" w:hAnsi="Times New Roman" w:cs="Times New Roman"/>
            <w:sz w:val="24"/>
            <w:szCs w:val="24"/>
            <w:u w:val="single"/>
          </w:rPr>
          <w:t>https://my.clevelandclinic.org/health/diseases/14430-thrombocytopenia</w:t>
        </w:r>
      </w:hyperlink>
    </w:p>
    <w:p w14:paraId="429F1A08"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u w:val="single"/>
        </w:rPr>
      </w:pPr>
      <w:bookmarkStart w:id="47" w:name="_wn9ou8wwpj28" w:colFirst="0" w:colLast="0"/>
      <w:bookmarkEnd w:id="47"/>
      <w:r w:rsidRPr="00467A14">
        <w:rPr>
          <w:rFonts w:ascii="Times New Roman" w:eastAsia="Times New Roman" w:hAnsi="Times New Roman" w:cs="Times New Roman"/>
          <w:sz w:val="24"/>
          <w:szCs w:val="24"/>
        </w:rPr>
        <w:t>Coelho, H. C. C., Lopes, S. C. P., Pimentel, J. P. D., Nogueira, P. A., Costa, F. T. M., Siqueira, A. M., Melo, G. C., Monteiro, W. M., Malheiro, A., &amp; Lacerda, M. V. G. (2</w:t>
      </w:r>
      <w:r w:rsidRPr="00467A14">
        <w:rPr>
          <w:rFonts w:ascii="Times New Roman" w:eastAsia="Times New Roman" w:hAnsi="Times New Roman" w:cs="Times New Roman"/>
          <w:sz w:val="24"/>
          <w:szCs w:val="24"/>
        </w:rPr>
        <w:t xml:space="preserve">013). Thrombocytopenia in </w:t>
      </w:r>
      <w:r w:rsidRPr="00467A14">
        <w:rPr>
          <w:rFonts w:ascii="Times New Roman" w:eastAsia="Times New Roman" w:hAnsi="Times New Roman" w:cs="Times New Roman"/>
          <w:i/>
          <w:iCs/>
          <w:sz w:val="24"/>
          <w:szCs w:val="24"/>
        </w:rPr>
        <w:t>Plasmodium vivax</w:t>
      </w:r>
      <w:r w:rsidRPr="00467A14">
        <w:rPr>
          <w:rFonts w:ascii="Times New Roman" w:eastAsia="Times New Roman" w:hAnsi="Times New Roman" w:cs="Times New Roman"/>
          <w:sz w:val="24"/>
          <w:szCs w:val="24"/>
        </w:rPr>
        <w:t xml:space="preserve"> malaria is related to platelets phagocytosis. </w:t>
      </w:r>
      <w:r w:rsidRPr="00467A14">
        <w:rPr>
          <w:rFonts w:ascii="Times New Roman" w:eastAsia="Times New Roman" w:hAnsi="Times New Roman" w:cs="Times New Roman"/>
          <w:i/>
          <w:iCs/>
          <w:sz w:val="24"/>
          <w:szCs w:val="24"/>
        </w:rPr>
        <w:t>PLOS ONE, 8</w:t>
      </w:r>
      <w:r w:rsidRPr="00467A14">
        <w:rPr>
          <w:rFonts w:ascii="Times New Roman" w:eastAsia="Times New Roman" w:hAnsi="Times New Roman" w:cs="Times New Roman"/>
          <w:sz w:val="24"/>
          <w:szCs w:val="24"/>
        </w:rPr>
        <w:t>(5), e63410.</w:t>
      </w:r>
      <w:hyperlink r:id="rId26">
        <w:r w:rsidR="000F0B49" w:rsidRPr="00467A14">
          <w:rPr>
            <w:rFonts w:ascii="Times New Roman" w:eastAsia="Times New Roman" w:hAnsi="Times New Roman" w:cs="Times New Roman"/>
            <w:sz w:val="24"/>
            <w:szCs w:val="24"/>
            <w:u w:val="single"/>
          </w:rPr>
          <w:t xml:space="preserve"> </w:t>
        </w:r>
      </w:hyperlink>
      <w:hyperlink r:id="rId27">
        <w:r w:rsidR="000F0B49" w:rsidRPr="00467A14">
          <w:rPr>
            <w:rFonts w:ascii="Times New Roman" w:eastAsia="Times New Roman" w:hAnsi="Times New Roman" w:cs="Times New Roman"/>
            <w:sz w:val="24"/>
            <w:szCs w:val="24"/>
            <w:u w:val="single"/>
          </w:rPr>
          <w:t>https://doi.org/10.1371/journal.pone.0063410</w:t>
        </w:r>
      </w:hyperlink>
    </w:p>
    <w:p w14:paraId="6CB6893C"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rPr>
      </w:pPr>
      <w:bookmarkStart w:id="48" w:name="_k543ab1laj2k" w:colFirst="0" w:colLast="0"/>
      <w:bookmarkEnd w:id="48"/>
      <w:r w:rsidRPr="00467A14">
        <w:rPr>
          <w:rFonts w:ascii="Times New Roman" w:eastAsia="Times New Roman" w:hAnsi="Times New Roman" w:cs="Times New Roman"/>
          <w:sz w:val="24"/>
          <w:szCs w:val="24"/>
        </w:rPr>
        <w:t xml:space="preserve">Devineni, S. B., Suneetha, O., &amp; Harshavardhan, N. (2015). Study of platelet count in malaria patients and the correlation between the presence and severity of platelet count with type of malaria. </w:t>
      </w:r>
      <w:r w:rsidRPr="00467A14">
        <w:rPr>
          <w:rFonts w:ascii="Times New Roman" w:eastAsia="Times New Roman" w:hAnsi="Times New Roman" w:cs="Times New Roman"/>
          <w:i/>
          <w:iCs/>
          <w:sz w:val="24"/>
          <w:szCs w:val="24"/>
        </w:rPr>
        <w:t>Journal of Evolution of Medic</w:t>
      </w:r>
      <w:r w:rsidRPr="00467A14">
        <w:rPr>
          <w:rFonts w:ascii="Times New Roman" w:eastAsia="Times New Roman" w:hAnsi="Times New Roman" w:cs="Times New Roman"/>
          <w:i/>
          <w:iCs/>
          <w:sz w:val="24"/>
          <w:szCs w:val="24"/>
        </w:rPr>
        <w:t>al and Dental Sciences, 4</w:t>
      </w:r>
      <w:r w:rsidRPr="00467A14">
        <w:rPr>
          <w:rFonts w:ascii="Times New Roman" w:eastAsia="Times New Roman" w:hAnsi="Times New Roman" w:cs="Times New Roman"/>
          <w:sz w:val="24"/>
          <w:szCs w:val="24"/>
        </w:rPr>
        <w:t>(67), 11734–11746. https://doi.org/10.14260/jemds/2015/1691</w:t>
      </w:r>
    </w:p>
    <w:p w14:paraId="31BBA4F4"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rPr>
      </w:pPr>
      <w:bookmarkStart w:id="49" w:name="_vfj8uo7h4gwq" w:colFirst="0" w:colLast="0"/>
      <w:bookmarkEnd w:id="49"/>
      <w:r w:rsidRPr="00467A14">
        <w:rPr>
          <w:rFonts w:ascii="Times New Roman" w:eastAsia="Times New Roman" w:hAnsi="Times New Roman" w:cs="Times New Roman"/>
          <w:sz w:val="24"/>
          <w:szCs w:val="24"/>
        </w:rPr>
        <w:t xml:space="preserve">Ebraheem, A. A., Abdelrahim, Y. H., </w:t>
      </w:r>
      <w:proofErr w:type="spellStart"/>
      <w:r w:rsidRPr="00467A14">
        <w:rPr>
          <w:rFonts w:ascii="Times New Roman" w:eastAsia="Times New Roman" w:hAnsi="Times New Roman" w:cs="Times New Roman"/>
          <w:sz w:val="24"/>
          <w:szCs w:val="24"/>
        </w:rPr>
        <w:t>Gibreel</w:t>
      </w:r>
      <w:proofErr w:type="spellEnd"/>
      <w:r w:rsidRPr="00467A14">
        <w:rPr>
          <w:rFonts w:ascii="Times New Roman" w:eastAsia="Times New Roman" w:hAnsi="Times New Roman" w:cs="Times New Roman"/>
          <w:sz w:val="24"/>
          <w:szCs w:val="24"/>
        </w:rPr>
        <w:t xml:space="preserve">, A. A., </w:t>
      </w:r>
      <w:proofErr w:type="spellStart"/>
      <w:r w:rsidRPr="00467A14">
        <w:rPr>
          <w:rFonts w:ascii="Times New Roman" w:eastAsia="Times New Roman" w:hAnsi="Times New Roman" w:cs="Times New Roman"/>
          <w:sz w:val="24"/>
          <w:szCs w:val="24"/>
        </w:rPr>
        <w:t>MohamedAhmed</w:t>
      </w:r>
      <w:proofErr w:type="spellEnd"/>
      <w:r w:rsidRPr="00467A14">
        <w:rPr>
          <w:rFonts w:ascii="Times New Roman" w:eastAsia="Times New Roman" w:hAnsi="Times New Roman" w:cs="Times New Roman"/>
          <w:sz w:val="24"/>
          <w:szCs w:val="24"/>
        </w:rPr>
        <w:t xml:space="preserve">, A. A. E., Nour, B. Y. M., Abdalla, A. O., Ahmed, H. M., &amp; Ahmed, E. A. (2025). Thrombocytopenia due to </w:t>
      </w:r>
      <w:r w:rsidRPr="00467A14">
        <w:rPr>
          <w:rFonts w:ascii="Times New Roman" w:eastAsia="Times New Roman" w:hAnsi="Times New Roman" w:cs="Times New Roman"/>
          <w:i/>
          <w:iCs/>
          <w:sz w:val="24"/>
          <w:szCs w:val="24"/>
        </w:rPr>
        <w:t>Pl</w:t>
      </w:r>
      <w:r w:rsidRPr="00467A14">
        <w:rPr>
          <w:rFonts w:ascii="Times New Roman" w:eastAsia="Times New Roman" w:hAnsi="Times New Roman" w:cs="Times New Roman"/>
          <w:i/>
          <w:iCs/>
          <w:sz w:val="24"/>
          <w:szCs w:val="24"/>
        </w:rPr>
        <w:t>asmodium falciparum</w:t>
      </w:r>
      <w:r w:rsidRPr="00467A14">
        <w:rPr>
          <w:rFonts w:ascii="Times New Roman" w:eastAsia="Times New Roman" w:hAnsi="Times New Roman" w:cs="Times New Roman"/>
          <w:sz w:val="24"/>
          <w:szCs w:val="24"/>
        </w:rPr>
        <w:t xml:space="preserve"> infection and its association with clinical symptoms, Wad </w:t>
      </w:r>
      <w:proofErr w:type="spellStart"/>
      <w:r w:rsidRPr="00467A14">
        <w:rPr>
          <w:rFonts w:ascii="Times New Roman" w:eastAsia="Times New Roman" w:hAnsi="Times New Roman" w:cs="Times New Roman"/>
          <w:sz w:val="24"/>
          <w:szCs w:val="24"/>
        </w:rPr>
        <w:t>Medani</w:t>
      </w:r>
      <w:proofErr w:type="spellEnd"/>
      <w:r w:rsidRPr="00467A14">
        <w:rPr>
          <w:rFonts w:ascii="Times New Roman" w:eastAsia="Times New Roman" w:hAnsi="Times New Roman" w:cs="Times New Roman"/>
          <w:sz w:val="24"/>
          <w:szCs w:val="24"/>
        </w:rPr>
        <w:t xml:space="preserve"> Teaching Hospital, Sudan. </w:t>
      </w:r>
      <w:r w:rsidRPr="00467A14">
        <w:rPr>
          <w:rFonts w:ascii="Times New Roman" w:eastAsia="Times New Roman" w:hAnsi="Times New Roman" w:cs="Times New Roman"/>
          <w:i/>
          <w:iCs/>
          <w:sz w:val="24"/>
          <w:szCs w:val="24"/>
        </w:rPr>
        <w:t>European Journal of Medical and Health Sciences, 7</w:t>
      </w:r>
      <w:r w:rsidRPr="00467A14">
        <w:rPr>
          <w:rFonts w:ascii="Times New Roman" w:eastAsia="Times New Roman" w:hAnsi="Times New Roman" w:cs="Times New Roman"/>
          <w:sz w:val="24"/>
          <w:szCs w:val="24"/>
        </w:rPr>
        <w:t>(1). https://doi.org/10.24018/ejmed.2025.7.1.2229</w:t>
      </w:r>
    </w:p>
    <w:p w14:paraId="06B3FCAF"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proofErr w:type="spellStart"/>
      <w:r w:rsidRPr="00467A14">
        <w:rPr>
          <w:rFonts w:ascii="Times New Roman" w:eastAsia="Times New Roman" w:hAnsi="Times New Roman" w:cs="Times New Roman"/>
          <w:sz w:val="24"/>
          <w:szCs w:val="24"/>
        </w:rPr>
        <w:lastRenderedPageBreak/>
        <w:t>Gebreweld</w:t>
      </w:r>
      <w:proofErr w:type="spellEnd"/>
      <w:r w:rsidRPr="00467A14">
        <w:rPr>
          <w:rFonts w:ascii="Times New Roman" w:eastAsia="Times New Roman" w:hAnsi="Times New Roman" w:cs="Times New Roman"/>
          <w:sz w:val="24"/>
          <w:szCs w:val="24"/>
        </w:rPr>
        <w:t xml:space="preserve">, A., </w:t>
      </w:r>
      <w:proofErr w:type="spellStart"/>
      <w:r w:rsidRPr="00467A14">
        <w:rPr>
          <w:rFonts w:ascii="Times New Roman" w:eastAsia="Times New Roman" w:hAnsi="Times New Roman" w:cs="Times New Roman"/>
          <w:sz w:val="24"/>
          <w:szCs w:val="24"/>
        </w:rPr>
        <w:t>Erkihun</w:t>
      </w:r>
      <w:proofErr w:type="spellEnd"/>
      <w:r w:rsidRPr="00467A14">
        <w:rPr>
          <w:rFonts w:ascii="Times New Roman" w:eastAsia="Times New Roman" w:hAnsi="Times New Roman" w:cs="Times New Roman"/>
          <w:sz w:val="24"/>
          <w:szCs w:val="24"/>
        </w:rPr>
        <w:t>, Y., Feleke, D. G., Ha</w:t>
      </w:r>
      <w:r w:rsidRPr="00467A14">
        <w:rPr>
          <w:rFonts w:ascii="Times New Roman" w:eastAsia="Times New Roman" w:hAnsi="Times New Roman" w:cs="Times New Roman"/>
          <w:sz w:val="24"/>
          <w:szCs w:val="24"/>
        </w:rPr>
        <w:t xml:space="preserve">ilu, G., &amp; Fiseha, T. (2021). Thrombocytopenia as a diagnostic marker for malaria in patients with acute febrile illness. </w:t>
      </w:r>
      <w:r w:rsidRPr="00467A14">
        <w:rPr>
          <w:rFonts w:ascii="Times New Roman" w:eastAsia="Times New Roman" w:hAnsi="Times New Roman" w:cs="Times New Roman"/>
          <w:i/>
          <w:iCs/>
          <w:sz w:val="24"/>
          <w:szCs w:val="24"/>
        </w:rPr>
        <w:t>Journal of Tropical Medicine, 2021</w:t>
      </w:r>
      <w:r w:rsidRPr="00467A14">
        <w:rPr>
          <w:rFonts w:ascii="Times New Roman" w:eastAsia="Times New Roman" w:hAnsi="Times New Roman" w:cs="Times New Roman"/>
          <w:sz w:val="24"/>
          <w:szCs w:val="24"/>
        </w:rPr>
        <w:t>, 5585272.</w:t>
      </w:r>
      <w:hyperlink r:id="rId28">
        <w:r w:rsidR="000F0B49" w:rsidRPr="00467A14">
          <w:rPr>
            <w:rFonts w:ascii="Times New Roman" w:eastAsia="Times New Roman" w:hAnsi="Times New Roman" w:cs="Times New Roman"/>
            <w:sz w:val="24"/>
            <w:szCs w:val="24"/>
          </w:rPr>
          <w:t xml:space="preserve"> </w:t>
        </w:r>
      </w:hyperlink>
      <w:hyperlink r:id="rId29">
        <w:r w:rsidR="000F0B49" w:rsidRPr="00467A14">
          <w:rPr>
            <w:rFonts w:ascii="Times New Roman" w:eastAsia="Times New Roman" w:hAnsi="Times New Roman" w:cs="Times New Roman"/>
            <w:sz w:val="24"/>
            <w:szCs w:val="24"/>
            <w:u w:val="single"/>
          </w:rPr>
          <w:t>https://doi.org/10.1155/2021/5585272</w:t>
        </w:r>
      </w:hyperlink>
    </w:p>
    <w:p w14:paraId="41F18976" w14:textId="77777777" w:rsidR="000F0B49" w:rsidRPr="00467A14" w:rsidRDefault="00F034B5" w:rsidP="003E6F0F">
      <w:pPr>
        <w:spacing w:before="240" w:after="240"/>
        <w:ind w:left="720" w:hanging="72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Gupta, N. K., Bansal, S. B., Jain, U. C., &amp; </w:t>
      </w:r>
      <w:proofErr w:type="spellStart"/>
      <w:r w:rsidRPr="00467A14">
        <w:rPr>
          <w:rFonts w:ascii="Times New Roman" w:eastAsia="Times New Roman" w:hAnsi="Times New Roman" w:cs="Times New Roman"/>
          <w:sz w:val="24"/>
          <w:szCs w:val="24"/>
        </w:rPr>
        <w:t>Sahare</w:t>
      </w:r>
      <w:proofErr w:type="spellEnd"/>
      <w:r w:rsidRPr="00467A14">
        <w:rPr>
          <w:rFonts w:ascii="Times New Roman" w:eastAsia="Times New Roman" w:hAnsi="Times New Roman" w:cs="Times New Roman"/>
          <w:sz w:val="24"/>
          <w:szCs w:val="24"/>
        </w:rPr>
        <w:t xml:space="preserve">, K. (2013). Study of thrombocytopenia in patients of malaria. </w:t>
      </w:r>
      <w:r w:rsidRPr="00467A14">
        <w:rPr>
          <w:rFonts w:ascii="Times New Roman" w:eastAsia="Times New Roman" w:hAnsi="Times New Roman" w:cs="Times New Roman"/>
          <w:i/>
          <w:iCs/>
          <w:sz w:val="24"/>
          <w:szCs w:val="24"/>
        </w:rPr>
        <w:t>Tropical Parasitology, 3</w:t>
      </w:r>
      <w:r w:rsidRPr="00467A14">
        <w:rPr>
          <w:rFonts w:ascii="Times New Roman" w:eastAsia="Times New Roman" w:hAnsi="Times New Roman" w:cs="Times New Roman"/>
          <w:sz w:val="24"/>
          <w:szCs w:val="24"/>
        </w:rPr>
        <w:t xml:space="preserve">(1), 58–61. </w:t>
      </w:r>
      <w:hyperlink r:id="rId30">
        <w:r w:rsidR="000F0B49" w:rsidRPr="00467A14">
          <w:rPr>
            <w:rFonts w:ascii="Times New Roman" w:eastAsia="Times New Roman" w:hAnsi="Times New Roman" w:cs="Times New Roman"/>
            <w:sz w:val="24"/>
            <w:szCs w:val="24"/>
            <w:u w:val="single"/>
          </w:rPr>
          <w:t>https://doi.org/10.4103/2229-5070.113914</w:t>
        </w:r>
      </w:hyperlink>
    </w:p>
    <w:p w14:paraId="6A333D12"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Hanson, J., Phu, N. H., Hasan, M. U., </w:t>
      </w:r>
      <w:proofErr w:type="spellStart"/>
      <w:r w:rsidRPr="00467A14">
        <w:rPr>
          <w:rFonts w:ascii="Times New Roman" w:eastAsia="Times New Roman" w:hAnsi="Times New Roman" w:cs="Times New Roman"/>
          <w:sz w:val="24"/>
          <w:szCs w:val="24"/>
        </w:rPr>
        <w:t>Charunwatthana</w:t>
      </w:r>
      <w:proofErr w:type="spellEnd"/>
      <w:r w:rsidRPr="00467A14">
        <w:rPr>
          <w:rFonts w:ascii="Times New Roman" w:eastAsia="Times New Roman" w:hAnsi="Times New Roman" w:cs="Times New Roman"/>
          <w:sz w:val="24"/>
          <w:szCs w:val="24"/>
        </w:rPr>
        <w:t xml:space="preserve">, P., Plewes, K., Maude, R. J., </w:t>
      </w:r>
      <w:proofErr w:type="spellStart"/>
      <w:r w:rsidRPr="00467A14">
        <w:rPr>
          <w:rFonts w:ascii="Times New Roman" w:eastAsia="Times New Roman" w:hAnsi="Times New Roman" w:cs="Times New Roman"/>
          <w:sz w:val="24"/>
          <w:szCs w:val="24"/>
        </w:rPr>
        <w:t>Prapansilp</w:t>
      </w:r>
      <w:proofErr w:type="spellEnd"/>
      <w:r w:rsidRPr="00467A14">
        <w:rPr>
          <w:rFonts w:ascii="Times New Roman" w:eastAsia="Times New Roman" w:hAnsi="Times New Roman" w:cs="Times New Roman"/>
          <w:sz w:val="24"/>
          <w:szCs w:val="24"/>
        </w:rPr>
        <w:t xml:space="preserve">, P., Kingston, H. W. F., Mishra, S., Mohanty, S., Price, R. N., Faiz, M. A., Dondorp, A. M., White, N. J., </w:t>
      </w:r>
      <w:r w:rsidRPr="00467A14">
        <w:rPr>
          <w:rFonts w:ascii="Times New Roman" w:eastAsia="Times New Roman" w:hAnsi="Times New Roman" w:cs="Times New Roman"/>
          <w:sz w:val="24"/>
          <w:szCs w:val="24"/>
        </w:rPr>
        <w:t xml:space="preserve">Hien, T. T., &amp; Day, N. P. J. (2015). </w:t>
      </w:r>
      <w:r w:rsidRPr="00467A14">
        <w:rPr>
          <w:rFonts w:ascii="Times New Roman" w:eastAsia="Times New Roman" w:hAnsi="Times New Roman" w:cs="Times New Roman"/>
          <w:i/>
          <w:iCs/>
          <w:sz w:val="24"/>
          <w:szCs w:val="24"/>
        </w:rPr>
        <w:t>The clinical implications of thrombocytopenia in adults with severe falciparum malaria: A retrospective analysis</w:t>
      </w:r>
      <w:r w:rsidRPr="00467A14">
        <w:rPr>
          <w:rFonts w:ascii="Times New Roman" w:eastAsia="Times New Roman" w:hAnsi="Times New Roman" w:cs="Times New Roman"/>
          <w:sz w:val="24"/>
          <w:szCs w:val="24"/>
        </w:rPr>
        <w:t>. BMC Medicine, 13, 97.</w:t>
      </w:r>
      <w:hyperlink r:id="rId31">
        <w:r w:rsidR="000F0B49" w:rsidRPr="00467A14">
          <w:rPr>
            <w:rFonts w:ascii="Times New Roman" w:eastAsia="Times New Roman" w:hAnsi="Times New Roman" w:cs="Times New Roman"/>
            <w:sz w:val="24"/>
            <w:szCs w:val="24"/>
          </w:rPr>
          <w:t xml:space="preserve"> </w:t>
        </w:r>
      </w:hyperlink>
      <w:hyperlink r:id="rId32">
        <w:r w:rsidR="000F0B49" w:rsidRPr="00467A14">
          <w:rPr>
            <w:rFonts w:ascii="Times New Roman" w:eastAsia="Times New Roman" w:hAnsi="Times New Roman" w:cs="Times New Roman"/>
            <w:sz w:val="24"/>
            <w:szCs w:val="24"/>
            <w:u w:val="single"/>
          </w:rPr>
          <w:t>https://doi.org/10.1186/s12916-015-0322-4</w:t>
        </w:r>
      </w:hyperlink>
    </w:p>
    <w:p w14:paraId="4ABAC723"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Ho-Tin-Noé, B., </w:t>
      </w:r>
      <w:proofErr w:type="spellStart"/>
      <w:r w:rsidRPr="00467A14">
        <w:rPr>
          <w:rFonts w:ascii="Times New Roman" w:eastAsia="Times New Roman" w:hAnsi="Times New Roman" w:cs="Times New Roman"/>
          <w:sz w:val="24"/>
          <w:szCs w:val="24"/>
        </w:rPr>
        <w:t>Boulaftali</w:t>
      </w:r>
      <w:proofErr w:type="spellEnd"/>
      <w:r w:rsidRPr="00467A14">
        <w:rPr>
          <w:rFonts w:ascii="Times New Roman" w:eastAsia="Times New Roman" w:hAnsi="Times New Roman" w:cs="Times New Roman"/>
          <w:sz w:val="24"/>
          <w:szCs w:val="24"/>
        </w:rPr>
        <w:t xml:space="preserve">, Y., &amp; Camerer, E. (2018). Platelets and vascular integrity: How platelets prevent bleeding in inflammation. </w:t>
      </w:r>
      <w:r w:rsidRPr="00467A14">
        <w:rPr>
          <w:rFonts w:ascii="Times New Roman" w:eastAsia="Times New Roman" w:hAnsi="Times New Roman" w:cs="Times New Roman"/>
          <w:i/>
          <w:iCs/>
          <w:sz w:val="24"/>
          <w:szCs w:val="24"/>
        </w:rPr>
        <w:t>Blood, 131</w:t>
      </w:r>
      <w:r w:rsidRPr="00467A14">
        <w:rPr>
          <w:rFonts w:ascii="Times New Roman" w:eastAsia="Times New Roman" w:hAnsi="Times New Roman" w:cs="Times New Roman"/>
          <w:sz w:val="24"/>
          <w:szCs w:val="24"/>
        </w:rPr>
        <w:t>(3), 277–</w:t>
      </w:r>
      <w:r w:rsidRPr="00467A14">
        <w:rPr>
          <w:rFonts w:ascii="Times New Roman" w:eastAsia="Times New Roman" w:hAnsi="Times New Roman" w:cs="Times New Roman"/>
          <w:sz w:val="24"/>
          <w:szCs w:val="24"/>
        </w:rPr>
        <w:t>288.</w:t>
      </w:r>
      <w:hyperlink r:id="rId33">
        <w:r w:rsidR="000F0B49" w:rsidRPr="00467A14">
          <w:rPr>
            <w:rFonts w:ascii="Times New Roman" w:eastAsia="Times New Roman" w:hAnsi="Times New Roman" w:cs="Times New Roman"/>
            <w:sz w:val="24"/>
            <w:szCs w:val="24"/>
            <w:u w:val="single"/>
          </w:rPr>
          <w:t xml:space="preserve"> </w:t>
        </w:r>
      </w:hyperlink>
      <w:hyperlink r:id="rId34">
        <w:r w:rsidR="000F0B49" w:rsidRPr="00467A14">
          <w:rPr>
            <w:rFonts w:ascii="Times New Roman" w:eastAsia="Times New Roman" w:hAnsi="Times New Roman" w:cs="Times New Roman"/>
            <w:sz w:val="24"/>
            <w:szCs w:val="24"/>
            <w:u w:val="single"/>
          </w:rPr>
          <w:t>https://doi.org/10.1182/blood-2017-06-742676</w:t>
        </w:r>
      </w:hyperlink>
    </w:p>
    <w:p w14:paraId="7A765D42" w14:textId="77777777" w:rsidR="000F0B49" w:rsidRPr="00467A14" w:rsidRDefault="00F034B5" w:rsidP="003E6F0F">
      <w:pPr>
        <w:ind w:left="720" w:hanging="720"/>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t>Jairajpuri</w:t>
      </w:r>
      <w:proofErr w:type="spellEnd"/>
      <w:r w:rsidRPr="00467A14">
        <w:rPr>
          <w:rFonts w:ascii="Times New Roman" w:eastAsia="Times New Roman" w:hAnsi="Times New Roman" w:cs="Times New Roman"/>
          <w:sz w:val="24"/>
          <w:szCs w:val="24"/>
        </w:rPr>
        <w:t xml:space="preserve"> ZS, Rana S, Hassan MJ, Nabi F, </w:t>
      </w:r>
      <w:proofErr w:type="spellStart"/>
      <w:r w:rsidRPr="00467A14">
        <w:rPr>
          <w:rFonts w:ascii="Times New Roman" w:eastAsia="Times New Roman" w:hAnsi="Times New Roman" w:cs="Times New Roman"/>
          <w:sz w:val="24"/>
          <w:szCs w:val="24"/>
        </w:rPr>
        <w:t>Jetley</w:t>
      </w:r>
      <w:proofErr w:type="spellEnd"/>
      <w:r w:rsidRPr="00467A14">
        <w:rPr>
          <w:rFonts w:ascii="Times New Roman" w:eastAsia="Times New Roman" w:hAnsi="Times New Roman" w:cs="Times New Roman"/>
          <w:sz w:val="24"/>
          <w:szCs w:val="24"/>
        </w:rPr>
        <w:t xml:space="preserve"> S. An Analysis of Hematologic</w:t>
      </w:r>
      <w:r w:rsidRPr="00467A14">
        <w:rPr>
          <w:rFonts w:ascii="Times New Roman" w:eastAsia="Times New Roman" w:hAnsi="Times New Roman" w:cs="Times New Roman"/>
          <w:sz w:val="24"/>
          <w:szCs w:val="24"/>
        </w:rPr>
        <w:t xml:space="preserve">al Parameters as a Diagnostic test for Malaria in Patients with Acute Febrile Illness: An Institutional Experience. </w:t>
      </w:r>
      <w:r w:rsidRPr="00467A14">
        <w:rPr>
          <w:rFonts w:ascii="Times New Roman" w:eastAsia="Times New Roman" w:hAnsi="Times New Roman" w:cs="Times New Roman"/>
          <w:i/>
          <w:iCs/>
          <w:sz w:val="24"/>
          <w:szCs w:val="24"/>
        </w:rPr>
        <w:t>Oman Med J.</w:t>
      </w:r>
      <w:r w:rsidRPr="00467A14">
        <w:rPr>
          <w:rFonts w:ascii="Times New Roman" w:eastAsia="Times New Roman" w:hAnsi="Times New Roman" w:cs="Times New Roman"/>
          <w:sz w:val="24"/>
          <w:szCs w:val="24"/>
        </w:rPr>
        <w:t xml:space="preserve"> 2014;29(1):12–17. doi:10.5001/omj.2014.04.</w:t>
      </w:r>
    </w:p>
    <w:p w14:paraId="29E49B1F"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Jinna, S., Karra, S., Penney, S. W., &amp; </w:t>
      </w:r>
      <w:proofErr w:type="spellStart"/>
      <w:r w:rsidRPr="00467A14">
        <w:rPr>
          <w:rFonts w:ascii="Times New Roman" w:eastAsia="Times New Roman" w:hAnsi="Times New Roman" w:cs="Times New Roman"/>
          <w:sz w:val="24"/>
          <w:szCs w:val="24"/>
        </w:rPr>
        <w:t>Khandhar</w:t>
      </w:r>
      <w:proofErr w:type="spellEnd"/>
      <w:r w:rsidRPr="00467A14">
        <w:rPr>
          <w:rFonts w:ascii="Times New Roman" w:eastAsia="Times New Roman" w:hAnsi="Times New Roman" w:cs="Times New Roman"/>
          <w:sz w:val="24"/>
          <w:szCs w:val="24"/>
        </w:rPr>
        <w:t xml:space="preserve">, P. B. (2025). </w:t>
      </w:r>
      <w:r w:rsidRPr="00467A14">
        <w:rPr>
          <w:rFonts w:ascii="Times New Roman" w:eastAsia="Times New Roman" w:hAnsi="Times New Roman" w:cs="Times New Roman"/>
          <w:i/>
          <w:iCs/>
          <w:sz w:val="24"/>
          <w:szCs w:val="24"/>
        </w:rPr>
        <w:t>Thrombocytopenia</w:t>
      </w:r>
      <w:r w:rsidRPr="00467A14">
        <w:rPr>
          <w:rFonts w:ascii="Times New Roman" w:eastAsia="Times New Roman" w:hAnsi="Times New Roman" w:cs="Times New Roman"/>
          <w:sz w:val="24"/>
          <w:szCs w:val="24"/>
        </w:rPr>
        <w:t xml:space="preserve">. In </w:t>
      </w:r>
      <w:proofErr w:type="spellStart"/>
      <w:r w:rsidRPr="00467A14">
        <w:rPr>
          <w:rFonts w:ascii="Times New Roman" w:eastAsia="Times New Roman" w:hAnsi="Times New Roman" w:cs="Times New Roman"/>
          <w:sz w:val="24"/>
          <w:szCs w:val="24"/>
        </w:rPr>
        <w:t>S</w:t>
      </w:r>
      <w:r w:rsidRPr="00467A14">
        <w:rPr>
          <w:rFonts w:ascii="Times New Roman" w:eastAsia="Times New Roman" w:hAnsi="Times New Roman" w:cs="Times New Roman"/>
          <w:sz w:val="24"/>
          <w:szCs w:val="24"/>
        </w:rPr>
        <w:t>tatPearls</w:t>
      </w:r>
      <w:proofErr w:type="spellEnd"/>
      <w:r w:rsidRPr="00467A14">
        <w:rPr>
          <w:rFonts w:ascii="Times New Roman" w:eastAsia="Times New Roman" w:hAnsi="Times New Roman" w:cs="Times New Roman"/>
          <w:sz w:val="24"/>
          <w:szCs w:val="24"/>
        </w:rPr>
        <w:t xml:space="preserve">. </w:t>
      </w:r>
      <w:proofErr w:type="spellStart"/>
      <w:r w:rsidRPr="00467A14">
        <w:rPr>
          <w:rFonts w:ascii="Times New Roman" w:eastAsia="Times New Roman" w:hAnsi="Times New Roman" w:cs="Times New Roman"/>
          <w:i/>
          <w:iCs/>
          <w:sz w:val="24"/>
          <w:szCs w:val="24"/>
        </w:rPr>
        <w:t>StatPearls</w:t>
      </w:r>
      <w:proofErr w:type="spellEnd"/>
      <w:r w:rsidRPr="00467A14">
        <w:rPr>
          <w:rFonts w:ascii="Times New Roman" w:eastAsia="Times New Roman" w:hAnsi="Times New Roman" w:cs="Times New Roman"/>
          <w:i/>
          <w:iCs/>
          <w:sz w:val="24"/>
          <w:szCs w:val="24"/>
        </w:rPr>
        <w:t xml:space="preserve"> Publishing.</w:t>
      </w:r>
      <w:hyperlink r:id="rId35">
        <w:r w:rsidR="000F0B49" w:rsidRPr="00467A14">
          <w:rPr>
            <w:rFonts w:ascii="Times New Roman" w:eastAsia="Times New Roman" w:hAnsi="Times New Roman" w:cs="Times New Roman"/>
            <w:sz w:val="24"/>
            <w:szCs w:val="24"/>
            <w:u w:val="single"/>
          </w:rPr>
          <w:t xml:space="preserve"> </w:t>
        </w:r>
      </w:hyperlink>
      <w:hyperlink r:id="rId36">
        <w:r w:rsidR="000F0B49" w:rsidRPr="00467A14">
          <w:rPr>
            <w:rFonts w:ascii="Times New Roman" w:eastAsia="Times New Roman" w:hAnsi="Times New Roman" w:cs="Times New Roman"/>
            <w:sz w:val="24"/>
            <w:szCs w:val="24"/>
            <w:u w:val="single"/>
          </w:rPr>
          <w:t>https://www.ncbi.nlm.nih.gov/books/NBK542208/</w:t>
        </w:r>
      </w:hyperlink>
    </w:p>
    <w:p w14:paraId="421FCEB3" w14:textId="77777777" w:rsidR="000F0B49" w:rsidRPr="00467A14" w:rsidRDefault="00F034B5" w:rsidP="003E6F0F">
      <w:pPr>
        <w:spacing w:before="240" w:after="240"/>
        <w:ind w:left="720" w:hanging="72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Khalid M, Iqbal K, Nadeem M, Khan K, Kousar A,</w:t>
      </w:r>
      <w:r w:rsidRPr="00467A14">
        <w:rPr>
          <w:rFonts w:ascii="Times New Roman" w:eastAsia="Times New Roman" w:hAnsi="Times New Roman" w:cs="Times New Roman"/>
          <w:sz w:val="24"/>
          <w:szCs w:val="24"/>
        </w:rPr>
        <w:t xml:space="preserve"> Rao S, Abrar M, Abbas F. Frequency of Thrombocytopenia in Malaria Patient at Tertiary Care Hospital. </w:t>
      </w:r>
      <w:r w:rsidRPr="00467A14">
        <w:rPr>
          <w:rFonts w:ascii="Times New Roman" w:eastAsia="Times New Roman" w:hAnsi="Times New Roman" w:cs="Times New Roman"/>
          <w:i/>
          <w:iCs/>
          <w:sz w:val="24"/>
          <w:szCs w:val="24"/>
        </w:rPr>
        <w:t>Pakistan Journal of Medical &amp; Health Sciences.</w:t>
      </w:r>
      <w:r w:rsidRPr="00467A14">
        <w:rPr>
          <w:rFonts w:ascii="Times New Roman" w:eastAsia="Times New Roman" w:hAnsi="Times New Roman" w:cs="Times New Roman"/>
          <w:sz w:val="24"/>
          <w:szCs w:val="24"/>
        </w:rPr>
        <w:t xml:space="preserve"> 2022;16(10):362–364. doi:10.53350/pjmhs221610362.</w:t>
      </w:r>
    </w:p>
    <w:p w14:paraId="59498C15"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u w:val="single"/>
        </w:rPr>
      </w:pPr>
      <w:bookmarkStart w:id="50" w:name="_u2fhxps65d8z" w:colFirst="0" w:colLast="0"/>
      <w:bookmarkEnd w:id="50"/>
      <w:r w:rsidRPr="00467A14">
        <w:rPr>
          <w:rFonts w:ascii="Times New Roman" w:eastAsia="Times New Roman" w:hAnsi="Times New Roman" w:cs="Times New Roman"/>
          <w:sz w:val="24"/>
          <w:szCs w:val="24"/>
        </w:rPr>
        <w:t>Khan, S. J., Abbass, Y., &amp; Marwat, M. A. (2012). Thromboc</w:t>
      </w:r>
      <w:r w:rsidRPr="00467A14">
        <w:rPr>
          <w:rFonts w:ascii="Times New Roman" w:eastAsia="Times New Roman" w:hAnsi="Times New Roman" w:cs="Times New Roman"/>
          <w:sz w:val="24"/>
          <w:szCs w:val="24"/>
        </w:rPr>
        <w:t xml:space="preserve">ytopenia as an indicator of malaria in adult population. </w:t>
      </w:r>
      <w:r w:rsidRPr="00467A14">
        <w:rPr>
          <w:rFonts w:ascii="Times New Roman" w:eastAsia="Times New Roman" w:hAnsi="Times New Roman" w:cs="Times New Roman"/>
          <w:i/>
          <w:iCs/>
          <w:sz w:val="24"/>
          <w:szCs w:val="24"/>
        </w:rPr>
        <w:t>Malaria Research and Treatment, 2012</w:t>
      </w:r>
      <w:r w:rsidRPr="00467A14">
        <w:rPr>
          <w:rFonts w:ascii="Times New Roman" w:eastAsia="Times New Roman" w:hAnsi="Times New Roman" w:cs="Times New Roman"/>
          <w:sz w:val="24"/>
          <w:szCs w:val="24"/>
        </w:rPr>
        <w:t>, Article 405981.</w:t>
      </w:r>
      <w:hyperlink r:id="rId37">
        <w:r w:rsidR="000F0B49" w:rsidRPr="00467A14">
          <w:rPr>
            <w:rFonts w:ascii="Times New Roman" w:eastAsia="Times New Roman" w:hAnsi="Times New Roman" w:cs="Times New Roman"/>
            <w:sz w:val="24"/>
            <w:szCs w:val="24"/>
            <w:u w:val="single"/>
          </w:rPr>
          <w:t xml:space="preserve"> </w:t>
        </w:r>
      </w:hyperlink>
      <w:hyperlink r:id="rId38">
        <w:r w:rsidR="000F0B49" w:rsidRPr="00467A14">
          <w:rPr>
            <w:rFonts w:ascii="Times New Roman" w:eastAsia="Times New Roman" w:hAnsi="Times New Roman" w:cs="Times New Roman"/>
            <w:sz w:val="24"/>
            <w:szCs w:val="24"/>
            <w:u w:val="single"/>
          </w:rPr>
          <w:t>https://doi.org/10.1155/2012/405981</w:t>
        </w:r>
      </w:hyperlink>
    </w:p>
    <w:p w14:paraId="758FE069"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rPr>
      </w:pPr>
      <w:bookmarkStart w:id="51" w:name="_iwp5jw9qff9b" w:colFirst="0" w:colLast="0"/>
      <w:bookmarkEnd w:id="51"/>
      <w:r w:rsidRPr="00467A14">
        <w:rPr>
          <w:rFonts w:ascii="Times New Roman" w:eastAsia="Times New Roman" w:hAnsi="Times New Roman" w:cs="Times New Roman"/>
          <w:sz w:val="24"/>
          <w:szCs w:val="24"/>
        </w:rPr>
        <w:t xml:space="preserve">Krishna, P., &amp; </w:t>
      </w:r>
      <w:proofErr w:type="spellStart"/>
      <w:r w:rsidRPr="00467A14">
        <w:rPr>
          <w:rFonts w:ascii="Times New Roman" w:eastAsia="Times New Roman" w:hAnsi="Times New Roman" w:cs="Times New Roman"/>
          <w:sz w:val="24"/>
          <w:szCs w:val="24"/>
        </w:rPr>
        <w:t>Chalamalasetty</w:t>
      </w:r>
      <w:proofErr w:type="spellEnd"/>
      <w:r w:rsidRPr="00467A14">
        <w:rPr>
          <w:rFonts w:ascii="Times New Roman" w:eastAsia="Times New Roman" w:hAnsi="Times New Roman" w:cs="Times New Roman"/>
          <w:sz w:val="24"/>
          <w:szCs w:val="24"/>
        </w:rPr>
        <w:t xml:space="preserve">, M. K. (2023). </w:t>
      </w:r>
      <w:r w:rsidRPr="00467A14">
        <w:rPr>
          <w:rFonts w:ascii="Times New Roman" w:eastAsia="Times New Roman" w:hAnsi="Times New Roman" w:cs="Times New Roman"/>
          <w:i/>
          <w:iCs/>
          <w:sz w:val="24"/>
          <w:szCs w:val="24"/>
        </w:rPr>
        <w:t>Thrombocytopenia in malaria and its diagnostic significance: A prospective study</w:t>
      </w:r>
      <w:r w:rsidRPr="00467A14">
        <w:rPr>
          <w:rFonts w:ascii="Times New Roman" w:eastAsia="Times New Roman" w:hAnsi="Times New Roman" w:cs="Times New Roman"/>
          <w:sz w:val="24"/>
          <w:szCs w:val="24"/>
        </w:rPr>
        <w:t>. Journal of Clinical and Scientific Research, 12(Suppl 1), S1–S4. https://doi.org/10.4103/jcsr.jcsr_9_23</w:t>
      </w:r>
    </w:p>
    <w:p w14:paraId="2BA113BB" w14:textId="77777777" w:rsidR="000F0B49" w:rsidRPr="00467A14" w:rsidRDefault="00F034B5" w:rsidP="003E6F0F">
      <w:pPr>
        <w:spacing w:before="240" w:after="240"/>
        <w:ind w:left="720" w:hanging="72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Kumar, M., Kumar, A., Pa</w:t>
      </w:r>
      <w:r w:rsidRPr="00467A14">
        <w:rPr>
          <w:rFonts w:ascii="Times New Roman" w:eastAsia="Times New Roman" w:hAnsi="Times New Roman" w:cs="Times New Roman"/>
          <w:sz w:val="24"/>
          <w:szCs w:val="24"/>
        </w:rPr>
        <w:t xml:space="preserve">nwar, P., &amp; Kant, R. (2022). Correlation of presence and severity of thrombocytopenia with types and severity of malaria: A study from a tertiary care center of North India. </w:t>
      </w:r>
      <w:r w:rsidRPr="00467A14">
        <w:rPr>
          <w:rFonts w:ascii="Times New Roman" w:eastAsia="Times New Roman" w:hAnsi="Times New Roman" w:cs="Times New Roman"/>
          <w:i/>
          <w:iCs/>
          <w:sz w:val="24"/>
          <w:szCs w:val="24"/>
        </w:rPr>
        <w:t>Journal of Family Medicine and Primary Care, 11</w:t>
      </w:r>
      <w:r w:rsidRPr="00467A14">
        <w:rPr>
          <w:rFonts w:ascii="Times New Roman" w:eastAsia="Times New Roman" w:hAnsi="Times New Roman" w:cs="Times New Roman"/>
          <w:sz w:val="24"/>
          <w:szCs w:val="24"/>
        </w:rPr>
        <w:t>(7), 3929–3933. https://doi.org/10.</w:t>
      </w:r>
      <w:r w:rsidRPr="00467A14">
        <w:rPr>
          <w:rFonts w:ascii="Times New Roman" w:eastAsia="Times New Roman" w:hAnsi="Times New Roman" w:cs="Times New Roman"/>
          <w:sz w:val="24"/>
          <w:szCs w:val="24"/>
        </w:rPr>
        <w:t>4103/jfmpc.jfmpc_1884_21 (</w:t>
      </w:r>
      <w:hyperlink r:id="rId39">
        <w:r w:rsidR="000F0B49" w:rsidRPr="00467A14">
          <w:rPr>
            <w:rFonts w:ascii="Times New Roman" w:eastAsia="Times New Roman" w:hAnsi="Times New Roman" w:cs="Times New Roman"/>
            <w:sz w:val="24"/>
            <w:szCs w:val="24"/>
            <w:u w:val="single"/>
          </w:rPr>
          <w:t>PubMed</w:t>
        </w:r>
      </w:hyperlink>
      <w:r w:rsidRPr="00467A14">
        <w:rPr>
          <w:rFonts w:ascii="Times New Roman" w:eastAsia="Times New Roman" w:hAnsi="Times New Roman" w:cs="Times New Roman"/>
          <w:sz w:val="24"/>
          <w:szCs w:val="24"/>
        </w:rPr>
        <w:t>; PMC9648300)</w:t>
      </w:r>
    </w:p>
    <w:p w14:paraId="5D7EC2E0"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u w:val="single"/>
        </w:rPr>
      </w:pPr>
      <w:bookmarkStart w:id="52" w:name="_4pd50r983dh7" w:colFirst="0" w:colLast="0"/>
      <w:bookmarkEnd w:id="52"/>
      <w:r w:rsidRPr="00467A14">
        <w:rPr>
          <w:rFonts w:ascii="Times New Roman" w:eastAsia="Times New Roman" w:hAnsi="Times New Roman" w:cs="Times New Roman"/>
          <w:sz w:val="24"/>
          <w:szCs w:val="24"/>
        </w:rPr>
        <w:lastRenderedPageBreak/>
        <w:t xml:space="preserve">Lacerda, M. V. G., Mourão, M. P. G., Coelho, H. C. C., &amp; Santos, J. B. (2011). Thrombocytopenia in malaria: Who cares? </w:t>
      </w:r>
      <w:proofErr w:type="spellStart"/>
      <w:r w:rsidRPr="00467A14">
        <w:rPr>
          <w:rFonts w:ascii="Times New Roman" w:eastAsia="Times New Roman" w:hAnsi="Times New Roman" w:cs="Times New Roman"/>
          <w:i/>
          <w:iCs/>
          <w:sz w:val="24"/>
          <w:szCs w:val="24"/>
        </w:rPr>
        <w:t>Memória</w:t>
      </w:r>
      <w:r w:rsidRPr="00467A14">
        <w:rPr>
          <w:rFonts w:ascii="Times New Roman" w:eastAsia="Times New Roman" w:hAnsi="Times New Roman" w:cs="Times New Roman"/>
          <w:i/>
          <w:iCs/>
          <w:sz w:val="24"/>
          <w:szCs w:val="24"/>
        </w:rPr>
        <w:t>s</w:t>
      </w:r>
      <w:proofErr w:type="spellEnd"/>
      <w:r w:rsidRPr="00467A14">
        <w:rPr>
          <w:rFonts w:ascii="Times New Roman" w:eastAsia="Times New Roman" w:hAnsi="Times New Roman" w:cs="Times New Roman"/>
          <w:i/>
          <w:iCs/>
          <w:sz w:val="24"/>
          <w:szCs w:val="24"/>
        </w:rPr>
        <w:t xml:space="preserve"> do Instituto Oswaldo Cruz, 106</w:t>
      </w:r>
      <w:r w:rsidRPr="00467A14">
        <w:rPr>
          <w:rFonts w:ascii="Times New Roman" w:eastAsia="Times New Roman" w:hAnsi="Times New Roman" w:cs="Times New Roman"/>
          <w:sz w:val="24"/>
          <w:szCs w:val="24"/>
        </w:rPr>
        <w:t>(Suppl 1), 52–63.</w:t>
      </w:r>
    </w:p>
    <w:p w14:paraId="6306F253"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u w:val="single"/>
        </w:rPr>
      </w:pPr>
      <w:bookmarkStart w:id="53" w:name="_quahzucnt1zq" w:colFirst="0" w:colLast="0"/>
      <w:bookmarkEnd w:id="53"/>
      <w:proofErr w:type="spellStart"/>
      <w:r w:rsidRPr="00467A14">
        <w:rPr>
          <w:rFonts w:ascii="Times New Roman" w:eastAsia="Times New Roman" w:hAnsi="Times New Roman" w:cs="Times New Roman"/>
          <w:sz w:val="24"/>
          <w:szCs w:val="24"/>
        </w:rPr>
        <w:t>Lampah</w:t>
      </w:r>
      <w:proofErr w:type="spellEnd"/>
      <w:r w:rsidRPr="00467A14">
        <w:rPr>
          <w:rFonts w:ascii="Times New Roman" w:eastAsia="Times New Roman" w:hAnsi="Times New Roman" w:cs="Times New Roman"/>
          <w:sz w:val="24"/>
          <w:szCs w:val="24"/>
        </w:rPr>
        <w:t xml:space="preserve">, D. A., Yeo, T. W., Malloy, M., </w:t>
      </w:r>
      <w:proofErr w:type="spellStart"/>
      <w:r w:rsidRPr="00467A14">
        <w:rPr>
          <w:rFonts w:ascii="Times New Roman" w:eastAsia="Times New Roman" w:hAnsi="Times New Roman" w:cs="Times New Roman"/>
          <w:sz w:val="24"/>
          <w:szCs w:val="24"/>
        </w:rPr>
        <w:t>Kenangalem</w:t>
      </w:r>
      <w:proofErr w:type="spellEnd"/>
      <w:r w:rsidRPr="00467A14">
        <w:rPr>
          <w:rFonts w:ascii="Times New Roman" w:eastAsia="Times New Roman" w:hAnsi="Times New Roman" w:cs="Times New Roman"/>
          <w:sz w:val="24"/>
          <w:szCs w:val="24"/>
        </w:rPr>
        <w:t xml:space="preserve">, E., Douglas, N. M., Ronaldo, D., </w:t>
      </w:r>
      <w:proofErr w:type="spellStart"/>
      <w:r w:rsidRPr="00467A14">
        <w:rPr>
          <w:rFonts w:ascii="Times New Roman" w:eastAsia="Times New Roman" w:hAnsi="Times New Roman" w:cs="Times New Roman"/>
          <w:sz w:val="24"/>
          <w:szCs w:val="24"/>
        </w:rPr>
        <w:t>Sugiarto</w:t>
      </w:r>
      <w:proofErr w:type="spellEnd"/>
      <w:r w:rsidRPr="00467A14">
        <w:rPr>
          <w:rFonts w:ascii="Times New Roman" w:eastAsia="Times New Roman" w:hAnsi="Times New Roman" w:cs="Times New Roman"/>
          <w:sz w:val="24"/>
          <w:szCs w:val="24"/>
        </w:rPr>
        <w:t xml:space="preserve">, P., Simpson, J. A., </w:t>
      </w:r>
      <w:proofErr w:type="spellStart"/>
      <w:r w:rsidRPr="00467A14">
        <w:rPr>
          <w:rFonts w:ascii="Times New Roman" w:eastAsia="Times New Roman" w:hAnsi="Times New Roman" w:cs="Times New Roman"/>
          <w:sz w:val="24"/>
          <w:szCs w:val="24"/>
        </w:rPr>
        <w:t>Poespoprodjo</w:t>
      </w:r>
      <w:proofErr w:type="spellEnd"/>
      <w:r w:rsidRPr="00467A14">
        <w:rPr>
          <w:rFonts w:ascii="Times New Roman" w:eastAsia="Times New Roman" w:hAnsi="Times New Roman" w:cs="Times New Roman"/>
          <w:sz w:val="24"/>
          <w:szCs w:val="24"/>
        </w:rPr>
        <w:t xml:space="preserve">, J. R., &amp; Anstey, N. M. (2015). Severe malarial thrombocytopenia: A risk factor for mortality in Papua, Indonesia. </w:t>
      </w:r>
      <w:r w:rsidRPr="00467A14">
        <w:rPr>
          <w:rFonts w:ascii="Times New Roman" w:eastAsia="Times New Roman" w:hAnsi="Times New Roman" w:cs="Times New Roman"/>
          <w:i/>
          <w:iCs/>
          <w:sz w:val="24"/>
          <w:szCs w:val="24"/>
        </w:rPr>
        <w:t>The Journal of Infectious Diseases, 211</w:t>
      </w:r>
      <w:r w:rsidRPr="00467A14">
        <w:rPr>
          <w:rFonts w:ascii="Times New Roman" w:eastAsia="Times New Roman" w:hAnsi="Times New Roman" w:cs="Times New Roman"/>
          <w:sz w:val="24"/>
          <w:szCs w:val="24"/>
        </w:rPr>
        <w:t>(4), 623–634.</w:t>
      </w:r>
      <w:hyperlink r:id="rId40">
        <w:r w:rsidR="000F0B49" w:rsidRPr="00467A14">
          <w:rPr>
            <w:rFonts w:ascii="Times New Roman" w:eastAsia="Times New Roman" w:hAnsi="Times New Roman" w:cs="Times New Roman"/>
            <w:sz w:val="24"/>
            <w:szCs w:val="24"/>
            <w:u w:val="single"/>
          </w:rPr>
          <w:t xml:space="preserve"> </w:t>
        </w:r>
      </w:hyperlink>
      <w:hyperlink r:id="rId41">
        <w:r w:rsidR="000F0B49" w:rsidRPr="00467A14">
          <w:rPr>
            <w:rFonts w:ascii="Times New Roman" w:eastAsia="Times New Roman" w:hAnsi="Times New Roman" w:cs="Times New Roman"/>
            <w:sz w:val="24"/>
            <w:szCs w:val="24"/>
            <w:u w:val="single"/>
          </w:rPr>
          <w:t>https://doi.org/10.1093/infdis/jiu487</w:t>
        </w:r>
      </w:hyperlink>
    </w:p>
    <w:p w14:paraId="1C8B4A06" w14:textId="77777777" w:rsidR="000F0B49" w:rsidRPr="00467A14" w:rsidRDefault="00F034B5" w:rsidP="003E6F0F">
      <w:pPr>
        <w:ind w:left="720" w:hanging="720"/>
        <w:rPr>
          <w:rFonts w:ascii="Times New Roman" w:eastAsia="Times New Roman" w:hAnsi="Times New Roman" w:cs="Times New Roman"/>
          <w:sz w:val="24"/>
          <w:szCs w:val="24"/>
        </w:rPr>
      </w:pPr>
      <w:proofErr w:type="spellStart"/>
      <w:r w:rsidRPr="00467A14">
        <w:rPr>
          <w:rFonts w:ascii="Times New Roman" w:eastAsia="Times New Roman" w:hAnsi="Times New Roman" w:cs="Times New Roman"/>
          <w:sz w:val="24"/>
          <w:szCs w:val="24"/>
        </w:rPr>
        <w:t>Mahittikorn</w:t>
      </w:r>
      <w:proofErr w:type="spellEnd"/>
      <w:r w:rsidRPr="00467A14">
        <w:rPr>
          <w:rFonts w:ascii="Times New Roman" w:eastAsia="Times New Roman" w:hAnsi="Times New Roman" w:cs="Times New Roman"/>
          <w:sz w:val="24"/>
          <w:szCs w:val="24"/>
        </w:rPr>
        <w:t xml:space="preserve"> A, </w:t>
      </w:r>
      <w:proofErr w:type="spellStart"/>
      <w:r w:rsidRPr="00467A14">
        <w:rPr>
          <w:rFonts w:ascii="Times New Roman" w:eastAsia="Times New Roman" w:hAnsi="Times New Roman" w:cs="Times New Roman"/>
          <w:sz w:val="24"/>
          <w:szCs w:val="24"/>
        </w:rPr>
        <w:t>Masangkay</w:t>
      </w:r>
      <w:proofErr w:type="spellEnd"/>
      <w:r w:rsidRPr="00467A14">
        <w:rPr>
          <w:rFonts w:ascii="Times New Roman" w:eastAsia="Times New Roman" w:hAnsi="Times New Roman" w:cs="Times New Roman"/>
          <w:sz w:val="24"/>
          <w:szCs w:val="24"/>
        </w:rPr>
        <w:t xml:space="preserve"> FR, </w:t>
      </w:r>
      <w:proofErr w:type="spellStart"/>
      <w:r w:rsidRPr="00467A14">
        <w:rPr>
          <w:rFonts w:ascii="Times New Roman" w:eastAsia="Times New Roman" w:hAnsi="Times New Roman" w:cs="Times New Roman"/>
          <w:sz w:val="24"/>
          <w:szCs w:val="24"/>
        </w:rPr>
        <w:t>Kotepui</w:t>
      </w:r>
      <w:proofErr w:type="spellEnd"/>
      <w:r w:rsidRPr="00467A14">
        <w:rPr>
          <w:rFonts w:ascii="Times New Roman" w:eastAsia="Times New Roman" w:hAnsi="Times New Roman" w:cs="Times New Roman"/>
          <w:sz w:val="24"/>
          <w:szCs w:val="24"/>
        </w:rPr>
        <w:t xml:space="preserve"> KU, Mala W, </w:t>
      </w:r>
      <w:proofErr w:type="spellStart"/>
      <w:r w:rsidRPr="00467A14">
        <w:rPr>
          <w:rFonts w:ascii="Times New Roman" w:eastAsia="Times New Roman" w:hAnsi="Times New Roman" w:cs="Times New Roman"/>
          <w:sz w:val="24"/>
          <w:szCs w:val="24"/>
        </w:rPr>
        <w:t>Milanez</w:t>
      </w:r>
      <w:proofErr w:type="spellEnd"/>
      <w:r w:rsidRPr="00467A14">
        <w:rPr>
          <w:rFonts w:ascii="Times New Roman" w:eastAsia="Times New Roman" w:hAnsi="Times New Roman" w:cs="Times New Roman"/>
          <w:sz w:val="24"/>
          <w:szCs w:val="24"/>
        </w:rPr>
        <w:t xml:space="preserve"> GDJ, </w:t>
      </w:r>
      <w:proofErr w:type="spellStart"/>
      <w:r w:rsidRPr="00467A14">
        <w:rPr>
          <w:rFonts w:ascii="Times New Roman" w:eastAsia="Times New Roman" w:hAnsi="Times New Roman" w:cs="Times New Roman"/>
          <w:sz w:val="24"/>
          <w:szCs w:val="24"/>
        </w:rPr>
        <w:t>Wilairatana</w:t>
      </w:r>
      <w:proofErr w:type="spellEnd"/>
      <w:r w:rsidRPr="00467A14">
        <w:rPr>
          <w:rFonts w:ascii="Times New Roman" w:eastAsia="Times New Roman" w:hAnsi="Times New Roman" w:cs="Times New Roman"/>
          <w:sz w:val="24"/>
          <w:szCs w:val="24"/>
        </w:rPr>
        <w:t xml:space="preserve"> P, </w:t>
      </w:r>
      <w:proofErr w:type="spellStart"/>
      <w:r w:rsidRPr="00467A14">
        <w:rPr>
          <w:rFonts w:ascii="Times New Roman" w:eastAsia="Times New Roman" w:hAnsi="Times New Roman" w:cs="Times New Roman"/>
          <w:sz w:val="24"/>
          <w:szCs w:val="24"/>
        </w:rPr>
        <w:t>Kotepui</w:t>
      </w:r>
      <w:proofErr w:type="spellEnd"/>
      <w:r w:rsidRPr="00467A14">
        <w:rPr>
          <w:rFonts w:ascii="Times New Roman" w:eastAsia="Times New Roman" w:hAnsi="Times New Roman" w:cs="Times New Roman"/>
          <w:sz w:val="24"/>
          <w:szCs w:val="24"/>
        </w:rPr>
        <w:t xml:space="preserve"> M. Alteration of Platelet Count in Patients with Severe Non-</w:t>
      </w:r>
      <w:r w:rsidRPr="00467A14">
        <w:rPr>
          <w:rFonts w:ascii="Times New Roman" w:eastAsia="Times New Roman" w:hAnsi="Times New Roman" w:cs="Times New Roman"/>
          <w:i/>
          <w:iCs/>
          <w:sz w:val="24"/>
          <w:szCs w:val="24"/>
        </w:rPr>
        <w:t xml:space="preserve">Plasmodium </w:t>
      </w:r>
      <w:proofErr w:type="gramStart"/>
      <w:r w:rsidRPr="00467A14">
        <w:rPr>
          <w:rFonts w:ascii="Times New Roman" w:eastAsia="Times New Roman" w:hAnsi="Times New Roman" w:cs="Times New Roman"/>
          <w:i/>
          <w:iCs/>
          <w:sz w:val="24"/>
          <w:szCs w:val="24"/>
        </w:rPr>
        <w:t>falcipa</w:t>
      </w:r>
      <w:r w:rsidRPr="00467A14">
        <w:rPr>
          <w:rFonts w:ascii="Times New Roman" w:eastAsia="Times New Roman" w:hAnsi="Times New Roman" w:cs="Times New Roman"/>
          <w:i/>
          <w:iCs/>
          <w:sz w:val="24"/>
          <w:szCs w:val="24"/>
        </w:rPr>
        <w:t>rum</w:t>
      </w:r>
      <w:proofErr w:type="gramEnd"/>
      <w:r w:rsidRPr="00467A14">
        <w:rPr>
          <w:rFonts w:ascii="Times New Roman" w:eastAsia="Times New Roman" w:hAnsi="Times New Roman" w:cs="Times New Roman"/>
          <w:sz w:val="24"/>
          <w:szCs w:val="24"/>
        </w:rPr>
        <w:t xml:space="preserve"> Malaria: A Systematic Review and Meta-Analysis. </w:t>
      </w:r>
      <w:r w:rsidRPr="00467A14">
        <w:rPr>
          <w:rFonts w:ascii="Times New Roman" w:eastAsia="Times New Roman" w:hAnsi="Times New Roman" w:cs="Times New Roman"/>
          <w:i/>
          <w:iCs/>
          <w:sz w:val="24"/>
          <w:szCs w:val="24"/>
        </w:rPr>
        <w:t>Biology (Basel).</w:t>
      </w:r>
      <w:r w:rsidRPr="00467A14">
        <w:rPr>
          <w:rFonts w:ascii="Times New Roman" w:eastAsia="Times New Roman" w:hAnsi="Times New Roman" w:cs="Times New Roman"/>
          <w:sz w:val="24"/>
          <w:szCs w:val="24"/>
        </w:rPr>
        <w:t xml:space="preserve"> 2021;10(12):1275. doi:10.3390/biology10121275.</w:t>
      </w:r>
    </w:p>
    <w:p w14:paraId="26A382ED"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u w:val="single"/>
        </w:rPr>
      </w:pPr>
      <w:bookmarkStart w:id="54" w:name="_h5r9eckemxih" w:colFirst="0" w:colLast="0"/>
      <w:bookmarkEnd w:id="54"/>
      <w:r w:rsidRPr="00467A14">
        <w:rPr>
          <w:rFonts w:ascii="Times New Roman" w:eastAsia="Times New Roman" w:hAnsi="Times New Roman" w:cs="Times New Roman"/>
          <w:sz w:val="24"/>
          <w:szCs w:val="24"/>
        </w:rPr>
        <w:t xml:space="preserve">Mandala, W., Munyenyembe, A., </w:t>
      </w:r>
      <w:proofErr w:type="spellStart"/>
      <w:r w:rsidRPr="00467A14">
        <w:rPr>
          <w:rFonts w:ascii="Times New Roman" w:eastAsia="Times New Roman" w:hAnsi="Times New Roman" w:cs="Times New Roman"/>
          <w:sz w:val="24"/>
          <w:szCs w:val="24"/>
        </w:rPr>
        <w:t>Sulani</w:t>
      </w:r>
      <w:proofErr w:type="spellEnd"/>
      <w:r w:rsidRPr="00467A14">
        <w:rPr>
          <w:rFonts w:ascii="Times New Roman" w:eastAsia="Times New Roman" w:hAnsi="Times New Roman" w:cs="Times New Roman"/>
          <w:sz w:val="24"/>
          <w:szCs w:val="24"/>
        </w:rPr>
        <w:t xml:space="preserve">, I., Soko, M., </w:t>
      </w:r>
      <w:proofErr w:type="spellStart"/>
      <w:r w:rsidRPr="00467A14">
        <w:rPr>
          <w:rFonts w:ascii="Times New Roman" w:eastAsia="Times New Roman" w:hAnsi="Times New Roman" w:cs="Times New Roman"/>
          <w:sz w:val="24"/>
          <w:szCs w:val="24"/>
        </w:rPr>
        <w:t>Mallewa</w:t>
      </w:r>
      <w:proofErr w:type="spellEnd"/>
      <w:r w:rsidRPr="00467A14">
        <w:rPr>
          <w:rFonts w:ascii="Times New Roman" w:eastAsia="Times New Roman" w:hAnsi="Times New Roman" w:cs="Times New Roman"/>
          <w:sz w:val="24"/>
          <w:szCs w:val="24"/>
        </w:rPr>
        <w:t>, J., &amp; Hiestand, J. (2022). Acute malaria in Malawian children and adults is cha</w:t>
      </w:r>
      <w:r w:rsidRPr="00467A14">
        <w:rPr>
          <w:rFonts w:ascii="Times New Roman" w:eastAsia="Times New Roman" w:hAnsi="Times New Roman" w:cs="Times New Roman"/>
          <w:sz w:val="24"/>
          <w:szCs w:val="24"/>
        </w:rPr>
        <w:t xml:space="preserve">racterized by thrombocytopenia that normalizes in convalescence. </w:t>
      </w:r>
      <w:r w:rsidRPr="00467A14">
        <w:rPr>
          <w:rFonts w:ascii="Times New Roman" w:eastAsia="Times New Roman" w:hAnsi="Times New Roman" w:cs="Times New Roman"/>
          <w:i/>
          <w:iCs/>
          <w:sz w:val="24"/>
          <w:szCs w:val="24"/>
        </w:rPr>
        <w:t>Journal of Blood Medicine, 13</w:t>
      </w:r>
      <w:r w:rsidRPr="00467A14">
        <w:rPr>
          <w:rFonts w:ascii="Times New Roman" w:eastAsia="Times New Roman" w:hAnsi="Times New Roman" w:cs="Times New Roman"/>
          <w:sz w:val="24"/>
          <w:szCs w:val="24"/>
        </w:rPr>
        <w:t>, 485–494.</w:t>
      </w:r>
      <w:hyperlink r:id="rId42">
        <w:r w:rsidR="000F0B49" w:rsidRPr="00467A14">
          <w:rPr>
            <w:rFonts w:ascii="Times New Roman" w:eastAsia="Times New Roman" w:hAnsi="Times New Roman" w:cs="Times New Roman"/>
            <w:sz w:val="24"/>
            <w:szCs w:val="24"/>
            <w:u w:val="single"/>
          </w:rPr>
          <w:t xml:space="preserve"> </w:t>
        </w:r>
      </w:hyperlink>
      <w:hyperlink r:id="rId43">
        <w:r w:rsidR="000F0B49" w:rsidRPr="00467A14">
          <w:rPr>
            <w:rFonts w:ascii="Times New Roman" w:eastAsia="Times New Roman" w:hAnsi="Times New Roman" w:cs="Times New Roman"/>
            <w:sz w:val="24"/>
            <w:szCs w:val="24"/>
            <w:u w:val="single"/>
          </w:rPr>
          <w:t>https://doi.org/10.2147/JBM.S376476</w:t>
        </w:r>
      </w:hyperlink>
    </w:p>
    <w:p w14:paraId="69E28128"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proofErr w:type="spellStart"/>
      <w:r w:rsidRPr="00467A14">
        <w:rPr>
          <w:rFonts w:ascii="Times New Roman" w:eastAsia="Times New Roman" w:hAnsi="Times New Roman" w:cs="Times New Roman"/>
          <w:sz w:val="24"/>
          <w:szCs w:val="24"/>
        </w:rPr>
        <w:t>Mbane</w:t>
      </w:r>
      <w:r w:rsidRPr="00467A14">
        <w:rPr>
          <w:rFonts w:ascii="Times New Roman" w:eastAsia="Times New Roman" w:hAnsi="Times New Roman" w:cs="Times New Roman"/>
          <w:sz w:val="24"/>
          <w:szCs w:val="24"/>
        </w:rPr>
        <w:t>fo</w:t>
      </w:r>
      <w:proofErr w:type="spellEnd"/>
      <w:r w:rsidRPr="00467A14">
        <w:rPr>
          <w:rFonts w:ascii="Times New Roman" w:eastAsia="Times New Roman" w:hAnsi="Times New Roman" w:cs="Times New Roman"/>
          <w:sz w:val="24"/>
          <w:szCs w:val="24"/>
        </w:rPr>
        <w:t xml:space="preserve">, E. C., Le, L., Zee, R., </w:t>
      </w:r>
      <w:proofErr w:type="spellStart"/>
      <w:r w:rsidRPr="00467A14">
        <w:rPr>
          <w:rFonts w:ascii="Times New Roman" w:eastAsia="Times New Roman" w:hAnsi="Times New Roman" w:cs="Times New Roman"/>
          <w:sz w:val="24"/>
          <w:szCs w:val="24"/>
        </w:rPr>
        <w:t>Banskota</w:t>
      </w:r>
      <w:proofErr w:type="spellEnd"/>
      <w:r w:rsidRPr="00467A14">
        <w:rPr>
          <w:rFonts w:ascii="Times New Roman" w:eastAsia="Times New Roman" w:hAnsi="Times New Roman" w:cs="Times New Roman"/>
          <w:sz w:val="24"/>
          <w:szCs w:val="24"/>
        </w:rPr>
        <w:t xml:space="preserve">, N., Ishida, K., Pennington, L. F., Odegaard, J. I., Jardetzky, T. S., Alouffi, A., Falcone, F. H., &amp; Hsieh, M. H. (2019). IPSE, a urogenital </w:t>
      </w:r>
      <w:proofErr w:type="spellStart"/>
      <w:r w:rsidRPr="00467A14">
        <w:rPr>
          <w:rFonts w:ascii="Times New Roman" w:eastAsia="Times New Roman" w:hAnsi="Times New Roman" w:cs="Times New Roman"/>
          <w:sz w:val="24"/>
          <w:szCs w:val="24"/>
        </w:rPr>
        <w:t>parasitederived</w:t>
      </w:r>
      <w:proofErr w:type="spellEnd"/>
      <w:r w:rsidRPr="00467A14">
        <w:rPr>
          <w:rFonts w:ascii="Times New Roman" w:eastAsia="Times New Roman" w:hAnsi="Times New Roman" w:cs="Times New Roman"/>
          <w:sz w:val="24"/>
          <w:szCs w:val="24"/>
        </w:rPr>
        <w:t xml:space="preserve"> immunomodulatory protein, ameliorates </w:t>
      </w:r>
      <w:proofErr w:type="spellStart"/>
      <w:r w:rsidRPr="00467A14">
        <w:rPr>
          <w:rFonts w:ascii="Times New Roman" w:eastAsia="Times New Roman" w:hAnsi="Times New Roman" w:cs="Times New Roman"/>
          <w:sz w:val="24"/>
          <w:szCs w:val="24"/>
        </w:rPr>
        <w:t>ifosfamideinduced</w:t>
      </w:r>
      <w:proofErr w:type="spellEnd"/>
      <w:r w:rsidRPr="00467A14">
        <w:rPr>
          <w:rFonts w:ascii="Times New Roman" w:eastAsia="Times New Roman" w:hAnsi="Times New Roman" w:cs="Times New Roman"/>
          <w:sz w:val="24"/>
          <w:szCs w:val="24"/>
        </w:rPr>
        <w:t xml:space="preserve"> hemor</w:t>
      </w:r>
      <w:r w:rsidRPr="00467A14">
        <w:rPr>
          <w:rFonts w:ascii="Times New Roman" w:eastAsia="Times New Roman" w:hAnsi="Times New Roman" w:cs="Times New Roman"/>
          <w:sz w:val="24"/>
          <w:szCs w:val="24"/>
        </w:rPr>
        <w:t xml:space="preserve">rhagic cystitis through downregulation of proinflammatory pathways. </w:t>
      </w:r>
      <w:r w:rsidRPr="00467A14">
        <w:rPr>
          <w:rFonts w:ascii="Times New Roman" w:eastAsia="Times New Roman" w:hAnsi="Times New Roman" w:cs="Times New Roman"/>
          <w:i/>
          <w:iCs/>
          <w:sz w:val="24"/>
          <w:szCs w:val="24"/>
        </w:rPr>
        <w:t>Scientific Reports, 9</w:t>
      </w:r>
      <w:r w:rsidRPr="00467A14">
        <w:rPr>
          <w:rFonts w:ascii="Times New Roman" w:eastAsia="Times New Roman" w:hAnsi="Times New Roman" w:cs="Times New Roman"/>
          <w:sz w:val="24"/>
          <w:szCs w:val="24"/>
        </w:rPr>
        <w:t>, 1586.</w:t>
      </w:r>
      <w:hyperlink r:id="rId44">
        <w:r w:rsidR="000F0B49" w:rsidRPr="00467A14">
          <w:rPr>
            <w:rFonts w:ascii="Times New Roman" w:eastAsia="Times New Roman" w:hAnsi="Times New Roman" w:cs="Times New Roman"/>
            <w:sz w:val="24"/>
            <w:szCs w:val="24"/>
            <w:u w:val="single"/>
          </w:rPr>
          <w:t xml:space="preserve"> </w:t>
        </w:r>
      </w:hyperlink>
      <w:hyperlink r:id="rId45">
        <w:r w:rsidR="000F0B49" w:rsidRPr="00467A14">
          <w:rPr>
            <w:rFonts w:ascii="Times New Roman" w:eastAsia="Times New Roman" w:hAnsi="Times New Roman" w:cs="Times New Roman"/>
            <w:sz w:val="24"/>
            <w:szCs w:val="24"/>
            <w:u w:val="single"/>
          </w:rPr>
          <w:t>https://doi.org/10.1038/s41598-018-38274-z</w:t>
        </w:r>
      </w:hyperlink>
    </w:p>
    <w:p w14:paraId="3181CB2D"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proofErr w:type="spellStart"/>
      <w:r w:rsidRPr="00467A14">
        <w:rPr>
          <w:rFonts w:ascii="Times New Roman" w:eastAsia="Times New Roman" w:hAnsi="Times New Roman" w:cs="Times New Roman"/>
          <w:sz w:val="24"/>
          <w:szCs w:val="24"/>
        </w:rPr>
        <w:t>Meenai</w:t>
      </w:r>
      <w:proofErr w:type="spellEnd"/>
      <w:r w:rsidRPr="00467A14">
        <w:rPr>
          <w:rFonts w:ascii="Times New Roman" w:eastAsia="Times New Roman" w:hAnsi="Times New Roman" w:cs="Times New Roman"/>
          <w:sz w:val="24"/>
          <w:szCs w:val="24"/>
        </w:rPr>
        <w:t xml:space="preserve">, F. J., Jalaly, T., </w:t>
      </w:r>
      <w:proofErr w:type="spellStart"/>
      <w:r w:rsidRPr="00467A14">
        <w:rPr>
          <w:rFonts w:ascii="Times New Roman" w:eastAsia="Times New Roman" w:hAnsi="Times New Roman" w:cs="Times New Roman"/>
          <w:sz w:val="24"/>
          <w:szCs w:val="24"/>
        </w:rPr>
        <w:t>Khairkar</w:t>
      </w:r>
      <w:proofErr w:type="spellEnd"/>
      <w:r w:rsidRPr="00467A14">
        <w:rPr>
          <w:rFonts w:ascii="Times New Roman" w:eastAsia="Times New Roman" w:hAnsi="Times New Roman" w:cs="Times New Roman"/>
          <w:sz w:val="24"/>
          <w:szCs w:val="24"/>
        </w:rPr>
        <w:t xml:space="preserve">, P., Narkhede, V., Sawke, G. K., &amp; </w:t>
      </w:r>
      <w:proofErr w:type="spellStart"/>
      <w:r w:rsidRPr="00467A14">
        <w:rPr>
          <w:rFonts w:ascii="Times New Roman" w:eastAsia="Times New Roman" w:hAnsi="Times New Roman" w:cs="Times New Roman"/>
          <w:sz w:val="24"/>
          <w:szCs w:val="24"/>
        </w:rPr>
        <w:t>Sawke</w:t>
      </w:r>
      <w:proofErr w:type="spellEnd"/>
      <w:r w:rsidRPr="00467A14">
        <w:rPr>
          <w:rFonts w:ascii="Times New Roman" w:eastAsia="Times New Roman" w:hAnsi="Times New Roman" w:cs="Times New Roman"/>
          <w:sz w:val="24"/>
          <w:szCs w:val="24"/>
        </w:rPr>
        <w:t xml:space="preserve">, N. (2016). Significance of thrombocytopenia in different types of malaria. </w:t>
      </w:r>
      <w:r w:rsidRPr="00467A14">
        <w:rPr>
          <w:rFonts w:ascii="Times New Roman" w:eastAsia="Times New Roman" w:hAnsi="Times New Roman" w:cs="Times New Roman"/>
          <w:i/>
          <w:iCs/>
          <w:sz w:val="24"/>
          <w:szCs w:val="24"/>
        </w:rPr>
        <w:t>International Journal of Medical Research and Review, 4</w:t>
      </w:r>
      <w:r w:rsidRPr="00467A14">
        <w:rPr>
          <w:rFonts w:ascii="Times New Roman" w:eastAsia="Times New Roman" w:hAnsi="Times New Roman" w:cs="Times New Roman"/>
          <w:sz w:val="24"/>
          <w:szCs w:val="24"/>
        </w:rPr>
        <w:t xml:space="preserve">(1), 52–54. </w:t>
      </w:r>
      <w:r w:rsidRPr="00467A14">
        <w:rPr>
          <w:rFonts w:ascii="Times New Roman" w:eastAsia="Times New Roman" w:hAnsi="Times New Roman" w:cs="Times New Roman"/>
          <w:sz w:val="24"/>
          <w:szCs w:val="24"/>
          <w:u w:val="single"/>
        </w:rPr>
        <w:t>https://doi.org/10.17511/ijm</w:t>
      </w:r>
      <w:r w:rsidRPr="00467A14">
        <w:rPr>
          <w:rFonts w:ascii="Times New Roman" w:eastAsia="Times New Roman" w:hAnsi="Times New Roman" w:cs="Times New Roman"/>
          <w:sz w:val="24"/>
          <w:szCs w:val="24"/>
          <w:u w:val="single"/>
        </w:rPr>
        <w:t>rr.2016.i01.008</w:t>
      </w:r>
    </w:p>
    <w:p w14:paraId="5B5C498C" w14:textId="77777777" w:rsidR="000F0B49" w:rsidRPr="00467A14" w:rsidRDefault="00F034B5" w:rsidP="003E6F0F">
      <w:pPr>
        <w:spacing w:before="240" w:after="240"/>
        <w:ind w:left="720" w:hanging="72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Melford, C. M., Cortes, K. C., </w:t>
      </w:r>
      <w:proofErr w:type="spellStart"/>
      <w:r w:rsidRPr="00467A14">
        <w:rPr>
          <w:rFonts w:ascii="Times New Roman" w:eastAsia="Times New Roman" w:hAnsi="Times New Roman" w:cs="Times New Roman"/>
          <w:sz w:val="24"/>
          <w:szCs w:val="24"/>
        </w:rPr>
        <w:t>Fontanoza-Cedonio</w:t>
      </w:r>
      <w:proofErr w:type="spellEnd"/>
      <w:r w:rsidRPr="00467A14">
        <w:rPr>
          <w:rFonts w:ascii="Times New Roman" w:eastAsia="Times New Roman" w:hAnsi="Times New Roman" w:cs="Times New Roman"/>
          <w:sz w:val="24"/>
          <w:szCs w:val="24"/>
        </w:rPr>
        <w:t xml:space="preserve">, N. N., </w:t>
      </w:r>
      <w:proofErr w:type="spellStart"/>
      <w:r w:rsidRPr="00467A14">
        <w:rPr>
          <w:rFonts w:ascii="Times New Roman" w:eastAsia="Times New Roman" w:hAnsi="Times New Roman" w:cs="Times New Roman"/>
          <w:sz w:val="24"/>
          <w:szCs w:val="24"/>
        </w:rPr>
        <w:t>Sigalo</w:t>
      </w:r>
      <w:proofErr w:type="spellEnd"/>
      <w:r w:rsidRPr="00467A14">
        <w:rPr>
          <w:rFonts w:ascii="Times New Roman" w:eastAsia="Times New Roman" w:hAnsi="Times New Roman" w:cs="Times New Roman"/>
          <w:sz w:val="24"/>
          <w:szCs w:val="24"/>
        </w:rPr>
        <w:t xml:space="preserve">, B. D., &amp; </w:t>
      </w:r>
      <w:proofErr w:type="spellStart"/>
      <w:r w:rsidRPr="00467A14">
        <w:rPr>
          <w:rFonts w:ascii="Times New Roman" w:eastAsia="Times New Roman" w:hAnsi="Times New Roman" w:cs="Times New Roman"/>
          <w:sz w:val="24"/>
          <w:szCs w:val="24"/>
        </w:rPr>
        <w:t>Otobo</w:t>
      </w:r>
      <w:proofErr w:type="spellEnd"/>
      <w:r w:rsidRPr="00467A14">
        <w:rPr>
          <w:rFonts w:ascii="Times New Roman" w:eastAsia="Times New Roman" w:hAnsi="Times New Roman" w:cs="Times New Roman"/>
          <w:sz w:val="24"/>
          <w:szCs w:val="24"/>
        </w:rPr>
        <w:t xml:space="preserve">, E. N. (2025). Malaria, typhoid, and PCV variations: A cross-sectional study in </w:t>
      </w:r>
      <w:proofErr w:type="spellStart"/>
      <w:r w:rsidRPr="00467A14">
        <w:rPr>
          <w:rFonts w:ascii="Times New Roman" w:eastAsia="Times New Roman" w:hAnsi="Times New Roman" w:cs="Times New Roman"/>
          <w:sz w:val="24"/>
          <w:szCs w:val="24"/>
        </w:rPr>
        <w:t>Akinima</w:t>
      </w:r>
      <w:proofErr w:type="spellEnd"/>
      <w:r w:rsidRPr="00467A14">
        <w:rPr>
          <w:rFonts w:ascii="Times New Roman" w:eastAsia="Times New Roman" w:hAnsi="Times New Roman" w:cs="Times New Roman"/>
          <w:sz w:val="24"/>
          <w:szCs w:val="24"/>
        </w:rPr>
        <w:t xml:space="preserve">, Nigeria. </w:t>
      </w:r>
      <w:r w:rsidRPr="00467A14">
        <w:rPr>
          <w:rFonts w:ascii="Times New Roman" w:eastAsia="Times New Roman" w:hAnsi="Times New Roman" w:cs="Times New Roman"/>
          <w:i/>
          <w:iCs/>
          <w:sz w:val="24"/>
          <w:szCs w:val="24"/>
        </w:rPr>
        <w:t>Asian Journal of Medicine and Health, 23</w:t>
      </w:r>
      <w:r w:rsidRPr="00467A14">
        <w:rPr>
          <w:rFonts w:ascii="Times New Roman" w:eastAsia="Times New Roman" w:hAnsi="Times New Roman" w:cs="Times New Roman"/>
          <w:sz w:val="24"/>
          <w:szCs w:val="24"/>
        </w:rPr>
        <w:t>(8), 71–81. https://do</w:t>
      </w:r>
      <w:r w:rsidRPr="00467A14">
        <w:rPr>
          <w:rFonts w:ascii="Times New Roman" w:eastAsia="Times New Roman" w:hAnsi="Times New Roman" w:cs="Times New Roman"/>
          <w:sz w:val="24"/>
          <w:szCs w:val="24"/>
        </w:rPr>
        <w:t>i.org/10.9734/ajmah/2025/v23i81285</w:t>
      </w:r>
    </w:p>
    <w:p w14:paraId="7E7E75A5"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u w:val="single"/>
        </w:rPr>
      </w:pPr>
      <w:bookmarkStart w:id="55" w:name="_19eo15y5v402" w:colFirst="0" w:colLast="0"/>
      <w:bookmarkEnd w:id="55"/>
      <w:r w:rsidRPr="00467A14">
        <w:rPr>
          <w:rFonts w:ascii="Times New Roman" w:eastAsia="Times New Roman" w:hAnsi="Times New Roman" w:cs="Times New Roman"/>
          <w:sz w:val="24"/>
          <w:szCs w:val="24"/>
        </w:rPr>
        <w:t xml:space="preserve">Memon, A. R., &amp; Afsar, S. (2006). Thrombocytopenia in hospitalized malaria patients. </w:t>
      </w:r>
      <w:r w:rsidRPr="00467A14">
        <w:rPr>
          <w:rFonts w:ascii="Times New Roman" w:eastAsia="Times New Roman" w:hAnsi="Times New Roman" w:cs="Times New Roman"/>
          <w:i/>
          <w:iCs/>
          <w:sz w:val="24"/>
          <w:szCs w:val="24"/>
        </w:rPr>
        <w:t>Pakistan Journal of Medical Sciences, 22</w:t>
      </w:r>
      <w:r w:rsidRPr="00467A14">
        <w:rPr>
          <w:rFonts w:ascii="Times New Roman" w:eastAsia="Times New Roman" w:hAnsi="Times New Roman" w:cs="Times New Roman"/>
          <w:sz w:val="24"/>
          <w:szCs w:val="24"/>
        </w:rPr>
        <w:t>(2), 141–143.</w:t>
      </w:r>
    </w:p>
    <w:p w14:paraId="54742976"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rPr>
      </w:pPr>
      <w:bookmarkStart w:id="56" w:name="_nmxb9uiglprj" w:colFirst="0" w:colLast="0"/>
      <w:bookmarkEnd w:id="56"/>
      <w:r w:rsidRPr="00467A14">
        <w:rPr>
          <w:rFonts w:ascii="Times New Roman" w:eastAsia="Times New Roman" w:hAnsi="Times New Roman" w:cs="Times New Roman"/>
          <w:sz w:val="24"/>
          <w:szCs w:val="24"/>
        </w:rPr>
        <w:t xml:space="preserve">Naing, C., &amp; Whittaker, M. A. (2018). Severe </w:t>
      </w:r>
      <w:proofErr w:type="spellStart"/>
      <w:r w:rsidRPr="00467A14">
        <w:rPr>
          <w:rFonts w:ascii="Times New Roman" w:eastAsia="Times New Roman" w:hAnsi="Times New Roman" w:cs="Times New Roman"/>
          <w:sz w:val="24"/>
          <w:szCs w:val="24"/>
        </w:rPr>
        <w:t>thrombocytopaenia</w:t>
      </w:r>
      <w:proofErr w:type="spellEnd"/>
      <w:r w:rsidRPr="00467A14">
        <w:rPr>
          <w:rFonts w:ascii="Times New Roman" w:eastAsia="Times New Roman" w:hAnsi="Times New Roman" w:cs="Times New Roman"/>
          <w:sz w:val="24"/>
          <w:szCs w:val="24"/>
        </w:rPr>
        <w:t xml:space="preserve"> in patients with </w:t>
      </w:r>
      <w:r w:rsidRPr="00467A14">
        <w:rPr>
          <w:rFonts w:ascii="Times New Roman" w:eastAsia="Times New Roman" w:hAnsi="Times New Roman" w:cs="Times New Roman"/>
          <w:i/>
          <w:iCs/>
          <w:sz w:val="24"/>
          <w:szCs w:val="24"/>
        </w:rPr>
        <w:t>vi</w:t>
      </w:r>
      <w:r w:rsidRPr="00467A14">
        <w:rPr>
          <w:rFonts w:ascii="Times New Roman" w:eastAsia="Times New Roman" w:hAnsi="Times New Roman" w:cs="Times New Roman"/>
          <w:i/>
          <w:iCs/>
          <w:sz w:val="24"/>
          <w:szCs w:val="24"/>
        </w:rPr>
        <w:t>vax</w:t>
      </w:r>
      <w:r w:rsidRPr="00467A14">
        <w:rPr>
          <w:rFonts w:ascii="Times New Roman" w:eastAsia="Times New Roman" w:hAnsi="Times New Roman" w:cs="Times New Roman"/>
          <w:sz w:val="24"/>
          <w:szCs w:val="24"/>
        </w:rPr>
        <w:t xml:space="preserve"> malaria compared to </w:t>
      </w:r>
      <w:r w:rsidRPr="00467A14">
        <w:rPr>
          <w:rFonts w:ascii="Times New Roman" w:eastAsia="Times New Roman" w:hAnsi="Times New Roman" w:cs="Times New Roman"/>
          <w:i/>
          <w:iCs/>
          <w:sz w:val="24"/>
          <w:szCs w:val="24"/>
        </w:rPr>
        <w:t>falciparum</w:t>
      </w:r>
      <w:r w:rsidRPr="00467A14">
        <w:rPr>
          <w:rFonts w:ascii="Times New Roman" w:eastAsia="Times New Roman" w:hAnsi="Times New Roman" w:cs="Times New Roman"/>
          <w:sz w:val="24"/>
          <w:szCs w:val="24"/>
        </w:rPr>
        <w:t xml:space="preserve"> malaria: A systematic review and meta-analysis. </w:t>
      </w:r>
      <w:r w:rsidRPr="00467A14">
        <w:rPr>
          <w:rFonts w:ascii="Times New Roman" w:eastAsia="Times New Roman" w:hAnsi="Times New Roman" w:cs="Times New Roman"/>
          <w:i/>
          <w:iCs/>
          <w:sz w:val="24"/>
          <w:szCs w:val="24"/>
        </w:rPr>
        <w:t>Infectious Diseases of Poverty, 7</w:t>
      </w:r>
      <w:r w:rsidRPr="00467A14">
        <w:rPr>
          <w:rFonts w:ascii="Times New Roman" w:eastAsia="Times New Roman" w:hAnsi="Times New Roman" w:cs="Times New Roman"/>
          <w:sz w:val="24"/>
          <w:szCs w:val="24"/>
        </w:rPr>
        <w:t>, 10. https://doi.org/10.1186/s40249-018-0392-9</w:t>
      </w:r>
    </w:p>
    <w:p w14:paraId="07676AB6"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u w:val="single"/>
        </w:rPr>
      </w:pPr>
      <w:bookmarkStart w:id="57" w:name="_ttw5irtjrq59" w:colFirst="0" w:colLast="0"/>
      <w:bookmarkEnd w:id="57"/>
      <w:r w:rsidRPr="00467A14">
        <w:rPr>
          <w:rFonts w:ascii="Times New Roman" w:eastAsia="Times New Roman" w:hAnsi="Times New Roman" w:cs="Times New Roman"/>
          <w:sz w:val="24"/>
          <w:szCs w:val="24"/>
        </w:rPr>
        <w:t xml:space="preserve">Naser, R. H., </w:t>
      </w:r>
      <w:proofErr w:type="spellStart"/>
      <w:r w:rsidRPr="00467A14">
        <w:rPr>
          <w:rFonts w:ascii="Times New Roman" w:eastAsia="Times New Roman" w:hAnsi="Times New Roman" w:cs="Times New Roman"/>
          <w:sz w:val="24"/>
          <w:szCs w:val="24"/>
        </w:rPr>
        <w:t>Rajaii</w:t>
      </w:r>
      <w:proofErr w:type="spellEnd"/>
      <w:r w:rsidRPr="00467A14">
        <w:rPr>
          <w:rFonts w:ascii="Times New Roman" w:eastAsia="Times New Roman" w:hAnsi="Times New Roman" w:cs="Times New Roman"/>
          <w:sz w:val="24"/>
          <w:szCs w:val="24"/>
        </w:rPr>
        <w:t xml:space="preserve">, T., Hosseini Farash, B. R., </w:t>
      </w:r>
      <w:proofErr w:type="spellStart"/>
      <w:r w:rsidRPr="00467A14">
        <w:rPr>
          <w:rFonts w:ascii="Times New Roman" w:eastAsia="Times New Roman" w:hAnsi="Times New Roman" w:cs="Times New Roman"/>
          <w:sz w:val="24"/>
          <w:szCs w:val="24"/>
        </w:rPr>
        <w:t>Seyyedtabaei</w:t>
      </w:r>
      <w:proofErr w:type="spellEnd"/>
      <w:r w:rsidRPr="00467A14">
        <w:rPr>
          <w:rFonts w:ascii="Times New Roman" w:eastAsia="Times New Roman" w:hAnsi="Times New Roman" w:cs="Times New Roman"/>
          <w:sz w:val="24"/>
          <w:szCs w:val="24"/>
        </w:rPr>
        <w:t>, S. J., Hajali, V., Sadabadi,</w:t>
      </w:r>
      <w:r w:rsidRPr="00467A14">
        <w:rPr>
          <w:rFonts w:ascii="Times New Roman" w:eastAsia="Times New Roman" w:hAnsi="Times New Roman" w:cs="Times New Roman"/>
          <w:sz w:val="24"/>
          <w:szCs w:val="24"/>
        </w:rPr>
        <w:t xml:space="preserve"> F., &amp; Saburi, E. (2024). Hematological changes due to malaria – An update. </w:t>
      </w:r>
      <w:r w:rsidRPr="00467A14">
        <w:rPr>
          <w:rFonts w:ascii="Times New Roman" w:eastAsia="Times New Roman" w:hAnsi="Times New Roman" w:cs="Times New Roman"/>
          <w:i/>
          <w:iCs/>
          <w:sz w:val="24"/>
          <w:szCs w:val="24"/>
        </w:rPr>
        <w:t xml:space="preserve">Molecular and </w:t>
      </w:r>
      <w:r w:rsidRPr="00467A14">
        <w:rPr>
          <w:rFonts w:ascii="Times New Roman" w:eastAsia="Times New Roman" w:hAnsi="Times New Roman" w:cs="Times New Roman"/>
          <w:i/>
          <w:iCs/>
          <w:sz w:val="24"/>
          <w:szCs w:val="24"/>
        </w:rPr>
        <w:lastRenderedPageBreak/>
        <w:t>Biochemical Parasitology, 259</w:t>
      </w:r>
      <w:r w:rsidRPr="00467A14">
        <w:rPr>
          <w:rFonts w:ascii="Times New Roman" w:eastAsia="Times New Roman" w:hAnsi="Times New Roman" w:cs="Times New Roman"/>
          <w:sz w:val="24"/>
          <w:szCs w:val="24"/>
        </w:rPr>
        <w:t>, 111635.</w:t>
      </w:r>
      <w:hyperlink r:id="rId46">
        <w:r w:rsidR="000F0B49" w:rsidRPr="00467A14">
          <w:rPr>
            <w:rFonts w:ascii="Times New Roman" w:eastAsia="Times New Roman" w:hAnsi="Times New Roman" w:cs="Times New Roman"/>
            <w:sz w:val="24"/>
            <w:szCs w:val="24"/>
            <w:u w:val="single"/>
          </w:rPr>
          <w:t xml:space="preserve"> </w:t>
        </w:r>
      </w:hyperlink>
      <w:hyperlink r:id="rId47">
        <w:r w:rsidR="000F0B49" w:rsidRPr="00467A14">
          <w:rPr>
            <w:rFonts w:ascii="Times New Roman" w:eastAsia="Times New Roman" w:hAnsi="Times New Roman" w:cs="Times New Roman"/>
            <w:sz w:val="24"/>
            <w:szCs w:val="24"/>
            <w:u w:val="single"/>
          </w:rPr>
          <w:t>https://doi.org/10.1016/j.molbiopara.2024.111635</w:t>
        </w:r>
      </w:hyperlink>
    </w:p>
    <w:p w14:paraId="25758F9A"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National Heart, Lung, and Blood Institute. (2025, February 18). </w:t>
      </w:r>
      <w:r w:rsidRPr="00467A14">
        <w:rPr>
          <w:rFonts w:ascii="Times New Roman" w:eastAsia="Times New Roman" w:hAnsi="Times New Roman" w:cs="Times New Roman"/>
          <w:i/>
          <w:iCs/>
          <w:sz w:val="24"/>
          <w:szCs w:val="24"/>
        </w:rPr>
        <w:t>Thrombocytopenia</w:t>
      </w:r>
      <w:r w:rsidRPr="00467A14">
        <w:rPr>
          <w:rFonts w:ascii="Times New Roman" w:eastAsia="Times New Roman" w:hAnsi="Times New Roman" w:cs="Times New Roman"/>
          <w:sz w:val="24"/>
          <w:szCs w:val="24"/>
        </w:rPr>
        <w:t>.</w:t>
      </w:r>
      <w:hyperlink r:id="rId48">
        <w:r w:rsidR="000F0B49" w:rsidRPr="00467A14">
          <w:rPr>
            <w:rFonts w:ascii="Times New Roman" w:eastAsia="Times New Roman" w:hAnsi="Times New Roman" w:cs="Times New Roman"/>
            <w:sz w:val="24"/>
            <w:szCs w:val="24"/>
            <w:u w:val="single"/>
          </w:rPr>
          <w:t xml:space="preserve"> </w:t>
        </w:r>
      </w:hyperlink>
      <w:hyperlink r:id="rId49">
        <w:r w:rsidR="000F0B49" w:rsidRPr="00467A14">
          <w:rPr>
            <w:rFonts w:ascii="Times New Roman" w:eastAsia="Times New Roman" w:hAnsi="Times New Roman" w:cs="Times New Roman"/>
            <w:sz w:val="24"/>
            <w:szCs w:val="24"/>
            <w:u w:val="single"/>
          </w:rPr>
          <w:t>https://www.nhlbi.nih.gov/health/thrombocytopenia</w:t>
        </w:r>
      </w:hyperlink>
    </w:p>
    <w:p w14:paraId="2A12C55D"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rPr>
      </w:pPr>
      <w:bookmarkStart w:id="58" w:name="_t419dol6gz62" w:colFirst="0" w:colLast="0"/>
      <w:bookmarkEnd w:id="58"/>
      <w:proofErr w:type="spellStart"/>
      <w:r w:rsidRPr="00467A14">
        <w:rPr>
          <w:rFonts w:ascii="Times New Roman" w:eastAsia="Times New Roman" w:hAnsi="Times New Roman" w:cs="Times New Roman"/>
          <w:sz w:val="24"/>
          <w:szCs w:val="24"/>
        </w:rPr>
        <w:t>Ndatumuremyi</w:t>
      </w:r>
      <w:proofErr w:type="spellEnd"/>
      <w:r w:rsidRPr="00467A14">
        <w:rPr>
          <w:rFonts w:ascii="Times New Roman" w:eastAsia="Times New Roman" w:hAnsi="Times New Roman" w:cs="Times New Roman"/>
          <w:sz w:val="24"/>
          <w:szCs w:val="24"/>
        </w:rPr>
        <w:t xml:space="preserve">, J., </w:t>
      </w:r>
      <w:proofErr w:type="spellStart"/>
      <w:r w:rsidRPr="00467A14">
        <w:rPr>
          <w:rFonts w:ascii="Times New Roman" w:eastAsia="Times New Roman" w:hAnsi="Times New Roman" w:cs="Times New Roman"/>
          <w:sz w:val="24"/>
          <w:szCs w:val="24"/>
        </w:rPr>
        <w:t>Kagimbangabo</w:t>
      </w:r>
      <w:proofErr w:type="spellEnd"/>
      <w:r w:rsidRPr="00467A14">
        <w:rPr>
          <w:rFonts w:ascii="Times New Roman" w:eastAsia="Times New Roman" w:hAnsi="Times New Roman" w:cs="Times New Roman"/>
          <w:sz w:val="24"/>
          <w:szCs w:val="24"/>
        </w:rPr>
        <w:t xml:space="preserve">, J. M. V., Nshimiyimana, I., Gaspard, B., </w:t>
      </w:r>
      <w:proofErr w:type="spellStart"/>
      <w:r w:rsidRPr="00467A14">
        <w:rPr>
          <w:rFonts w:ascii="Times New Roman" w:eastAsia="Times New Roman" w:hAnsi="Times New Roman" w:cs="Times New Roman"/>
          <w:sz w:val="24"/>
          <w:szCs w:val="24"/>
        </w:rPr>
        <w:t>Sendegeya</w:t>
      </w:r>
      <w:proofErr w:type="spellEnd"/>
      <w:r w:rsidRPr="00467A14">
        <w:rPr>
          <w:rFonts w:ascii="Times New Roman" w:eastAsia="Times New Roman" w:hAnsi="Times New Roman" w:cs="Times New Roman"/>
          <w:sz w:val="24"/>
          <w:szCs w:val="24"/>
        </w:rPr>
        <w:t xml:space="preserve">, J. P., </w:t>
      </w:r>
      <w:proofErr w:type="spellStart"/>
      <w:r w:rsidRPr="00467A14">
        <w:rPr>
          <w:rFonts w:ascii="Times New Roman" w:eastAsia="Times New Roman" w:hAnsi="Times New Roman" w:cs="Times New Roman"/>
          <w:sz w:val="24"/>
          <w:szCs w:val="24"/>
        </w:rPr>
        <w:t>Nizeyimana</w:t>
      </w:r>
      <w:proofErr w:type="spellEnd"/>
      <w:r w:rsidRPr="00467A14">
        <w:rPr>
          <w:rFonts w:ascii="Times New Roman" w:eastAsia="Times New Roman" w:hAnsi="Times New Roman" w:cs="Times New Roman"/>
          <w:sz w:val="24"/>
          <w:szCs w:val="24"/>
        </w:rPr>
        <w:t xml:space="preserve">, V., </w:t>
      </w:r>
      <w:proofErr w:type="spellStart"/>
      <w:r w:rsidRPr="00467A14">
        <w:rPr>
          <w:rFonts w:ascii="Times New Roman" w:eastAsia="Times New Roman" w:hAnsi="Times New Roman" w:cs="Times New Roman"/>
          <w:sz w:val="24"/>
          <w:szCs w:val="24"/>
        </w:rPr>
        <w:t>Byukusenge</w:t>
      </w:r>
      <w:proofErr w:type="spellEnd"/>
      <w:r w:rsidRPr="00467A14">
        <w:rPr>
          <w:rFonts w:ascii="Times New Roman" w:eastAsia="Times New Roman" w:hAnsi="Times New Roman" w:cs="Times New Roman"/>
          <w:sz w:val="24"/>
          <w:szCs w:val="24"/>
        </w:rPr>
        <w:t xml:space="preserve">, C., &amp; </w:t>
      </w:r>
      <w:proofErr w:type="spellStart"/>
      <w:r w:rsidRPr="00467A14">
        <w:rPr>
          <w:rFonts w:ascii="Times New Roman" w:eastAsia="Times New Roman" w:hAnsi="Times New Roman" w:cs="Times New Roman"/>
          <w:sz w:val="24"/>
          <w:szCs w:val="24"/>
        </w:rPr>
        <w:t>Ns</w:t>
      </w:r>
      <w:r w:rsidRPr="00467A14">
        <w:rPr>
          <w:rFonts w:ascii="Times New Roman" w:eastAsia="Times New Roman" w:hAnsi="Times New Roman" w:cs="Times New Roman"/>
          <w:sz w:val="24"/>
          <w:szCs w:val="24"/>
        </w:rPr>
        <w:t>anzabera</w:t>
      </w:r>
      <w:proofErr w:type="spellEnd"/>
      <w:r w:rsidRPr="00467A14">
        <w:rPr>
          <w:rFonts w:ascii="Times New Roman" w:eastAsia="Times New Roman" w:hAnsi="Times New Roman" w:cs="Times New Roman"/>
          <w:sz w:val="24"/>
          <w:szCs w:val="24"/>
        </w:rPr>
        <w:t xml:space="preserve">, C. (2025). Prevalence and factors associated with severe thrombocytopenia among hospitalized patients with malaria attending </w:t>
      </w:r>
      <w:proofErr w:type="spellStart"/>
      <w:r w:rsidRPr="00467A14">
        <w:rPr>
          <w:rFonts w:ascii="Times New Roman" w:eastAsia="Times New Roman" w:hAnsi="Times New Roman" w:cs="Times New Roman"/>
          <w:sz w:val="24"/>
          <w:szCs w:val="24"/>
        </w:rPr>
        <w:t>Kigeme</w:t>
      </w:r>
      <w:proofErr w:type="spellEnd"/>
      <w:r w:rsidRPr="00467A14">
        <w:rPr>
          <w:rFonts w:ascii="Times New Roman" w:eastAsia="Times New Roman" w:hAnsi="Times New Roman" w:cs="Times New Roman"/>
          <w:sz w:val="24"/>
          <w:szCs w:val="24"/>
        </w:rPr>
        <w:t xml:space="preserve"> District Hospital, Southern Province, Rwanda: Cross-sectional study. </w:t>
      </w:r>
      <w:r w:rsidRPr="00467A14">
        <w:rPr>
          <w:rFonts w:ascii="Times New Roman" w:eastAsia="Times New Roman" w:hAnsi="Times New Roman" w:cs="Times New Roman"/>
          <w:i/>
          <w:iCs/>
          <w:sz w:val="24"/>
          <w:szCs w:val="24"/>
        </w:rPr>
        <w:t>Malaria Journal, 24</w:t>
      </w:r>
      <w:r w:rsidRPr="00467A14">
        <w:rPr>
          <w:rFonts w:ascii="Times New Roman" w:eastAsia="Times New Roman" w:hAnsi="Times New Roman" w:cs="Times New Roman"/>
          <w:sz w:val="24"/>
          <w:szCs w:val="24"/>
        </w:rPr>
        <w:t xml:space="preserve">, 381. </w:t>
      </w:r>
      <w:hyperlink r:id="rId50">
        <w:r w:rsidR="000F0B49" w:rsidRPr="00467A14">
          <w:rPr>
            <w:rFonts w:ascii="Times New Roman" w:eastAsia="Times New Roman" w:hAnsi="Times New Roman" w:cs="Times New Roman"/>
            <w:sz w:val="24"/>
            <w:szCs w:val="24"/>
            <w:u w:val="single"/>
          </w:rPr>
          <w:t>https://doi.org/10.1186/s12936-025-05626-w</w:t>
        </w:r>
      </w:hyperlink>
    </w:p>
    <w:p w14:paraId="2D2A4007"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rPr>
      </w:pPr>
      <w:bookmarkStart w:id="59" w:name="_s3uavxmog94r" w:colFirst="0" w:colLast="0"/>
      <w:bookmarkEnd w:id="59"/>
      <w:r w:rsidRPr="00467A14">
        <w:rPr>
          <w:rFonts w:ascii="Times New Roman" w:eastAsia="Times New Roman" w:hAnsi="Times New Roman" w:cs="Times New Roman"/>
          <w:sz w:val="24"/>
          <w:szCs w:val="24"/>
        </w:rPr>
        <w:t>Pawłowska, M., Mila-</w:t>
      </w:r>
      <w:proofErr w:type="spellStart"/>
      <w:r w:rsidRPr="00467A14">
        <w:rPr>
          <w:rFonts w:ascii="Times New Roman" w:eastAsia="Times New Roman" w:hAnsi="Times New Roman" w:cs="Times New Roman"/>
          <w:sz w:val="24"/>
          <w:szCs w:val="24"/>
        </w:rPr>
        <w:t>Kierzenkowska</w:t>
      </w:r>
      <w:proofErr w:type="spellEnd"/>
      <w:r w:rsidRPr="00467A14">
        <w:rPr>
          <w:rFonts w:ascii="Times New Roman" w:eastAsia="Times New Roman" w:hAnsi="Times New Roman" w:cs="Times New Roman"/>
          <w:sz w:val="24"/>
          <w:szCs w:val="24"/>
        </w:rPr>
        <w:t xml:space="preserve">, C., </w:t>
      </w:r>
      <w:proofErr w:type="spellStart"/>
      <w:r w:rsidRPr="00467A14">
        <w:rPr>
          <w:rFonts w:ascii="Times New Roman" w:eastAsia="Times New Roman" w:hAnsi="Times New Roman" w:cs="Times New Roman"/>
          <w:sz w:val="24"/>
          <w:szCs w:val="24"/>
        </w:rPr>
        <w:t>Szczegielniak</w:t>
      </w:r>
      <w:proofErr w:type="spellEnd"/>
      <w:r w:rsidRPr="00467A14">
        <w:rPr>
          <w:rFonts w:ascii="Times New Roman" w:eastAsia="Times New Roman" w:hAnsi="Times New Roman" w:cs="Times New Roman"/>
          <w:sz w:val="24"/>
          <w:szCs w:val="24"/>
        </w:rPr>
        <w:t>, J., &amp; Woźniak, A. (2023). Oxidative stress in parasitic diseases, Reactive oxygen species as mediators of interactio</w:t>
      </w:r>
      <w:r w:rsidRPr="00467A14">
        <w:rPr>
          <w:rFonts w:ascii="Times New Roman" w:eastAsia="Times New Roman" w:hAnsi="Times New Roman" w:cs="Times New Roman"/>
          <w:sz w:val="24"/>
          <w:szCs w:val="24"/>
        </w:rPr>
        <w:t xml:space="preserve">ns between the host and the parasites. </w:t>
      </w:r>
      <w:r w:rsidRPr="00467A14">
        <w:rPr>
          <w:rFonts w:ascii="Times New Roman" w:eastAsia="Times New Roman" w:hAnsi="Times New Roman" w:cs="Times New Roman"/>
          <w:i/>
          <w:iCs/>
          <w:sz w:val="24"/>
          <w:szCs w:val="24"/>
        </w:rPr>
        <w:t>Antioxidants</w:t>
      </w:r>
      <w:r w:rsidRPr="00467A14">
        <w:rPr>
          <w:rFonts w:ascii="Times New Roman" w:eastAsia="Times New Roman" w:hAnsi="Times New Roman" w:cs="Times New Roman"/>
          <w:sz w:val="24"/>
          <w:szCs w:val="24"/>
        </w:rPr>
        <w:t>, 13(1), 38. https://doi.org/10.3390/antiox13010038</w:t>
      </w:r>
    </w:p>
    <w:p w14:paraId="48E70BB5"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Rao, B. S., Vani, M. S., Latha, G. J. S. L., &amp; Lavanya, D. (2017). Incidence, severity, prognostic significance of thrombocytopenia in malaria. </w:t>
      </w:r>
      <w:r w:rsidRPr="00467A14">
        <w:rPr>
          <w:rFonts w:ascii="Times New Roman" w:eastAsia="Times New Roman" w:hAnsi="Times New Roman" w:cs="Times New Roman"/>
          <w:i/>
          <w:iCs/>
          <w:sz w:val="24"/>
          <w:szCs w:val="24"/>
        </w:rPr>
        <w:t>Internati</w:t>
      </w:r>
      <w:r w:rsidRPr="00467A14">
        <w:rPr>
          <w:rFonts w:ascii="Times New Roman" w:eastAsia="Times New Roman" w:hAnsi="Times New Roman" w:cs="Times New Roman"/>
          <w:i/>
          <w:iCs/>
          <w:sz w:val="24"/>
          <w:szCs w:val="24"/>
        </w:rPr>
        <w:t>onal Journal of Research in Medical Sciences</w:t>
      </w:r>
      <w:r w:rsidRPr="00467A14">
        <w:rPr>
          <w:rFonts w:ascii="Times New Roman" w:eastAsia="Times New Roman" w:hAnsi="Times New Roman" w:cs="Times New Roman"/>
          <w:sz w:val="24"/>
          <w:szCs w:val="24"/>
        </w:rPr>
        <w:t xml:space="preserve">, </w:t>
      </w:r>
      <w:r w:rsidRPr="00467A14">
        <w:rPr>
          <w:rFonts w:ascii="Times New Roman" w:eastAsia="Times New Roman" w:hAnsi="Times New Roman" w:cs="Times New Roman"/>
          <w:i/>
          <w:iCs/>
          <w:sz w:val="24"/>
          <w:szCs w:val="24"/>
        </w:rPr>
        <w:t>3</w:t>
      </w:r>
      <w:r w:rsidRPr="00467A14">
        <w:rPr>
          <w:rFonts w:ascii="Times New Roman" w:eastAsia="Times New Roman" w:hAnsi="Times New Roman" w:cs="Times New Roman"/>
          <w:sz w:val="24"/>
          <w:szCs w:val="24"/>
        </w:rPr>
        <w:t>(1), 116–121. Retrieved from</w:t>
      </w:r>
      <w:hyperlink r:id="rId51">
        <w:r w:rsidR="000F0B49" w:rsidRPr="00467A14">
          <w:rPr>
            <w:rFonts w:ascii="Times New Roman" w:eastAsia="Times New Roman" w:hAnsi="Times New Roman" w:cs="Times New Roman"/>
            <w:sz w:val="24"/>
            <w:szCs w:val="24"/>
          </w:rPr>
          <w:t xml:space="preserve"> </w:t>
        </w:r>
      </w:hyperlink>
      <w:hyperlink r:id="rId52">
        <w:r w:rsidR="000F0B49" w:rsidRPr="00467A14">
          <w:rPr>
            <w:rFonts w:ascii="Times New Roman" w:eastAsia="Times New Roman" w:hAnsi="Times New Roman" w:cs="Times New Roman"/>
            <w:sz w:val="24"/>
            <w:szCs w:val="24"/>
            <w:u w:val="single"/>
          </w:rPr>
          <w:t>https://www.msjonline.org/index.php/ijrms/article/view/1217</w:t>
        </w:r>
      </w:hyperlink>
    </w:p>
    <w:p w14:paraId="62B8FD50"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Shams M, Iqbal M, Hussain NUH, Zaheer H, </w:t>
      </w:r>
      <w:proofErr w:type="spellStart"/>
      <w:r w:rsidRPr="00467A14">
        <w:rPr>
          <w:rFonts w:ascii="Times New Roman" w:eastAsia="Times New Roman" w:hAnsi="Times New Roman" w:cs="Times New Roman"/>
          <w:sz w:val="24"/>
          <w:szCs w:val="24"/>
        </w:rPr>
        <w:t>Pario</w:t>
      </w:r>
      <w:proofErr w:type="spellEnd"/>
      <w:r w:rsidRPr="00467A14">
        <w:rPr>
          <w:rFonts w:ascii="Times New Roman" w:eastAsia="Times New Roman" w:hAnsi="Times New Roman" w:cs="Times New Roman"/>
          <w:sz w:val="24"/>
          <w:szCs w:val="24"/>
        </w:rPr>
        <w:t xml:space="preserve"> S. A retrospective cross-sectional study on the hematological impact of malaria and the significance of various blood parameters in the detection of malaria. </w:t>
      </w:r>
      <w:r w:rsidRPr="00467A14">
        <w:rPr>
          <w:rFonts w:ascii="Times New Roman" w:eastAsia="Times New Roman" w:hAnsi="Times New Roman" w:cs="Times New Roman"/>
          <w:i/>
          <w:iCs/>
          <w:sz w:val="24"/>
          <w:szCs w:val="24"/>
        </w:rPr>
        <w:t xml:space="preserve">Isra Medical </w:t>
      </w:r>
      <w:r w:rsidRPr="00467A14">
        <w:rPr>
          <w:rFonts w:ascii="Times New Roman" w:eastAsia="Times New Roman" w:hAnsi="Times New Roman" w:cs="Times New Roman"/>
          <w:i/>
          <w:iCs/>
          <w:sz w:val="24"/>
          <w:szCs w:val="24"/>
        </w:rPr>
        <w:t>Journal.</w:t>
      </w:r>
      <w:r w:rsidRPr="00467A14">
        <w:rPr>
          <w:rFonts w:ascii="Times New Roman" w:eastAsia="Times New Roman" w:hAnsi="Times New Roman" w:cs="Times New Roman"/>
          <w:sz w:val="24"/>
          <w:szCs w:val="24"/>
        </w:rPr>
        <w:t xml:space="preserve"> 2025;17(1).</w:t>
      </w:r>
      <w:hyperlink r:id="rId53">
        <w:r w:rsidR="000F0B49" w:rsidRPr="00467A14">
          <w:rPr>
            <w:rFonts w:ascii="Times New Roman" w:eastAsia="Times New Roman" w:hAnsi="Times New Roman" w:cs="Times New Roman"/>
            <w:sz w:val="24"/>
            <w:szCs w:val="24"/>
            <w:u w:val="single"/>
          </w:rPr>
          <w:t xml:space="preserve"> </w:t>
        </w:r>
      </w:hyperlink>
      <w:hyperlink r:id="rId54">
        <w:r w:rsidR="000F0B49" w:rsidRPr="00467A14">
          <w:rPr>
            <w:rFonts w:ascii="Times New Roman" w:eastAsia="Times New Roman" w:hAnsi="Times New Roman" w:cs="Times New Roman"/>
            <w:sz w:val="24"/>
            <w:szCs w:val="24"/>
            <w:u w:val="single"/>
          </w:rPr>
          <w:t>https://doi.org/10.55282/imj.oa1421</w:t>
        </w:r>
      </w:hyperlink>
    </w:p>
    <w:p w14:paraId="6DDAC8BE" w14:textId="77777777" w:rsidR="000F0B49" w:rsidRPr="00467A14" w:rsidRDefault="00F034B5" w:rsidP="003E6F0F">
      <w:pPr>
        <w:pStyle w:val="Heading1"/>
        <w:keepNext w:val="0"/>
        <w:keepLines w:val="0"/>
        <w:spacing w:before="240" w:after="240"/>
        <w:ind w:left="720" w:hanging="720"/>
        <w:rPr>
          <w:rFonts w:ascii="Times New Roman" w:eastAsia="Times New Roman" w:hAnsi="Times New Roman" w:cs="Times New Roman"/>
          <w:sz w:val="24"/>
          <w:szCs w:val="24"/>
        </w:rPr>
      </w:pPr>
      <w:bookmarkStart w:id="60" w:name="_q9kgejv2j2qi" w:colFirst="0" w:colLast="0"/>
      <w:bookmarkEnd w:id="60"/>
      <w:r w:rsidRPr="00467A14">
        <w:rPr>
          <w:rFonts w:ascii="Times New Roman" w:eastAsia="Times New Roman" w:hAnsi="Times New Roman" w:cs="Times New Roman"/>
          <w:sz w:val="24"/>
          <w:szCs w:val="24"/>
        </w:rPr>
        <w:t xml:space="preserve">Srikanth, J., Srinivas, S., Krishna, C. R. P. S., &amp; </w:t>
      </w:r>
      <w:proofErr w:type="spellStart"/>
      <w:r w:rsidRPr="00467A14">
        <w:rPr>
          <w:rFonts w:ascii="Times New Roman" w:eastAsia="Times New Roman" w:hAnsi="Times New Roman" w:cs="Times New Roman"/>
          <w:sz w:val="24"/>
          <w:szCs w:val="24"/>
        </w:rPr>
        <w:t>Ramulu</w:t>
      </w:r>
      <w:proofErr w:type="spellEnd"/>
      <w:r w:rsidRPr="00467A14">
        <w:rPr>
          <w:rFonts w:ascii="Times New Roman" w:eastAsia="Times New Roman" w:hAnsi="Times New Roman" w:cs="Times New Roman"/>
          <w:sz w:val="24"/>
          <w:szCs w:val="24"/>
        </w:rPr>
        <w:t>, P. R. (2012). Prevalence of t</w:t>
      </w:r>
      <w:r w:rsidRPr="00467A14">
        <w:rPr>
          <w:rFonts w:ascii="Times New Roman" w:eastAsia="Times New Roman" w:hAnsi="Times New Roman" w:cs="Times New Roman"/>
          <w:sz w:val="24"/>
          <w:szCs w:val="24"/>
        </w:rPr>
        <w:t xml:space="preserve">hrombocytopenia in a diagnosed case of malaria in rural population of South India. </w:t>
      </w:r>
      <w:r w:rsidRPr="00467A14">
        <w:rPr>
          <w:rFonts w:ascii="Times New Roman" w:eastAsia="Times New Roman" w:hAnsi="Times New Roman" w:cs="Times New Roman"/>
          <w:i/>
          <w:iCs/>
          <w:sz w:val="24"/>
          <w:szCs w:val="24"/>
        </w:rPr>
        <w:t>Journal of Dr. NTR University of Health Sciences, 1</w:t>
      </w:r>
      <w:r w:rsidRPr="00467A14">
        <w:rPr>
          <w:rFonts w:ascii="Times New Roman" w:eastAsia="Times New Roman" w:hAnsi="Times New Roman" w:cs="Times New Roman"/>
          <w:sz w:val="24"/>
          <w:szCs w:val="24"/>
        </w:rPr>
        <w:t>(3), 152–155. https://doi.org/10.4103/2277-8632.102438</w:t>
      </w:r>
    </w:p>
    <w:p w14:paraId="7D540353"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Sukati, S., </w:t>
      </w:r>
      <w:proofErr w:type="spellStart"/>
      <w:r w:rsidRPr="00467A14">
        <w:rPr>
          <w:rFonts w:ascii="Times New Roman" w:eastAsia="Times New Roman" w:hAnsi="Times New Roman" w:cs="Times New Roman"/>
          <w:sz w:val="24"/>
          <w:szCs w:val="24"/>
        </w:rPr>
        <w:t>Wannatung</w:t>
      </w:r>
      <w:proofErr w:type="spellEnd"/>
      <w:r w:rsidRPr="00467A14">
        <w:rPr>
          <w:rFonts w:ascii="Times New Roman" w:eastAsia="Times New Roman" w:hAnsi="Times New Roman" w:cs="Times New Roman"/>
          <w:sz w:val="24"/>
          <w:szCs w:val="24"/>
        </w:rPr>
        <w:t xml:space="preserve">, T., Duangchan, T., </w:t>
      </w:r>
      <w:proofErr w:type="spellStart"/>
      <w:r w:rsidRPr="00467A14">
        <w:rPr>
          <w:rFonts w:ascii="Times New Roman" w:eastAsia="Times New Roman" w:hAnsi="Times New Roman" w:cs="Times New Roman"/>
          <w:sz w:val="24"/>
          <w:szCs w:val="24"/>
        </w:rPr>
        <w:t>Uthaisar</w:t>
      </w:r>
      <w:proofErr w:type="spellEnd"/>
      <w:r w:rsidRPr="00467A14">
        <w:rPr>
          <w:rFonts w:ascii="Times New Roman" w:eastAsia="Times New Roman" w:hAnsi="Times New Roman" w:cs="Times New Roman"/>
          <w:sz w:val="24"/>
          <w:szCs w:val="24"/>
        </w:rPr>
        <w:t xml:space="preserve"> </w:t>
      </w:r>
      <w:proofErr w:type="spellStart"/>
      <w:r w:rsidRPr="00467A14">
        <w:rPr>
          <w:rFonts w:ascii="Times New Roman" w:eastAsia="Times New Roman" w:hAnsi="Times New Roman" w:cs="Times New Roman"/>
          <w:sz w:val="24"/>
          <w:szCs w:val="24"/>
        </w:rPr>
        <w:t>Kotepui</w:t>
      </w:r>
      <w:proofErr w:type="spellEnd"/>
      <w:r w:rsidRPr="00467A14">
        <w:rPr>
          <w:rFonts w:ascii="Times New Roman" w:eastAsia="Times New Roman" w:hAnsi="Times New Roman" w:cs="Times New Roman"/>
          <w:sz w:val="24"/>
          <w:szCs w:val="24"/>
        </w:rPr>
        <w:t>, K., Ram</w:t>
      </w:r>
      <w:r w:rsidRPr="00467A14">
        <w:rPr>
          <w:rFonts w:ascii="Times New Roman" w:eastAsia="Times New Roman" w:hAnsi="Times New Roman" w:cs="Times New Roman"/>
          <w:sz w:val="24"/>
          <w:szCs w:val="24"/>
        </w:rPr>
        <w:t xml:space="preserve">irez Masangkay, F., Tseng, C.P., &amp; </w:t>
      </w:r>
      <w:proofErr w:type="spellStart"/>
      <w:r w:rsidRPr="00467A14">
        <w:rPr>
          <w:rFonts w:ascii="Times New Roman" w:eastAsia="Times New Roman" w:hAnsi="Times New Roman" w:cs="Times New Roman"/>
          <w:sz w:val="24"/>
          <w:szCs w:val="24"/>
        </w:rPr>
        <w:t>Kotepui</w:t>
      </w:r>
      <w:proofErr w:type="spellEnd"/>
      <w:r w:rsidRPr="00467A14">
        <w:rPr>
          <w:rFonts w:ascii="Times New Roman" w:eastAsia="Times New Roman" w:hAnsi="Times New Roman" w:cs="Times New Roman"/>
          <w:sz w:val="24"/>
          <w:szCs w:val="24"/>
        </w:rPr>
        <w:t xml:space="preserve">, M. (2024). Alteration of prothrombin time in </w:t>
      </w:r>
      <w:r w:rsidRPr="00467A14">
        <w:rPr>
          <w:rFonts w:ascii="Times New Roman" w:eastAsia="Times New Roman" w:hAnsi="Times New Roman" w:cs="Times New Roman"/>
          <w:i/>
          <w:iCs/>
          <w:sz w:val="24"/>
          <w:szCs w:val="24"/>
        </w:rPr>
        <w:t>Plasmodium falciparum</w:t>
      </w:r>
      <w:r w:rsidRPr="00467A14">
        <w:rPr>
          <w:rFonts w:ascii="Times New Roman" w:eastAsia="Times New Roman" w:hAnsi="Times New Roman" w:cs="Times New Roman"/>
          <w:sz w:val="24"/>
          <w:szCs w:val="24"/>
        </w:rPr>
        <w:t xml:space="preserve"> and </w:t>
      </w:r>
      <w:r w:rsidRPr="00467A14">
        <w:rPr>
          <w:rFonts w:ascii="Times New Roman" w:eastAsia="Times New Roman" w:hAnsi="Times New Roman" w:cs="Times New Roman"/>
          <w:i/>
          <w:iCs/>
          <w:sz w:val="24"/>
          <w:szCs w:val="24"/>
        </w:rPr>
        <w:t>Plasmodium vivax</w:t>
      </w:r>
      <w:r w:rsidRPr="00467A14">
        <w:rPr>
          <w:rFonts w:ascii="Times New Roman" w:eastAsia="Times New Roman" w:hAnsi="Times New Roman" w:cs="Times New Roman"/>
          <w:sz w:val="24"/>
          <w:szCs w:val="24"/>
        </w:rPr>
        <w:t xml:space="preserve"> infections with different levels of severity: A systematic review and </w:t>
      </w:r>
      <w:proofErr w:type="spellStart"/>
      <w:r w:rsidRPr="00467A14">
        <w:rPr>
          <w:rFonts w:ascii="Times New Roman" w:eastAsia="Times New Roman" w:hAnsi="Times New Roman" w:cs="Times New Roman"/>
          <w:sz w:val="24"/>
          <w:szCs w:val="24"/>
        </w:rPr>
        <w:t>metaanalysis</w:t>
      </w:r>
      <w:proofErr w:type="spellEnd"/>
      <w:r w:rsidRPr="00467A14">
        <w:rPr>
          <w:rFonts w:ascii="Times New Roman" w:eastAsia="Times New Roman" w:hAnsi="Times New Roman" w:cs="Times New Roman"/>
          <w:sz w:val="24"/>
          <w:szCs w:val="24"/>
        </w:rPr>
        <w:t xml:space="preserve">. </w:t>
      </w:r>
      <w:r w:rsidRPr="00467A14">
        <w:rPr>
          <w:rFonts w:ascii="Times New Roman" w:eastAsia="Times New Roman" w:hAnsi="Times New Roman" w:cs="Times New Roman"/>
          <w:i/>
          <w:iCs/>
          <w:sz w:val="24"/>
          <w:szCs w:val="24"/>
        </w:rPr>
        <w:t>Scientific Reports, 14</w:t>
      </w:r>
      <w:r w:rsidRPr="00467A14">
        <w:rPr>
          <w:rFonts w:ascii="Times New Roman" w:eastAsia="Times New Roman" w:hAnsi="Times New Roman" w:cs="Times New Roman"/>
          <w:sz w:val="24"/>
          <w:szCs w:val="24"/>
        </w:rPr>
        <w:t>, 9816.</w:t>
      </w:r>
      <w:hyperlink r:id="rId55">
        <w:r w:rsidR="000F0B49" w:rsidRPr="00467A14">
          <w:rPr>
            <w:rFonts w:ascii="Times New Roman" w:eastAsia="Times New Roman" w:hAnsi="Times New Roman" w:cs="Times New Roman"/>
            <w:sz w:val="24"/>
            <w:szCs w:val="24"/>
            <w:u w:val="single"/>
          </w:rPr>
          <w:t xml:space="preserve"> </w:t>
        </w:r>
      </w:hyperlink>
      <w:hyperlink r:id="rId56">
        <w:r w:rsidR="000F0B49" w:rsidRPr="00467A14">
          <w:rPr>
            <w:rFonts w:ascii="Times New Roman" w:eastAsia="Times New Roman" w:hAnsi="Times New Roman" w:cs="Times New Roman"/>
            <w:sz w:val="24"/>
            <w:szCs w:val="24"/>
            <w:u w:val="single"/>
          </w:rPr>
          <w:t>https://doi.org/10.1038/s41598-024-60170-y</w:t>
        </w:r>
      </w:hyperlink>
    </w:p>
    <w:p w14:paraId="1B109359" w14:textId="77777777" w:rsidR="000F0B49" w:rsidRPr="00467A14" w:rsidRDefault="00F034B5" w:rsidP="003E6F0F">
      <w:pPr>
        <w:spacing w:before="240" w:after="240"/>
        <w:ind w:left="720" w:hanging="720"/>
        <w:rPr>
          <w:rFonts w:ascii="Times New Roman" w:eastAsia="Times New Roman" w:hAnsi="Times New Roman" w:cs="Times New Roman"/>
          <w:sz w:val="24"/>
          <w:szCs w:val="24"/>
        </w:rPr>
      </w:pPr>
      <w:r w:rsidRPr="00467A14">
        <w:rPr>
          <w:rFonts w:ascii="Times New Roman" w:eastAsia="Times New Roman" w:hAnsi="Times New Roman" w:cs="Times New Roman"/>
          <w:sz w:val="24"/>
          <w:szCs w:val="24"/>
        </w:rPr>
        <w:t xml:space="preserve">Surekha MR, </w:t>
      </w:r>
      <w:proofErr w:type="spellStart"/>
      <w:r w:rsidRPr="00467A14">
        <w:rPr>
          <w:rFonts w:ascii="Times New Roman" w:eastAsia="Times New Roman" w:hAnsi="Times New Roman" w:cs="Times New Roman"/>
          <w:sz w:val="24"/>
          <w:szCs w:val="24"/>
        </w:rPr>
        <w:t>Thiruman</w:t>
      </w:r>
      <w:proofErr w:type="spellEnd"/>
      <w:r w:rsidRPr="00467A14">
        <w:rPr>
          <w:rFonts w:ascii="Times New Roman" w:eastAsia="Times New Roman" w:hAnsi="Times New Roman" w:cs="Times New Roman"/>
          <w:sz w:val="24"/>
          <w:szCs w:val="24"/>
        </w:rPr>
        <w:t xml:space="preserve"> S. Plasmodium vivax infection with thrombocytopenia and its significance: An analysis of 42 cases. </w:t>
      </w:r>
      <w:r w:rsidRPr="00467A14">
        <w:rPr>
          <w:rFonts w:ascii="Times New Roman" w:eastAsia="Times New Roman" w:hAnsi="Times New Roman" w:cs="Times New Roman"/>
          <w:i/>
          <w:iCs/>
          <w:sz w:val="24"/>
          <w:szCs w:val="24"/>
        </w:rPr>
        <w:t>International Journal of Current Medical and Applied Sciences.</w:t>
      </w:r>
      <w:r w:rsidRPr="00467A14">
        <w:rPr>
          <w:rFonts w:ascii="Times New Roman" w:eastAsia="Times New Roman" w:hAnsi="Times New Roman" w:cs="Times New Roman"/>
          <w:sz w:val="24"/>
          <w:szCs w:val="24"/>
        </w:rPr>
        <w:t xml:space="preserve"> 2018;19(1):34–37.</w:t>
      </w:r>
    </w:p>
    <w:p w14:paraId="65F16B1C"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proofErr w:type="spellStart"/>
      <w:r w:rsidRPr="00467A14">
        <w:rPr>
          <w:rFonts w:ascii="Times New Roman" w:eastAsia="Times New Roman" w:hAnsi="Times New Roman" w:cs="Times New Roman"/>
          <w:sz w:val="24"/>
          <w:szCs w:val="24"/>
        </w:rPr>
        <w:lastRenderedPageBreak/>
        <w:t>Tiiba</w:t>
      </w:r>
      <w:proofErr w:type="spellEnd"/>
      <w:r w:rsidRPr="00467A14">
        <w:rPr>
          <w:rFonts w:ascii="Times New Roman" w:eastAsia="Times New Roman" w:hAnsi="Times New Roman" w:cs="Times New Roman"/>
          <w:sz w:val="24"/>
          <w:szCs w:val="24"/>
        </w:rPr>
        <w:t xml:space="preserve">, J. I., Ahmadu, P. U., </w:t>
      </w:r>
      <w:proofErr w:type="spellStart"/>
      <w:r w:rsidRPr="00467A14">
        <w:rPr>
          <w:rFonts w:ascii="Times New Roman" w:eastAsia="Times New Roman" w:hAnsi="Times New Roman" w:cs="Times New Roman"/>
          <w:sz w:val="24"/>
          <w:szCs w:val="24"/>
        </w:rPr>
        <w:t>Naamawu</w:t>
      </w:r>
      <w:proofErr w:type="spellEnd"/>
      <w:r w:rsidRPr="00467A14">
        <w:rPr>
          <w:rFonts w:ascii="Times New Roman" w:eastAsia="Times New Roman" w:hAnsi="Times New Roman" w:cs="Times New Roman"/>
          <w:sz w:val="24"/>
          <w:szCs w:val="24"/>
        </w:rPr>
        <w:t xml:space="preserve">, A., </w:t>
      </w:r>
      <w:proofErr w:type="spellStart"/>
      <w:r w:rsidRPr="00467A14">
        <w:rPr>
          <w:rFonts w:ascii="Times New Roman" w:eastAsia="Times New Roman" w:hAnsi="Times New Roman" w:cs="Times New Roman"/>
          <w:sz w:val="24"/>
          <w:szCs w:val="24"/>
        </w:rPr>
        <w:t>Fuseini</w:t>
      </w:r>
      <w:proofErr w:type="spellEnd"/>
      <w:r w:rsidRPr="00467A14">
        <w:rPr>
          <w:rFonts w:ascii="Times New Roman" w:eastAsia="Times New Roman" w:hAnsi="Times New Roman" w:cs="Times New Roman"/>
          <w:sz w:val="24"/>
          <w:szCs w:val="24"/>
        </w:rPr>
        <w:t xml:space="preserve">, M., Raymond, A., </w:t>
      </w:r>
      <w:proofErr w:type="spellStart"/>
      <w:r w:rsidRPr="00467A14">
        <w:rPr>
          <w:rFonts w:ascii="Times New Roman" w:eastAsia="Times New Roman" w:hAnsi="Times New Roman" w:cs="Times New Roman"/>
          <w:sz w:val="24"/>
          <w:szCs w:val="24"/>
        </w:rPr>
        <w:t>OseiAmo</w:t>
      </w:r>
      <w:r w:rsidRPr="00467A14">
        <w:rPr>
          <w:rFonts w:ascii="Times New Roman" w:eastAsia="Times New Roman" w:hAnsi="Times New Roman" w:cs="Times New Roman"/>
          <w:sz w:val="24"/>
          <w:szCs w:val="24"/>
        </w:rPr>
        <w:t>ah</w:t>
      </w:r>
      <w:proofErr w:type="spellEnd"/>
      <w:r w:rsidRPr="00467A14">
        <w:rPr>
          <w:rFonts w:ascii="Times New Roman" w:eastAsia="Times New Roman" w:hAnsi="Times New Roman" w:cs="Times New Roman"/>
          <w:sz w:val="24"/>
          <w:szCs w:val="24"/>
        </w:rPr>
        <w:t xml:space="preserve">, E., </w:t>
      </w:r>
      <w:proofErr w:type="spellStart"/>
      <w:r w:rsidRPr="00467A14">
        <w:rPr>
          <w:rFonts w:ascii="Times New Roman" w:eastAsia="Times New Roman" w:hAnsi="Times New Roman" w:cs="Times New Roman"/>
          <w:sz w:val="24"/>
          <w:szCs w:val="24"/>
        </w:rPr>
        <w:t>Bobrtaa</w:t>
      </w:r>
      <w:proofErr w:type="spellEnd"/>
      <w:r w:rsidRPr="00467A14">
        <w:rPr>
          <w:rFonts w:ascii="Times New Roman" w:eastAsia="Times New Roman" w:hAnsi="Times New Roman" w:cs="Times New Roman"/>
          <w:sz w:val="24"/>
          <w:szCs w:val="24"/>
        </w:rPr>
        <w:t xml:space="preserve">, P. C., </w:t>
      </w:r>
      <w:proofErr w:type="spellStart"/>
      <w:r w:rsidRPr="00467A14">
        <w:rPr>
          <w:rFonts w:ascii="Times New Roman" w:eastAsia="Times New Roman" w:hAnsi="Times New Roman" w:cs="Times New Roman"/>
          <w:sz w:val="24"/>
          <w:szCs w:val="24"/>
        </w:rPr>
        <w:t>Bacheyie</w:t>
      </w:r>
      <w:proofErr w:type="spellEnd"/>
      <w:r w:rsidRPr="00467A14">
        <w:rPr>
          <w:rFonts w:ascii="Times New Roman" w:eastAsia="Times New Roman" w:hAnsi="Times New Roman" w:cs="Times New Roman"/>
          <w:sz w:val="24"/>
          <w:szCs w:val="24"/>
        </w:rPr>
        <w:t xml:space="preserve">, P. P., Abdulai, M. A., </w:t>
      </w:r>
      <w:proofErr w:type="spellStart"/>
      <w:r w:rsidRPr="00467A14">
        <w:rPr>
          <w:rFonts w:ascii="Times New Roman" w:eastAsia="Times New Roman" w:hAnsi="Times New Roman" w:cs="Times New Roman"/>
          <w:sz w:val="24"/>
          <w:szCs w:val="24"/>
        </w:rPr>
        <w:t>Alidu</w:t>
      </w:r>
      <w:proofErr w:type="spellEnd"/>
      <w:r w:rsidRPr="00467A14">
        <w:rPr>
          <w:rFonts w:ascii="Times New Roman" w:eastAsia="Times New Roman" w:hAnsi="Times New Roman" w:cs="Times New Roman"/>
          <w:sz w:val="24"/>
          <w:szCs w:val="24"/>
        </w:rPr>
        <w:t xml:space="preserve">, I., Alhassan, A., Abdul Hamid, J. G., Yussif, A., </w:t>
      </w:r>
      <w:proofErr w:type="spellStart"/>
      <w:r w:rsidRPr="00467A14">
        <w:rPr>
          <w:rFonts w:ascii="Times New Roman" w:eastAsia="Times New Roman" w:hAnsi="Times New Roman" w:cs="Times New Roman"/>
          <w:sz w:val="24"/>
          <w:szCs w:val="24"/>
        </w:rPr>
        <w:t>Tayawn</w:t>
      </w:r>
      <w:proofErr w:type="spellEnd"/>
      <w:r w:rsidRPr="00467A14">
        <w:rPr>
          <w:rFonts w:ascii="Times New Roman" w:eastAsia="Times New Roman" w:hAnsi="Times New Roman" w:cs="Times New Roman"/>
          <w:sz w:val="24"/>
          <w:szCs w:val="24"/>
        </w:rPr>
        <w:t xml:space="preserve">, P. T., Sakyi, A. A., Yeng, T. N., Aziz, S. A., </w:t>
      </w:r>
      <w:proofErr w:type="spellStart"/>
      <w:r w:rsidRPr="00467A14">
        <w:rPr>
          <w:rFonts w:ascii="Times New Roman" w:eastAsia="Times New Roman" w:hAnsi="Times New Roman" w:cs="Times New Roman"/>
          <w:sz w:val="24"/>
          <w:szCs w:val="24"/>
        </w:rPr>
        <w:t>Mankana</w:t>
      </w:r>
      <w:proofErr w:type="spellEnd"/>
      <w:r w:rsidRPr="00467A14">
        <w:rPr>
          <w:rFonts w:ascii="Times New Roman" w:eastAsia="Times New Roman" w:hAnsi="Times New Roman" w:cs="Times New Roman"/>
          <w:sz w:val="24"/>
          <w:szCs w:val="24"/>
        </w:rPr>
        <w:t xml:space="preserve">, A. H., Husein, W. A., Abdallah, A. W., </w:t>
      </w:r>
      <w:proofErr w:type="spellStart"/>
      <w:r w:rsidRPr="00467A14">
        <w:rPr>
          <w:rFonts w:ascii="Times New Roman" w:eastAsia="Times New Roman" w:hAnsi="Times New Roman" w:cs="Times New Roman"/>
          <w:sz w:val="24"/>
          <w:szCs w:val="24"/>
        </w:rPr>
        <w:t>Mwininyaabu</w:t>
      </w:r>
      <w:proofErr w:type="spellEnd"/>
      <w:r w:rsidRPr="00467A14">
        <w:rPr>
          <w:rFonts w:ascii="Times New Roman" w:eastAsia="Times New Roman" w:hAnsi="Times New Roman" w:cs="Times New Roman"/>
          <w:sz w:val="24"/>
          <w:szCs w:val="24"/>
        </w:rPr>
        <w:t>, K. S., Kuffour, M. O., Boa</w:t>
      </w:r>
      <w:r w:rsidRPr="00467A14">
        <w:rPr>
          <w:rFonts w:ascii="Times New Roman" w:eastAsia="Times New Roman" w:hAnsi="Times New Roman" w:cs="Times New Roman"/>
          <w:sz w:val="24"/>
          <w:szCs w:val="24"/>
        </w:rPr>
        <w:t xml:space="preserve">teng, E. O., </w:t>
      </w:r>
      <w:proofErr w:type="spellStart"/>
      <w:r w:rsidRPr="00467A14">
        <w:rPr>
          <w:rFonts w:ascii="Times New Roman" w:eastAsia="Times New Roman" w:hAnsi="Times New Roman" w:cs="Times New Roman"/>
          <w:sz w:val="24"/>
          <w:szCs w:val="24"/>
        </w:rPr>
        <w:t>OwusuAchiaw</w:t>
      </w:r>
      <w:proofErr w:type="spellEnd"/>
      <w:r w:rsidRPr="00467A14">
        <w:rPr>
          <w:rFonts w:ascii="Times New Roman" w:eastAsia="Times New Roman" w:hAnsi="Times New Roman" w:cs="Times New Roman"/>
          <w:sz w:val="24"/>
          <w:szCs w:val="24"/>
        </w:rPr>
        <w:t xml:space="preserve">, B., &amp; </w:t>
      </w:r>
      <w:proofErr w:type="spellStart"/>
      <w:r w:rsidRPr="00467A14">
        <w:rPr>
          <w:rFonts w:ascii="Times New Roman" w:eastAsia="Times New Roman" w:hAnsi="Times New Roman" w:cs="Times New Roman"/>
          <w:sz w:val="24"/>
          <w:szCs w:val="24"/>
        </w:rPr>
        <w:t>Eyulaku</w:t>
      </w:r>
      <w:proofErr w:type="spellEnd"/>
      <w:r w:rsidRPr="00467A14">
        <w:rPr>
          <w:rFonts w:ascii="Times New Roman" w:eastAsia="Times New Roman" w:hAnsi="Times New Roman" w:cs="Times New Roman"/>
          <w:sz w:val="24"/>
          <w:szCs w:val="24"/>
        </w:rPr>
        <w:t xml:space="preserve">, N. J. (2023). Thrombocytopenia: A predictor of malaria: How far? </w:t>
      </w:r>
      <w:r w:rsidRPr="00467A14">
        <w:rPr>
          <w:rFonts w:ascii="Times New Roman" w:eastAsia="Times New Roman" w:hAnsi="Times New Roman" w:cs="Times New Roman"/>
          <w:i/>
          <w:iCs/>
          <w:sz w:val="24"/>
          <w:szCs w:val="24"/>
        </w:rPr>
        <w:t>Journal of Parasitic Diseases, 47</w:t>
      </w:r>
      <w:r w:rsidRPr="00467A14">
        <w:rPr>
          <w:rFonts w:ascii="Times New Roman" w:eastAsia="Times New Roman" w:hAnsi="Times New Roman" w:cs="Times New Roman"/>
          <w:sz w:val="24"/>
          <w:szCs w:val="24"/>
        </w:rPr>
        <w:t>(1), 1–11.</w:t>
      </w:r>
      <w:hyperlink r:id="rId57">
        <w:r w:rsidR="000F0B49" w:rsidRPr="00467A14">
          <w:rPr>
            <w:rFonts w:ascii="Times New Roman" w:eastAsia="Times New Roman" w:hAnsi="Times New Roman" w:cs="Times New Roman"/>
            <w:sz w:val="24"/>
            <w:szCs w:val="24"/>
          </w:rPr>
          <w:t xml:space="preserve"> </w:t>
        </w:r>
      </w:hyperlink>
      <w:hyperlink r:id="rId58">
        <w:r w:rsidR="000F0B49" w:rsidRPr="00467A14">
          <w:rPr>
            <w:rFonts w:ascii="Times New Roman" w:eastAsia="Times New Roman" w:hAnsi="Times New Roman" w:cs="Times New Roman"/>
            <w:sz w:val="24"/>
            <w:szCs w:val="24"/>
            <w:u w:val="single"/>
          </w:rPr>
          <w:t>https://doi.org/10.1007/s12639-022-01557-4</w:t>
        </w:r>
      </w:hyperlink>
    </w:p>
    <w:p w14:paraId="79A710B2"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Ullah, I., Ali, M. U., Ali, S., Rafiq, A., Sattar, Z., &amp; Hussain, S. (2018). Hematological profile of patients having malaria-positive peripheral blood smears: A cross-sectional study at a diagno</w:t>
      </w:r>
      <w:r w:rsidRPr="00467A14">
        <w:rPr>
          <w:rFonts w:ascii="Times New Roman" w:eastAsia="Times New Roman" w:hAnsi="Times New Roman" w:cs="Times New Roman"/>
          <w:sz w:val="24"/>
          <w:szCs w:val="24"/>
        </w:rPr>
        <w:t xml:space="preserve">stic research center in Khyber Pakhtunkhwa, Pakistan. </w:t>
      </w:r>
      <w:r w:rsidRPr="00467A14">
        <w:rPr>
          <w:rFonts w:ascii="Times New Roman" w:eastAsia="Times New Roman" w:hAnsi="Times New Roman" w:cs="Times New Roman"/>
          <w:i/>
          <w:iCs/>
          <w:sz w:val="24"/>
          <w:szCs w:val="24"/>
        </w:rPr>
        <w:t>Cureus, 10</w:t>
      </w:r>
      <w:r w:rsidRPr="00467A14">
        <w:rPr>
          <w:rFonts w:ascii="Times New Roman" w:eastAsia="Times New Roman" w:hAnsi="Times New Roman" w:cs="Times New Roman"/>
          <w:sz w:val="24"/>
          <w:szCs w:val="24"/>
        </w:rPr>
        <w:t>(9), e3376.</w:t>
      </w:r>
      <w:hyperlink r:id="rId59">
        <w:r w:rsidR="000F0B49" w:rsidRPr="00467A14">
          <w:rPr>
            <w:rFonts w:ascii="Times New Roman" w:eastAsia="Times New Roman" w:hAnsi="Times New Roman" w:cs="Times New Roman"/>
            <w:sz w:val="24"/>
            <w:szCs w:val="24"/>
          </w:rPr>
          <w:t xml:space="preserve"> </w:t>
        </w:r>
      </w:hyperlink>
      <w:hyperlink r:id="rId60">
        <w:r w:rsidR="000F0B49" w:rsidRPr="00467A14">
          <w:rPr>
            <w:rFonts w:ascii="Times New Roman" w:eastAsia="Times New Roman" w:hAnsi="Times New Roman" w:cs="Times New Roman"/>
            <w:sz w:val="24"/>
            <w:szCs w:val="24"/>
            <w:u w:val="single"/>
          </w:rPr>
          <w:t>https://doi.org/10.7759/cureus.3376</w:t>
        </w:r>
      </w:hyperlink>
    </w:p>
    <w:p w14:paraId="193882B7"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World Health Organization. (2022, </w:t>
      </w:r>
      <w:r w:rsidRPr="00467A14">
        <w:rPr>
          <w:rFonts w:ascii="Times New Roman" w:eastAsia="Times New Roman" w:hAnsi="Times New Roman" w:cs="Times New Roman"/>
          <w:sz w:val="24"/>
          <w:szCs w:val="24"/>
        </w:rPr>
        <w:t xml:space="preserve">December 8). </w:t>
      </w:r>
      <w:r w:rsidRPr="00467A14">
        <w:rPr>
          <w:rFonts w:ascii="Times New Roman" w:eastAsia="Times New Roman" w:hAnsi="Times New Roman" w:cs="Times New Roman"/>
          <w:i/>
          <w:iCs/>
          <w:sz w:val="24"/>
          <w:szCs w:val="24"/>
        </w:rPr>
        <w:t>Despite continued impact of COVID19, malaria cases and deaths remained stable in 2021</w:t>
      </w:r>
      <w:r w:rsidRPr="00467A14">
        <w:rPr>
          <w:rFonts w:ascii="Times New Roman" w:eastAsia="Times New Roman" w:hAnsi="Times New Roman" w:cs="Times New Roman"/>
          <w:sz w:val="24"/>
          <w:szCs w:val="24"/>
        </w:rPr>
        <w:t>.</w:t>
      </w:r>
      <w:hyperlink r:id="rId61">
        <w:r w:rsidR="000F0B49" w:rsidRPr="00467A14">
          <w:rPr>
            <w:rFonts w:ascii="Times New Roman" w:eastAsia="Times New Roman" w:hAnsi="Times New Roman" w:cs="Times New Roman"/>
            <w:sz w:val="24"/>
            <w:szCs w:val="24"/>
            <w:u w:val="single"/>
          </w:rPr>
          <w:t xml:space="preserve"> </w:t>
        </w:r>
      </w:hyperlink>
      <w:hyperlink r:id="rId62">
        <w:r w:rsidR="000F0B49" w:rsidRPr="00467A14">
          <w:rPr>
            <w:rFonts w:ascii="Times New Roman" w:eastAsia="Times New Roman" w:hAnsi="Times New Roman" w:cs="Times New Roman"/>
            <w:sz w:val="24"/>
            <w:szCs w:val="24"/>
            <w:u w:val="single"/>
          </w:rPr>
          <w:t>https://www.who.int/news/item/08-12-2022-despite-continued-impact-of-covid-19--malaria-cases-and-deaths-remained-stable-in-2021</w:t>
        </w:r>
      </w:hyperlink>
    </w:p>
    <w:p w14:paraId="27FB584F"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World Health Organization. (2023). </w:t>
      </w:r>
      <w:r w:rsidRPr="00467A14">
        <w:rPr>
          <w:rFonts w:ascii="Times New Roman" w:eastAsia="Times New Roman" w:hAnsi="Times New Roman" w:cs="Times New Roman"/>
          <w:i/>
          <w:iCs/>
          <w:sz w:val="24"/>
          <w:szCs w:val="24"/>
        </w:rPr>
        <w:t>Guidance for clinical case management of thrombosis with thrombocytopenia syndrome (TTS) following vaccination to prevent coronavirus disease (COVID-19).</w:t>
      </w:r>
      <w:r w:rsidRPr="00467A14">
        <w:rPr>
          <w:rFonts w:ascii="Times New Roman" w:eastAsia="Times New Roman" w:hAnsi="Times New Roman" w:cs="Times New Roman"/>
          <w:sz w:val="24"/>
          <w:szCs w:val="24"/>
        </w:rPr>
        <w:t xml:space="preserve"> World Health Organization.</w:t>
      </w:r>
      <w:hyperlink r:id="rId63">
        <w:r w:rsidR="000F0B49" w:rsidRPr="00467A14">
          <w:rPr>
            <w:rFonts w:ascii="Times New Roman" w:eastAsia="Times New Roman" w:hAnsi="Times New Roman" w:cs="Times New Roman"/>
            <w:sz w:val="24"/>
            <w:szCs w:val="24"/>
            <w:u w:val="single"/>
          </w:rPr>
          <w:t xml:space="preserve"> </w:t>
        </w:r>
      </w:hyperlink>
      <w:hyperlink r:id="rId64">
        <w:r w:rsidR="000F0B49" w:rsidRPr="00467A14">
          <w:rPr>
            <w:rFonts w:ascii="Times New Roman" w:eastAsia="Times New Roman" w:hAnsi="Times New Roman" w:cs="Times New Roman"/>
            <w:sz w:val="24"/>
            <w:szCs w:val="24"/>
            <w:u w:val="single"/>
          </w:rPr>
          <w:t>https://iris.who.int/handle/10665/366678</w:t>
        </w:r>
      </w:hyperlink>
    </w:p>
    <w:p w14:paraId="7077A085"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World Health Organization. (2025, December 4). </w:t>
      </w:r>
      <w:r w:rsidRPr="00467A14">
        <w:rPr>
          <w:rFonts w:ascii="Times New Roman" w:eastAsia="Times New Roman" w:hAnsi="Times New Roman" w:cs="Times New Roman"/>
          <w:i/>
          <w:iCs/>
          <w:sz w:val="24"/>
          <w:szCs w:val="24"/>
        </w:rPr>
        <w:t>Malaria</w:t>
      </w:r>
      <w:r w:rsidRPr="00467A14">
        <w:rPr>
          <w:rFonts w:ascii="Times New Roman" w:eastAsia="Times New Roman" w:hAnsi="Times New Roman" w:cs="Times New Roman"/>
          <w:sz w:val="24"/>
          <w:szCs w:val="24"/>
        </w:rPr>
        <w:t>.</w:t>
      </w:r>
      <w:hyperlink r:id="rId65">
        <w:r w:rsidR="000F0B49" w:rsidRPr="00467A14">
          <w:rPr>
            <w:rFonts w:ascii="Times New Roman" w:eastAsia="Times New Roman" w:hAnsi="Times New Roman" w:cs="Times New Roman"/>
            <w:sz w:val="24"/>
            <w:szCs w:val="24"/>
            <w:u w:val="single"/>
          </w:rPr>
          <w:t xml:space="preserve"> </w:t>
        </w:r>
      </w:hyperlink>
      <w:hyperlink r:id="rId66">
        <w:r w:rsidR="000F0B49" w:rsidRPr="00467A14">
          <w:rPr>
            <w:rFonts w:ascii="Times New Roman" w:eastAsia="Times New Roman" w:hAnsi="Times New Roman" w:cs="Times New Roman"/>
            <w:sz w:val="24"/>
            <w:szCs w:val="24"/>
            <w:u w:val="single"/>
          </w:rPr>
          <w:t>https://www.who.int/news-room/fact-sheets/detail/malaria</w:t>
        </w:r>
      </w:hyperlink>
    </w:p>
    <w:p w14:paraId="3855F5A5"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World Health Organization. (2025, December 4). </w:t>
      </w:r>
      <w:r w:rsidRPr="00467A14">
        <w:rPr>
          <w:rFonts w:ascii="Times New Roman" w:eastAsia="Times New Roman" w:hAnsi="Times New Roman" w:cs="Times New Roman"/>
          <w:i/>
          <w:iCs/>
          <w:sz w:val="24"/>
          <w:szCs w:val="24"/>
        </w:rPr>
        <w:t>Malaria: Questions and answers</w:t>
      </w:r>
      <w:r w:rsidRPr="00467A14">
        <w:rPr>
          <w:rFonts w:ascii="Times New Roman" w:eastAsia="Times New Roman" w:hAnsi="Times New Roman" w:cs="Times New Roman"/>
          <w:sz w:val="24"/>
          <w:szCs w:val="24"/>
        </w:rPr>
        <w:t>.</w:t>
      </w:r>
      <w:hyperlink r:id="rId67">
        <w:r w:rsidR="000F0B49" w:rsidRPr="00467A14">
          <w:rPr>
            <w:rFonts w:ascii="Times New Roman" w:eastAsia="Times New Roman" w:hAnsi="Times New Roman" w:cs="Times New Roman"/>
            <w:sz w:val="24"/>
            <w:szCs w:val="24"/>
            <w:u w:val="single"/>
          </w:rPr>
          <w:t xml:space="preserve"> </w:t>
        </w:r>
      </w:hyperlink>
      <w:hyperlink r:id="rId68">
        <w:r w:rsidR="000F0B49" w:rsidRPr="00467A14">
          <w:rPr>
            <w:rFonts w:ascii="Times New Roman" w:eastAsia="Times New Roman" w:hAnsi="Times New Roman" w:cs="Times New Roman"/>
            <w:sz w:val="24"/>
            <w:szCs w:val="24"/>
            <w:u w:val="single"/>
          </w:rPr>
          <w:t>https://www.who.int/news-room/questions-and-answers/item/malaria</w:t>
        </w:r>
      </w:hyperlink>
    </w:p>
    <w:p w14:paraId="54BD8100" w14:textId="77777777" w:rsidR="000F0B49" w:rsidRPr="00467A14"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Zheng, X. L., Al-Housni, Z., </w:t>
      </w:r>
      <w:proofErr w:type="spellStart"/>
      <w:r w:rsidRPr="00467A14">
        <w:rPr>
          <w:rFonts w:ascii="Times New Roman" w:eastAsia="Times New Roman" w:hAnsi="Times New Roman" w:cs="Times New Roman"/>
          <w:sz w:val="24"/>
          <w:szCs w:val="24"/>
        </w:rPr>
        <w:t>Cataland</w:t>
      </w:r>
      <w:proofErr w:type="spellEnd"/>
      <w:r w:rsidRPr="00467A14">
        <w:rPr>
          <w:rFonts w:ascii="Times New Roman" w:eastAsia="Times New Roman" w:hAnsi="Times New Roman" w:cs="Times New Roman"/>
          <w:sz w:val="24"/>
          <w:szCs w:val="24"/>
        </w:rPr>
        <w:t xml:space="preserve">, S. R., Coppo, P., Geldziler, B., </w:t>
      </w:r>
      <w:proofErr w:type="spellStart"/>
      <w:r w:rsidRPr="00467A14">
        <w:rPr>
          <w:rFonts w:ascii="Times New Roman" w:eastAsia="Times New Roman" w:hAnsi="Times New Roman" w:cs="Times New Roman"/>
          <w:sz w:val="24"/>
          <w:szCs w:val="24"/>
        </w:rPr>
        <w:t>Germini</w:t>
      </w:r>
      <w:proofErr w:type="spellEnd"/>
      <w:r w:rsidRPr="00467A14">
        <w:rPr>
          <w:rFonts w:ascii="Times New Roman" w:eastAsia="Times New Roman" w:hAnsi="Times New Roman" w:cs="Times New Roman"/>
          <w:sz w:val="24"/>
          <w:szCs w:val="24"/>
        </w:rPr>
        <w:t xml:space="preserve">, F., Iorio, A., </w:t>
      </w:r>
      <w:proofErr w:type="spellStart"/>
      <w:r w:rsidRPr="00467A14">
        <w:rPr>
          <w:rFonts w:ascii="Times New Roman" w:eastAsia="Times New Roman" w:hAnsi="Times New Roman" w:cs="Times New Roman"/>
          <w:sz w:val="24"/>
          <w:szCs w:val="24"/>
        </w:rPr>
        <w:t>Keepanasseril</w:t>
      </w:r>
      <w:proofErr w:type="spellEnd"/>
      <w:r w:rsidRPr="00467A14">
        <w:rPr>
          <w:rFonts w:ascii="Times New Roman" w:eastAsia="Times New Roman" w:hAnsi="Times New Roman" w:cs="Times New Roman"/>
          <w:sz w:val="24"/>
          <w:szCs w:val="24"/>
        </w:rPr>
        <w:t xml:space="preserve">, A., Masias, C., Matsumoto, M., McCrae, K. R., McIntyre, J., Mustafa, R. A., Peyvandi, F., Russell, L., </w:t>
      </w:r>
      <w:proofErr w:type="spellStart"/>
      <w:r w:rsidRPr="00467A14">
        <w:rPr>
          <w:rFonts w:ascii="Times New Roman" w:eastAsia="Times New Roman" w:hAnsi="Times New Roman" w:cs="Times New Roman"/>
          <w:sz w:val="24"/>
          <w:szCs w:val="24"/>
        </w:rPr>
        <w:t>Tarawneh</w:t>
      </w:r>
      <w:proofErr w:type="spellEnd"/>
      <w:r w:rsidRPr="00467A14">
        <w:rPr>
          <w:rFonts w:ascii="Times New Roman" w:eastAsia="Times New Roman" w:hAnsi="Times New Roman" w:cs="Times New Roman"/>
          <w:sz w:val="24"/>
          <w:szCs w:val="24"/>
        </w:rPr>
        <w:t>, R., &amp; Vesely, S. K. (2025). 2025</w:t>
      </w:r>
      <w:r w:rsidRPr="00467A14">
        <w:rPr>
          <w:rFonts w:ascii="Times New Roman" w:eastAsia="Times New Roman" w:hAnsi="Times New Roman" w:cs="Times New Roman"/>
          <w:sz w:val="24"/>
          <w:szCs w:val="24"/>
        </w:rPr>
        <w:t xml:space="preserve"> focused update of the 2020 ISTH guidelines for management of thrombotic thrombocytopenic purpura. </w:t>
      </w:r>
      <w:r w:rsidRPr="00467A14">
        <w:rPr>
          <w:rFonts w:ascii="Times New Roman" w:eastAsia="Times New Roman" w:hAnsi="Times New Roman" w:cs="Times New Roman"/>
          <w:i/>
          <w:iCs/>
          <w:sz w:val="24"/>
          <w:szCs w:val="24"/>
        </w:rPr>
        <w:t xml:space="preserve">Journal of Thrombosis and </w:t>
      </w:r>
      <w:proofErr w:type="spellStart"/>
      <w:r w:rsidRPr="00467A14">
        <w:rPr>
          <w:rFonts w:ascii="Times New Roman" w:eastAsia="Times New Roman" w:hAnsi="Times New Roman" w:cs="Times New Roman"/>
          <w:i/>
          <w:iCs/>
          <w:sz w:val="24"/>
          <w:szCs w:val="24"/>
        </w:rPr>
        <w:t>Haemostasis</w:t>
      </w:r>
      <w:proofErr w:type="spellEnd"/>
      <w:r w:rsidRPr="00467A14">
        <w:rPr>
          <w:rFonts w:ascii="Times New Roman" w:eastAsia="Times New Roman" w:hAnsi="Times New Roman" w:cs="Times New Roman"/>
          <w:i/>
          <w:iCs/>
          <w:sz w:val="24"/>
          <w:szCs w:val="24"/>
        </w:rPr>
        <w:t>, 23</w:t>
      </w:r>
      <w:r w:rsidRPr="00467A14">
        <w:rPr>
          <w:rFonts w:ascii="Times New Roman" w:eastAsia="Times New Roman" w:hAnsi="Times New Roman" w:cs="Times New Roman"/>
          <w:sz w:val="24"/>
          <w:szCs w:val="24"/>
        </w:rPr>
        <w:t>(11), 3711–3732.</w:t>
      </w:r>
      <w:hyperlink r:id="rId69">
        <w:r w:rsidR="000F0B49" w:rsidRPr="00467A14">
          <w:rPr>
            <w:rFonts w:ascii="Times New Roman" w:eastAsia="Times New Roman" w:hAnsi="Times New Roman" w:cs="Times New Roman"/>
            <w:sz w:val="24"/>
            <w:szCs w:val="24"/>
            <w:u w:val="single"/>
          </w:rPr>
          <w:t xml:space="preserve"> </w:t>
        </w:r>
      </w:hyperlink>
      <w:hyperlink r:id="rId70">
        <w:r w:rsidR="000F0B49" w:rsidRPr="00467A14">
          <w:rPr>
            <w:rFonts w:ascii="Times New Roman" w:eastAsia="Times New Roman" w:hAnsi="Times New Roman" w:cs="Times New Roman"/>
            <w:sz w:val="24"/>
            <w:szCs w:val="24"/>
            <w:u w:val="single"/>
          </w:rPr>
          <w:t>https://doi.org/10.1016/j.jtha.2025.06.002</w:t>
        </w:r>
      </w:hyperlink>
    </w:p>
    <w:p w14:paraId="050AB079" w14:textId="77777777" w:rsidR="000F0B49" w:rsidRDefault="00F034B5" w:rsidP="003E6F0F">
      <w:pPr>
        <w:spacing w:before="240" w:after="240"/>
        <w:ind w:left="720" w:hanging="720"/>
        <w:rPr>
          <w:rFonts w:ascii="Times New Roman" w:eastAsia="Times New Roman" w:hAnsi="Times New Roman" w:cs="Times New Roman"/>
          <w:sz w:val="24"/>
          <w:szCs w:val="24"/>
          <w:u w:val="single"/>
        </w:rPr>
      </w:pPr>
      <w:r w:rsidRPr="00467A14">
        <w:rPr>
          <w:rFonts w:ascii="Times New Roman" w:eastAsia="Times New Roman" w:hAnsi="Times New Roman" w:cs="Times New Roman"/>
          <w:sz w:val="24"/>
          <w:szCs w:val="24"/>
        </w:rPr>
        <w:t xml:space="preserve">Zitella, L. J. (2021). Approach to the hospitalized patient with thrombocytopenia. </w:t>
      </w:r>
      <w:r w:rsidRPr="00467A14">
        <w:rPr>
          <w:rFonts w:ascii="Times New Roman" w:eastAsia="Times New Roman" w:hAnsi="Times New Roman" w:cs="Times New Roman"/>
          <w:i/>
          <w:iCs/>
          <w:sz w:val="24"/>
          <w:szCs w:val="24"/>
        </w:rPr>
        <w:t>Journal of the Advanced Practitioner in Oncology, 12</w:t>
      </w:r>
      <w:r w:rsidRPr="00467A14">
        <w:rPr>
          <w:rFonts w:ascii="Times New Roman" w:eastAsia="Times New Roman" w:hAnsi="Times New Roman" w:cs="Times New Roman"/>
          <w:sz w:val="24"/>
          <w:szCs w:val="24"/>
        </w:rPr>
        <w:t>(3), 267–270.</w:t>
      </w:r>
      <w:hyperlink r:id="rId71">
        <w:r w:rsidR="000F0B49" w:rsidRPr="00467A14">
          <w:rPr>
            <w:rFonts w:ascii="Times New Roman" w:eastAsia="Times New Roman" w:hAnsi="Times New Roman" w:cs="Times New Roman"/>
            <w:sz w:val="24"/>
            <w:szCs w:val="24"/>
          </w:rPr>
          <w:t xml:space="preserve"> </w:t>
        </w:r>
      </w:hyperlink>
      <w:hyperlink r:id="rId72">
        <w:r w:rsidR="000F0B49" w:rsidRPr="00467A14">
          <w:rPr>
            <w:rFonts w:ascii="Times New Roman" w:eastAsia="Times New Roman" w:hAnsi="Times New Roman" w:cs="Times New Roman"/>
            <w:sz w:val="24"/>
            <w:szCs w:val="24"/>
            <w:u w:val="single"/>
          </w:rPr>
          <w:t>https://doi.org/10.6004/jadpro.2021.12.3.9</w:t>
        </w:r>
      </w:hyperlink>
    </w:p>
    <w:p w14:paraId="0620D2C6" w14:textId="77777777" w:rsidR="000F0B49" w:rsidRDefault="000F0B49" w:rsidP="003E6F0F">
      <w:pPr>
        <w:spacing w:before="240" w:after="240"/>
        <w:ind w:left="720" w:hanging="720"/>
        <w:rPr>
          <w:rFonts w:ascii="Times New Roman" w:eastAsia="Times New Roman" w:hAnsi="Times New Roman" w:cs="Times New Roman"/>
          <w:sz w:val="24"/>
          <w:szCs w:val="24"/>
        </w:rPr>
      </w:pPr>
    </w:p>
    <w:p w14:paraId="3442ADFA" w14:textId="77777777" w:rsidR="000F0B49" w:rsidRDefault="000F0B49" w:rsidP="003E6F0F">
      <w:pPr>
        <w:rPr>
          <w:rFonts w:ascii="Times New Roman" w:eastAsia="Times New Roman" w:hAnsi="Times New Roman" w:cs="Times New Roman"/>
          <w:sz w:val="24"/>
          <w:szCs w:val="24"/>
        </w:rPr>
      </w:pPr>
    </w:p>
    <w:sectPr w:rsidR="000F0B4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2391F" w14:textId="77777777" w:rsidR="00F034B5" w:rsidRDefault="00F034B5">
      <w:pPr>
        <w:spacing w:line="240" w:lineRule="auto"/>
      </w:pPr>
      <w:r>
        <w:separator/>
      </w:r>
    </w:p>
  </w:endnote>
  <w:endnote w:type="continuationSeparator" w:id="0">
    <w:p w14:paraId="6970687E" w14:textId="77777777" w:rsidR="00F034B5" w:rsidRDefault="00F03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A752E7-FD4F-44C9-8B1E-93BE87A9F4BC}"/>
  </w:font>
  <w:font w:name="Cambria">
    <w:panose1 w:val="02040503050406030204"/>
    <w:charset w:val="00"/>
    <w:family w:val="roman"/>
    <w:pitch w:val="variable"/>
    <w:sig w:usb0="E00006FF" w:usb1="420024FF" w:usb2="02000000" w:usb3="00000000" w:csb0="0000019F" w:csb1="00000000"/>
    <w:embedRegular r:id="rId2" w:fontKey="{8A5505BC-3A82-4809-998C-2C458090C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47286" w14:textId="77777777" w:rsidR="00794540" w:rsidRDefault="007945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2F40D" w14:textId="77777777" w:rsidR="00794540" w:rsidRDefault="007945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DD70" w14:textId="77777777" w:rsidR="00794540" w:rsidRDefault="00794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E47AB" w14:textId="77777777" w:rsidR="00F034B5" w:rsidRDefault="00F034B5">
      <w:pPr>
        <w:spacing w:line="240" w:lineRule="auto"/>
      </w:pPr>
      <w:r>
        <w:separator/>
      </w:r>
    </w:p>
  </w:footnote>
  <w:footnote w:type="continuationSeparator" w:id="0">
    <w:p w14:paraId="0A6DC16B" w14:textId="77777777" w:rsidR="00F034B5" w:rsidRDefault="00F034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46EF5" w14:textId="04AE841B" w:rsidR="00794540" w:rsidRDefault="00794540">
    <w:pPr>
      <w:pStyle w:val="Header"/>
    </w:pPr>
    <w:r>
      <w:rPr>
        <w:noProof/>
      </w:rPr>
      <w:pict w14:anchorId="35226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47437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ACFBD" w14:textId="42962002" w:rsidR="000F0B49" w:rsidRDefault="00794540">
    <w:r>
      <w:rPr>
        <w:noProof/>
      </w:rPr>
      <w:pict w14:anchorId="7D265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47437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7E233" w14:textId="0005A1B6" w:rsidR="00794540" w:rsidRDefault="00794540">
    <w:pPr>
      <w:pStyle w:val="Header"/>
    </w:pPr>
    <w:r>
      <w:rPr>
        <w:noProof/>
      </w:rPr>
      <w:pict w14:anchorId="3C1B5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47437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8B50E1"/>
    <w:multiLevelType w:val="multilevel"/>
    <w:tmpl w:val="06F2C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B49"/>
    <w:rsid w:val="000728AA"/>
    <w:rsid w:val="000F0B49"/>
    <w:rsid w:val="001929F1"/>
    <w:rsid w:val="003E6F0F"/>
    <w:rsid w:val="00467A14"/>
    <w:rsid w:val="00530D4D"/>
    <w:rsid w:val="005C1FCF"/>
    <w:rsid w:val="00794540"/>
    <w:rsid w:val="008D11F5"/>
    <w:rsid w:val="00E80EBF"/>
    <w:rsid w:val="00F03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F004E3"/>
  <w15:docId w15:val="{CC24CFDB-C1F8-40A0-AB3D-EA09CB1B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Hyperlink">
    <w:name w:val="Hyperlink"/>
    <w:basedOn w:val="DefaultParagraphFont"/>
    <w:uiPriority w:val="99"/>
    <w:unhideWhenUsed/>
    <w:rsid w:val="00467A14"/>
    <w:rPr>
      <w:color w:val="0000FF" w:themeColor="hyperlink"/>
      <w:u w:val="single"/>
    </w:rPr>
  </w:style>
  <w:style w:type="character" w:styleId="UnresolvedMention">
    <w:name w:val="Unresolved Mention"/>
    <w:basedOn w:val="DefaultParagraphFont"/>
    <w:uiPriority w:val="99"/>
    <w:semiHidden/>
    <w:unhideWhenUsed/>
    <w:rsid w:val="00467A14"/>
    <w:rPr>
      <w:color w:val="605E5C"/>
      <w:shd w:val="clear" w:color="auto" w:fill="E1DFDD"/>
    </w:rPr>
  </w:style>
  <w:style w:type="paragraph" w:styleId="ListParagraph">
    <w:name w:val="List Paragraph"/>
    <w:basedOn w:val="Normal"/>
    <w:uiPriority w:val="34"/>
    <w:qFormat/>
    <w:rsid w:val="003E6F0F"/>
    <w:pPr>
      <w:ind w:left="720"/>
      <w:contextualSpacing/>
    </w:pPr>
  </w:style>
  <w:style w:type="paragraph" w:styleId="Header">
    <w:name w:val="header"/>
    <w:basedOn w:val="Normal"/>
    <w:link w:val="HeaderChar"/>
    <w:uiPriority w:val="99"/>
    <w:unhideWhenUsed/>
    <w:rsid w:val="00794540"/>
    <w:pPr>
      <w:tabs>
        <w:tab w:val="center" w:pos="4680"/>
        <w:tab w:val="right" w:pos="9360"/>
      </w:tabs>
      <w:spacing w:line="240" w:lineRule="auto"/>
    </w:pPr>
  </w:style>
  <w:style w:type="character" w:customStyle="1" w:styleId="HeaderChar">
    <w:name w:val="Header Char"/>
    <w:basedOn w:val="DefaultParagraphFont"/>
    <w:link w:val="Header"/>
    <w:uiPriority w:val="99"/>
    <w:rsid w:val="00794540"/>
  </w:style>
  <w:style w:type="paragraph" w:styleId="Footer">
    <w:name w:val="footer"/>
    <w:basedOn w:val="Normal"/>
    <w:link w:val="FooterChar"/>
    <w:uiPriority w:val="99"/>
    <w:unhideWhenUsed/>
    <w:rsid w:val="00794540"/>
    <w:pPr>
      <w:tabs>
        <w:tab w:val="center" w:pos="4680"/>
        <w:tab w:val="right" w:pos="9360"/>
      </w:tabs>
      <w:spacing w:line="240" w:lineRule="auto"/>
    </w:pPr>
  </w:style>
  <w:style w:type="character" w:customStyle="1" w:styleId="FooterChar">
    <w:name w:val="Footer Char"/>
    <w:basedOn w:val="DefaultParagraphFont"/>
    <w:link w:val="Footer"/>
    <w:uiPriority w:val="99"/>
    <w:rsid w:val="00794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371/journal.pone.0063410" TargetMode="External"/><Relationship Id="rId21" Type="http://schemas.openxmlformats.org/officeDocument/2006/relationships/hyperlink" Target="https://doi.org/10.2147/JBM.S419815" TargetMode="External"/><Relationship Id="rId42" Type="http://schemas.openxmlformats.org/officeDocument/2006/relationships/hyperlink" Target="https://doi.org/10.2147/JBM.S376476" TargetMode="External"/><Relationship Id="rId47" Type="http://schemas.openxmlformats.org/officeDocument/2006/relationships/hyperlink" Target="https://doi.org/10.1016/j.molbiopara.2024.111635" TargetMode="External"/><Relationship Id="rId63" Type="http://schemas.openxmlformats.org/officeDocument/2006/relationships/hyperlink" Target="https://iris.who.int/handle/10665/366678" TargetMode="External"/><Relationship Id="rId68" Type="http://schemas.openxmlformats.org/officeDocument/2006/relationships/hyperlink" Target="https://www.who.int/news-room/questions-and-answers/item/malaria" TargetMode="External"/><Relationship Id="rId2" Type="http://schemas.openxmlformats.org/officeDocument/2006/relationships/styles" Target="styles.xml"/><Relationship Id="rId16" Type="http://schemas.openxmlformats.org/officeDocument/2006/relationships/hyperlink" Target="https://doi.org/10.1186/s12936-025-05296-8" TargetMode="External"/><Relationship Id="rId29" Type="http://schemas.openxmlformats.org/officeDocument/2006/relationships/hyperlink" Target="https://doi.org/10.1155/2021/5585272" TargetMode="External"/><Relationship Id="rId11" Type="http://schemas.openxmlformats.org/officeDocument/2006/relationships/footer" Target="footer2.xml"/><Relationship Id="rId24" Type="http://schemas.openxmlformats.org/officeDocument/2006/relationships/hyperlink" Target="https://my.clevelandclinic.org/health/diseases/14430-thrombocytopenia?utm_source=chatgpt.com" TargetMode="External"/><Relationship Id="rId32" Type="http://schemas.openxmlformats.org/officeDocument/2006/relationships/hyperlink" Target="https://doi.org/10.1186/s12916-015-0322-4" TargetMode="External"/><Relationship Id="rId37" Type="http://schemas.openxmlformats.org/officeDocument/2006/relationships/hyperlink" Target="https://doi.org/10.1155/2012/405981" TargetMode="External"/><Relationship Id="rId40" Type="http://schemas.openxmlformats.org/officeDocument/2006/relationships/hyperlink" Target="https://doi.org/10.1093/infdis/jiu487" TargetMode="External"/><Relationship Id="rId45" Type="http://schemas.openxmlformats.org/officeDocument/2006/relationships/hyperlink" Target="https://doi.org/10.1038/s41598-018-38274-z" TargetMode="External"/><Relationship Id="rId53" Type="http://schemas.openxmlformats.org/officeDocument/2006/relationships/hyperlink" Target="https://doi.org/10.55282/imj.oa1421" TargetMode="External"/><Relationship Id="rId58" Type="http://schemas.openxmlformats.org/officeDocument/2006/relationships/hyperlink" Target="https://doi.org/10.1007/s12639-022-01557-4" TargetMode="External"/><Relationship Id="rId66" Type="http://schemas.openxmlformats.org/officeDocument/2006/relationships/hyperlink" Target="https://www.who.int/news-room/fact-sheets/detail/malaria"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who.int/news/item/08-12-2022-despite-continued-impact-of-covid-19--malaria-cases-and-deaths-remained-stable-in-2021?utm_source=chatgpt.com" TargetMode="External"/><Relationship Id="rId19" Type="http://schemas.openxmlformats.org/officeDocument/2006/relationships/hyperlink" Target="https://doi.org/10.63883/ijsrisjournal.v3i1.485" TargetMode="External"/><Relationship Id="rId14" Type="http://schemas.openxmlformats.org/officeDocument/2006/relationships/hyperlink" Target="https://www.jsmcentral.org/article-info/Occurrence-and-Clinical-Significance-of-Thrombocytopenia-in-Plasmodium-Falciparum-and-Plasmodium-Vivax-Malaria-in-Sinnar-and-Khartoum-States-Sudan" TargetMode="External"/><Relationship Id="rId22" Type="http://schemas.openxmlformats.org/officeDocument/2006/relationships/hyperlink" Target="https://doi.org/10.1155/2021/5531091" TargetMode="External"/><Relationship Id="rId27" Type="http://schemas.openxmlformats.org/officeDocument/2006/relationships/hyperlink" Target="https://doi.org/10.1371/journal.pone.0063410" TargetMode="External"/><Relationship Id="rId30" Type="http://schemas.openxmlformats.org/officeDocument/2006/relationships/hyperlink" Target="https://doi.org/10.4103/2229-5070.113914" TargetMode="External"/><Relationship Id="rId35" Type="http://schemas.openxmlformats.org/officeDocument/2006/relationships/hyperlink" Target="https://www.ncbi.nlm.nih.gov/books/NBK542208/" TargetMode="External"/><Relationship Id="rId43" Type="http://schemas.openxmlformats.org/officeDocument/2006/relationships/hyperlink" Target="https://doi.org/10.2147/JBM.S376476" TargetMode="External"/><Relationship Id="rId48" Type="http://schemas.openxmlformats.org/officeDocument/2006/relationships/hyperlink" Target="https://www.nhlbi.nih.gov/health/thrombocytopenia" TargetMode="External"/><Relationship Id="rId56" Type="http://schemas.openxmlformats.org/officeDocument/2006/relationships/hyperlink" Target="https://doi.org/10.1038/s41598-024-60170-y" TargetMode="External"/><Relationship Id="rId64" Type="http://schemas.openxmlformats.org/officeDocument/2006/relationships/hyperlink" Target="https://iris.who.int/handle/10665/366678" TargetMode="External"/><Relationship Id="rId69" Type="http://schemas.openxmlformats.org/officeDocument/2006/relationships/hyperlink" Target="https://doi.org/10.1016/j.jtha.2025.06.002" TargetMode="External"/><Relationship Id="rId8" Type="http://schemas.openxmlformats.org/officeDocument/2006/relationships/header" Target="header1.xml"/><Relationship Id="rId51" Type="http://schemas.openxmlformats.org/officeDocument/2006/relationships/hyperlink" Target="https://www.msjonline.org/index.php/ijrms/article/view/1217" TargetMode="External"/><Relationship Id="rId72" Type="http://schemas.openxmlformats.org/officeDocument/2006/relationships/hyperlink" Target="https://doi.org/10.6004/jadpro.2021.12.3.9"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1186/s12936-025-05296-8" TargetMode="External"/><Relationship Id="rId25" Type="http://schemas.openxmlformats.org/officeDocument/2006/relationships/hyperlink" Target="https://my.clevelandclinic.org/health/diseases/14430-thrombocytopenia" TargetMode="External"/><Relationship Id="rId33" Type="http://schemas.openxmlformats.org/officeDocument/2006/relationships/hyperlink" Target="https://doi.org/10.1182/blood-2017-06-742676" TargetMode="External"/><Relationship Id="rId38" Type="http://schemas.openxmlformats.org/officeDocument/2006/relationships/hyperlink" Target="https://doi.org/10.1155/2012/405981" TargetMode="External"/><Relationship Id="rId46" Type="http://schemas.openxmlformats.org/officeDocument/2006/relationships/hyperlink" Target="https://doi.org/10.1016/j.molbiopara.2024.111635" TargetMode="External"/><Relationship Id="rId59" Type="http://schemas.openxmlformats.org/officeDocument/2006/relationships/hyperlink" Target="https://doi.org/10.7759/cureus.3376" TargetMode="External"/><Relationship Id="rId67" Type="http://schemas.openxmlformats.org/officeDocument/2006/relationships/hyperlink" Target="https://www.who.int/news-room/questions-and-answers/item/malaria" TargetMode="External"/><Relationship Id="rId20" Type="http://schemas.openxmlformats.org/officeDocument/2006/relationships/hyperlink" Target="https://doi.org/10.2147/JBM.S419815" TargetMode="External"/><Relationship Id="rId41" Type="http://schemas.openxmlformats.org/officeDocument/2006/relationships/hyperlink" Target="https://doi.org/10.1093/infdis/jiu487" TargetMode="External"/><Relationship Id="rId54" Type="http://schemas.openxmlformats.org/officeDocument/2006/relationships/hyperlink" Target="https://doi.org/10.55282/imj.oa1421" TargetMode="External"/><Relationship Id="rId62" Type="http://schemas.openxmlformats.org/officeDocument/2006/relationships/hyperlink" Target="https://www.who.int/news/item/08-12-2022-despite-continued-impact-of-covid-19--malaria-cases-and-deaths-remained-stable-in-2021" TargetMode="External"/><Relationship Id="rId70" Type="http://schemas.openxmlformats.org/officeDocument/2006/relationships/hyperlink" Target="https://doi.org/10.1016/j.jtha.2025.06.00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jsmcentral.org/article-info/Occurrence-and-Clinical-Significance-of-Thrombocytopenia-in-Plasmodium-Falciparum-and-Plasmodium-Vivax-Malaria-in-Sinnar-and-Khartoum-States-Sudan" TargetMode="External"/><Relationship Id="rId23" Type="http://schemas.openxmlformats.org/officeDocument/2006/relationships/hyperlink" Target="https://doi.org/10.1155/2021/5531091" TargetMode="External"/><Relationship Id="rId28" Type="http://schemas.openxmlformats.org/officeDocument/2006/relationships/hyperlink" Target="https://doi.org/10.1155/2021/5585272" TargetMode="External"/><Relationship Id="rId36" Type="http://schemas.openxmlformats.org/officeDocument/2006/relationships/hyperlink" Target="https://www.ncbi.nlm.nih.gov/books/NBK542208/" TargetMode="External"/><Relationship Id="rId49" Type="http://schemas.openxmlformats.org/officeDocument/2006/relationships/hyperlink" Target="https://www.nhlbi.nih.gov/health/thrombocytopenia" TargetMode="External"/><Relationship Id="rId57" Type="http://schemas.openxmlformats.org/officeDocument/2006/relationships/hyperlink" Target="https://doi.org/10.1007/s12639-022-01557-4" TargetMode="External"/><Relationship Id="rId10" Type="http://schemas.openxmlformats.org/officeDocument/2006/relationships/footer" Target="footer1.xml"/><Relationship Id="rId31" Type="http://schemas.openxmlformats.org/officeDocument/2006/relationships/hyperlink" Target="https://doi.org/10.1186/s12916-015-0322-4" TargetMode="External"/><Relationship Id="rId44" Type="http://schemas.openxmlformats.org/officeDocument/2006/relationships/hyperlink" Target="https://doi.org/10.1038/s41598-018-38274-z" TargetMode="External"/><Relationship Id="rId52" Type="http://schemas.openxmlformats.org/officeDocument/2006/relationships/hyperlink" Target="https://www.msjonline.org/index.php/ijrms/article/view/1217" TargetMode="External"/><Relationship Id="rId60" Type="http://schemas.openxmlformats.org/officeDocument/2006/relationships/hyperlink" Target="https://doi.org/10.7759/cureus.3376" TargetMode="External"/><Relationship Id="rId65" Type="http://schemas.openxmlformats.org/officeDocument/2006/relationships/hyperlink" Target="https://www.who.int/news-room/fact-sheets/detail/malaria"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63883/ijsrisjournal.v3i1.485" TargetMode="External"/><Relationship Id="rId39" Type="http://schemas.openxmlformats.org/officeDocument/2006/relationships/hyperlink" Target="https://pubmed.ncbi.nlm.nih.gov/36387709/?utm_source=chatgpt.com" TargetMode="External"/><Relationship Id="rId34" Type="http://schemas.openxmlformats.org/officeDocument/2006/relationships/hyperlink" Target="https://doi.org/10.1182/blood-2017-06-742676" TargetMode="External"/><Relationship Id="rId50" Type="http://schemas.openxmlformats.org/officeDocument/2006/relationships/hyperlink" Target="https://doi.org/10.1186/s12936-025-05626-w" TargetMode="External"/><Relationship Id="rId55" Type="http://schemas.openxmlformats.org/officeDocument/2006/relationships/hyperlink" Target="https://doi.org/10.1038/s41598-024-60170-y" TargetMode="External"/><Relationship Id="rId7" Type="http://schemas.openxmlformats.org/officeDocument/2006/relationships/hyperlink" Target="https://www.crd.york.ac.uk/PROSPERO/view/CRD420261347334?utm_source=chatgpt.com" TargetMode="External"/><Relationship Id="rId71" Type="http://schemas.openxmlformats.org/officeDocument/2006/relationships/hyperlink" Target="https://doi.org/10.6004/jadpro.2021.12.3.9"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8042</Words>
  <Characters>45846</Characters>
  <Application>Microsoft Office Word</Application>
  <DocSecurity>0</DocSecurity>
  <Lines>382</Lines>
  <Paragraphs>107</Paragraphs>
  <ScaleCrop>false</ScaleCrop>
  <Company/>
  <LinksUpToDate>false</LinksUpToDate>
  <CharactersWithSpaces>53781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13</cp:revision>
  <dcterms:created xsi:type="dcterms:W3CDTF">2026-03-23T04:09:00Z</dcterms:created>
  <dcterms:modified xsi:type="dcterms:W3CDTF">2026-03-23T09:28:00Z</dcterms:modified>
</cp:coreProperties>
</file>