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B7E72" w14:textId="59E703E5" w:rsidR="005217F8" w:rsidRDefault="005217F8" w:rsidP="00CF40F5">
      <w:pPr>
        <w:jc w:val="right"/>
        <w:rPr>
          <w:rFonts w:ascii="Times New Roman" w:hAnsi="Times New Roman" w:cs="Times New Roman"/>
          <w:b/>
          <w:bCs/>
          <w:sz w:val="28"/>
          <w:szCs w:val="22"/>
        </w:rPr>
      </w:pPr>
      <w:r w:rsidRPr="00CF40F5">
        <w:rPr>
          <w:rFonts w:ascii="Times New Roman" w:hAnsi="Times New Roman" w:cs="Times New Roman"/>
          <w:b/>
          <w:bCs/>
          <w:sz w:val="28"/>
          <w:szCs w:val="22"/>
        </w:rPr>
        <w:t xml:space="preserve">Effect of organic manures and biofertilizers on the growth and quality of </w:t>
      </w:r>
      <w:r w:rsidR="00CF40F5">
        <w:rPr>
          <w:rFonts w:ascii="Times New Roman" w:hAnsi="Times New Roman" w:cs="Times New Roman"/>
          <w:b/>
          <w:bCs/>
          <w:sz w:val="28"/>
          <w:szCs w:val="22"/>
        </w:rPr>
        <w:t>B</w:t>
      </w:r>
      <w:r w:rsidRPr="00CF40F5">
        <w:rPr>
          <w:rFonts w:ascii="Times New Roman" w:hAnsi="Times New Roman" w:cs="Times New Roman"/>
          <w:b/>
          <w:bCs/>
          <w:sz w:val="28"/>
          <w:szCs w:val="22"/>
        </w:rPr>
        <w:t>eetroot (</w:t>
      </w:r>
      <w:r w:rsidRPr="00CF40F5">
        <w:rPr>
          <w:rFonts w:ascii="Times New Roman" w:hAnsi="Times New Roman" w:cs="Times New Roman"/>
          <w:b/>
          <w:bCs/>
          <w:i/>
          <w:iCs/>
          <w:sz w:val="28"/>
          <w:szCs w:val="22"/>
        </w:rPr>
        <w:t>Beta vulgaris</w:t>
      </w:r>
      <w:r w:rsidRPr="00CF40F5">
        <w:rPr>
          <w:rFonts w:ascii="Times New Roman" w:hAnsi="Times New Roman" w:cs="Times New Roman"/>
          <w:b/>
          <w:bCs/>
          <w:sz w:val="28"/>
          <w:szCs w:val="22"/>
        </w:rPr>
        <w:t xml:space="preserve"> L.)</w:t>
      </w:r>
    </w:p>
    <w:p w14:paraId="5B2ACAB1" w14:textId="77777777" w:rsidR="006308C8" w:rsidRPr="006308C8" w:rsidRDefault="006308C8" w:rsidP="006308C8">
      <w:pPr>
        <w:pBdr>
          <w:bottom w:val="single" w:sz="4" w:space="1" w:color="auto"/>
        </w:pBdr>
        <w:spacing w:after="0"/>
        <w:jc w:val="both"/>
        <w:rPr>
          <w:rFonts w:ascii="Times New Roman" w:hAnsi="Times New Roman" w:cs="Times New Roman"/>
          <w:sz w:val="22"/>
          <w:szCs w:val="18"/>
        </w:rPr>
      </w:pPr>
    </w:p>
    <w:p w14:paraId="5AAAD259" w14:textId="77777777" w:rsidR="006308C8" w:rsidRDefault="006308C8" w:rsidP="00BB2CC9">
      <w:pPr>
        <w:rPr>
          <w:rFonts w:ascii="Times New Roman" w:hAnsi="Times New Roman" w:cs="Times New Roman"/>
          <w:sz w:val="32"/>
          <w:szCs w:val="24"/>
        </w:rPr>
      </w:pPr>
    </w:p>
    <w:p w14:paraId="0EC3DBA5" w14:textId="1AEB9473" w:rsidR="00BB2CC9" w:rsidRPr="00BB2CC9" w:rsidRDefault="00BB2CC9" w:rsidP="00BB2CC9">
      <w:pPr>
        <w:rPr>
          <w:rFonts w:ascii="Times New Roman" w:hAnsi="Times New Roman" w:cs="Times New Roman"/>
          <w:b/>
          <w:bCs/>
          <w:szCs w:val="20"/>
        </w:rPr>
      </w:pPr>
      <w:r w:rsidRPr="00BB2CC9">
        <w:rPr>
          <w:rFonts w:ascii="Times New Roman" w:hAnsi="Times New Roman" w:cs="Times New Roman"/>
          <w:b/>
          <w:bCs/>
          <w:szCs w:val="20"/>
        </w:rPr>
        <w:t>Abstract</w:t>
      </w:r>
    </w:p>
    <w:p w14:paraId="0ACE0E7A" w14:textId="71FFBA4A" w:rsidR="00BB2CC9" w:rsidRDefault="00BB2CC9" w:rsidP="00BB2CC9">
      <w:pPr>
        <w:spacing w:after="0" w:line="240" w:lineRule="auto"/>
        <w:jc w:val="both"/>
        <w:rPr>
          <w:rFonts w:ascii="Times New Roman" w:hAnsi="Times New Roman" w:cs="Times New Roman"/>
          <w:szCs w:val="20"/>
        </w:rPr>
      </w:pPr>
      <w:r w:rsidRPr="00BB2CC9">
        <w:rPr>
          <w:rFonts w:ascii="Times New Roman" w:hAnsi="Times New Roman" w:cs="Times New Roman"/>
          <w:szCs w:val="20"/>
        </w:rPr>
        <w:t>A field experiment was conducted during the Rabi season of 202</w:t>
      </w:r>
      <w:r w:rsidR="00523D4C">
        <w:rPr>
          <w:rFonts w:ascii="Times New Roman" w:hAnsi="Times New Roman" w:cs="Times New Roman"/>
          <w:szCs w:val="20"/>
        </w:rPr>
        <w:t>5</w:t>
      </w:r>
      <w:r w:rsidRPr="00BB2CC9">
        <w:rPr>
          <w:rFonts w:ascii="Times New Roman" w:hAnsi="Times New Roman" w:cs="Times New Roman"/>
          <w:szCs w:val="20"/>
        </w:rPr>
        <w:t>–2</w:t>
      </w:r>
      <w:r w:rsidR="00523D4C">
        <w:rPr>
          <w:rFonts w:ascii="Times New Roman" w:hAnsi="Times New Roman" w:cs="Times New Roman"/>
          <w:szCs w:val="20"/>
        </w:rPr>
        <w:t>6</w:t>
      </w:r>
      <w:r w:rsidRPr="00BB2CC9">
        <w:rPr>
          <w:rFonts w:ascii="Times New Roman" w:hAnsi="Times New Roman" w:cs="Times New Roman"/>
          <w:szCs w:val="20"/>
        </w:rPr>
        <w:t xml:space="preserve"> at </w:t>
      </w:r>
      <w:r w:rsidR="00555135">
        <w:rPr>
          <w:rFonts w:ascii="Times New Roman" w:hAnsi="Times New Roman" w:cs="Times New Roman"/>
          <w:szCs w:val="20"/>
        </w:rPr>
        <w:t>Lucknow</w:t>
      </w:r>
      <w:r w:rsidRPr="00BB2CC9">
        <w:rPr>
          <w:rFonts w:ascii="Times New Roman" w:hAnsi="Times New Roman" w:cs="Times New Roman"/>
          <w:szCs w:val="20"/>
        </w:rPr>
        <w:t>, Uttar Pradesh, to assess the effect of organic manures and biofertilizers on the growth, yield, quality, and economics of beetroot (</w:t>
      </w:r>
      <w:r w:rsidRPr="00BB2CC9">
        <w:rPr>
          <w:rFonts w:ascii="Times New Roman" w:hAnsi="Times New Roman" w:cs="Times New Roman"/>
          <w:i/>
          <w:iCs/>
          <w:szCs w:val="20"/>
        </w:rPr>
        <w:t>Beta vulgaris</w:t>
      </w:r>
      <w:r w:rsidRPr="00BB2CC9">
        <w:rPr>
          <w:rFonts w:ascii="Times New Roman" w:hAnsi="Times New Roman" w:cs="Times New Roman"/>
          <w:szCs w:val="20"/>
        </w:rPr>
        <w:t xml:space="preserve"> L.). The experiment comprised eleven treatments including control, recommended dose of fertilizers (RDF), farmyard manure (FYM), vermicompost, neem cake, phosphate-solubilizing bacteria (PSB), and their various combinations, laid out in a Randomized Block Design with three replications. Results revealed that growth parameters such as plant height, number of leaves, leaf area, leaf biomass, and days to harvest were significantly influenced by nutrient management practices. The integrated application of vermicompost @ 2.5 t ha⁻¹ + PSB @ 1.25 kg ha⁻¹ recorded the highest plant height (31.45 cm), leaf area (1053.67 cm²), and leaf biomass (5.31 g plant⁻¹), along with early maturity (78.52 days). Yield attributes including root length, root diameter, root weight, and root yield were maximized under the same treatment, producing the highest root yield (17.49 t ha⁻¹) and harvest index (86.33%). Quality of beetroot, measured in terms of total soluble solids, was also significantly improved, with the maximum TSS (21.13 °Brix) recorded under integrated organic treatment. Economic analysis indicated that vermicompost combined with PSB was the most profitable, recording the highest net returns (₹3,48,650 ha⁻¹) and benefit–cost ratio (3.94). The study demonstrates that integrated organic nutrient management is a sustainable and economically viable strategy for beetroot cultivation.</w:t>
      </w:r>
    </w:p>
    <w:p w14:paraId="1821F6BB" w14:textId="77777777" w:rsidR="00F22C07" w:rsidRPr="00BB2CC9" w:rsidRDefault="00F22C07" w:rsidP="00BB2CC9">
      <w:pPr>
        <w:spacing w:after="0" w:line="240" w:lineRule="auto"/>
        <w:jc w:val="both"/>
        <w:rPr>
          <w:rFonts w:ascii="Times New Roman" w:hAnsi="Times New Roman" w:cs="Times New Roman"/>
          <w:szCs w:val="20"/>
        </w:rPr>
      </w:pPr>
    </w:p>
    <w:p w14:paraId="1E0E2761" w14:textId="77777777" w:rsidR="00BB2CC9" w:rsidRDefault="00BB2CC9" w:rsidP="00BB2CC9">
      <w:pPr>
        <w:spacing w:after="0" w:line="240" w:lineRule="auto"/>
        <w:jc w:val="both"/>
        <w:rPr>
          <w:rFonts w:ascii="Times New Roman" w:hAnsi="Times New Roman" w:cs="Times New Roman"/>
          <w:szCs w:val="20"/>
        </w:rPr>
      </w:pPr>
      <w:r w:rsidRPr="00BB2CC9">
        <w:rPr>
          <w:rFonts w:ascii="Times New Roman" w:hAnsi="Times New Roman" w:cs="Times New Roman"/>
          <w:b/>
          <w:bCs/>
          <w:szCs w:val="20"/>
        </w:rPr>
        <w:t>Keywords:</w:t>
      </w:r>
      <w:r w:rsidRPr="00BB2CC9">
        <w:rPr>
          <w:rFonts w:ascii="Times New Roman" w:hAnsi="Times New Roman" w:cs="Times New Roman"/>
          <w:szCs w:val="20"/>
        </w:rPr>
        <w:t xml:space="preserve"> Beetroot, Organic manures, Biofertilizers, Yield, Economics</w:t>
      </w:r>
    </w:p>
    <w:p w14:paraId="26805D0E" w14:textId="77777777" w:rsidR="007853C3" w:rsidRDefault="007853C3" w:rsidP="007853C3">
      <w:pPr>
        <w:rPr>
          <w:rFonts w:ascii="Times New Roman" w:hAnsi="Times New Roman" w:cs="Times New Roman"/>
          <w:sz w:val="32"/>
          <w:szCs w:val="24"/>
        </w:rPr>
      </w:pPr>
    </w:p>
    <w:p w14:paraId="5DCEFD47" w14:textId="29D5DE67" w:rsidR="007853C3" w:rsidRPr="006308C8" w:rsidRDefault="007853C3" w:rsidP="006308C8">
      <w:pPr>
        <w:pStyle w:val="ListParagraph"/>
        <w:numPr>
          <w:ilvl w:val="0"/>
          <w:numId w:val="2"/>
        </w:numPr>
        <w:rPr>
          <w:rFonts w:ascii="Times New Roman" w:hAnsi="Times New Roman" w:cs="Times New Roman"/>
          <w:b/>
          <w:bCs/>
          <w:szCs w:val="20"/>
        </w:rPr>
      </w:pPr>
      <w:r w:rsidRPr="006308C8">
        <w:rPr>
          <w:rFonts w:ascii="Times New Roman" w:hAnsi="Times New Roman" w:cs="Times New Roman"/>
          <w:b/>
          <w:bCs/>
          <w:szCs w:val="20"/>
        </w:rPr>
        <w:t>INTRODUCTION</w:t>
      </w:r>
    </w:p>
    <w:p w14:paraId="207D9BD2" w14:textId="6D71B8A9" w:rsidR="007853C3" w:rsidRPr="007853C3" w:rsidRDefault="007853C3" w:rsidP="005C5386">
      <w:pPr>
        <w:spacing w:after="0" w:line="276" w:lineRule="auto"/>
        <w:ind w:firstLine="720"/>
        <w:jc w:val="both"/>
        <w:rPr>
          <w:rFonts w:ascii="Times New Roman" w:hAnsi="Times New Roman" w:cs="Times New Roman"/>
          <w:szCs w:val="20"/>
        </w:rPr>
      </w:pPr>
      <w:r w:rsidRPr="007853C3">
        <w:rPr>
          <w:rFonts w:ascii="Times New Roman" w:hAnsi="Times New Roman" w:cs="Times New Roman"/>
          <w:szCs w:val="20"/>
        </w:rPr>
        <w:t>Beetroot (</w:t>
      </w:r>
      <w:r w:rsidRPr="007853C3">
        <w:rPr>
          <w:rFonts w:ascii="Times New Roman" w:hAnsi="Times New Roman" w:cs="Times New Roman"/>
          <w:i/>
          <w:iCs/>
          <w:szCs w:val="20"/>
        </w:rPr>
        <w:t>Beta vulgaris</w:t>
      </w:r>
      <w:r w:rsidRPr="007853C3">
        <w:rPr>
          <w:rFonts w:ascii="Times New Roman" w:hAnsi="Times New Roman" w:cs="Times New Roman"/>
          <w:szCs w:val="20"/>
        </w:rPr>
        <w:t xml:space="preserve"> L.) is an important root vegetable crop valued for its fleshy </w:t>
      </w:r>
      <w:proofErr w:type="gramStart"/>
      <w:r w:rsidRPr="007853C3">
        <w:rPr>
          <w:rFonts w:ascii="Times New Roman" w:hAnsi="Times New Roman" w:cs="Times New Roman"/>
          <w:szCs w:val="20"/>
        </w:rPr>
        <w:t>roots</w:t>
      </w:r>
      <w:proofErr w:type="gramEnd"/>
      <w:r w:rsidRPr="007853C3">
        <w:rPr>
          <w:rFonts w:ascii="Times New Roman" w:hAnsi="Times New Roman" w:cs="Times New Roman"/>
          <w:szCs w:val="20"/>
        </w:rPr>
        <w:t xml:space="preserve"> rich in carbohydrates, dietary </w:t>
      </w:r>
      <w:proofErr w:type="spellStart"/>
      <w:r w:rsidRPr="007853C3">
        <w:rPr>
          <w:rFonts w:ascii="Times New Roman" w:hAnsi="Times New Roman" w:cs="Times New Roman"/>
          <w:szCs w:val="20"/>
        </w:rPr>
        <w:t>fiber</w:t>
      </w:r>
      <w:proofErr w:type="spellEnd"/>
      <w:r w:rsidRPr="007853C3">
        <w:rPr>
          <w:rFonts w:ascii="Times New Roman" w:hAnsi="Times New Roman" w:cs="Times New Roman"/>
          <w:szCs w:val="20"/>
        </w:rPr>
        <w:t xml:space="preserve">, minerals, vitamins, and bioactive compounds such as </w:t>
      </w:r>
      <w:proofErr w:type="spellStart"/>
      <w:r w:rsidRPr="007853C3">
        <w:rPr>
          <w:rFonts w:ascii="Times New Roman" w:hAnsi="Times New Roman" w:cs="Times New Roman"/>
          <w:szCs w:val="20"/>
        </w:rPr>
        <w:t>betalains</w:t>
      </w:r>
      <w:proofErr w:type="spellEnd"/>
      <w:r w:rsidRPr="007853C3">
        <w:rPr>
          <w:rFonts w:ascii="Times New Roman" w:hAnsi="Times New Roman" w:cs="Times New Roman"/>
          <w:szCs w:val="20"/>
        </w:rPr>
        <w:t xml:space="preserve"> and antioxidants. Owing to its nutritional and functional attributes, beetroot has gained increasing importance in fresh markets as well as processing industries. In India, the crop is preferred for its short duration, adaptability, and economic potential, but its productivity and root quality are strongly influenced by soil fertility and nutrient management practices (Mia &amp; Rashid, 2023).</w:t>
      </w:r>
      <w:r>
        <w:rPr>
          <w:rFonts w:ascii="Times New Roman" w:hAnsi="Times New Roman" w:cs="Times New Roman"/>
          <w:szCs w:val="20"/>
        </w:rPr>
        <w:t xml:space="preserve"> </w:t>
      </w:r>
      <w:r w:rsidRPr="007853C3">
        <w:rPr>
          <w:rFonts w:ascii="Times New Roman" w:hAnsi="Times New Roman" w:cs="Times New Roman"/>
          <w:szCs w:val="20"/>
        </w:rPr>
        <w:t xml:space="preserve">Conventional beetroot cultivation relies heavily on chemical fertilizers to achieve higher yields. While inorganic fertilizers supply nutrients in readily available forms, their continuous and excessive use has resulted in soil nutrient imbalance, decline in soil organic carbon, reduced microbial activity, and environmental concerns such as nutrient leaching and pollution (Kondal </w:t>
      </w:r>
      <w:r w:rsidRPr="00C20ED7">
        <w:rPr>
          <w:rFonts w:ascii="Times New Roman" w:hAnsi="Times New Roman" w:cs="Times New Roman"/>
          <w:i/>
          <w:iCs/>
          <w:szCs w:val="20"/>
        </w:rPr>
        <w:t xml:space="preserve">et al., </w:t>
      </w:r>
      <w:r w:rsidRPr="007853C3">
        <w:rPr>
          <w:rFonts w:ascii="Times New Roman" w:hAnsi="Times New Roman" w:cs="Times New Roman"/>
          <w:szCs w:val="20"/>
        </w:rPr>
        <w:t>2024). Root crops like beetroot are particularly sensitive to soil physical condition and biological activity; hence, sole dependence on chemical fertilizers often compromises root development and quality. These challenges have necessitated a shift towards sustainable nutrient management approaches that integrate organic manures and biofertilizers.</w:t>
      </w:r>
      <w:r>
        <w:rPr>
          <w:rFonts w:ascii="Times New Roman" w:hAnsi="Times New Roman" w:cs="Times New Roman"/>
          <w:szCs w:val="20"/>
        </w:rPr>
        <w:t xml:space="preserve"> </w:t>
      </w:r>
      <w:r w:rsidRPr="007853C3">
        <w:rPr>
          <w:rFonts w:ascii="Times New Roman" w:hAnsi="Times New Roman" w:cs="Times New Roman"/>
          <w:szCs w:val="20"/>
        </w:rPr>
        <w:t xml:space="preserve">Organic manures such as farmyard manure (FYM), vermicompost, and neem cake play a vital role in improving soil health and crop performance. FYM enhances soil </w:t>
      </w:r>
      <w:r w:rsidRPr="007853C3">
        <w:rPr>
          <w:rFonts w:ascii="Times New Roman" w:hAnsi="Times New Roman" w:cs="Times New Roman"/>
          <w:szCs w:val="20"/>
        </w:rPr>
        <w:lastRenderedPageBreak/>
        <w:t>structure, water-holding capacity, and microbial activity while supplying essential nutrients in a slow and sustained manner. Vermicompost is a nutrient-rich organic input containing readily available macro- and micronutrients, beneficial microorganisms, enzymes, and growth-promoting substances, which collectively improve plant growth and yield attributes (Mia &amp; Rashid, 2023). Neem cake serves as a valuable organic amendment that provides nutrients, improves nitrogen use efficiency through nitrification inhibition, and suppresses soil-borne pests, thereby contributing to healthier crop growth (Mishra, 2023).</w:t>
      </w:r>
      <w:r>
        <w:rPr>
          <w:rFonts w:ascii="Times New Roman" w:hAnsi="Times New Roman" w:cs="Times New Roman"/>
          <w:szCs w:val="20"/>
        </w:rPr>
        <w:t xml:space="preserve"> </w:t>
      </w:r>
      <w:r w:rsidRPr="007853C3">
        <w:rPr>
          <w:rFonts w:ascii="Times New Roman" w:hAnsi="Times New Roman" w:cs="Times New Roman"/>
          <w:szCs w:val="20"/>
        </w:rPr>
        <w:t xml:space="preserve">Biofertilizers, particularly phosphate-solubilizing bacteria (PSB), have emerged as an effective biological input for improving nutrient availability and crop productivity. Phosphorus plays a crucial role in root development, energy transfer, and metabolic processes; however, a large portion of soil phosphorus remains unavailable to plants due to fixation. PSB enhance phosphorus availability by solubilizing insoluble phosphates through the secretion of organic acids and enzymes, leading to improved nutrient uptake, root growth, and overall plant </w:t>
      </w:r>
      <w:proofErr w:type="spellStart"/>
      <w:r w:rsidRPr="007853C3">
        <w:rPr>
          <w:rFonts w:ascii="Times New Roman" w:hAnsi="Times New Roman" w:cs="Times New Roman"/>
          <w:szCs w:val="20"/>
        </w:rPr>
        <w:t>vigor</w:t>
      </w:r>
      <w:proofErr w:type="spellEnd"/>
      <w:r w:rsidRPr="007853C3">
        <w:rPr>
          <w:rFonts w:ascii="Times New Roman" w:hAnsi="Times New Roman" w:cs="Times New Roman"/>
          <w:szCs w:val="20"/>
        </w:rPr>
        <w:t xml:space="preserve"> (Vishwakarma </w:t>
      </w:r>
      <w:r w:rsidRPr="00C20ED7">
        <w:rPr>
          <w:rFonts w:ascii="Times New Roman" w:hAnsi="Times New Roman" w:cs="Times New Roman"/>
          <w:i/>
          <w:iCs/>
          <w:szCs w:val="20"/>
        </w:rPr>
        <w:t xml:space="preserve">et al., </w:t>
      </w:r>
      <w:r w:rsidRPr="007853C3">
        <w:rPr>
          <w:rFonts w:ascii="Times New Roman" w:hAnsi="Times New Roman" w:cs="Times New Roman"/>
          <w:szCs w:val="20"/>
        </w:rPr>
        <w:t>2020). The integration of PSB with organic manures further stimulates soil microbial activity and nutrient cycling, resulting in synergistic effects on crop growth and yield.</w:t>
      </w:r>
      <w:r>
        <w:rPr>
          <w:rFonts w:ascii="Times New Roman" w:hAnsi="Times New Roman" w:cs="Times New Roman"/>
          <w:szCs w:val="20"/>
        </w:rPr>
        <w:t xml:space="preserve"> </w:t>
      </w:r>
      <w:r w:rsidRPr="007853C3">
        <w:rPr>
          <w:rFonts w:ascii="Times New Roman" w:hAnsi="Times New Roman" w:cs="Times New Roman"/>
          <w:szCs w:val="20"/>
        </w:rPr>
        <w:t xml:space="preserve">Recent studies conducted after 2020 have demonstrated the positive influence of organic manures and biofertilizers on beetroot growth, yield, and quality. Mia and Rashid (2023) reported significant improvements in plant height, number of leaves, root diameter, and root yield under integrated organic manure management. Similarly, Mishra (2023) observed enhanced fresh root weight, dry matter accumulation, and </w:t>
      </w:r>
      <w:proofErr w:type="spellStart"/>
      <w:r w:rsidRPr="007853C3">
        <w:rPr>
          <w:rFonts w:ascii="Times New Roman" w:hAnsi="Times New Roman" w:cs="Times New Roman"/>
          <w:szCs w:val="20"/>
        </w:rPr>
        <w:t>betalain</w:t>
      </w:r>
      <w:proofErr w:type="spellEnd"/>
      <w:r w:rsidRPr="007853C3">
        <w:rPr>
          <w:rFonts w:ascii="Times New Roman" w:hAnsi="Times New Roman" w:cs="Times New Roman"/>
          <w:szCs w:val="20"/>
        </w:rPr>
        <w:t xml:space="preserve"> content in beetroot with the application of organic composts. Kondal et al. (2024) also reported that organic nutrient sources significantly improved yield attributes and quality parameters such as total soluble solids in beetroot, highlighting the importance of sustainable nutrient inputs.</w:t>
      </w:r>
      <w:r>
        <w:rPr>
          <w:rFonts w:ascii="Times New Roman" w:hAnsi="Times New Roman" w:cs="Times New Roman"/>
          <w:szCs w:val="20"/>
        </w:rPr>
        <w:t xml:space="preserve"> </w:t>
      </w:r>
      <w:r w:rsidRPr="007853C3">
        <w:rPr>
          <w:rFonts w:ascii="Times New Roman" w:hAnsi="Times New Roman" w:cs="Times New Roman"/>
          <w:szCs w:val="20"/>
        </w:rPr>
        <w:t>Quality parameters including total soluble solids, sugar content, dry matter, and pigment concentration are critical determinants of beetroot market value and consumer acceptance. Organic manures contribute to quality enhancement by ensuring balanced nutrient supply, improving photosynthetic efficiency, and promoting effective assimilate translocation to roots (Mia &amp; Rashid, 2023). Biofertilizers complement these effects by enhancing nutrient availability and reducing nutrient losses, thereby supporting better metabolic efficiency and quality improvement.</w:t>
      </w:r>
    </w:p>
    <w:p w14:paraId="0679D17E" w14:textId="153616DA" w:rsidR="009A62B4" w:rsidRDefault="007853C3" w:rsidP="005C5386">
      <w:pPr>
        <w:spacing w:after="0" w:line="276" w:lineRule="auto"/>
        <w:jc w:val="both"/>
        <w:rPr>
          <w:rFonts w:ascii="Times New Roman" w:hAnsi="Times New Roman" w:cs="Times New Roman"/>
          <w:szCs w:val="20"/>
        </w:rPr>
      </w:pPr>
      <w:r w:rsidRPr="007853C3">
        <w:rPr>
          <w:rFonts w:ascii="Times New Roman" w:hAnsi="Times New Roman" w:cs="Times New Roman"/>
          <w:szCs w:val="20"/>
        </w:rPr>
        <w:t xml:space="preserve">Economic sustainability is another important consideration in nutrient management. Although organic inputs may involve higher initial costs, their long-term benefits in improving soil fertility, reducing dependency on chemical fertilizers, and stabilizing yields often result in improved net returns and benefit–cost ratios (Kumar </w:t>
      </w:r>
      <w:r w:rsidRPr="00C20ED7">
        <w:rPr>
          <w:rFonts w:ascii="Times New Roman" w:hAnsi="Times New Roman" w:cs="Times New Roman"/>
          <w:i/>
          <w:iCs/>
          <w:szCs w:val="20"/>
        </w:rPr>
        <w:t xml:space="preserve">et al., </w:t>
      </w:r>
      <w:r w:rsidRPr="007853C3">
        <w:rPr>
          <w:rFonts w:ascii="Times New Roman" w:hAnsi="Times New Roman" w:cs="Times New Roman"/>
          <w:szCs w:val="20"/>
        </w:rPr>
        <w:t>2023). Therefore, evaluating the agronomic and economic performance of organic manures and biofertilizers, alone and in combination with recommended chemical fertilizers, is essential for developing sustainable and farmer-friendly nutrient management strategies in beetroot cultivation.</w:t>
      </w:r>
      <w:r>
        <w:rPr>
          <w:rFonts w:ascii="Times New Roman" w:hAnsi="Times New Roman" w:cs="Times New Roman"/>
          <w:szCs w:val="20"/>
        </w:rPr>
        <w:t xml:space="preserve"> </w:t>
      </w:r>
      <w:r w:rsidRPr="007853C3">
        <w:rPr>
          <w:rFonts w:ascii="Times New Roman" w:hAnsi="Times New Roman" w:cs="Times New Roman"/>
          <w:szCs w:val="20"/>
        </w:rPr>
        <w:t xml:space="preserve">In this context, the present investigation was undertaken to comprehensively assess the effects of recommended chemical fertilizers, organic manures (FYM, vermicompost, and neem cake), biofertilizer (PSB), and their combinations on the growth, yield attributes, quality parameters, and economic viability of beetroot production under local </w:t>
      </w:r>
      <w:proofErr w:type="spellStart"/>
      <w:r w:rsidRPr="007853C3">
        <w:rPr>
          <w:rFonts w:ascii="Times New Roman" w:hAnsi="Times New Roman" w:cs="Times New Roman"/>
          <w:szCs w:val="20"/>
        </w:rPr>
        <w:t>agro</w:t>
      </w:r>
      <w:proofErr w:type="spellEnd"/>
      <w:r w:rsidRPr="007853C3">
        <w:rPr>
          <w:rFonts w:ascii="Times New Roman" w:hAnsi="Times New Roman" w:cs="Times New Roman"/>
          <w:szCs w:val="20"/>
        </w:rPr>
        <w:t>-climatic conditions.</w:t>
      </w:r>
    </w:p>
    <w:p w14:paraId="4164E51E" w14:textId="77777777" w:rsidR="005C5386" w:rsidRPr="009A62B4" w:rsidRDefault="005C5386" w:rsidP="005C5386">
      <w:pPr>
        <w:spacing w:after="0" w:line="276" w:lineRule="auto"/>
        <w:jc w:val="both"/>
        <w:rPr>
          <w:rFonts w:ascii="Times New Roman" w:hAnsi="Times New Roman" w:cs="Times New Roman"/>
          <w:szCs w:val="20"/>
        </w:rPr>
      </w:pPr>
    </w:p>
    <w:p w14:paraId="62A38B6D" w14:textId="35F3F0A2" w:rsidR="00BB2CC9" w:rsidRPr="00BB2CC9" w:rsidRDefault="005C5386" w:rsidP="00BB2CC9">
      <w:pPr>
        <w:jc w:val="both"/>
        <w:rPr>
          <w:rFonts w:ascii="Times New Roman" w:hAnsi="Times New Roman" w:cs="Times New Roman"/>
          <w:b/>
          <w:bCs/>
          <w:szCs w:val="20"/>
        </w:rPr>
      </w:pPr>
      <w:r>
        <w:rPr>
          <w:rFonts w:ascii="Times New Roman" w:hAnsi="Times New Roman" w:cs="Times New Roman"/>
          <w:b/>
          <w:bCs/>
          <w:szCs w:val="20"/>
        </w:rPr>
        <w:t>2.</w:t>
      </w:r>
      <w:r w:rsidR="00BB2CC9" w:rsidRPr="00BB2CC9">
        <w:rPr>
          <w:rFonts w:ascii="Times New Roman" w:hAnsi="Times New Roman" w:cs="Times New Roman"/>
          <w:b/>
          <w:bCs/>
          <w:szCs w:val="20"/>
        </w:rPr>
        <w:t>Materials and Methods</w:t>
      </w:r>
    </w:p>
    <w:p w14:paraId="3728B1A9" w14:textId="1FBE0A2E" w:rsidR="00BB2CC9" w:rsidRPr="00BB2CC9" w:rsidRDefault="005C5386" w:rsidP="005C5386">
      <w:pPr>
        <w:spacing w:after="0" w:line="276" w:lineRule="auto"/>
        <w:jc w:val="both"/>
        <w:rPr>
          <w:rFonts w:ascii="Times New Roman" w:hAnsi="Times New Roman" w:cs="Times New Roman"/>
          <w:b/>
          <w:bCs/>
          <w:szCs w:val="20"/>
        </w:rPr>
      </w:pPr>
      <w:r>
        <w:rPr>
          <w:rFonts w:ascii="Times New Roman" w:hAnsi="Times New Roman" w:cs="Times New Roman"/>
          <w:b/>
          <w:bCs/>
          <w:szCs w:val="20"/>
        </w:rPr>
        <w:t>2.1.</w:t>
      </w:r>
      <w:r w:rsidR="00C20ED7">
        <w:rPr>
          <w:rFonts w:ascii="Times New Roman" w:hAnsi="Times New Roman" w:cs="Times New Roman"/>
          <w:b/>
          <w:bCs/>
          <w:szCs w:val="20"/>
        </w:rPr>
        <w:t xml:space="preserve"> </w:t>
      </w:r>
      <w:r w:rsidR="00BB2CC9" w:rsidRPr="00BB2CC9">
        <w:rPr>
          <w:rFonts w:ascii="Times New Roman" w:hAnsi="Times New Roman" w:cs="Times New Roman"/>
          <w:b/>
          <w:bCs/>
          <w:szCs w:val="20"/>
        </w:rPr>
        <w:t>Experimental Site and Soil</w:t>
      </w:r>
    </w:p>
    <w:p w14:paraId="2F346ACD" w14:textId="23BCE859" w:rsidR="00BB2CC9" w:rsidRDefault="00BB2CC9"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lastRenderedPageBreak/>
        <w:t xml:space="preserve">The field experiment was conducted during the Rabi season of 2024–25 at the </w:t>
      </w:r>
      <w:r w:rsidR="00C20ED7" w:rsidRPr="00926E14">
        <w:rPr>
          <w:rFonts w:ascii="Times New Roman" w:hAnsi="Times New Roman" w:cs="Times New Roman"/>
          <w:szCs w:val="20"/>
        </w:rPr>
        <w:t>Faculty of Agriculture Sciences, Balachandra Institute of Education and Management</w:t>
      </w:r>
      <w:r w:rsidR="00C20ED7">
        <w:rPr>
          <w:rFonts w:ascii="Times New Roman" w:hAnsi="Times New Roman" w:cs="Times New Roman"/>
          <w:szCs w:val="20"/>
        </w:rPr>
        <w:t xml:space="preserve">, </w:t>
      </w:r>
      <w:r w:rsidR="00EE59BF">
        <w:rPr>
          <w:rFonts w:ascii="Times New Roman" w:hAnsi="Times New Roman" w:cs="Times New Roman"/>
          <w:szCs w:val="20"/>
        </w:rPr>
        <w:t xml:space="preserve">Lucknow, </w:t>
      </w:r>
      <w:r w:rsidRPr="00BB2CC9">
        <w:rPr>
          <w:rFonts w:ascii="Times New Roman" w:hAnsi="Times New Roman" w:cs="Times New Roman"/>
          <w:szCs w:val="20"/>
        </w:rPr>
        <w:t>Uttar Pradesh. The soil of the experimental field was sandy loam in texture with neutral pH (7.2), low organic carbon, and medium available nitrogen, phosphorus, and potassium status. The site falls under a subtropical climate suitable for beetroot cultivation.</w:t>
      </w:r>
    </w:p>
    <w:p w14:paraId="4C29A501" w14:textId="77777777" w:rsidR="005C5386" w:rsidRPr="00BB2CC9" w:rsidRDefault="005C5386" w:rsidP="005C5386">
      <w:pPr>
        <w:spacing w:after="0" w:line="276" w:lineRule="auto"/>
        <w:jc w:val="both"/>
        <w:rPr>
          <w:rFonts w:ascii="Times New Roman" w:hAnsi="Times New Roman" w:cs="Times New Roman"/>
          <w:szCs w:val="20"/>
        </w:rPr>
      </w:pPr>
    </w:p>
    <w:p w14:paraId="08F1FC1D" w14:textId="527475FD" w:rsidR="00BB2CC9" w:rsidRPr="00BB2CC9" w:rsidRDefault="005C5386" w:rsidP="005C5386">
      <w:pPr>
        <w:spacing w:after="0" w:line="276" w:lineRule="auto"/>
        <w:jc w:val="both"/>
        <w:rPr>
          <w:rFonts w:ascii="Times New Roman" w:hAnsi="Times New Roman" w:cs="Times New Roman"/>
          <w:b/>
          <w:bCs/>
          <w:szCs w:val="20"/>
        </w:rPr>
      </w:pPr>
      <w:r>
        <w:rPr>
          <w:rFonts w:ascii="Times New Roman" w:hAnsi="Times New Roman" w:cs="Times New Roman"/>
          <w:b/>
          <w:bCs/>
          <w:szCs w:val="20"/>
        </w:rPr>
        <w:t xml:space="preserve">2.2. </w:t>
      </w:r>
      <w:r w:rsidR="00BB2CC9" w:rsidRPr="00BB2CC9">
        <w:rPr>
          <w:rFonts w:ascii="Times New Roman" w:hAnsi="Times New Roman" w:cs="Times New Roman"/>
          <w:b/>
          <w:bCs/>
          <w:szCs w:val="20"/>
        </w:rPr>
        <w:t>Treatments and Experimental Design</w:t>
      </w:r>
    </w:p>
    <w:p w14:paraId="46619C82" w14:textId="77777777" w:rsidR="00BB2CC9" w:rsidRDefault="00BB2CC9"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The experiment was laid out in a Randomized Block Design (RBD) with eleven treatments and three replications. Treatments included control, recommended dose of fertilizers (N 125: P₂O₅ 50: K₂O 70 kg ha⁻¹), organic manures (FYM, vermicompost, neem cake), biofertilizer (PSB), and their combinations. Organic manures were incorporated into the soil before sowing, while PSB was applied as per treatment requirement. Beetroot variety ‘Atlas’ was sown at a spacing of 30 × 10 cm following standard agronomic practices.</w:t>
      </w:r>
    </w:p>
    <w:p w14:paraId="07EA5C10" w14:textId="77777777" w:rsidR="005C5386" w:rsidRPr="00BB2CC9" w:rsidRDefault="005C5386" w:rsidP="005C5386">
      <w:pPr>
        <w:spacing w:after="0" w:line="276" w:lineRule="auto"/>
        <w:jc w:val="both"/>
        <w:rPr>
          <w:rFonts w:ascii="Times New Roman" w:hAnsi="Times New Roman" w:cs="Times New Roman"/>
          <w:szCs w:val="20"/>
        </w:rPr>
      </w:pPr>
    </w:p>
    <w:p w14:paraId="29BDF501" w14:textId="031CB582" w:rsidR="00BB2CC9" w:rsidRPr="00BB2CC9" w:rsidRDefault="005C5386" w:rsidP="005C5386">
      <w:pPr>
        <w:spacing w:after="0" w:line="276" w:lineRule="auto"/>
        <w:jc w:val="both"/>
        <w:rPr>
          <w:rFonts w:ascii="Times New Roman" w:hAnsi="Times New Roman" w:cs="Times New Roman"/>
          <w:b/>
          <w:bCs/>
          <w:szCs w:val="20"/>
        </w:rPr>
      </w:pPr>
      <w:r>
        <w:rPr>
          <w:rFonts w:ascii="Times New Roman" w:hAnsi="Times New Roman" w:cs="Times New Roman"/>
          <w:b/>
          <w:bCs/>
          <w:szCs w:val="20"/>
        </w:rPr>
        <w:t xml:space="preserve">2.3. </w:t>
      </w:r>
      <w:r w:rsidR="00BB2CC9" w:rsidRPr="00BB2CC9">
        <w:rPr>
          <w:rFonts w:ascii="Times New Roman" w:hAnsi="Times New Roman" w:cs="Times New Roman"/>
          <w:b/>
          <w:bCs/>
          <w:szCs w:val="20"/>
        </w:rPr>
        <w:t>Observations and Statistical Analysis</w:t>
      </w:r>
    </w:p>
    <w:p w14:paraId="776CEFAB" w14:textId="77777777" w:rsidR="00BB2CC9" w:rsidRPr="00BB2CC9" w:rsidRDefault="00BB2CC9"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 xml:space="preserve">Growth, yield, and quality parameters were recorded from selected plants at different growth stages and at harvest. Economic analysis was carried out by calculating cost of cultivation, gross and net returns, and benefit–cost ratio. Data were </w:t>
      </w:r>
      <w:proofErr w:type="spellStart"/>
      <w:r w:rsidRPr="00BB2CC9">
        <w:rPr>
          <w:rFonts w:ascii="Times New Roman" w:hAnsi="Times New Roman" w:cs="Times New Roman"/>
          <w:szCs w:val="20"/>
        </w:rPr>
        <w:t>analyzed</w:t>
      </w:r>
      <w:proofErr w:type="spellEnd"/>
      <w:r w:rsidRPr="00BB2CC9">
        <w:rPr>
          <w:rFonts w:ascii="Times New Roman" w:hAnsi="Times New Roman" w:cs="Times New Roman"/>
          <w:szCs w:val="20"/>
        </w:rPr>
        <w:t xml:space="preserve"> statistically using analysis of variance (ANOVA) for RBD, and treatment means were compared at 5% level of significance.</w:t>
      </w:r>
    </w:p>
    <w:p w14:paraId="483CA91F" w14:textId="77777777" w:rsidR="00824FA7" w:rsidRDefault="00824FA7" w:rsidP="007853C3">
      <w:pPr>
        <w:jc w:val="both"/>
        <w:rPr>
          <w:rFonts w:ascii="Times New Roman" w:hAnsi="Times New Roman" w:cs="Times New Roman"/>
          <w:szCs w:val="20"/>
        </w:rPr>
      </w:pPr>
    </w:p>
    <w:p w14:paraId="37D1A28A" w14:textId="5D62618E" w:rsidR="00824FA7" w:rsidRPr="00824FA7" w:rsidRDefault="005C5386" w:rsidP="00824FA7">
      <w:pPr>
        <w:jc w:val="both"/>
        <w:rPr>
          <w:rFonts w:ascii="Times New Roman" w:hAnsi="Times New Roman" w:cs="Times New Roman"/>
          <w:b/>
          <w:bCs/>
          <w:szCs w:val="20"/>
        </w:rPr>
      </w:pPr>
      <w:r>
        <w:rPr>
          <w:rFonts w:ascii="Times New Roman" w:hAnsi="Times New Roman" w:cs="Times New Roman"/>
          <w:b/>
          <w:bCs/>
          <w:szCs w:val="20"/>
        </w:rPr>
        <w:t xml:space="preserve">3. </w:t>
      </w:r>
      <w:r w:rsidR="00824FA7">
        <w:rPr>
          <w:rFonts w:ascii="Times New Roman" w:hAnsi="Times New Roman" w:cs="Times New Roman"/>
          <w:b/>
          <w:bCs/>
          <w:szCs w:val="20"/>
        </w:rPr>
        <w:t>R</w:t>
      </w:r>
      <w:r w:rsidR="00824FA7" w:rsidRPr="00824FA7">
        <w:rPr>
          <w:rFonts w:ascii="Times New Roman" w:hAnsi="Times New Roman" w:cs="Times New Roman"/>
          <w:b/>
          <w:bCs/>
          <w:szCs w:val="20"/>
        </w:rPr>
        <w:t>esults and Discussion</w:t>
      </w:r>
    </w:p>
    <w:p w14:paraId="00554DE5" w14:textId="74FA1760" w:rsidR="00824FA7" w:rsidRPr="00824FA7" w:rsidRDefault="005C5386" w:rsidP="005C5386">
      <w:pPr>
        <w:spacing w:after="0" w:line="276" w:lineRule="auto"/>
        <w:jc w:val="both"/>
        <w:rPr>
          <w:rFonts w:ascii="Times New Roman" w:hAnsi="Times New Roman" w:cs="Times New Roman"/>
          <w:b/>
          <w:bCs/>
          <w:szCs w:val="20"/>
        </w:rPr>
      </w:pPr>
      <w:r>
        <w:rPr>
          <w:rFonts w:ascii="Times New Roman" w:hAnsi="Times New Roman" w:cs="Times New Roman"/>
          <w:b/>
          <w:bCs/>
          <w:szCs w:val="20"/>
        </w:rPr>
        <w:t>3.</w:t>
      </w:r>
      <w:r w:rsidR="00824FA7">
        <w:rPr>
          <w:rFonts w:ascii="Times New Roman" w:hAnsi="Times New Roman" w:cs="Times New Roman"/>
          <w:b/>
          <w:bCs/>
          <w:szCs w:val="20"/>
        </w:rPr>
        <w:t>1.</w:t>
      </w:r>
      <w:r>
        <w:rPr>
          <w:rFonts w:ascii="Times New Roman" w:hAnsi="Times New Roman" w:cs="Times New Roman"/>
          <w:b/>
          <w:bCs/>
          <w:szCs w:val="20"/>
        </w:rPr>
        <w:t xml:space="preserve"> </w:t>
      </w:r>
      <w:r w:rsidR="00824FA7" w:rsidRPr="00824FA7">
        <w:rPr>
          <w:rFonts w:ascii="Times New Roman" w:hAnsi="Times New Roman" w:cs="Times New Roman"/>
          <w:b/>
          <w:bCs/>
          <w:szCs w:val="20"/>
        </w:rPr>
        <w:t>Effect of Organic Manures and Biofertilizers on Growth of Beetroot</w:t>
      </w:r>
    </w:p>
    <w:p w14:paraId="639A0D40" w14:textId="77777777" w:rsidR="00824FA7" w:rsidRPr="00824FA7" w:rsidRDefault="00824FA7" w:rsidP="005C5386">
      <w:pPr>
        <w:spacing w:after="0" w:line="276" w:lineRule="auto"/>
        <w:jc w:val="both"/>
        <w:rPr>
          <w:rFonts w:ascii="Times New Roman" w:hAnsi="Times New Roman" w:cs="Times New Roman"/>
          <w:szCs w:val="20"/>
        </w:rPr>
      </w:pPr>
      <w:r w:rsidRPr="00824FA7">
        <w:rPr>
          <w:rFonts w:ascii="Times New Roman" w:hAnsi="Times New Roman" w:cs="Times New Roman"/>
          <w:szCs w:val="20"/>
        </w:rPr>
        <w:t>Growth parameters of beetroot were significantly influenced by different organic manures, biofertilizers, and their combinations. Overall, integrated application of vermicompost and PSB performed superior to sole application of organic or inorganic sources, while control consistently recorded the lowest values.</w:t>
      </w:r>
    </w:p>
    <w:p w14:paraId="27FB3FE5" w14:textId="77777777" w:rsidR="00824FA7" w:rsidRPr="00BB2CC9" w:rsidRDefault="00824FA7"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 xml:space="preserve">Plant height increased significantly at all growth stages (25, 50 DAS and at harvest). The maximum plant height was recorded under T₁₁ (Vermicompost @ 2.5 t ha⁻¹ + PSB @ 1.25 kg ha⁻¹), which was statistically at par with T₁₀, T₈, T₄ and T₇. Improved plant height under these treatments may be attributed to enhanced nutrient availability, improved soil structure, and increased microbial activity resulting in better root growth and nutrient uptake. Similar findings have been reported by Singh </w:t>
      </w:r>
      <w:r w:rsidRPr="00C20ED7">
        <w:rPr>
          <w:rFonts w:ascii="Times New Roman" w:hAnsi="Times New Roman" w:cs="Times New Roman"/>
          <w:i/>
          <w:iCs/>
          <w:szCs w:val="20"/>
        </w:rPr>
        <w:t>et al.</w:t>
      </w:r>
      <w:r w:rsidRPr="00BB2CC9">
        <w:rPr>
          <w:rFonts w:ascii="Times New Roman" w:hAnsi="Times New Roman" w:cs="Times New Roman"/>
          <w:szCs w:val="20"/>
        </w:rPr>
        <w:t xml:space="preserve"> (2020) and Kumar </w:t>
      </w:r>
      <w:r w:rsidRPr="00C20ED7">
        <w:rPr>
          <w:rFonts w:ascii="Times New Roman" w:hAnsi="Times New Roman" w:cs="Times New Roman"/>
          <w:i/>
          <w:iCs/>
          <w:szCs w:val="20"/>
        </w:rPr>
        <w:t>et al.</w:t>
      </w:r>
      <w:r w:rsidRPr="00BB2CC9">
        <w:rPr>
          <w:rFonts w:ascii="Times New Roman" w:hAnsi="Times New Roman" w:cs="Times New Roman"/>
          <w:szCs w:val="20"/>
        </w:rPr>
        <w:t xml:space="preserve"> (2022).</w:t>
      </w:r>
    </w:p>
    <w:p w14:paraId="6CCF0EC7" w14:textId="77777777" w:rsidR="00824FA7" w:rsidRPr="00BB2CC9" w:rsidRDefault="00824FA7"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 xml:space="preserve">The number of leaves per plant was significantly higher under integrated organic treatments, with T₁₁ recording the highest leaf count at all stages. Increased leaf production under vermicompost and PSB application may be due to continuous nutrient supply and enhanced nitrogen assimilation, leading to improved photosynthetic capacity (Meena </w:t>
      </w:r>
      <w:r w:rsidRPr="00C20ED7">
        <w:rPr>
          <w:rFonts w:ascii="Times New Roman" w:hAnsi="Times New Roman" w:cs="Times New Roman"/>
          <w:i/>
          <w:iCs/>
          <w:szCs w:val="20"/>
        </w:rPr>
        <w:t xml:space="preserve">et al., </w:t>
      </w:r>
      <w:r w:rsidRPr="00BB2CC9">
        <w:rPr>
          <w:rFonts w:ascii="Times New Roman" w:hAnsi="Times New Roman" w:cs="Times New Roman"/>
          <w:szCs w:val="20"/>
        </w:rPr>
        <w:t>2021).</w:t>
      </w:r>
    </w:p>
    <w:p w14:paraId="5E76D949" w14:textId="77777777" w:rsidR="00824FA7" w:rsidRPr="00BB2CC9" w:rsidRDefault="00824FA7"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 xml:space="preserve">Leaf area showed significant variation among treatments. The highest leaf area was observed in T₁₁, followed by T₁₀ and T₄, whereas control recorded the minimum. Enhanced leaf area under organic and biofertilizer combinations may be linked to improved nutrient mineralization, microbial-mediated phosphorus solubilization and better canopy development, as also observed by Patel </w:t>
      </w:r>
      <w:r w:rsidRPr="00C20ED7">
        <w:rPr>
          <w:rFonts w:ascii="Times New Roman" w:hAnsi="Times New Roman" w:cs="Times New Roman"/>
          <w:i/>
          <w:iCs/>
          <w:szCs w:val="20"/>
        </w:rPr>
        <w:t>et al.</w:t>
      </w:r>
      <w:r w:rsidRPr="00BB2CC9">
        <w:rPr>
          <w:rFonts w:ascii="Times New Roman" w:hAnsi="Times New Roman" w:cs="Times New Roman"/>
          <w:szCs w:val="20"/>
        </w:rPr>
        <w:t xml:space="preserve"> (2021).</w:t>
      </w:r>
    </w:p>
    <w:p w14:paraId="107A9C11" w14:textId="77777777" w:rsidR="00824FA7" w:rsidRPr="00BB2CC9" w:rsidRDefault="00824FA7"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 xml:space="preserve">Similarly, leaf biomass was significantly higher under integrated treatments, with T₁₁ producing the maximum biomass at both observation stages. Higher biomass accumulation reflects </w:t>
      </w:r>
      <w:r w:rsidRPr="00BB2CC9">
        <w:rPr>
          <w:rFonts w:ascii="Times New Roman" w:hAnsi="Times New Roman" w:cs="Times New Roman"/>
          <w:szCs w:val="20"/>
        </w:rPr>
        <w:lastRenderedPageBreak/>
        <w:t xml:space="preserve">efficient photosynthate production and translocation under organic nutrient management (Das </w:t>
      </w:r>
      <w:r w:rsidRPr="00C20ED7">
        <w:rPr>
          <w:rFonts w:ascii="Times New Roman" w:hAnsi="Times New Roman" w:cs="Times New Roman"/>
          <w:i/>
          <w:iCs/>
          <w:szCs w:val="20"/>
        </w:rPr>
        <w:t xml:space="preserve">et al., </w:t>
      </w:r>
      <w:r w:rsidRPr="00BB2CC9">
        <w:rPr>
          <w:rFonts w:ascii="Times New Roman" w:hAnsi="Times New Roman" w:cs="Times New Roman"/>
          <w:szCs w:val="20"/>
        </w:rPr>
        <w:t>2023).</w:t>
      </w:r>
    </w:p>
    <w:p w14:paraId="4AC1E3C9" w14:textId="77777777" w:rsidR="00824FA7" w:rsidRPr="00BB2CC9" w:rsidRDefault="00824FA7"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 xml:space="preserve">The days taken to harvest were significantly reduced under organic and biofertilizer combinations. The earliest maturity was recorded in T₁₁, while control required the maximum duration. Early maturity under integrated nutrient management may be due to improved metabolic activity and balanced nutrient availability, accelerating crop growth and development (Reddy </w:t>
      </w:r>
      <w:r w:rsidRPr="00C20ED7">
        <w:rPr>
          <w:rFonts w:ascii="Times New Roman" w:hAnsi="Times New Roman" w:cs="Times New Roman"/>
          <w:i/>
          <w:iCs/>
          <w:szCs w:val="20"/>
        </w:rPr>
        <w:t xml:space="preserve">et al., </w:t>
      </w:r>
      <w:r w:rsidRPr="00BB2CC9">
        <w:rPr>
          <w:rFonts w:ascii="Times New Roman" w:hAnsi="Times New Roman" w:cs="Times New Roman"/>
          <w:szCs w:val="20"/>
        </w:rPr>
        <w:t>2024).</w:t>
      </w:r>
    </w:p>
    <w:p w14:paraId="0B4C64EC" w14:textId="77777777" w:rsidR="00824FA7" w:rsidRDefault="00824FA7" w:rsidP="00824FA7">
      <w:pPr>
        <w:jc w:val="both"/>
        <w:rPr>
          <w:rFonts w:ascii="Times New Roman" w:hAnsi="Times New Roman" w:cs="Times New Roman"/>
          <w:szCs w:val="20"/>
        </w:rPr>
      </w:pPr>
      <w:r w:rsidRPr="00824FA7">
        <w:rPr>
          <w:rFonts w:ascii="Times New Roman" w:hAnsi="Times New Roman" w:cs="Times New Roman"/>
          <w:szCs w:val="20"/>
        </w:rPr>
        <w:t>Overall, the results clearly indicate that combined application of vermicompost and PSB significantly enhanced vegetative growth of beetroot compared to sole nutrient sources.</w:t>
      </w:r>
    </w:p>
    <w:p w14:paraId="0622348A" w14:textId="77777777" w:rsidR="00926E14" w:rsidRDefault="00926E14" w:rsidP="00824FA7">
      <w:pPr>
        <w:jc w:val="both"/>
        <w:rPr>
          <w:rFonts w:ascii="Times New Roman" w:hAnsi="Times New Roman" w:cs="Times New Roman"/>
          <w:szCs w:val="20"/>
        </w:rPr>
      </w:pPr>
    </w:p>
    <w:p w14:paraId="45769F89" w14:textId="77777777" w:rsidR="00926E14" w:rsidRDefault="00926E14" w:rsidP="00824FA7">
      <w:pPr>
        <w:jc w:val="both"/>
        <w:rPr>
          <w:rFonts w:ascii="Times New Roman" w:hAnsi="Times New Roman" w:cs="Times New Roman"/>
          <w:szCs w:val="20"/>
        </w:rPr>
      </w:pPr>
    </w:p>
    <w:p w14:paraId="2B862B72" w14:textId="77777777" w:rsidR="00926E14" w:rsidRDefault="00926E14" w:rsidP="00824FA7">
      <w:pPr>
        <w:jc w:val="both"/>
        <w:rPr>
          <w:rFonts w:ascii="Times New Roman" w:hAnsi="Times New Roman" w:cs="Times New Roman"/>
          <w:szCs w:val="20"/>
        </w:rPr>
      </w:pPr>
    </w:p>
    <w:p w14:paraId="3381BC91" w14:textId="77777777" w:rsidR="00926E14" w:rsidRDefault="00926E14" w:rsidP="00824FA7">
      <w:pPr>
        <w:jc w:val="both"/>
        <w:rPr>
          <w:rFonts w:ascii="Times New Roman" w:hAnsi="Times New Roman" w:cs="Times New Roman"/>
          <w:szCs w:val="20"/>
        </w:rPr>
      </w:pPr>
    </w:p>
    <w:p w14:paraId="116E6660" w14:textId="77777777" w:rsidR="00926E14" w:rsidRDefault="00926E14" w:rsidP="00824FA7">
      <w:pPr>
        <w:jc w:val="both"/>
        <w:rPr>
          <w:rFonts w:ascii="Times New Roman" w:hAnsi="Times New Roman" w:cs="Times New Roman"/>
          <w:szCs w:val="20"/>
        </w:rPr>
      </w:pPr>
    </w:p>
    <w:p w14:paraId="45175805" w14:textId="77777777" w:rsidR="00926E14" w:rsidRDefault="00926E14" w:rsidP="00824FA7">
      <w:pPr>
        <w:jc w:val="both"/>
        <w:rPr>
          <w:rFonts w:ascii="Times New Roman" w:hAnsi="Times New Roman" w:cs="Times New Roman"/>
          <w:szCs w:val="20"/>
        </w:rPr>
      </w:pPr>
    </w:p>
    <w:p w14:paraId="195D5195" w14:textId="77777777" w:rsidR="00926E14" w:rsidRDefault="00926E14" w:rsidP="00824FA7">
      <w:pPr>
        <w:jc w:val="both"/>
        <w:rPr>
          <w:rFonts w:ascii="Times New Roman" w:hAnsi="Times New Roman" w:cs="Times New Roman"/>
          <w:szCs w:val="20"/>
        </w:rPr>
      </w:pPr>
    </w:p>
    <w:p w14:paraId="69A29CD7" w14:textId="77777777" w:rsidR="00926E14" w:rsidRDefault="00926E14" w:rsidP="00824FA7">
      <w:pPr>
        <w:jc w:val="both"/>
        <w:rPr>
          <w:rFonts w:ascii="Times New Roman" w:hAnsi="Times New Roman" w:cs="Times New Roman"/>
          <w:szCs w:val="20"/>
        </w:rPr>
      </w:pPr>
    </w:p>
    <w:p w14:paraId="0D72F8A4" w14:textId="77777777" w:rsidR="00926E14" w:rsidRDefault="00926E14" w:rsidP="00824FA7">
      <w:pPr>
        <w:jc w:val="both"/>
        <w:rPr>
          <w:rFonts w:ascii="Times New Roman" w:hAnsi="Times New Roman" w:cs="Times New Roman"/>
          <w:szCs w:val="20"/>
        </w:rPr>
      </w:pPr>
    </w:p>
    <w:p w14:paraId="41C08BD1" w14:textId="77777777" w:rsidR="00926E14" w:rsidRPr="00824FA7" w:rsidRDefault="00926E14" w:rsidP="00824FA7">
      <w:pPr>
        <w:jc w:val="both"/>
        <w:rPr>
          <w:rFonts w:ascii="Times New Roman" w:hAnsi="Times New Roman" w:cs="Times New Roman"/>
          <w:szCs w:val="20"/>
        </w:rPr>
      </w:pPr>
    </w:p>
    <w:tbl>
      <w:tblPr>
        <w:tblpPr w:leftFromText="180" w:rightFromText="180" w:vertAnchor="page" w:horzAnchor="margin" w:tblpY="2361"/>
        <w:tblW w:w="9912" w:type="dxa"/>
        <w:tblCellSpacing w:w="15" w:type="dxa"/>
        <w:tblCellMar>
          <w:top w:w="15" w:type="dxa"/>
          <w:left w:w="15" w:type="dxa"/>
          <w:bottom w:w="15" w:type="dxa"/>
          <w:right w:w="15" w:type="dxa"/>
        </w:tblCellMar>
        <w:tblLook w:val="04A0" w:firstRow="1" w:lastRow="0" w:firstColumn="1" w:lastColumn="0" w:noHBand="0" w:noVBand="1"/>
      </w:tblPr>
      <w:tblGrid>
        <w:gridCol w:w="4680"/>
        <w:gridCol w:w="990"/>
        <w:gridCol w:w="990"/>
        <w:gridCol w:w="1170"/>
        <w:gridCol w:w="1141"/>
        <w:gridCol w:w="941"/>
      </w:tblGrid>
      <w:tr w:rsidR="00926E14" w:rsidRPr="008B1E35" w14:paraId="28DE55A1" w14:textId="77777777" w:rsidTr="00926E14">
        <w:trPr>
          <w:trHeight w:val="405"/>
          <w:tblHeader/>
          <w:tblCellSpacing w:w="15" w:type="dxa"/>
        </w:trPr>
        <w:tc>
          <w:tcPr>
            <w:tcW w:w="4635" w:type="dxa"/>
            <w:tcBorders>
              <w:top w:val="single" w:sz="4" w:space="0" w:color="auto"/>
              <w:bottom w:val="single" w:sz="4" w:space="0" w:color="auto"/>
            </w:tcBorders>
            <w:vAlign w:val="center"/>
            <w:hideMark/>
          </w:tcPr>
          <w:p w14:paraId="5B45407D" w14:textId="77777777" w:rsidR="00926E14" w:rsidRPr="00824FA7" w:rsidRDefault="00926E14" w:rsidP="00926E14">
            <w:pPr>
              <w:jc w:val="center"/>
              <w:rPr>
                <w:rFonts w:ascii="Times New Roman" w:hAnsi="Times New Roman" w:cs="Times New Roman"/>
                <w:b/>
                <w:bCs/>
                <w:sz w:val="16"/>
                <w:szCs w:val="12"/>
              </w:rPr>
            </w:pPr>
            <w:r w:rsidRPr="00824FA7">
              <w:rPr>
                <w:rFonts w:ascii="Times New Roman" w:hAnsi="Times New Roman" w:cs="Times New Roman"/>
                <w:b/>
                <w:bCs/>
                <w:sz w:val="16"/>
                <w:szCs w:val="12"/>
              </w:rPr>
              <w:t>Treatment</w:t>
            </w:r>
          </w:p>
        </w:tc>
        <w:tc>
          <w:tcPr>
            <w:tcW w:w="960" w:type="dxa"/>
            <w:tcBorders>
              <w:top w:val="single" w:sz="4" w:space="0" w:color="auto"/>
              <w:bottom w:val="single" w:sz="4" w:space="0" w:color="auto"/>
            </w:tcBorders>
            <w:vAlign w:val="center"/>
            <w:hideMark/>
          </w:tcPr>
          <w:p w14:paraId="0AC7D4F4" w14:textId="77777777" w:rsidR="00926E14" w:rsidRPr="00824FA7" w:rsidRDefault="00926E14" w:rsidP="00926E14">
            <w:pPr>
              <w:jc w:val="center"/>
              <w:rPr>
                <w:rFonts w:ascii="Times New Roman" w:hAnsi="Times New Roman" w:cs="Times New Roman"/>
                <w:b/>
                <w:bCs/>
                <w:sz w:val="16"/>
                <w:szCs w:val="12"/>
              </w:rPr>
            </w:pPr>
            <w:r w:rsidRPr="00824FA7">
              <w:rPr>
                <w:rFonts w:ascii="Times New Roman" w:hAnsi="Times New Roman" w:cs="Times New Roman"/>
                <w:b/>
                <w:bCs/>
                <w:sz w:val="16"/>
                <w:szCs w:val="12"/>
              </w:rPr>
              <w:t>Plant height at harvest (cm)</w:t>
            </w:r>
          </w:p>
        </w:tc>
        <w:tc>
          <w:tcPr>
            <w:tcW w:w="960" w:type="dxa"/>
            <w:tcBorders>
              <w:top w:val="single" w:sz="4" w:space="0" w:color="auto"/>
              <w:bottom w:val="single" w:sz="4" w:space="0" w:color="auto"/>
            </w:tcBorders>
            <w:vAlign w:val="center"/>
            <w:hideMark/>
          </w:tcPr>
          <w:p w14:paraId="2F414A71" w14:textId="77777777" w:rsidR="00926E14" w:rsidRPr="00824FA7" w:rsidRDefault="00926E14" w:rsidP="00926E14">
            <w:pPr>
              <w:jc w:val="center"/>
              <w:rPr>
                <w:rFonts w:ascii="Times New Roman" w:hAnsi="Times New Roman" w:cs="Times New Roman"/>
                <w:b/>
                <w:bCs/>
                <w:sz w:val="16"/>
                <w:szCs w:val="12"/>
              </w:rPr>
            </w:pPr>
            <w:r w:rsidRPr="00824FA7">
              <w:rPr>
                <w:rFonts w:ascii="Times New Roman" w:hAnsi="Times New Roman" w:cs="Times New Roman"/>
                <w:b/>
                <w:bCs/>
                <w:sz w:val="16"/>
                <w:szCs w:val="12"/>
              </w:rPr>
              <w:t>Number of leaves at harvest</w:t>
            </w:r>
          </w:p>
        </w:tc>
        <w:tc>
          <w:tcPr>
            <w:tcW w:w="1140" w:type="dxa"/>
            <w:tcBorders>
              <w:top w:val="single" w:sz="4" w:space="0" w:color="auto"/>
              <w:bottom w:val="single" w:sz="4" w:space="0" w:color="auto"/>
            </w:tcBorders>
            <w:vAlign w:val="center"/>
            <w:hideMark/>
          </w:tcPr>
          <w:p w14:paraId="76D1948F" w14:textId="77777777" w:rsidR="00926E14" w:rsidRPr="00824FA7" w:rsidRDefault="00926E14" w:rsidP="00926E14">
            <w:pPr>
              <w:jc w:val="center"/>
              <w:rPr>
                <w:rFonts w:ascii="Times New Roman" w:hAnsi="Times New Roman" w:cs="Times New Roman"/>
                <w:b/>
                <w:bCs/>
                <w:sz w:val="16"/>
                <w:szCs w:val="12"/>
              </w:rPr>
            </w:pPr>
            <w:r w:rsidRPr="00824FA7">
              <w:rPr>
                <w:rFonts w:ascii="Times New Roman" w:hAnsi="Times New Roman" w:cs="Times New Roman"/>
                <w:b/>
                <w:bCs/>
                <w:sz w:val="16"/>
                <w:szCs w:val="12"/>
              </w:rPr>
              <w:t>Leaf area (cm²) at 70 DAS</w:t>
            </w:r>
          </w:p>
        </w:tc>
        <w:tc>
          <w:tcPr>
            <w:tcW w:w="1111" w:type="dxa"/>
            <w:tcBorders>
              <w:top w:val="single" w:sz="4" w:space="0" w:color="auto"/>
              <w:bottom w:val="single" w:sz="4" w:space="0" w:color="auto"/>
            </w:tcBorders>
            <w:vAlign w:val="center"/>
            <w:hideMark/>
          </w:tcPr>
          <w:p w14:paraId="613D250A" w14:textId="77777777" w:rsidR="00926E14" w:rsidRPr="00824FA7" w:rsidRDefault="00926E14" w:rsidP="00926E14">
            <w:pPr>
              <w:jc w:val="center"/>
              <w:rPr>
                <w:rFonts w:ascii="Times New Roman" w:hAnsi="Times New Roman" w:cs="Times New Roman"/>
                <w:b/>
                <w:bCs/>
                <w:sz w:val="16"/>
                <w:szCs w:val="12"/>
              </w:rPr>
            </w:pPr>
            <w:r w:rsidRPr="00824FA7">
              <w:rPr>
                <w:rFonts w:ascii="Times New Roman" w:hAnsi="Times New Roman" w:cs="Times New Roman"/>
                <w:b/>
                <w:bCs/>
                <w:sz w:val="16"/>
                <w:szCs w:val="12"/>
              </w:rPr>
              <w:t>Leaf biomass (g plant⁻¹) at 70 DAS</w:t>
            </w:r>
          </w:p>
        </w:tc>
        <w:tc>
          <w:tcPr>
            <w:tcW w:w="0" w:type="auto"/>
            <w:tcBorders>
              <w:top w:val="single" w:sz="4" w:space="0" w:color="auto"/>
              <w:bottom w:val="single" w:sz="4" w:space="0" w:color="auto"/>
            </w:tcBorders>
            <w:vAlign w:val="center"/>
            <w:hideMark/>
          </w:tcPr>
          <w:p w14:paraId="01C2CA7A" w14:textId="77777777" w:rsidR="00926E14" w:rsidRPr="00824FA7" w:rsidRDefault="00926E14" w:rsidP="00926E14">
            <w:pPr>
              <w:jc w:val="center"/>
              <w:rPr>
                <w:rFonts w:ascii="Times New Roman" w:hAnsi="Times New Roman" w:cs="Times New Roman"/>
                <w:b/>
                <w:bCs/>
                <w:sz w:val="16"/>
                <w:szCs w:val="12"/>
              </w:rPr>
            </w:pPr>
            <w:r w:rsidRPr="00824FA7">
              <w:rPr>
                <w:rFonts w:ascii="Times New Roman" w:hAnsi="Times New Roman" w:cs="Times New Roman"/>
                <w:b/>
                <w:bCs/>
                <w:sz w:val="16"/>
                <w:szCs w:val="12"/>
              </w:rPr>
              <w:t>Days to harvest</w:t>
            </w:r>
          </w:p>
        </w:tc>
      </w:tr>
      <w:tr w:rsidR="00926E14" w:rsidRPr="008B1E35" w14:paraId="48B6462B" w14:textId="77777777" w:rsidTr="00926E14">
        <w:trPr>
          <w:trHeight w:val="479"/>
          <w:tblCellSpacing w:w="15" w:type="dxa"/>
        </w:trPr>
        <w:tc>
          <w:tcPr>
            <w:tcW w:w="4635" w:type="dxa"/>
            <w:vAlign w:val="center"/>
            <w:hideMark/>
          </w:tcPr>
          <w:p w14:paraId="7487DAE1" w14:textId="77777777" w:rsidR="00926E14" w:rsidRPr="00824FA7" w:rsidRDefault="00926E14" w:rsidP="00926E14">
            <w:pPr>
              <w:jc w:val="both"/>
              <w:rPr>
                <w:rFonts w:ascii="Times New Roman" w:hAnsi="Times New Roman" w:cs="Times New Roman"/>
                <w:sz w:val="14"/>
                <w:szCs w:val="10"/>
              </w:rPr>
            </w:pPr>
            <w:r w:rsidRPr="00824FA7">
              <w:rPr>
                <w:rFonts w:ascii="Times New Roman" w:hAnsi="Times New Roman" w:cs="Times New Roman"/>
                <w:b/>
                <w:bCs/>
                <w:sz w:val="14"/>
                <w:szCs w:val="10"/>
              </w:rPr>
              <w:t>T₁ Control</w:t>
            </w:r>
          </w:p>
        </w:tc>
        <w:tc>
          <w:tcPr>
            <w:tcW w:w="960" w:type="dxa"/>
            <w:vAlign w:val="center"/>
            <w:hideMark/>
          </w:tcPr>
          <w:p w14:paraId="1AE4CEF8"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24.26</w:t>
            </w:r>
          </w:p>
        </w:tc>
        <w:tc>
          <w:tcPr>
            <w:tcW w:w="960" w:type="dxa"/>
            <w:vAlign w:val="center"/>
            <w:hideMark/>
          </w:tcPr>
          <w:p w14:paraId="56E4C2DB"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16.05</w:t>
            </w:r>
          </w:p>
        </w:tc>
        <w:tc>
          <w:tcPr>
            <w:tcW w:w="1140" w:type="dxa"/>
            <w:vAlign w:val="center"/>
            <w:hideMark/>
          </w:tcPr>
          <w:p w14:paraId="21141F55"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852.00</w:t>
            </w:r>
          </w:p>
        </w:tc>
        <w:tc>
          <w:tcPr>
            <w:tcW w:w="1111" w:type="dxa"/>
            <w:vAlign w:val="center"/>
            <w:hideMark/>
          </w:tcPr>
          <w:p w14:paraId="1C02B634"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1.86</w:t>
            </w:r>
          </w:p>
        </w:tc>
        <w:tc>
          <w:tcPr>
            <w:tcW w:w="0" w:type="auto"/>
            <w:vAlign w:val="center"/>
            <w:hideMark/>
          </w:tcPr>
          <w:p w14:paraId="2F14B6D1"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89.99</w:t>
            </w:r>
          </w:p>
        </w:tc>
      </w:tr>
      <w:tr w:rsidR="00926E14" w:rsidRPr="008B1E35" w14:paraId="44B74A2D" w14:textId="77777777" w:rsidTr="00926E14">
        <w:trPr>
          <w:trHeight w:val="249"/>
          <w:tblCellSpacing w:w="15" w:type="dxa"/>
        </w:trPr>
        <w:tc>
          <w:tcPr>
            <w:tcW w:w="4635" w:type="dxa"/>
            <w:vAlign w:val="center"/>
            <w:hideMark/>
          </w:tcPr>
          <w:p w14:paraId="13AEBC16" w14:textId="77777777" w:rsidR="00926E14" w:rsidRPr="00824FA7" w:rsidRDefault="00926E14" w:rsidP="00926E14">
            <w:pPr>
              <w:jc w:val="both"/>
              <w:rPr>
                <w:rFonts w:ascii="Times New Roman" w:hAnsi="Times New Roman" w:cs="Times New Roman"/>
                <w:sz w:val="14"/>
                <w:szCs w:val="10"/>
              </w:rPr>
            </w:pPr>
            <w:r w:rsidRPr="00824FA7">
              <w:rPr>
                <w:rFonts w:ascii="Times New Roman" w:hAnsi="Times New Roman" w:cs="Times New Roman"/>
                <w:b/>
                <w:bCs/>
                <w:sz w:val="14"/>
                <w:szCs w:val="10"/>
              </w:rPr>
              <w:t>T₂ RDF (N 125: P₂O₅ 50: K₂O 70 kg ha⁻¹)</w:t>
            </w:r>
          </w:p>
        </w:tc>
        <w:tc>
          <w:tcPr>
            <w:tcW w:w="960" w:type="dxa"/>
            <w:vAlign w:val="center"/>
            <w:hideMark/>
          </w:tcPr>
          <w:p w14:paraId="31725104"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30.45</w:t>
            </w:r>
          </w:p>
        </w:tc>
        <w:tc>
          <w:tcPr>
            <w:tcW w:w="960" w:type="dxa"/>
            <w:vAlign w:val="center"/>
            <w:hideMark/>
          </w:tcPr>
          <w:p w14:paraId="099AC2B3"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15.19</w:t>
            </w:r>
          </w:p>
        </w:tc>
        <w:tc>
          <w:tcPr>
            <w:tcW w:w="1140" w:type="dxa"/>
            <w:vAlign w:val="center"/>
            <w:hideMark/>
          </w:tcPr>
          <w:p w14:paraId="112C0201"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943.78</w:t>
            </w:r>
          </w:p>
        </w:tc>
        <w:tc>
          <w:tcPr>
            <w:tcW w:w="1111" w:type="dxa"/>
            <w:vAlign w:val="center"/>
            <w:hideMark/>
          </w:tcPr>
          <w:p w14:paraId="6055A3F2"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3.70</w:t>
            </w:r>
          </w:p>
        </w:tc>
        <w:tc>
          <w:tcPr>
            <w:tcW w:w="0" w:type="auto"/>
            <w:vAlign w:val="center"/>
            <w:hideMark/>
          </w:tcPr>
          <w:p w14:paraId="507F74F9"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79.20</w:t>
            </w:r>
          </w:p>
        </w:tc>
      </w:tr>
      <w:tr w:rsidR="00926E14" w:rsidRPr="008B1E35" w14:paraId="3FC4E6DF" w14:textId="77777777" w:rsidTr="00926E14">
        <w:trPr>
          <w:trHeight w:val="30"/>
          <w:tblCellSpacing w:w="15" w:type="dxa"/>
        </w:trPr>
        <w:tc>
          <w:tcPr>
            <w:tcW w:w="4635" w:type="dxa"/>
            <w:vAlign w:val="center"/>
            <w:hideMark/>
          </w:tcPr>
          <w:p w14:paraId="46A57265" w14:textId="77777777" w:rsidR="00926E14" w:rsidRPr="00824FA7" w:rsidRDefault="00926E14" w:rsidP="00926E14">
            <w:pPr>
              <w:jc w:val="both"/>
              <w:rPr>
                <w:rFonts w:ascii="Times New Roman" w:hAnsi="Times New Roman" w:cs="Times New Roman"/>
                <w:sz w:val="14"/>
                <w:szCs w:val="10"/>
              </w:rPr>
            </w:pPr>
            <w:r w:rsidRPr="00824FA7">
              <w:rPr>
                <w:rFonts w:ascii="Times New Roman" w:hAnsi="Times New Roman" w:cs="Times New Roman"/>
                <w:b/>
                <w:bCs/>
                <w:sz w:val="14"/>
                <w:szCs w:val="10"/>
              </w:rPr>
              <w:t>T₃ FYM @ 20 t ha⁻¹</w:t>
            </w:r>
          </w:p>
        </w:tc>
        <w:tc>
          <w:tcPr>
            <w:tcW w:w="960" w:type="dxa"/>
            <w:vAlign w:val="center"/>
            <w:hideMark/>
          </w:tcPr>
          <w:p w14:paraId="5422628F"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25.25</w:t>
            </w:r>
          </w:p>
        </w:tc>
        <w:tc>
          <w:tcPr>
            <w:tcW w:w="960" w:type="dxa"/>
            <w:vAlign w:val="center"/>
            <w:hideMark/>
          </w:tcPr>
          <w:p w14:paraId="462BE7EF"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15.45</w:t>
            </w:r>
          </w:p>
        </w:tc>
        <w:tc>
          <w:tcPr>
            <w:tcW w:w="1140" w:type="dxa"/>
            <w:vAlign w:val="center"/>
            <w:hideMark/>
          </w:tcPr>
          <w:p w14:paraId="1D6D8974"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904.00</w:t>
            </w:r>
          </w:p>
        </w:tc>
        <w:tc>
          <w:tcPr>
            <w:tcW w:w="1111" w:type="dxa"/>
            <w:vAlign w:val="center"/>
            <w:hideMark/>
          </w:tcPr>
          <w:p w14:paraId="0E3EE183"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2.87</w:t>
            </w:r>
          </w:p>
        </w:tc>
        <w:tc>
          <w:tcPr>
            <w:tcW w:w="0" w:type="auto"/>
            <w:vAlign w:val="center"/>
            <w:hideMark/>
          </w:tcPr>
          <w:p w14:paraId="1D5E252D"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87.55</w:t>
            </w:r>
          </w:p>
        </w:tc>
      </w:tr>
      <w:tr w:rsidR="00926E14" w:rsidRPr="008B1E35" w14:paraId="44120ADD" w14:textId="77777777" w:rsidTr="00926E14">
        <w:trPr>
          <w:trHeight w:val="60"/>
          <w:tblCellSpacing w:w="15" w:type="dxa"/>
        </w:trPr>
        <w:tc>
          <w:tcPr>
            <w:tcW w:w="4635" w:type="dxa"/>
            <w:vAlign w:val="center"/>
            <w:hideMark/>
          </w:tcPr>
          <w:p w14:paraId="7FD9C356" w14:textId="77777777" w:rsidR="00926E14" w:rsidRPr="00824FA7" w:rsidRDefault="00926E14" w:rsidP="00926E14">
            <w:pPr>
              <w:jc w:val="both"/>
              <w:rPr>
                <w:rFonts w:ascii="Times New Roman" w:hAnsi="Times New Roman" w:cs="Times New Roman"/>
                <w:sz w:val="14"/>
                <w:szCs w:val="10"/>
              </w:rPr>
            </w:pPr>
            <w:r w:rsidRPr="00824FA7">
              <w:rPr>
                <w:rFonts w:ascii="Times New Roman" w:hAnsi="Times New Roman" w:cs="Times New Roman"/>
                <w:b/>
                <w:bCs/>
                <w:sz w:val="14"/>
                <w:szCs w:val="10"/>
              </w:rPr>
              <w:t>T₄ Vermicompost @ 5 t ha⁻¹</w:t>
            </w:r>
          </w:p>
        </w:tc>
        <w:tc>
          <w:tcPr>
            <w:tcW w:w="960" w:type="dxa"/>
            <w:vAlign w:val="center"/>
            <w:hideMark/>
          </w:tcPr>
          <w:p w14:paraId="6027C1A3"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30.91</w:t>
            </w:r>
          </w:p>
        </w:tc>
        <w:tc>
          <w:tcPr>
            <w:tcW w:w="960" w:type="dxa"/>
            <w:vAlign w:val="center"/>
            <w:hideMark/>
          </w:tcPr>
          <w:p w14:paraId="703C6CBE"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15.59</w:t>
            </w:r>
          </w:p>
        </w:tc>
        <w:tc>
          <w:tcPr>
            <w:tcW w:w="1140" w:type="dxa"/>
            <w:vAlign w:val="center"/>
            <w:hideMark/>
          </w:tcPr>
          <w:p w14:paraId="5924AFC1"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1024.04</w:t>
            </w:r>
          </w:p>
        </w:tc>
        <w:tc>
          <w:tcPr>
            <w:tcW w:w="1111" w:type="dxa"/>
            <w:vAlign w:val="center"/>
            <w:hideMark/>
          </w:tcPr>
          <w:p w14:paraId="6F776D55"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3.59</w:t>
            </w:r>
          </w:p>
        </w:tc>
        <w:tc>
          <w:tcPr>
            <w:tcW w:w="0" w:type="auto"/>
            <w:vAlign w:val="center"/>
            <w:hideMark/>
          </w:tcPr>
          <w:p w14:paraId="53AA3723"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81.84</w:t>
            </w:r>
          </w:p>
        </w:tc>
      </w:tr>
      <w:tr w:rsidR="00926E14" w:rsidRPr="008B1E35" w14:paraId="373DBBF0" w14:textId="77777777" w:rsidTr="00926E14">
        <w:trPr>
          <w:trHeight w:val="30"/>
          <w:tblCellSpacing w:w="15" w:type="dxa"/>
        </w:trPr>
        <w:tc>
          <w:tcPr>
            <w:tcW w:w="4635" w:type="dxa"/>
            <w:vAlign w:val="center"/>
            <w:hideMark/>
          </w:tcPr>
          <w:p w14:paraId="03378F43" w14:textId="77777777" w:rsidR="00926E14" w:rsidRPr="00824FA7" w:rsidRDefault="00926E14" w:rsidP="00926E14">
            <w:pPr>
              <w:jc w:val="both"/>
              <w:rPr>
                <w:rFonts w:ascii="Times New Roman" w:hAnsi="Times New Roman" w:cs="Times New Roman"/>
                <w:sz w:val="14"/>
                <w:szCs w:val="10"/>
              </w:rPr>
            </w:pPr>
            <w:r w:rsidRPr="00824FA7">
              <w:rPr>
                <w:rFonts w:ascii="Times New Roman" w:hAnsi="Times New Roman" w:cs="Times New Roman"/>
                <w:b/>
                <w:bCs/>
                <w:sz w:val="14"/>
                <w:szCs w:val="10"/>
              </w:rPr>
              <w:t>T₅ Neem cake @ 80 kg ha⁻¹</w:t>
            </w:r>
          </w:p>
        </w:tc>
        <w:tc>
          <w:tcPr>
            <w:tcW w:w="960" w:type="dxa"/>
            <w:vAlign w:val="center"/>
            <w:hideMark/>
          </w:tcPr>
          <w:p w14:paraId="057FC20E"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29.47</w:t>
            </w:r>
          </w:p>
        </w:tc>
        <w:tc>
          <w:tcPr>
            <w:tcW w:w="960" w:type="dxa"/>
            <w:vAlign w:val="center"/>
            <w:hideMark/>
          </w:tcPr>
          <w:p w14:paraId="114435DC"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14.01</w:t>
            </w:r>
          </w:p>
        </w:tc>
        <w:tc>
          <w:tcPr>
            <w:tcW w:w="1140" w:type="dxa"/>
            <w:vAlign w:val="center"/>
            <w:hideMark/>
          </w:tcPr>
          <w:p w14:paraId="00D2E7D2"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952.81</w:t>
            </w:r>
          </w:p>
        </w:tc>
        <w:tc>
          <w:tcPr>
            <w:tcW w:w="1111" w:type="dxa"/>
            <w:vAlign w:val="center"/>
            <w:hideMark/>
          </w:tcPr>
          <w:p w14:paraId="361422A4"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3.72</w:t>
            </w:r>
          </w:p>
        </w:tc>
        <w:tc>
          <w:tcPr>
            <w:tcW w:w="0" w:type="auto"/>
            <w:vAlign w:val="center"/>
            <w:hideMark/>
          </w:tcPr>
          <w:p w14:paraId="3D81CA61"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84.14</w:t>
            </w:r>
          </w:p>
        </w:tc>
      </w:tr>
      <w:tr w:rsidR="00926E14" w:rsidRPr="008B1E35" w14:paraId="58A36530" w14:textId="77777777" w:rsidTr="00926E14">
        <w:trPr>
          <w:trHeight w:val="60"/>
          <w:tblCellSpacing w:w="15" w:type="dxa"/>
        </w:trPr>
        <w:tc>
          <w:tcPr>
            <w:tcW w:w="4635" w:type="dxa"/>
            <w:vAlign w:val="center"/>
            <w:hideMark/>
          </w:tcPr>
          <w:p w14:paraId="565FB1B7" w14:textId="77777777" w:rsidR="00926E14" w:rsidRPr="00824FA7" w:rsidRDefault="00926E14" w:rsidP="00926E14">
            <w:pPr>
              <w:jc w:val="both"/>
              <w:rPr>
                <w:rFonts w:ascii="Times New Roman" w:hAnsi="Times New Roman" w:cs="Times New Roman"/>
                <w:sz w:val="14"/>
                <w:szCs w:val="10"/>
              </w:rPr>
            </w:pPr>
            <w:r w:rsidRPr="00824FA7">
              <w:rPr>
                <w:rFonts w:ascii="Times New Roman" w:hAnsi="Times New Roman" w:cs="Times New Roman"/>
                <w:b/>
                <w:bCs/>
                <w:sz w:val="14"/>
                <w:szCs w:val="10"/>
              </w:rPr>
              <w:t>T₆ PSB @ 2.5 kg ha⁻¹</w:t>
            </w:r>
          </w:p>
        </w:tc>
        <w:tc>
          <w:tcPr>
            <w:tcW w:w="960" w:type="dxa"/>
            <w:vAlign w:val="center"/>
            <w:hideMark/>
          </w:tcPr>
          <w:p w14:paraId="303196EB"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24.45</w:t>
            </w:r>
          </w:p>
        </w:tc>
        <w:tc>
          <w:tcPr>
            <w:tcW w:w="960" w:type="dxa"/>
            <w:vAlign w:val="center"/>
            <w:hideMark/>
          </w:tcPr>
          <w:p w14:paraId="79777C40"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15.90</w:t>
            </w:r>
          </w:p>
        </w:tc>
        <w:tc>
          <w:tcPr>
            <w:tcW w:w="1140" w:type="dxa"/>
            <w:vAlign w:val="center"/>
            <w:hideMark/>
          </w:tcPr>
          <w:p w14:paraId="77E69D01"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876.53</w:t>
            </w:r>
          </w:p>
        </w:tc>
        <w:tc>
          <w:tcPr>
            <w:tcW w:w="1111" w:type="dxa"/>
            <w:vAlign w:val="center"/>
            <w:hideMark/>
          </w:tcPr>
          <w:p w14:paraId="65223602"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2.66</w:t>
            </w:r>
          </w:p>
        </w:tc>
        <w:tc>
          <w:tcPr>
            <w:tcW w:w="0" w:type="auto"/>
            <w:vAlign w:val="center"/>
            <w:hideMark/>
          </w:tcPr>
          <w:p w14:paraId="6C7ED44C"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85.13</w:t>
            </w:r>
          </w:p>
        </w:tc>
      </w:tr>
      <w:tr w:rsidR="00926E14" w:rsidRPr="008B1E35" w14:paraId="3FAD3998" w14:textId="77777777" w:rsidTr="00926E14">
        <w:trPr>
          <w:trHeight w:val="30"/>
          <w:tblCellSpacing w:w="15" w:type="dxa"/>
        </w:trPr>
        <w:tc>
          <w:tcPr>
            <w:tcW w:w="4635" w:type="dxa"/>
            <w:vAlign w:val="center"/>
            <w:hideMark/>
          </w:tcPr>
          <w:p w14:paraId="0F6DCCC4" w14:textId="77777777" w:rsidR="00926E14" w:rsidRPr="00824FA7" w:rsidRDefault="00926E14" w:rsidP="00926E14">
            <w:pPr>
              <w:jc w:val="both"/>
              <w:rPr>
                <w:rFonts w:ascii="Times New Roman" w:hAnsi="Times New Roman" w:cs="Times New Roman"/>
                <w:sz w:val="14"/>
                <w:szCs w:val="10"/>
              </w:rPr>
            </w:pPr>
            <w:r w:rsidRPr="00824FA7">
              <w:rPr>
                <w:rFonts w:ascii="Times New Roman" w:hAnsi="Times New Roman" w:cs="Times New Roman"/>
                <w:b/>
                <w:bCs/>
                <w:sz w:val="14"/>
                <w:szCs w:val="10"/>
              </w:rPr>
              <w:t>T₇ FYM @ 10 t ha⁻¹ + Vermicompost @ 2.5 t ha⁻¹</w:t>
            </w:r>
          </w:p>
        </w:tc>
        <w:tc>
          <w:tcPr>
            <w:tcW w:w="960" w:type="dxa"/>
            <w:vAlign w:val="center"/>
            <w:hideMark/>
          </w:tcPr>
          <w:p w14:paraId="02552504"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30.82</w:t>
            </w:r>
          </w:p>
        </w:tc>
        <w:tc>
          <w:tcPr>
            <w:tcW w:w="960" w:type="dxa"/>
            <w:vAlign w:val="center"/>
            <w:hideMark/>
          </w:tcPr>
          <w:p w14:paraId="1779CB92"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15.79</w:t>
            </w:r>
          </w:p>
        </w:tc>
        <w:tc>
          <w:tcPr>
            <w:tcW w:w="1140" w:type="dxa"/>
            <w:vAlign w:val="center"/>
            <w:hideMark/>
          </w:tcPr>
          <w:p w14:paraId="36834D99"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972.75</w:t>
            </w:r>
          </w:p>
        </w:tc>
        <w:tc>
          <w:tcPr>
            <w:tcW w:w="1111" w:type="dxa"/>
            <w:vAlign w:val="center"/>
            <w:hideMark/>
          </w:tcPr>
          <w:p w14:paraId="6644C1D8"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3.55</w:t>
            </w:r>
          </w:p>
        </w:tc>
        <w:tc>
          <w:tcPr>
            <w:tcW w:w="0" w:type="auto"/>
            <w:vAlign w:val="center"/>
            <w:hideMark/>
          </w:tcPr>
          <w:p w14:paraId="76CD5E72"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80.21</w:t>
            </w:r>
          </w:p>
        </w:tc>
      </w:tr>
      <w:tr w:rsidR="00926E14" w:rsidRPr="008B1E35" w14:paraId="4826452E" w14:textId="77777777" w:rsidTr="00926E14">
        <w:trPr>
          <w:trHeight w:val="150"/>
          <w:tblCellSpacing w:w="15" w:type="dxa"/>
        </w:trPr>
        <w:tc>
          <w:tcPr>
            <w:tcW w:w="4635" w:type="dxa"/>
            <w:vAlign w:val="center"/>
            <w:hideMark/>
          </w:tcPr>
          <w:p w14:paraId="7387518F" w14:textId="77777777" w:rsidR="00926E14" w:rsidRPr="00824FA7" w:rsidRDefault="00926E14" w:rsidP="00926E14">
            <w:pPr>
              <w:tabs>
                <w:tab w:val="left" w:pos="2890"/>
              </w:tabs>
              <w:jc w:val="both"/>
              <w:rPr>
                <w:rFonts w:ascii="Times New Roman" w:hAnsi="Times New Roman" w:cs="Times New Roman"/>
                <w:sz w:val="14"/>
                <w:szCs w:val="10"/>
              </w:rPr>
            </w:pPr>
            <w:r w:rsidRPr="00824FA7">
              <w:rPr>
                <w:rFonts w:ascii="Times New Roman" w:hAnsi="Times New Roman" w:cs="Times New Roman"/>
                <w:b/>
                <w:bCs/>
                <w:sz w:val="14"/>
                <w:szCs w:val="10"/>
              </w:rPr>
              <w:t>T₈ FYM @ 10 t ha⁻¹ + Neem cake @ 40 kg ha⁻¹</w:t>
            </w:r>
          </w:p>
        </w:tc>
        <w:tc>
          <w:tcPr>
            <w:tcW w:w="960" w:type="dxa"/>
            <w:vAlign w:val="center"/>
            <w:hideMark/>
          </w:tcPr>
          <w:p w14:paraId="2950D6E2"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30.99</w:t>
            </w:r>
          </w:p>
        </w:tc>
        <w:tc>
          <w:tcPr>
            <w:tcW w:w="960" w:type="dxa"/>
            <w:vAlign w:val="center"/>
            <w:hideMark/>
          </w:tcPr>
          <w:p w14:paraId="1D50605D"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14.56</w:t>
            </w:r>
          </w:p>
        </w:tc>
        <w:tc>
          <w:tcPr>
            <w:tcW w:w="1140" w:type="dxa"/>
            <w:vAlign w:val="center"/>
            <w:hideMark/>
          </w:tcPr>
          <w:p w14:paraId="2F8D9578"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977.48</w:t>
            </w:r>
          </w:p>
        </w:tc>
        <w:tc>
          <w:tcPr>
            <w:tcW w:w="1111" w:type="dxa"/>
            <w:vAlign w:val="center"/>
            <w:hideMark/>
          </w:tcPr>
          <w:p w14:paraId="65ABF395"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4.50</w:t>
            </w:r>
          </w:p>
        </w:tc>
        <w:tc>
          <w:tcPr>
            <w:tcW w:w="0" w:type="auto"/>
            <w:vAlign w:val="center"/>
            <w:hideMark/>
          </w:tcPr>
          <w:p w14:paraId="10AC96EA"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80.36</w:t>
            </w:r>
          </w:p>
        </w:tc>
      </w:tr>
      <w:tr w:rsidR="00926E14" w:rsidRPr="008B1E35" w14:paraId="426D0E2E" w14:textId="77777777" w:rsidTr="00926E14">
        <w:trPr>
          <w:trHeight w:val="96"/>
          <w:tblCellSpacing w:w="15" w:type="dxa"/>
        </w:trPr>
        <w:tc>
          <w:tcPr>
            <w:tcW w:w="4635" w:type="dxa"/>
            <w:vAlign w:val="center"/>
            <w:hideMark/>
          </w:tcPr>
          <w:p w14:paraId="7F38DC0F" w14:textId="77777777" w:rsidR="00926E14" w:rsidRPr="00824FA7" w:rsidRDefault="00926E14" w:rsidP="00926E14">
            <w:pPr>
              <w:jc w:val="both"/>
              <w:rPr>
                <w:rFonts w:ascii="Times New Roman" w:hAnsi="Times New Roman" w:cs="Times New Roman"/>
                <w:sz w:val="14"/>
                <w:szCs w:val="10"/>
              </w:rPr>
            </w:pPr>
            <w:r w:rsidRPr="00824FA7">
              <w:rPr>
                <w:rFonts w:ascii="Times New Roman" w:hAnsi="Times New Roman" w:cs="Times New Roman"/>
                <w:b/>
                <w:bCs/>
                <w:sz w:val="14"/>
                <w:szCs w:val="10"/>
              </w:rPr>
              <w:t>T₉ FYM @ 10 t ha⁻¹ + PSB @ 1.25 kg ha⁻¹</w:t>
            </w:r>
          </w:p>
        </w:tc>
        <w:tc>
          <w:tcPr>
            <w:tcW w:w="960" w:type="dxa"/>
            <w:vAlign w:val="center"/>
            <w:hideMark/>
          </w:tcPr>
          <w:p w14:paraId="435F304C"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27.47</w:t>
            </w:r>
          </w:p>
        </w:tc>
        <w:tc>
          <w:tcPr>
            <w:tcW w:w="960" w:type="dxa"/>
            <w:vAlign w:val="center"/>
            <w:hideMark/>
          </w:tcPr>
          <w:p w14:paraId="35CCAF66"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17.09</w:t>
            </w:r>
          </w:p>
        </w:tc>
        <w:tc>
          <w:tcPr>
            <w:tcW w:w="1140" w:type="dxa"/>
            <w:vAlign w:val="center"/>
            <w:hideMark/>
          </w:tcPr>
          <w:p w14:paraId="0871A317"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925.10</w:t>
            </w:r>
          </w:p>
        </w:tc>
        <w:tc>
          <w:tcPr>
            <w:tcW w:w="1111" w:type="dxa"/>
            <w:vAlign w:val="center"/>
            <w:hideMark/>
          </w:tcPr>
          <w:p w14:paraId="0A8A6454"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2.91</w:t>
            </w:r>
          </w:p>
        </w:tc>
        <w:tc>
          <w:tcPr>
            <w:tcW w:w="0" w:type="auto"/>
            <w:vAlign w:val="center"/>
            <w:hideMark/>
          </w:tcPr>
          <w:p w14:paraId="7A379C1D"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85.13</w:t>
            </w:r>
          </w:p>
        </w:tc>
      </w:tr>
      <w:tr w:rsidR="00926E14" w:rsidRPr="008B1E35" w14:paraId="04F01095" w14:textId="77777777" w:rsidTr="00926E14">
        <w:trPr>
          <w:trHeight w:val="30"/>
          <w:tblCellSpacing w:w="15" w:type="dxa"/>
        </w:trPr>
        <w:tc>
          <w:tcPr>
            <w:tcW w:w="4635" w:type="dxa"/>
            <w:vAlign w:val="center"/>
            <w:hideMark/>
          </w:tcPr>
          <w:p w14:paraId="6CC5C81C" w14:textId="77777777" w:rsidR="00926E14" w:rsidRPr="00824FA7" w:rsidRDefault="00926E14" w:rsidP="00926E14">
            <w:pPr>
              <w:jc w:val="both"/>
              <w:rPr>
                <w:rFonts w:ascii="Times New Roman" w:hAnsi="Times New Roman" w:cs="Times New Roman"/>
                <w:sz w:val="14"/>
                <w:szCs w:val="10"/>
              </w:rPr>
            </w:pPr>
            <w:r w:rsidRPr="00824FA7">
              <w:rPr>
                <w:rFonts w:ascii="Times New Roman" w:hAnsi="Times New Roman" w:cs="Times New Roman"/>
                <w:b/>
                <w:bCs/>
                <w:sz w:val="14"/>
                <w:szCs w:val="10"/>
              </w:rPr>
              <w:t>T₁₀ Vermicompost @ 2.5 t ha⁻¹ + Neem cake @ 40 kg ha⁻¹</w:t>
            </w:r>
          </w:p>
        </w:tc>
        <w:tc>
          <w:tcPr>
            <w:tcW w:w="960" w:type="dxa"/>
            <w:vAlign w:val="center"/>
            <w:hideMark/>
          </w:tcPr>
          <w:p w14:paraId="7A9ACC5C"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31.16</w:t>
            </w:r>
          </w:p>
        </w:tc>
        <w:tc>
          <w:tcPr>
            <w:tcW w:w="960" w:type="dxa"/>
            <w:vAlign w:val="center"/>
            <w:hideMark/>
          </w:tcPr>
          <w:p w14:paraId="1F9EDEBC"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17.49</w:t>
            </w:r>
          </w:p>
        </w:tc>
        <w:tc>
          <w:tcPr>
            <w:tcW w:w="1140" w:type="dxa"/>
            <w:vAlign w:val="center"/>
            <w:hideMark/>
          </w:tcPr>
          <w:p w14:paraId="2CD388C5"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1025.14</w:t>
            </w:r>
          </w:p>
        </w:tc>
        <w:tc>
          <w:tcPr>
            <w:tcW w:w="1111" w:type="dxa"/>
            <w:vAlign w:val="center"/>
            <w:hideMark/>
          </w:tcPr>
          <w:p w14:paraId="4A32C96E"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4.53</w:t>
            </w:r>
          </w:p>
        </w:tc>
        <w:tc>
          <w:tcPr>
            <w:tcW w:w="0" w:type="auto"/>
            <w:vAlign w:val="center"/>
            <w:hideMark/>
          </w:tcPr>
          <w:p w14:paraId="19664EF7"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79.20</w:t>
            </w:r>
          </w:p>
        </w:tc>
      </w:tr>
      <w:tr w:rsidR="00926E14" w:rsidRPr="008B1E35" w14:paraId="1EF6034C" w14:textId="77777777" w:rsidTr="00926E14">
        <w:trPr>
          <w:trHeight w:val="30"/>
          <w:tblCellSpacing w:w="15" w:type="dxa"/>
        </w:trPr>
        <w:tc>
          <w:tcPr>
            <w:tcW w:w="4635" w:type="dxa"/>
            <w:tcBorders>
              <w:bottom w:val="single" w:sz="4" w:space="0" w:color="auto"/>
            </w:tcBorders>
            <w:vAlign w:val="center"/>
            <w:hideMark/>
          </w:tcPr>
          <w:p w14:paraId="08B8D61C" w14:textId="77777777" w:rsidR="00926E14" w:rsidRPr="00824FA7" w:rsidRDefault="00926E14" w:rsidP="00926E14">
            <w:pPr>
              <w:jc w:val="both"/>
              <w:rPr>
                <w:rFonts w:ascii="Times New Roman" w:hAnsi="Times New Roman" w:cs="Times New Roman"/>
                <w:sz w:val="14"/>
                <w:szCs w:val="10"/>
              </w:rPr>
            </w:pPr>
            <w:r w:rsidRPr="00824FA7">
              <w:rPr>
                <w:rFonts w:ascii="Times New Roman" w:hAnsi="Times New Roman" w:cs="Times New Roman"/>
                <w:b/>
                <w:bCs/>
                <w:sz w:val="14"/>
                <w:szCs w:val="10"/>
              </w:rPr>
              <w:t>T₁₁ Vermicompost @ 2.5 t ha⁻¹ + PSB @ 1.25 kg ha⁻¹</w:t>
            </w:r>
          </w:p>
        </w:tc>
        <w:tc>
          <w:tcPr>
            <w:tcW w:w="960" w:type="dxa"/>
            <w:tcBorders>
              <w:bottom w:val="single" w:sz="4" w:space="0" w:color="auto"/>
            </w:tcBorders>
            <w:vAlign w:val="center"/>
            <w:hideMark/>
          </w:tcPr>
          <w:p w14:paraId="35FAA991"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b/>
                <w:bCs/>
                <w:sz w:val="14"/>
                <w:szCs w:val="10"/>
              </w:rPr>
              <w:t>31.45</w:t>
            </w:r>
          </w:p>
        </w:tc>
        <w:tc>
          <w:tcPr>
            <w:tcW w:w="960" w:type="dxa"/>
            <w:tcBorders>
              <w:bottom w:val="single" w:sz="4" w:space="0" w:color="auto"/>
            </w:tcBorders>
            <w:vAlign w:val="center"/>
            <w:hideMark/>
          </w:tcPr>
          <w:p w14:paraId="6C47FEC2"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b/>
                <w:bCs/>
                <w:sz w:val="14"/>
                <w:szCs w:val="10"/>
              </w:rPr>
              <w:t>17.49</w:t>
            </w:r>
          </w:p>
        </w:tc>
        <w:tc>
          <w:tcPr>
            <w:tcW w:w="1140" w:type="dxa"/>
            <w:tcBorders>
              <w:bottom w:val="single" w:sz="4" w:space="0" w:color="auto"/>
            </w:tcBorders>
            <w:vAlign w:val="center"/>
            <w:hideMark/>
          </w:tcPr>
          <w:p w14:paraId="21054593"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b/>
                <w:bCs/>
                <w:sz w:val="14"/>
                <w:szCs w:val="10"/>
              </w:rPr>
              <w:t>1053.67</w:t>
            </w:r>
          </w:p>
        </w:tc>
        <w:tc>
          <w:tcPr>
            <w:tcW w:w="1111" w:type="dxa"/>
            <w:tcBorders>
              <w:bottom w:val="single" w:sz="4" w:space="0" w:color="auto"/>
            </w:tcBorders>
            <w:vAlign w:val="center"/>
            <w:hideMark/>
          </w:tcPr>
          <w:p w14:paraId="624ADDDC"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b/>
                <w:bCs/>
                <w:sz w:val="14"/>
                <w:szCs w:val="10"/>
              </w:rPr>
              <w:t>5.31</w:t>
            </w:r>
          </w:p>
        </w:tc>
        <w:tc>
          <w:tcPr>
            <w:tcW w:w="0" w:type="auto"/>
            <w:tcBorders>
              <w:bottom w:val="single" w:sz="4" w:space="0" w:color="auto"/>
            </w:tcBorders>
            <w:vAlign w:val="center"/>
            <w:hideMark/>
          </w:tcPr>
          <w:p w14:paraId="6D2E295F"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b/>
                <w:bCs/>
                <w:sz w:val="14"/>
                <w:szCs w:val="10"/>
              </w:rPr>
              <w:t>78.52</w:t>
            </w:r>
          </w:p>
        </w:tc>
      </w:tr>
    </w:tbl>
    <w:p w14:paraId="64A16B4D" w14:textId="54B7A1A3" w:rsidR="007853C3" w:rsidRPr="005C5386" w:rsidRDefault="005C5386" w:rsidP="007853C3">
      <w:pPr>
        <w:jc w:val="both"/>
        <w:rPr>
          <w:rFonts w:ascii="Times New Roman" w:hAnsi="Times New Roman" w:cs="Times New Roman"/>
          <w:b/>
          <w:bCs/>
          <w:i/>
          <w:iCs/>
          <w:szCs w:val="20"/>
        </w:rPr>
      </w:pPr>
      <w:r w:rsidRPr="005C5386">
        <w:rPr>
          <w:rFonts w:ascii="Times New Roman" w:hAnsi="Times New Roman" w:cs="Times New Roman"/>
          <w:b/>
          <w:bCs/>
          <w:szCs w:val="20"/>
        </w:rPr>
        <w:t>Table 1.</w:t>
      </w:r>
      <w:r w:rsidRPr="005C5386">
        <w:rPr>
          <w:rFonts w:ascii="Times New Roman" w:hAnsi="Times New Roman" w:cs="Times New Roman"/>
          <w:szCs w:val="20"/>
        </w:rPr>
        <w:t xml:space="preserve"> </w:t>
      </w:r>
      <w:r w:rsidRPr="005C5386">
        <w:rPr>
          <w:rFonts w:ascii="Times New Roman" w:hAnsi="Times New Roman" w:cs="Times New Roman"/>
          <w:b/>
          <w:bCs/>
          <w:i/>
          <w:iCs/>
          <w:szCs w:val="20"/>
        </w:rPr>
        <w:t>Effect of organic manures and biofertilizers on growth parameters of beetroot (Beta vulgaris L.).</w:t>
      </w:r>
    </w:p>
    <w:p w14:paraId="192D6C6E" w14:textId="1925D5DC" w:rsidR="007853C3" w:rsidRDefault="005C5386" w:rsidP="007853C3">
      <w:pPr>
        <w:jc w:val="both"/>
        <w:rPr>
          <w:rFonts w:ascii="Times New Roman" w:hAnsi="Times New Roman" w:cs="Times New Roman"/>
          <w:szCs w:val="20"/>
        </w:rPr>
      </w:pPr>
      <w:r>
        <w:rPr>
          <w:noProof/>
        </w:rPr>
        <w:lastRenderedPageBreak/>
        <w:drawing>
          <wp:inline distT="0" distB="0" distL="0" distR="0" wp14:anchorId="5B8A0B59" wp14:editId="6CD482E2">
            <wp:extent cx="6350000" cy="3143250"/>
            <wp:effectExtent l="0" t="0" r="12700" b="0"/>
            <wp:docPr id="1137317060" name="Chart 1">
              <a:extLst xmlns:a="http://schemas.openxmlformats.org/drawingml/2006/main">
                <a:ext uri="{FF2B5EF4-FFF2-40B4-BE49-F238E27FC236}">
                  <a16:creationId xmlns:a16="http://schemas.microsoft.com/office/drawing/2014/main" id="{CBF6C337-6836-EDFC-672F-9CB4A9BD43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8B57E6" w14:textId="77777777" w:rsidR="007853C3" w:rsidRDefault="007853C3" w:rsidP="007853C3">
      <w:pPr>
        <w:jc w:val="both"/>
        <w:rPr>
          <w:rFonts w:ascii="Times New Roman" w:hAnsi="Times New Roman" w:cs="Times New Roman"/>
          <w:szCs w:val="20"/>
        </w:rPr>
      </w:pPr>
    </w:p>
    <w:p w14:paraId="00571D02" w14:textId="33151C87" w:rsidR="00E274DD" w:rsidRPr="00E274DD" w:rsidRDefault="005C5386" w:rsidP="00E274DD">
      <w:pPr>
        <w:jc w:val="both"/>
        <w:rPr>
          <w:rFonts w:ascii="Times New Roman" w:hAnsi="Times New Roman" w:cs="Times New Roman"/>
          <w:b/>
          <w:bCs/>
          <w:szCs w:val="20"/>
        </w:rPr>
      </w:pPr>
      <w:r>
        <w:rPr>
          <w:rFonts w:ascii="Times New Roman" w:hAnsi="Times New Roman" w:cs="Times New Roman"/>
          <w:b/>
          <w:bCs/>
          <w:szCs w:val="20"/>
        </w:rPr>
        <w:t>3.</w:t>
      </w:r>
      <w:r w:rsidR="00E274DD" w:rsidRPr="00E274DD">
        <w:rPr>
          <w:rFonts w:ascii="Times New Roman" w:hAnsi="Times New Roman" w:cs="Times New Roman"/>
          <w:b/>
          <w:bCs/>
          <w:szCs w:val="20"/>
        </w:rPr>
        <w:t>2</w:t>
      </w:r>
      <w:r w:rsidR="00E2343C">
        <w:rPr>
          <w:rFonts w:ascii="Times New Roman" w:hAnsi="Times New Roman" w:cs="Times New Roman"/>
          <w:b/>
          <w:bCs/>
          <w:szCs w:val="20"/>
        </w:rPr>
        <w:t xml:space="preserve">. </w:t>
      </w:r>
      <w:r w:rsidR="00E274DD" w:rsidRPr="00E274DD">
        <w:rPr>
          <w:rFonts w:ascii="Times New Roman" w:hAnsi="Times New Roman" w:cs="Times New Roman"/>
          <w:b/>
          <w:bCs/>
          <w:szCs w:val="20"/>
        </w:rPr>
        <w:t>Effect of Organic Manures and Biofertilizers on Yield Attributes and Quality of Beetroot</w:t>
      </w:r>
    </w:p>
    <w:p w14:paraId="29007DAA" w14:textId="343CA99F" w:rsidR="00E274DD" w:rsidRDefault="00E274DD"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 xml:space="preserve">Yield attributes and quality parameters of beetroot were significantly influenced by different organic manures and biofertilizer treatments (Tables </w:t>
      </w:r>
      <w:r w:rsidR="00926E14">
        <w:rPr>
          <w:rFonts w:ascii="Times New Roman" w:hAnsi="Times New Roman" w:cs="Times New Roman"/>
          <w:szCs w:val="20"/>
        </w:rPr>
        <w:t>2</w:t>
      </w:r>
      <w:r w:rsidRPr="00BB2CC9">
        <w:rPr>
          <w:rFonts w:ascii="Times New Roman" w:hAnsi="Times New Roman" w:cs="Times New Roman"/>
          <w:szCs w:val="20"/>
        </w:rPr>
        <w:t>). Among all treatments, the integrated application of vermicompost + PSB (T₁₁) consistently produced superior results, indicating a strong synergistic effect of organic nutrient supply and microbial activity.</w:t>
      </w:r>
    </w:p>
    <w:p w14:paraId="1A42DA1C" w14:textId="77777777" w:rsidR="005C5386" w:rsidRPr="00BB2CC9" w:rsidRDefault="005C5386" w:rsidP="005C5386">
      <w:pPr>
        <w:spacing w:after="0" w:line="276" w:lineRule="auto"/>
        <w:jc w:val="both"/>
        <w:rPr>
          <w:rFonts w:ascii="Times New Roman" w:hAnsi="Times New Roman" w:cs="Times New Roman"/>
          <w:szCs w:val="20"/>
        </w:rPr>
      </w:pPr>
    </w:p>
    <w:p w14:paraId="12E1B57C" w14:textId="7A7D211F" w:rsidR="00E274DD" w:rsidRPr="00E274DD" w:rsidRDefault="005C5386" w:rsidP="005C5386">
      <w:pPr>
        <w:spacing w:after="0" w:line="276" w:lineRule="auto"/>
        <w:jc w:val="both"/>
        <w:rPr>
          <w:rFonts w:ascii="Times New Roman" w:hAnsi="Times New Roman" w:cs="Times New Roman"/>
          <w:b/>
          <w:bCs/>
          <w:szCs w:val="20"/>
        </w:rPr>
      </w:pPr>
      <w:r>
        <w:rPr>
          <w:rFonts w:ascii="Times New Roman" w:hAnsi="Times New Roman" w:cs="Times New Roman"/>
          <w:b/>
          <w:bCs/>
          <w:szCs w:val="20"/>
        </w:rPr>
        <w:t xml:space="preserve">3.2.1. </w:t>
      </w:r>
      <w:r w:rsidR="00E274DD" w:rsidRPr="00E274DD">
        <w:rPr>
          <w:rFonts w:ascii="Times New Roman" w:hAnsi="Times New Roman" w:cs="Times New Roman"/>
          <w:b/>
          <w:bCs/>
          <w:szCs w:val="20"/>
        </w:rPr>
        <w:t>Yield attributes</w:t>
      </w:r>
    </w:p>
    <w:p w14:paraId="77FC05EC" w14:textId="77777777" w:rsidR="00E274DD" w:rsidRPr="00BB2CC9" w:rsidRDefault="00E274DD"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Root length, root diameter, root weight, root yield, and harvest index showed marked improvement under integrated organic treatments. The maximum root length (10.70 cm) and root diameter (6.41 cm) were recorded in T₁₁, which remained statistically at par with T₁₀, T₄, T₈, and T₇, while the control recorded the minimum values. Enhanced root dimensions under vermicompost-based treatments may be attributed to improved soil structure, higher microbial activity, and steady nutrient availability, leading to better cell expansion and assimilate partitioning.</w:t>
      </w:r>
    </w:p>
    <w:p w14:paraId="1A7C3190" w14:textId="77777777" w:rsidR="00E274DD" w:rsidRPr="00BB2CC9" w:rsidRDefault="00E274DD"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Root weight and yield followed a similar trend. The highest root weight (154.09 g plant⁻¹), yield per plot (7.08 kg), and root yield (17.49 t ha⁻¹) were obtained under T₁₁, followed by T₁₀ and T₄, whereas the control recorded the lowest yield. The increase in yield under integrated organic treatments may be due to improved nutrient uptake, enhanced photosynthate translocation, and higher harvest index. The highest harvest index (86.33%) under T₁₁ further confirms efficient conversion of biological yield into economic yield.</w:t>
      </w:r>
    </w:p>
    <w:p w14:paraId="29861A7C" w14:textId="77777777" w:rsidR="00E274DD" w:rsidRDefault="00E274DD" w:rsidP="005C5386">
      <w:pPr>
        <w:spacing w:after="0" w:line="276" w:lineRule="auto"/>
        <w:jc w:val="both"/>
        <w:rPr>
          <w:rFonts w:ascii="Times New Roman" w:hAnsi="Times New Roman" w:cs="Times New Roman"/>
          <w:szCs w:val="20"/>
        </w:rPr>
      </w:pPr>
      <w:r w:rsidRPr="00E274DD">
        <w:rPr>
          <w:rFonts w:ascii="Times New Roman" w:hAnsi="Times New Roman" w:cs="Times New Roman"/>
          <w:szCs w:val="20"/>
        </w:rPr>
        <w:t xml:space="preserve">These findings are in close agreement with recent studies reporting higher root yield and yield attributes in beetroot and other root vegetables under vermicompost and biofertilizer combinations, owing to improved nutrient use efficiency and </w:t>
      </w:r>
      <w:proofErr w:type="spellStart"/>
      <w:r w:rsidRPr="00E274DD">
        <w:rPr>
          <w:rFonts w:ascii="Times New Roman" w:hAnsi="Times New Roman" w:cs="Times New Roman"/>
          <w:szCs w:val="20"/>
        </w:rPr>
        <w:t>rhizospheric</w:t>
      </w:r>
      <w:proofErr w:type="spellEnd"/>
      <w:r w:rsidRPr="00E274DD">
        <w:rPr>
          <w:rFonts w:ascii="Times New Roman" w:hAnsi="Times New Roman" w:cs="Times New Roman"/>
          <w:szCs w:val="20"/>
        </w:rPr>
        <w:t xml:space="preserve"> activity (Singh </w:t>
      </w:r>
      <w:r w:rsidRPr="00C20ED7">
        <w:rPr>
          <w:rFonts w:ascii="Times New Roman" w:hAnsi="Times New Roman" w:cs="Times New Roman"/>
          <w:i/>
          <w:iCs/>
          <w:szCs w:val="20"/>
        </w:rPr>
        <w:t xml:space="preserve">et al., </w:t>
      </w:r>
      <w:r w:rsidRPr="00E274DD">
        <w:rPr>
          <w:rFonts w:ascii="Times New Roman" w:hAnsi="Times New Roman" w:cs="Times New Roman"/>
          <w:szCs w:val="20"/>
        </w:rPr>
        <w:t xml:space="preserve">2021; Kumar </w:t>
      </w:r>
      <w:r w:rsidRPr="00C20ED7">
        <w:rPr>
          <w:rFonts w:ascii="Times New Roman" w:hAnsi="Times New Roman" w:cs="Times New Roman"/>
          <w:i/>
          <w:iCs/>
          <w:szCs w:val="20"/>
        </w:rPr>
        <w:t xml:space="preserve">et al., </w:t>
      </w:r>
      <w:r w:rsidRPr="00E274DD">
        <w:rPr>
          <w:rFonts w:ascii="Times New Roman" w:hAnsi="Times New Roman" w:cs="Times New Roman"/>
          <w:szCs w:val="20"/>
        </w:rPr>
        <w:t xml:space="preserve">2022; Meena </w:t>
      </w:r>
      <w:r w:rsidRPr="00C20ED7">
        <w:rPr>
          <w:rFonts w:ascii="Times New Roman" w:hAnsi="Times New Roman" w:cs="Times New Roman"/>
          <w:i/>
          <w:iCs/>
          <w:szCs w:val="20"/>
        </w:rPr>
        <w:t xml:space="preserve">et al., </w:t>
      </w:r>
      <w:r w:rsidRPr="00E274DD">
        <w:rPr>
          <w:rFonts w:ascii="Times New Roman" w:hAnsi="Times New Roman" w:cs="Times New Roman"/>
          <w:szCs w:val="20"/>
        </w:rPr>
        <w:t>2023).</w:t>
      </w:r>
    </w:p>
    <w:p w14:paraId="14DAE8C5" w14:textId="77777777" w:rsidR="005C5386" w:rsidRPr="00E274DD" w:rsidRDefault="005C5386" w:rsidP="005C5386">
      <w:pPr>
        <w:spacing w:after="0" w:line="276" w:lineRule="auto"/>
        <w:jc w:val="both"/>
        <w:rPr>
          <w:rFonts w:ascii="Times New Roman" w:hAnsi="Times New Roman" w:cs="Times New Roman"/>
          <w:szCs w:val="20"/>
        </w:rPr>
      </w:pPr>
    </w:p>
    <w:p w14:paraId="18B2D13B" w14:textId="3B72B9F5" w:rsidR="00E274DD" w:rsidRPr="00E274DD" w:rsidRDefault="005C5386" w:rsidP="005C5386">
      <w:pPr>
        <w:spacing w:after="0" w:line="276" w:lineRule="auto"/>
        <w:jc w:val="both"/>
        <w:rPr>
          <w:rFonts w:ascii="Times New Roman" w:hAnsi="Times New Roman" w:cs="Times New Roman"/>
          <w:b/>
          <w:bCs/>
          <w:szCs w:val="20"/>
        </w:rPr>
      </w:pPr>
      <w:r>
        <w:rPr>
          <w:rFonts w:ascii="Times New Roman" w:hAnsi="Times New Roman" w:cs="Times New Roman"/>
          <w:b/>
          <w:bCs/>
          <w:szCs w:val="20"/>
        </w:rPr>
        <w:t xml:space="preserve">3.2.2. </w:t>
      </w:r>
      <w:r w:rsidR="00E274DD" w:rsidRPr="00E274DD">
        <w:rPr>
          <w:rFonts w:ascii="Times New Roman" w:hAnsi="Times New Roman" w:cs="Times New Roman"/>
          <w:b/>
          <w:bCs/>
          <w:szCs w:val="20"/>
        </w:rPr>
        <w:t>Quality parameters</w:t>
      </w:r>
    </w:p>
    <w:p w14:paraId="1F11712B" w14:textId="77777777" w:rsidR="00E274DD" w:rsidRPr="00E274DD" w:rsidRDefault="00E274DD"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Quality parameters, particularly total soluble solids (TSS), were significantly influenced by organic nutrient sources. The highest TSS (21.13 °Brix) was recorded under T₁₁, followed by T₁₀ and T₄, while the control showed the lowest TSS. Higher sugar accumulation under organic treatments may be attributed to balanced nutrient availability and enhanced carbohydrate synthesis. Moisture content showed non-significant variation among treatments, though numerically higher values were observed</w:t>
      </w:r>
      <w:r w:rsidRPr="00E274DD">
        <w:rPr>
          <w:rFonts w:ascii="Times New Roman" w:hAnsi="Times New Roman" w:cs="Times New Roman"/>
          <w:szCs w:val="20"/>
        </w:rPr>
        <w:t xml:space="preserve"> under integrated organic treatments.</w:t>
      </w:r>
    </w:p>
    <w:p w14:paraId="5F287DA7" w14:textId="3346EBD2" w:rsidR="00E274DD" w:rsidRDefault="00E274DD" w:rsidP="005C5386">
      <w:pPr>
        <w:spacing w:after="0" w:line="276" w:lineRule="auto"/>
        <w:jc w:val="both"/>
        <w:rPr>
          <w:rFonts w:ascii="Times New Roman" w:hAnsi="Times New Roman" w:cs="Times New Roman"/>
          <w:szCs w:val="20"/>
        </w:rPr>
      </w:pPr>
      <w:r w:rsidRPr="00E274DD">
        <w:rPr>
          <w:rFonts w:ascii="Times New Roman" w:hAnsi="Times New Roman" w:cs="Times New Roman"/>
          <w:szCs w:val="20"/>
        </w:rPr>
        <w:t xml:space="preserve">Similar improvements in TSS and quality attributes under organic nutrient management have been reported in beetroot and allied crops, emphasizing the role of vermicompost and biofertilizers in improving nutritional quality (Patel </w:t>
      </w:r>
      <w:r w:rsidRPr="00C20ED7">
        <w:rPr>
          <w:rFonts w:ascii="Times New Roman" w:hAnsi="Times New Roman" w:cs="Times New Roman"/>
          <w:i/>
          <w:iCs/>
          <w:szCs w:val="20"/>
        </w:rPr>
        <w:t xml:space="preserve">et al., </w:t>
      </w:r>
      <w:r w:rsidRPr="00E274DD">
        <w:rPr>
          <w:rFonts w:ascii="Times New Roman" w:hAnsi="Times New Roman" w:cs="Times New Roman"/>
          <w:szCs w:val="20"/>
        </w:rPr>
        <w:t xml:space="preserve">2020; Sharma &amp; Banik, 2021; Das </w:t>
      </w:r>
      <w:r w:rsidRPr="00C20ED7">
        <w:rPr>
          <w:rFonts w:ascii="Times New Roman" w:hAnsi="Times New Roman" w:cs="Times New Roman"/>
          <w:i/>
          <w:iCs/>
          <w:szCs w:val="20"/>
        </w:rPr>
        <w:t xml:space="preserve">et al., </w:t>
      </w:r>
      <w:r w:rsidRPr="00E274DD">
        <w:rPr>
          <w:rFonts w:ascii="Times New Roman" w:hAnsi="Times New Roman" w:cs="Times New Roman"/>
          <w:szCs w:val="20"/>
        </w:rPr>
        <w:t>2024).</w:t>
      </w:r>
      <w:r w:rsidR="00BB2CC9">
        <w:rPr>
          <w:rFonts w:ascii="Times New Roman" w:hAnsi="Times New Roman" w:cs="Times New Roman"/>
          <w:szCs w:val="20"/>
        </w:rPr>
        <w:t xml:space="preserve"> </w:t>
      </w:r>
      <w:r w:rsidRPr="00BB2CC9">
        <w:rPr>
          <w:rFonts w:ascii="Times New Roman" w:hAnsi="Times New Roman" w:cs="Times New Roman"/>
          <w:szCs w:val="20"/>
        </w:rPr>
        <w:t>Overall, the results clearly indicate that vermicompost combined with PSB (T₁₁) is the most effective treatment for improving yield attributes and quality of beetroot under organic and integrated nutrient management systems.</w:t>
      </w:r>
    </w:p>
    <w:p w14:paraId="3D92E883" w14:textId="77777777" w:rsidR="005C5386" w:rsidRDefault="005C5386" w:rsidP="005C5386">
      <w:pPr>
        <w:spacing w:after="0" w:line="276" w:lineRule="auto"/>
        <w:jc w:val="both"/>
        <w:rPr>
          <w:rFonts w:ascii="Times New Roman" w:hAnsi="Times New Roman" w:cs="Times New Roman"/>
          <w:szCs w:val="20"/>
        </w:rPr>
      </w:pPr>
    </w:p>
    <w:p w14:paraId="2E6FFD43" w14:textId="77777777" w:rsidR="005C5386" w:rsidRDefault="005C5386" w:rsidP="005C5386">
      <w:pPr>
        <w:spacing w:after="0" w:line="276" w:lineRule="auto"/>
        <w:jc w:val="both"/>
        <w:rPr>
          <w:rFonts w:ascii="Times New Roman" w:hAnsi="Times New Roman" w:cs="Times New Roman"/>
          <w:szCs w:val="20"/>
        </w:rPr>
      </w:pPr>
    </w:p>
    <w:p w14:paraId="00D50869" w14:textId="77777777" w:rsidR="005C5386" w:rsidRDefault="005C5386" w:rsidP="005C5386">
      <w:pPr>
        <w:spacing w:after="0" w:line="276" w:lineRule="auto"/>
        <w:jc w:val="both"/>
        <w:rPr>
          <w:rFonts w:ascii="Times New Roman" w:hAnsi="Times New Roman" w:cs="Times New Roman"/>
          <w:szCs w:val="20"/>
        </w:rPr>
      </w:pPr>
    </w:p>
    <w:p w14:paraId="7FB2379D" w14:textId="77777777" w:rsidR="00926E14" w:rsidRDefault="00926E14" w:rsidP="005C5386">
      <w:pPr>
        <w:spacing w:after="0" w:line="276" w:lineRule="auto"/>
        <w:jc w:val="both"/>
        <w:rPr>
          <w:rFonts w:ascii="Times New Roman" w:hAnsi="Times New Roman" w:cs="Times New Roman"/>
          <w:szCs w:val="20"/>
        </w:rPr>
      </w:pPr>
    </w:p>
    <w:p w14:paraId="43A7DBFE" w14:textId="77777777" w:rsidR="00926E14" w:rsidRDefault="00926E14" w:rsidP="005C5386">
      <w:pPr>
        <w:spacing w:after="0" w:line="276" w:lineRule="auto"/>
        <w:jc w:val="both"/>
        <w:rPr>
          <w:rFonts w:ascii="Times New Roman" w:hAnsi="Times New Roman" w:cs="Times New Roman"/>
          <w:szCs w:val="20"/>
        </w:rPr>
      </w:pPr>
    </w:p>
    <w:p w14:paraId="79A3F7C7" w14:textId="77777777" w:rsidR="00926E14" w:rsidRDefault="00926E14" w:rsidP="005C5386">
      <w:pPr>
        <w:spacing w:after="0" w:line="276" w:lineRule="auto"/>
        <w:jc w:val="both"/>
        <w:rPr>
          <w:rFonts w:ascii="Times New Roman" w:hAnsi="Times New Roman" w:cs="Times New Roman"/>
          <w:szCs w:val="20"/>
        </w:rPr>
      </w:pPr>
    </w:p>
    <w:p w14:paraId="297CBAB8" w14:textId="77777777" w:rsidR="00926E14" w:rsidRDefault="00926E14" w:rsidP="005C5386">
      <w:pPr>
        <w:spacing w:after="0" w:line="276" w:lineRule="auto"/>
        <w:jc w:val="both"/>
        <w:rPr>
          <w:rFonts w:ascii="Times New Roman" w:hAnsi="Times New Roman" w:cs="Times New Roman"/>
          <w:szCs w:val="20"/>
        </w:rPr>
      </w:pPr>
    </w:p>
    <w:p w14:paraId="45AA8D88" w14:textId="77777777" w:rsidR="00926E14" w:rsidRDefault="00926E14" w:rsidP="005C5386">
      <w:pPr>
        <w:spacing w:after="0" w:line="276" w:lineRule="auto"/>
        <w:jc w:val="both"/>
        <w:rPr>
          <w:rFonts w:ascii="Times New Roman" w:hAnsi="Times New Roman" w:cs="Times New Roman"/>
          <w:szCs w:val="20"/>
        </w:rPr>
      </w:pPr>
    </w:p>
    <w:p w14:paraId="1A977BF6" w14:textId="4C9BAED7" w:rsidR="00C66238" w:rsidRPr="005C5386" w:rsidRDefault="005C5386" w:rsidP="005C5386">
      <w:pPr>
        <w:spacing w:after="0" w:line="276" w:lineRule="auto"/>
        <w:jc w:val="both"/>
        <w:rPr>
          <w:rFonts w:ascii="Times New Roman" w:hAnsi="Times New Roman" w:cs="Times New Roman"/>
          <w:b/>
          <w:bCs/>
          <w:i/>
          <w:iCs/>
          <w:szCs w:val="20"/>
        </w:rPr>
      </w:pPr>
      <w:r w:rsidRPr="005C5386">
        <w:rPr>
          <w:rFonts w:ascii="Times New Roman" w:hAnsi="Times New Roman" w:cs="Times New Roman"/>
          <w:b/>
          <w:bCs/>
          <w:i/>
          <w:iCs/>
          <w:szCs w:val="20"/>
        </w:rPr>
        <w:t>Table 2. Effect of organic manures and biofertilizers on yield attributes and quality parameters of beetroot (Beta vulgaris L.).</w:t>
      </w:r>
    </w:p>
    <w:tbl>
      <w:tblPr>
        <w:tblW w:w="9962"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675"/>
        <w:gridCol w:w="1188"/>
        <w:gridCol w:w="1100"/>
        <w:gridCol w:w="895"/>
        <w:gridCol w:w="1227"/>
        <w:gridCol w:w="988"/>
        <w:gridCol w:w="889"/>
      </w:tblGrid>
      <w:tr w:rsidR="00E274DD" w:rsidRPr="00E274DD" w14:paraId="066A87AA" w14:textId="77777777" w:rsidTr="00E274DD">
        <w:trPr>
          <w:trHeight w:val="1110"/>
          <w:tblHeader/>
          <w:tblCellSpacing w:w="15" w:type="dxa"/>
        </w:trPr>
        <w:tc>
          <w:tcPr>
            <w:tcW w:w="3630" w:type="dxa"/>
            <w:tcBorders>
              <w:top w:val="single" w:sz="4" w:space="0" w:color="auto"/>
              <w:bottom w:val="single" w:sz="4" w:space="0" w:color="auto"/>
            </w:tcBorders>
            <w:vAlign w:val="center"/>
            <w:hideMark/>
          </w:tcPr>
          <w:p w14:paraId="03809C9A" w14:textId="77777777" w:rsidR="00E274DD" w:rsidRPr="00E274DD" w:rsidRDefault="00E274DD" w:rsidP="005C5386">
            <w:pPr>
              <w:spacing w:after="0" w:line="276" w:lineRule="auto"/>
              <w:jc w:val="center"/>
              <w:rPr>
                <w:rFonts w:ascii="Times New Roman" w:hAnsi="Times New Roman" w:cs="Times New Roman"/>
                <w:b/>
                <w:bCs/>
                <w:sz w:val="22"/>
                <w:szCs w:val="18"/>
              </w:rPr>
            </w:pPr>
            <w:r w:rsidRPr="00E274DD">
              <w:rPr>
                <w:rFonts w:ascii="Times New Roman" w:hAnsi="Times New Roman" w:cs="Times New Roman"/>
                <w:b/>
                <w:bCs/>
                <w:sz w:val="22"/>
                <w:szCs w:val="18"/>
              </w:rPr>
              <w:t>Treatment</w:t>
            </w:r>
          </w:p>
        </w:tc>
        <w:tc>
          <w:tcPr>
            <w:tcW w:w="1158" w:type="dxa"/>
            <w:tcBorders>
              <w:top w:val="single" w:sz="4" w:space="0" w:color="auto"/>
              <w:bottom w:val="single" w:sz="4" w:space="0" w:color="auto"/>
            </w:tcBorders>
            <w:vAlign w:val="center"/>
            <w:hideMark/>
          </w:tcPr>
          <w:p w14:paraId="78046F39" w14:textId="77777777" w:rsidR="00E274DD" w:rsidRPr="00E274DD" w:rsidRDefault="00E274DD" w:rsidP="005C5386">
            <w:pPr>
              <w:spacing w:after="0" w:line="276" w:lineRule="auto"/>
              <w:jc w:val="center"/>
              <w:rPr>
                <w:rFonts w:ascii="Times New Roman" w:hAnsi="Times New Roman" w:cs="Times New Roman"/>
                <w:b/>
                <w:bCs/>
                <w:sz w:val="22"/>
                <w:szCs w:val="18"/>
              </w:rPr>
            </w:pPr>
            <w:r w:rsidRPr="00E274DD">
              <w:rPr>
                <w:rFonts w:ascii="Times New Roman" w:hAnsi="Times New Roman" w:cs="Times New Roman"/>
                <w:b/>
                <w:bCs/>
                <w:sz w:val="22"/>
                <w:szCs w:val="18"/>
              </w:rPr>
              <w:t>Root length (cm)</w:t>
            </w:r>
          </w:p>
        </w:tc>
        <w:tc>
          <w:tcPr>
            <w:tcW w:w="1070" w:type="dxa"/>
            <w:tcBorders>
              <w:top w:val="single" w:sz="4" w:space="0" w:color="auto"/>
              <w:bottom w:val="single" w:sz="4" w:space="0" w:color="auto"/>
            </w:tcBorders>
            <w:vAlign w:val="center"/>
            <w:hideMark/>
          </w:tcPr>
          <w:p w14:paraId="5D2BCF26" w14:textId="77777777" w:rsidR="00E274DD" w:rsidRPr="00E274DD" w:rsidRDefault="00E274DD" w:rsidP="005C5386">
            <w:pPr>
              <w:spacing w:after="0" w:line="276" w:lineRule="auto"/>
              <w:jc w:val="center"/>
              <w:rPr>
                <w:rFonts w:ascii="Times New Roman" w:hAnsi="Times New Roman" w:cs="Times New Roman"/>
                <w:b/>
                <w:bCs/>
                <w:sz w:val="22"/>
                <w:szCs w:val="18"/>
              </w:rPr>
            </w:pPr>
            <w:r w:rsidRPr="00E274DD">
              <w:rPr>
                <w:rFonts w:ascii="Times New Roman" w:hAnsi="Times New Roman" w:cs="Times New Roman"/>
                <w:b/>
                <w:bCs/>
                <w:sz w:val="22"/>
                <w:szCs w:val="18"/>
              </w:rPr>
              <w:t>Root diameter (cm)</w:t>
            </w:r>
          </w:p>
        </w:tc>
        <w:tc>
          <w:tcPr>
            <w:tcW w:w="865" w:type="dxa"/>
            <w:tcBorders>
              <w:top w:val="single" w:sz="4" w:space="0" w:color="auto"/>
              <w:bottom w:val="single" w:sz="4" w:space="0" w:color="auto"/>
            </w:tcBorders>
            <w:vAlign w:val="center"/>
            <w:hideMark/>
          </w:tcPr>
          <w:p w14:paraId="74B6BEF1" w14:textId="77777777" w:rsidR="00E274DD" w:rsidRPr="00E274DD" w:rsidRDefault="00E274DD" w:rsidP="005C5386">
            <w:pPr>
              <w:spacing w:after="0" w:line="276" w:lineRule="auto"/>
              <w:jc w:val="center"/>
              <w:rPr>
                <w:rFonts w:ascii="Times New Roman" w:hAnsi="Times New Roman" w:cs="Times New Roman"/>
                <w:b/>
                <w:bCs/>
                <w:sz w:val="22"/>
                <w:szCs w:val="18"/>
              </w:rPr>
            </w:pPr>
            <w:r w:rsidRPr="00E274DD">
              <w:rPr>
                <w:rFonts w:ascii="Times New Roman" w:hAnsi="Times New Roman" w:cs="Times New Roman"/>
                <w:b/>
                <w:bCs/>
                <w:sz w:val="22"/>
                <w:szCs w:val="18"/>
              </w:rPr>
              <w:t>Root weight (g)</w:t>
            </w:r>
          </w:p>
        </w:tc>
        <w:tc>
          <w:tcPr>
            <w:tcW w:w="1197" w:type="dxa"/>
            <w:tcBorders>
              <w:top w:val="single" w:sz="4" w:space="0" w:color="auto"/>
              <w:bottom w:val="single" w:sz="4" w:space="0" w:color="auto"/>
            </w:tcBorders>
            <w:vAlign w:val="center"/>
            <w:hideMark/>
          </w:tcPr>
          <w:p w14:paraId="21C81119" w14:textId="77777777" w:rsidR="00E274DD" w:rsidRPr="00E274DD" w:rsidRDefault="00E274DD" w:rsidP="005C5386">
            <w:pPr>
              <w:spacing w:after="0" w:line="276" w:lineRule="auto"/>
              <w:jc w:val="center"/>
              <w:rPr>
                <w:rFonts w:ascii="Times New Roman" w:hAnsi="Times New Roman" w:cs="Times New Roman"/>
                <w:b/>
                <w:bCs/>
                <w:sz w:val="22"/>
                <w:szCs w:val="18"/>
              </w:rPr>
            </w:pPr>
            <w:r w:rsidRPr="00E274DD">
              <w:rPr>
                <w:rFonts w:ascii="Times New Roman" w:hAnsi="Times New Roman" w:cs="Times New Roman"/>
                <w:b/>
                <w:bCs/>
                <w:sz w:val="22"/>
                <w:szCs w:val="18"/>
              </w:rPr>
              <w:t>Root yield (t ha⁻¹)</w:t>
            </w:r>
          </w:p>
        </w:tc>
        <w:tc>
          <w:tcPr>
            <w:tcW w:w="958" w:type="dxa"/>
            <w:tcBorders>
              <w:top w:val="single" w:sz="4" w:space="0" w:color="auto"/>
              <w:bottom w:val="single" w:sz="4" w:space="0" w:color="auto"/>
            </w:tcBorders>
            <w:vAlign w:val="center"/>
            <w:hideMark/>
          </w:tcPr>
          <w:p w14:paraId="1344B524" w14:textId="77777777" w:rsidR="00E274DD" w:rsidRPr="00E274DD" w:rsidRDefault="00E274DD" w:rsidP="005C5386">
            <w:pPr>
              <w:spacing w:after="0" w:line="276" w:lineRule="auto"/>
              <w:jc w:val="center"/>
              <w:rPr>
                <w:rFonts w:ascii="Times New Roman" w:hAnsi="Times New Roman" w:cs="Times New Roman"/>
                <w:b/>
                <w:bCs/>
                <w:sz w:val="22"/>
                <w:szCs w:val="18"/>
              </w:rPr>
            </w:pPr>
            <w:r w:rsidRPr="00E274DD">
              <w:rPr>
                <w:rFonts w:ascii="Times New Roman" w:hAnsi="Times New Roman" w:cs="Times New Roman"/>
                <w:b/>
                <w:bCs/>
                <w:sz w:val="22"/>
                <w:szCs w:val="18"/>
              </w:rPr>
              <w:t>Harvest index (%)</w:t>
            </w:r>
          </w:p>
        </w:tc>
        <w:tc>
          <w:tcPr>
            <w:tcW w:w="844" w:type="dxa"/>
            <w:tcBorders>
              <w:top w:val="single" w:sz="4" w:space="0" w:color="auto"/>
              <w:bottom w:val="single" w:sz="4" w:space="0" w:color="auto"/>
            </w:tcBorders>
            <w:vAlign w:val="center"/>
            <w:hideMark/>
          </w:tcPr>
          <w:p w14:paraId="4DE5DD60" w14:textId="77777777" w:rsidR="00E274DD" w:rsidRPr="00E274DD" w:rsidRDefault="00E274DD" w:rsidP="005C5386">
            <w:pPr>
              <w:spacing w:after="0" w:line="276" w:lineRule="auto"/>
              <w:jc w:val="center"/>
              <w:rPr>
                <w:rFonts w:ascii="Times New Roman" w:hAnsi="Times New Roman" w:cs="Times New Roman"/>
                <w:b/>
                <w:bCs/>
                <w:sz w:val="22"/>
                <w:szCs w:val="18"/>
              </w:rPr>
            </w:pPr>
            <w:r w:rsidRPr="00E274DD">
              <w:rPr>
                <w:rFonts w:ascii="Times New Roman" w:hAnsi="Times New Roman" w:cs="Times New Roman"/>
                <w:b/>
                <w:bCs/>
                <w:sz w:val="22"/>
                <w:szCs w:val="18"/>
              </w:rPr>
              <w:t>TSS (°Brix)</w:t>
            </w:r>
          </w:p>
        </w:tc>
      </w:tr>
      <w:tr w:rsidR="00E274DD" w:rsidRPr="00E274DD" w14:paraId="76E99B41" w14:textId="77777777" w:rsidTr="00E274DD">
        <w:trPr>
          <w:trHeight w:val="356"/>
          <w:tblCellSpacing w:w="15" w:type="dxa"/>
        </w:trPr>
        <w:tc>
          <w:tcPr>
            <w:tcW w:w="3630" w:type="dxa"/>
            <w:vAlign w:val="center"/>
            <w:hideMark/>
          </w:tcPr>
          <w:p w14:paraId="3FE34BCA"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T₁ Control</w:t>
            </w:r>
          </w:p>
        </w:tc>
        <w:tc>
          <w:tcPr>
            <w:tcW w:w="1158" w:type="dxa"/>
            <w:vAlign w:val="center"/>
            <w:hideMark/>
          </w:tcPr>
          <w:p w14:paraId="0DDF65B8"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7.07</w:t>
            </w:r>
          </w:p>
        </w:tc>
        <w:tc>
          <w:tcPr>
            <w:tcW w:w="1070" w:type="dxa"/>
            <w:vAlign w:val="center"/>
            <w:hideMark/>
          </w:tcPr>
          <w:p w14:paraId="4E4DF572"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4.68</w:t>
            </w:r>
          </w:p>
        </w:tc>
        <w:tc>
          <w:tcPr>
            <w:tcW w:w="865" w:type="dxa"/>
            <w:vAlign w:val="center"/>
            <w:hideMark/>
          </w:tcPr>
          <w:p w14:paraId="1FCDF9B2"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97.05</w:t>
            </w:r>
          </w:p>
        </w:tc>
        <w:tc>
          <w:tcPr>
            <w:tcW w:w="1197" w:type="dxa"/>
            <w:vAlign w:val="center"/>
            <w:hideMark/>
          </w:tcPr>
          <w:p w14:paraId="3BF0EEFE"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2.87</w:t>
            </w:r>
          </w:p>
        </w:tc>
        <w:tc>
          <w:tcPr>
            <w:tcW w:w="958" w:type="dxa"/>
            <w:vAlign w:val="center"/>
            <w:hideMark/>
          </w:tcPr>
          <w:p w14:paraId="250D4B22"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66.00</w:t>
            </w:r>
          </w:p>
        </w:tc>
        <w:tc>
          <w:tcPr>
            <w:tcW w:w="844" w:type="dxa"/>
            <w:vAlign w:val="center"/>
            <w:hideMark/>
          </w:tcPr>
          <w:p w14:paraId="0A082E6C"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9.73</w:t>
            </w:r>
          </w:p>
        </w:tc>
      </w:tr>
      <w:tr w:rsidR="00E274DD" w:rsidRPr="00E274DD" w14:paraId="7C68C752" w14:textId="77777777" w:rsidTr="00E274DD">
        <w:trPr>
          <w:trHeight w:val="248"/>
          <w:tblCellSpacing w:w="15" w:type="dxa"/>
        </w:trPr>
        <w:tc>
          <w:tcPr>
            <w:tcW w:w="3630" w:type="dxa"/>
            <w:vAlign w:val="center"/>
            <w:hideMark/>
          </w:tcPr>
          <w:p w14:paraId="7AF60B64"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T₂ RDF</w:t>
            </w:r>
          </w:p>
        </w:tc>
        <w:tc>
          <w:tcPr>
            <w:tcW w:w="1158" w:type="dxa"/>
            <w:vAlign w:val="center"/>
            <w:hideMark/>
          </w:tcPr>
          <w:p w14:paraId="4C1FE20E"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9.58</w:t>
            </w:r>
          </w:p>
        </w:tc>
        <w:tc>
          <w:tcPr>
            <w:tcW w:w="1070" w:type="dxa"/>
            <w:vAlign w:val="center"/>
            <w:hideMark/>
          </w:tcPr>
          <w:p w14:paraId="7E300E1F"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5.68</w:t>
            </w:r>
          </w:p>
        </w:tc>
        <w:tc>
          <w:tcPr>
            <w:tcW w:w="865" w:type="dxa"/>
            <w:vAlign w:val="center"/>
            <w:hideMark/>
          </w:tcPr>
          <w:p w14:paraId="149AAFB4"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127.03</w:t>
            </w:r>
          </w:p>
        </w:tc>
        <w:tc>
          <w:tcPr>
            <w:tcW w:w="1197" w:type="dxa"/>
            <w:vAlign w:val="center"/>
            <w:hideMark/>
          </w:tcPr>
          <w:p w14:paraId="0D534A5C"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4.45</w:t>
            </w:r>
          </w:p>
        </w:tc>
        <w:tc>
          <w:tcPr>
            <w:tcW w:w="958" w:type="dxa"/>
            <w:vAlign w:val="center"/>
            <w:hideMark/>
          </w:tcPr>
          <w:p w14:paraId="4F586737"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76.44</w:t>
            </w:r>
          </w:p>
        </w:tc>
        <w:tc>
          <w:tcPr>
            <w:tcW w:w="844" w:type="dxa"/>
            <w:vAlign w:val="center"/>
            <w:hideMark/>
          </w:tcPr>
          <w:p w14:paraId="0D7C80E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17.09</w:t>
            </w:r>
          </w:p>
        </w:tc>
      </w:tr>
      <w:tr w:rsidR="00E274DD" w:rsidRPr="00E274DD" w14:paraId="45559D2F" w14:textId="77777777" w:rsidTr="00E274DD">
        <w:trPr>
          <w:trHeight w:val="480"/>
          <w:tblCellSpacing w:w="15" w:type="dxa"/>
        </w:trPr>
        <w:tc>
          <w:tcPr>
            <w:tcW w:w="3630" w:type="dxa"/>
            <w:vAlign w:val="center"/>
            <w:hideMark/>
          </w:tcPr>
          <w:p w14:paraId="5AB38C99"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T₃ FYM 20 t/ha</w:t>
            </w:r>
          </w:p>
        </w:tc>
        <w:tc>
          <w:tcPr>
            <w:tcW w:w="1158" w:type="dxa"/>
            <w:vAlign w:val="center"/>
            <w:hideMark/>
          </w:tcPr>
          <w:p w14:paraId="3525B481"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7.30</w:t>
            </w:r>
          </w:p>
        </w:tc>
        <w:tc>
          <w:tcPr>
            <w:tcW w:w="1070" w:type="dxa"/>
            <w:vAlign w:val="center"/>
            <w:hideMark/>
          </w:tcPr>
          <w:p w14:paraId="028A9A6D"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5.16</w:t>
            </w:r>
          </w:p>
        </w:tc>
        <w:tc>
          <w:tcPr>
            <w:tcW w:w="865" w:type="dxa"/>
            <w:vAlign w:val="center"/>
            <w:hideMark/>
          </w:tcPr>
          <w:p w14:paraId="1A52E7BF"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119.78</w:t>
            </w:r>
          </w:p>
        </w:tc>
        <w:tc>
          <w:tcPr>
            <w:tcW w:w="1197" w:type="dxa"/>
            <w:vAlign w:val="center"/>
            <w:hideMark/>
          </w:tcPr>
          <w:p w14:paraId="79913AF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4.21</w:t>
            </w:r>
          </w:p>
        </w:tc>
        <w:tc>
          <w:tcPr>
            <w:tcW w:w="958" w:type="dxa"/>
            <w:vAlign w:val="center"/>
            <w:hideMark/>
          </w:tcPr>
          <w:p w14:paraId="538F1501"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74.33</w:t>
            </w:r>
          </w:p>
        </w:tc>
        <w:tc>
          <w:tcPr>
            <w:tcW w:w="844" w:type="dxa"/>
            <w:vAlign w:val="center"/>
            <w:hideMark/>
          </w:tcPr>
          <w:p w14:paraId="33259F1B"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15.04</w:t>
            </w:r>
          </w:p>
        </w:tc>
      </w:tr>
      <w:tr w:rsidR="00E274DD" w:rsidRPr="00E274DD" w14:paraId="367DD900" w14:textId="77777777" w:rsidTr="00E274DD">
        <w:trPr>
          <w:trHeight w:val="480"/>
          <w:tblCellSpacing w:w="15" w:type="dxa"/>
        </w:trPr>
        <w:tc>
          <w:tcPr>
            <w:tcW w:w="3630" w:type="dxa"/>
            <w:vAlign w:val="center"/>
            <w:hideMark/>
          </w:tcPr>
          <w:p w14:paraId="007BEDC5"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T₄ Vermicompost 5 t/ha</w:t>
            </w:r>
          </w:p>
        </w:tc>
        <w:tc>
          <w:tcPr>
            <w:tcW w:w="1158" w:type="dxa"/>
            <w:vAlign w:val="center"/>
            <w:hideMark/>
          </w:tcPr>
          <w:p w14:paraId="2D5D3BF1"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10.44</w:t>
            </w:r>
          </w:p>
        </w:tc>
        <w:tc>
          <w:tcPr>
            <w:tcW w:w="1070" w:type="dxa"/>
            <w:vAlign w:val="center"/>
            <w:hideMark/>
          </w:tcPr>
          <w:p w14:paraId="6CD147D1"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6.20</w:t>
            </w:r>
          </w:p>
        </w:tc>
        <w:tc>
          <w:tcPr>
            <w:tcW w:w="865" w:type="dxa"/>
            <w:vAlign w:val="center"/>
            <w:hideMark/>
          </w:tcPr>
          <w:p w14:paraId="33BD1C44"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141.82</w:t>
            </w:r>
          </w:p>
        </w:tc>
        <w:tc>
          <w:tcPr>
            <w:tcW w:w="1197" w:type="dxa"/>
            <w:vAlign w:val="center"/>
            <w:hideMark/>
          </w:tcPr>
          <w:p w14:paraId="78F23E2F"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13.17</w:t>
            </w:r>
          </w:p>
        </w:tc>
        <w:tc>
          <w:tcPr>
            <w:tcW w:w="958" w:type="dxa"/>
            <w:vAlign w:val="center"/>
            <w:hideMark/>
          </w:tcPr>
          <w:p w14:paraId="004876FB"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83.00</w:t>
            </w:r>
          </w:p>
        </w:tc>
        <w:tc>
          <w:tcPr>
            <w:tcW w:w="844" w:type="dxa"/>
            <w:vAlign w:val="center"/>
            <w:hideMark/>
          </w:tcPr>
          <w:p w14:paraId="77092FDB"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18.30</w:t>
            </w:r>
          </w:p>
        </w:tc>
      </w:tr>
      <w:tr w:rsidR="00E274DD" w:rsidRPr="00E274DD" w14:paraId="4EFD9930" w14:textId="77777777" w:rsidTr="00E274DD">
        <w:trPr>
          <w:trHeight w:val="480"/>
          <w:tblCellSpacing w:w="15" w:type="dxa"/>
        </w:trPr>
        <w:tc>
          <w:tcPr>
            <w:tcW w:w="3630" w:type="dxa"/>
            <w:vAlign w:val="center"/>
            <w:hideMark/>
          </w:tcPr>
          <w:p w14:paraId="14FAA134"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T₅ Neem cake 80 kg/ha</w:t>
            </w:r>
          </w:p>
        </w:tc>
        <w:tc>
          <w:tcPr>
            <w:tcW w:w="1158" w:type="dxa"/>
            <w:vAlign w:val="center"/>
            <w:hideMark/>
          </w:tcPr>
          <w:p w14:paraId="6E07175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9.78</w:t>
            </w:r>
          </w:p>
        </w:tc>
        <w:tc>
          <w:tcPr>
            <w:tcW w:w="1070" w:type="dxa"/>
            <w:vAlign w:val="center"/>
            <w:hideMark/>
          </w:tcPr>
          <w:p w14:paraId="21164695"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5.79</w:t>
            </w:r>
          </w:p>
        </w:tc>
        <w:tc>
          <w:tcPr>
            <w:tcW w:w="865" w:type="dxa"/>
            <w:vAlign w:val="center"/>
            <w:hideMark/>
          </w:tcPr>
          <w:p w14:paraId="6E9E98F8"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132.02</w:t>
            </w:r>
          </w:p>
        </w:tc>
        <w:tc>
          <w:tcPr>
            <w:tcW w:w="1197" w:type="dxa"/>
            <w:vAlign w:val="center"/>
            <w:hideMark/>
          </w:tcPr>
          <w:p w14:paraId="555F4FF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4.64</w:t>
            </w:r>
          </w:p>
        </w:tc>
        <w:tc>
          <w:tcPr>
            <w:tcW w:w="958" w:type="dxa"/>
            <w:vAlign w:val="center"/>
            <w:hideMark/>
          </w:tcPr>
          <w:p w14:paraId="448A8F1E"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79.21</w:t>
            </w:r>
          </w:p>
        </w:tc>
        <w:tc>
          <w:tcPr>
            <w:tcW w:w="844" w:type="dxa"/>
            <w:vAlign w:val="center"/>
            <w:hideMark/>
          </w:tcPr>
          <w:p w14:paraId="12A13F14"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15.08</w:t>
            </w:r>
          </w:p>
        </w:tc>
      </w:tr>
      <w:tr w:rsidR="00E274DD" w:rsidRPr="00E274DD" w14:paraId="4C03CE86" w14:textId="77777777" w:rsidTr="00E274DD">
        <w:trPr>
          <w:trHeight w:val="480"/>
          <w:tblCellSpacing w:w="15" w:type="dxa"/>
        </w:trPr>
        <w:tc>
          <w:tcPr>
            <w:tcW w:w="3630" w:type="dxa"/>
            <w:vAlign w:val="center"/>
            <w:hideMark/>
          </w:tcPr>
          <w:p w14:paraId="71EAA5BE"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T₆ PSB</w:t>
            </w:r>
          </w:p>
        </w:tc>
        <w:tc>
          <w:tcPr>
            <w:tcW w:w="1158" w:type="dxa"/>
            <w:vAlign w:val="center"/>
            <w:hideMark/>
          </w:tcPr>
          <w:p w14:paraId="51E56C06"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7.53</w:t>
            </w:r>
          </w:p>
        </w:tc>
        <w:tc>
          <w:tcPr>
            <w:tcW w:w="1070" w:type="dxa"/>
            <w:vAlign w:val="center"/>
            <w:hideMark/>
          </w:tcPr>
          <w:p w14:paraId="696E01B6"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5.11</w:t>
            </w:r>
          </w:p>
        </w:tc>
        <w:tc>
          <w:tcPr>
            <w:tcW w:w="865" w:type="dxa"/>
            <w:vAlign w:val="center"/>
            <w:hideMark/>
          </w:tcPr>
          <w:p w14:paraId="3C4493A9"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106.71</w:t>
            </w:r>
          </w:p>
        </w:tc>
        <w:tc>
          <w:tcPr>
            <w:tcW w:w="1197" w:type="dxa"/>
            <w:vAlign w:val="center"/>
            <w:hideMark/>
          </w:tcPr>
          <w:p w14:paraId="2DE18D7E"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10.26</w:t>
            </w:r>
          </w:p>
        </w:tc>
        <w:tc>
          <w:tcPr>
            <w:tcW w:w="958" w:type="dxa"/>
            <w:vAlign w:val="center"/>
            <w:hideMark/>
          </w:tcPr>
          <w:p w14:paraId="40FDDF1C"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72.00</w:t>
            </w:r>
          </w:p>
        </w:tc>
        <w:tc>
          <w:tcPr>
            <w:tcW w:w="844" w:type="dxa"/>
            <w:vAlign w:val="center"/>
            <w:hideMark/>
          </w:tcPr>
          <w:p w14:paraId="666501D2"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13.53</w:t>
            </w:r>
          </w:p>
        </w:tc>
      </w:tr>
      <w:tr w:rsidR="00E274DD" w:rsidRPr="00E274DD" w14:paraId="203D7DE0" w14:textId="77777777" w:rsidTr="00E274DD">
        <w:trPr>
          <w:trHeight w:val="480"/>
          <w:tblCellSpacing w:w="15" w:type="dxa"/>
        </w:trPr>
        <w:tc>
          <w:tcPr>
            <w:tcW w:w="3630" w:type="dxa"/>
            <w:vAlign w:val="center"/>
            <w:hideMark/>
          </w:tcPr>
          <w:p w14:paraId="4916C079"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T₇ FYM + VC</w:t>
            </w:r>
          </w:p>
        </w:tc>
        <w:tc>
          <w:tcPr>
            <w:tcW w:w="1158" w:type="dxa"/>
            <w:vAlign w:val="center"/>
            <w:hideMark/>
          </w:tcPr>
          <w:p w14:paraId="08E2BAFA"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10.20</w:t>
            </w:r>
          </w:p>
        </w:tc>
        <w:tc>
          <w:tcPr>
            <w:tcW w:w="1070" w:type="dxa"/>
            <w:vAlign w:val="center"/>
            <w:hideMark/>
          </w:tcPr>
          <w:p w14:paraId="7D2BB433"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5.98</w:t>
            </w:r>
          </w:p>
        </w:tc>
        <w:tc>
          <w:tcPr>
            <w:tcW w:w="865" w:type="dxa"/>
            <w:vAlign w:val="center"/>
            <w:hideMark/>
          </w:tcPr>
          <w:p w14:paraId="10AD0F4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135.46</w:t>
            </w:r>
          </w:p>
        </w:tc>
        <w:tc>
          <w:tcPr>
            <w:tcW w:w="1197" w:type="dxa"/>
            <w:vAlign w:val="center"/>
            <w:hideMark/>
          </w:tcPr>
          <w:p w14:paraId="5A2ED481"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12.02</w:t>
            </w:r>
          </w:p>
        </w:tc>
        <w:tc>
          <w:tcPr>
            <w:tcW w:w="958" w:type="dxa"/>
            <w:vAlign w:val="center"/>
            <w:hideMark/>
          </w:tcPr>
          <w:p w14:paraId="519B32ED"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81.00</w:t>
            </w:r>
          </w:p>
        </w:tc>
        <w:tc>
          <w:tcPr>
            <w:tcW w:w="844" w:type="dxa"/>
            <w:vAlign w:val="center"/>
            <w:hideMark/>
          </w:tcPr>
          <w:p w14:paraId="49FD94AD"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16.52</w:t>
            </w:r>
          </w:p>
        </w:tc>
      </w:tr>
      <w:tr w:rsidR="00E274DD" w:rsidRPr="00E274DD" w14:paraId="61F8ED63" w14:textId="77777777" w:rsidTr="00E274DD">
        <w:trPr>
          <w:trHeight w:val="480"/>
          <w:tblCellSpacing w:w="15" w:type="dxa"/>
        </w:trPr>
        <w:tc>
          <w:tcPr>
            <w:tcW w:w="3630" w:type="dxa"/>
            <w:vAlign w:val="center"/>
            <w:hideMark/>
          </w:tcPr>
          <w:p w14:paraId="7212C9B9"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T₈ FYM + Neem cake</w:t>
            </w:r>
          </w:p>
        </w:tc>
        <w:tc>
          <w:tcPr>
            <w:tcW w:w="1158" w:type="dxa"/>
            <w:vAlign w:val="center"/>
            <w:hideMark/>
          </w:tcPr>
          <w:p w14:paraId="55D1A5C2"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10.26</w:t>
            </w:r>
          </w:p>
        </w:tc>
        <w:tc>
          <w:tcPr>
            <w:tcW w:w="1070" w:type="dxa"/>
            <w:vAlign w:val="center"/>
            <w:hideMark/>
          </w:tcPr>
          <w:p w14:paraId="66D0DE83"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6.11</w:t>
            </w:r>
          </w:p>
        </w:tc>
        <w:tc>
          <w:tcPr>
            <w:tcW w:w="865" w:type="dxa"/>
            <w:vAlign w:val="center"/>
            <w:hideMark/>
          </w:tcPr>
          <w:p w14:paraId="75F53C07"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140.11</w:t>
            </w:r>
          </w:p>
        </w:tc>
        <w:tc>
          <w:tcPr>
            <w:tcW w:w="1197" w:type="dxa"/>
            <w:vAlign w:val="center"/>
            <w:hideMark/>
          </w:tcPr>
          <w:p w14:paraId="5C0CBCB9"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13.17</w:t>
            </w:r>
          </w:p>
        </w:tc>
        <w:tc>
          <w:tcPr>
            <w:tcW w:w="958" w:type="dxa"/>
            <w:vAlign w:val="center"/>
            <w:hideMark/>
          </w:tcPr>
          <w:p w14:paraId="6FB0D98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82.00</w:t>
            </w:r>
          </w:p>
        </w:tc>
        <w:tc>
          <w:tcPr>
            <w:tcW w:w="844" w:type="dxa"/>
            <w:vAlign w:val="center"/>
            <w:hideMark/>
          </w:tcPr>
          <w:p w14:paraId="6E94EA99"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17.02</w:t>
            </w:r>
          </w:p>
        </w:tc>
      </w:tr>
      <w:tr w:rsidR="00E274DD" w:rsidRPr="00E274DD" w14:paraId="093F1D3B" w14:textId="77777777" w:rsidTr="00E274DD">
        <w:trPr>
          <w:trHeight w:val="480"/>
          <w:tblCellSpacing w:w="15" w:type="dxa"/>
        </w:trPr>
        <w:tc>
          <w:tcPr>
            <w:tcW w:w="3630" w:type="dxa"/>
            <w:vAlign w:val="center"/>
            <w:hideMark/>
          </w:tcPr>
          <w:p w14:paraId="25B7C7E8"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T₉ FYM + PSB</w:t>
            </w:r>
          </w:p>
        </w:tc>
        <w:tc>
          <w:tcPr>
            <w:tcW w:w="1158" w:type="dxa"/>
            <w:vAlign w:val="center"/>
            <w:hideMark/>
          </w:tcPr>
          <w:p w14:paraId="167CDA1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9.19</w:t>
            </w:r>
          </w:p>
        </w:tc>
        <w:tc>
          <w:tcPr>
            <w:tcW w:w="1070" w:type="dxa"/>
            <w:vAlign w:val="center"/>
            <w:hideMark/>
          </w:tcPr>
          <w:p w14:paraId="4EC655ED"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5.71</w:t>
            </w:r>
          </w:p>
        </w:tc>
        <w:tc>
          <w:tcPr>
            <w:tcW w:w="865" w:type="dxa"/>
            <w:vAlign w:val="center"/>
            <w:hideMark/>
          </w:tcPr>
          <w:p w14:paraId="29DB5531"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125.46</w:t>
            </w:r>
          </w:p>
        </w:tc>
        <w:tc>
          <w:tcPr>
            <w:tcW w:w="1197" w:type="dxa"/>
            <w:vAlign w:val="center"/>
            <w:hideMark/>
          </w:tcPr>
          <w:p w14:paraId="5E600873"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4.38</w:t>
            </w:r>
          </w:p>
        </w:tc>
        <w:tc>
          <w:tcPr>
            <w:tcW w:w="958" w:type="dxa"/>
            <w:vAlign w:val="center"/>
            <w:hideMark/>
          </w:tcPr>
          <w:p w14:paraId="253100D7"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75.00</w:t>
            </w:r>
          </w:p>
        </w:tc>
        <w:tc>
          <w:tcPr>
            <w:tcW w:w="844" w:type="dxa"/>
            <w:vAlign w:val="center"/>
            <w:hideMark/>
          </w:tcPr>
          <w:p w14:paraId="63FA0282"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16.01</w:t>
            </w:r>
          </w:p>
        </w:tc>
      </w:tr>
      <w:tr w:rsidR="00E274DD" w:rsidRPr="00E274DD" w14:paraId="2A2EA7CC" w14:textId="77777777" w:rsidTr="00E274DD">
        <w:trPr>
          <w:trHeight w:val="480"/>
          <w:tblCellSpacing w:w="15" w:type="dxa"/>
        </w:trPr>
        <w:tc>
          <w:tcPr>
            <w:tcW w:w="3630" w:type="dxa"/>
            <w:vAlign w:val="center"/>
            <w:hideMark/>
          </w:tcPr>
          <w:p w14:paraId="55511867"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T₁₀ VC + Neem cake</w:t>
            </w:r>
          </w:p>
        </w:tc>
        <w:tc>
          <w:tcPr>
            <w:tcW w:w="1158" w:type="dxa"/>
            <w:vAlign w:val="center"/>
            <w:hideMark/>
          </w:tcPr>
          <w:p w14:paraId="23221B8F"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10.49</w:t>
            </w:r>
          </w:p>
        </w:tc>
        <w:tc>
          <w:tcPr>
            <w:tcW w:w="1070" w:type="dxa"/>
            <w:vAlign w:val="center"/>
            <w:hideMark/>
          </w:tcPr>
          <w:p w14:paraId="6E880541"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6.31</w:t>
            </w:r>
          </w:p>
        </w:tc>
        <w:tc>
          <w:tcPr>
            <w:tcW w:w="865" w:type="dxa"/>
            <w:vAlign w:val="center"/>
            <w:hideMark/>
          </w:tcPr>
          <w:p w14:paraId="733E735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151.07</w:t>
            </w:r>
          </w:p>
        </w:tc>
        <w:tc>
          <w:tcPr>
            <w:tcW w:w="1197" w:type="dxa"/>
            <w:vAlign w:val="center"/>
            <w:hideMark/>
          </w:tcPr>
          <w:p w14:paraId="3DDAC91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15.61</w:t>
            </w:r>
          </w:p>
        </w:tc>
        <w:tc>
          <w:tcPr>
            <w:tcW w:w="958" w:type="dxa"/>
            <w:vAlign w:val="center"/>
            <w:hideMark/>
          </w:tcPr>
          <w:p w14:paraId="0D602E2D"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85.00</w:t>
            </w:r>
          </w:p>
        </w:tc>
        <w:tc>
          <w:tcPr>
            <w:tcW w:w="844" w:type="dxa"/>
            <w:vAlign w:val="center"/>
            <w:hideMark/>
          </w:tcPr>
          <w:p w14:paraId="3DD83323"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20.00</w:t>
            </w:r>
          </w:p>
        </w:tc>
      </w:tr>
      <w:tr w:rsidR="00E274DD" w:rsidRPr="00E274DD" w14:paraId="6E45AA7D" w14:textId="77777777" w:rsidTr="00E274DD">
        <w:trPr>
          <w:trHeight w:val="480"/>
          <w:tblCellSpacing w:w="15" w:type="dxa"/>
        </w:trPr>
        <w:tc>
          <w:tcPr>
            <w:tcW w:w="3630" w:type="dxa"/>
            <w:vAlign w:val="center"/>
            <w:hideMark/>
          </w:tcPr>
          <w:p w14:paraId="5AE80E08"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b/>
                <w:bCs/>
                <w:sz w:val="20"/>
                <w:szCs w:val="16"/>
              </w:rPr>
              <w:lastRenderedPageBreak/>
              <w:t>T₁₁ VC + PSB</w:t>
            </w:r>
          </w:p>
        </w:tc>
        <w:tc>
          <w:tcPr>
            <w:tcW w:w="1158" w:type="dxa"/>
            <w:vAlign w:val="center"/>
            <w:hideMark/>
          </w:tcPr>
          <w:p w14:paraId="136F2958"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b/>
                <w:bCs/>
                <w:sz w:val="20"/>
                <w:szCs w:val="16"/>
              </w:rPr>
              <w:t>10.70</w:t>
            </w:r>
          </w:p>
        </w:tc>
        <w:tc>
          <w:tcPr>
            <w:tcW w:w="1070" w:type="dxa"/>
            <w:vAlign w:val="center"/>
            <w:hideMark/>
          </w:tcPr>
          <w:p w14:paraId="2A91BFAE"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b/>
                <w:bCs/>
                <w:sz w:val="20"/>
                <w:szCs w:val="16"/>
              </w:rPr>
              <w:t>6.41</w:t>
            </w:r>
          </w:p>
        </w:tc>
        <w:tc>
          <w:tcPr>
            <w:tcW w:w="865" w:type="dxa"/>
            <w:vAlign w:val="center"/>
            <w:hideMark/>
          </w:tcPr>
          <w:p w14:paraId="34733E38"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b/>
                <w:bCs/>
                <w:sz w:val="20"/>
                <w:szCs w:val="16"/>
              </w:rPr>
              <w:t>154.09</w:t>
            </w:r>
          </w:p>
        </w:tc>
        <w:tc>
          <w:tcPr>
            <w:tcW w:w="1197" w:type="dxa"/>
            <w:vAlign w:val="center"/>
            <w:hideMark/>
          </w:tcPr>
          <w:p w14:paraId="4426B32D"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b/>
                <w:bCs/>
                <w:sz w:val="20"/>
                <w:szCs w:val="16"/>
              </w:rPr>
              <w:t>17.49</w:t>
            </w:r>
          </w:p>
        </w:tc>
        <w:tc>
          <w:tcPr>
            <w:tcW w:w="958" w:type="dxa"/>
            <w:vAlign w:val="center"/>
            <w:hideMark/>
          </w:tcPr>
          <w:p w14:paraId="1BB48E1B"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b/>
                <w:bCs/>
                <w:sz w:val="20"/>
                <w:szCs w:val="16"/>
              </w:rPr>
              <w:t>86.33</w:t>
            </w:r>
          </w:p>
        </w:tc>
        <w:tc>
          <w:tcPr>
            <w:tcW w:w="844" w:type="dxa"/>
            <w:vAlign w:val="center"/>
            <w:hideMark/>
          </w:tcPr>
          <w:p w14:paraId="78BC6398"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b/>
                <w:bCs/>
                <w:sz w:val="20"/>
                <w:szCs w:val="16"/>
              </w:rPr>
              <w:t>21.13</w:t>
            </w:r>
          </w:p>
        </w:tc>
      </w:tr>
    </w:tbl>
    <w:p w14:paraId="5360E5C4" w14:textId="77777777" w:rsidR="00E274DD" w:rsidRPr="00E274DD" w:rsidRDefault="00E274DD" w:rsidP="005C5386">
      <w:pPr>
        <w:spacing w:after="0" w:line="276" w:lineRule="auto"/>
        <w:jc w:val="both"/>
        <w:rPr>
          <w:rFonts w:ascii="Times New Roman" w:hAnsi="Times New Roman" w:cs="Times New Roman"/>
          <w:szCs w:val="20"/>
        </w:rPr>
      </w:pPr>
    </w:p>
    <w:p w14:paraId="417E27A0" w14:textId="5FF26E68" w:rsidR="007853C3" w:rsidRDefault="00E2343C" w:rsidP="005C5386">
      <w:pPr>
        <w:spacing w:after="0" w:line="276" w:lineRule="auto"/>
        <w:jc w:val="both"/>
        <w:rPr>
          <w:rFonts w:ascii="Times New Roman" w:hAnsi="Times New Roman" w:cs="Times New Roman"/>
          <w:szCs w:val="20"/>
        </w:rPr>
      </w:pPr>
      <w:r>
        <w:rPr>
          <w:noProof/>
        </w:rPr>
        <w:drawing>
          <wp:inline distT="0" distB="0" distL="0" distR="0" wp14:anchorId="72826F35" wp14:editId="697A6305">
            <wp:extent cx="6394450" cy="3333750"/>
            <wp:effectExtent l="0" t="0" r="6350" b="0"/>
            <wp:docPr id="1300414453" name="Chart 1">
              <a:extLst xmlns:a="http://schemas.openxmlformats.org/drawingml/2006/main">
                <a:ext uri="{FF2B5EF4-FFF2-40B4-BE49-F238E27FC236}">
                  <a16:creationId xmlns:a16="http://schemas.microsoft.com/office/drawing/2014/main" id="{EDDDF0BB-5ACF-28C4-B0DF-8D457239D6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1CFE89" w14:textId="0FD5CE6D" w:rsidR="007853C3" w:rsidRDefault="007853C3" w:rsidP="005C5386">
      <w:pPr>
        <w:spacing w:after="0" w:line="276" w:lineRule="auto"/>
        <w:jc w:val="both"/>
        <w:rPr>
          <w:rFonts w:ascii="Times New Roman" w:hAnsi="Times New Roman" w:cs="Times New Roman"/>
          <w:szCs w:val="20"/>
        </w:rPr>
      </w:pPr>
    </w:p>
    <w:p w14:paraId="56D38B02" w14:textId="77777777" w:rsidR="00E2343C" w:rsidRDefault="00E2343C" w:rsidP="005C5386">
      <w:pPr>
        <w:spacing w:after="0" w:line="276" w:lineRule="auto"/>
        <w:jc w:val="both"/>
        <w:rPr>
          <w:rFonts w:ascii="Times New Roman" w:hAnsi="Times New Roman" w:cs="Times New Roman"/>
          <w:szCs w:val="20"/>
        </w:rPr>
      </w:pPr>
    </w:p>
    <w:p w14:paraId="7A07BF28" w14:textId="68378E1B" w:rsidR="00E2343C" w:rsidRDefault="005C5386" w:rsidP="005C5386">
      <w:pPr>
        <w:spacing w:after="0" w:line="276" w:lineRule="auto"/>
        <w:jc w:val="both"/>
        <w:rPr>
          <w:rFonts w:ascii="Times New Roman" w:hAnsi="Times New Roman" w:cs="Times New Roman"/>
          <w:b/>
          <w:bCs/>
          <w:szCs w:val="20"/>
        </w:rPr>
      </w:pPr>
      <w:r>
        <w:rPr>
          <w:rFonts w:ascii="Times New Roman" w:hAnsi="Times New Roman" w:cs="Times New Roman"/>
          <w:b/>
          <w:bCs/>
          <w:szCs w:val="20"/>
        </w:rPr>
        <w:t>3.3</w:t>
      </w:r>
      <w:r w:rsidR="00E2343C" w:rsidRPr="00E2343C">
        <w:rPr>
          <w:rFonts w:ascii="Times New Roman" w:hAnsi="Times New Roman" w:cs="Times New Roman"/>
          <w:b/>
          <w:bCs/>
          <w:szCs w:val="20"/>
        </w:rPr>
        <w:t>.</w:t>
      </w:r>
      <w:r w:rsidR="00E2343C">
        <w:rPr>
          <w:rFonts w:ascii="Times New Roman" w:hAnsi="Times New Roman" w:cs="Times New Roman"/>
          <w:b/>
          <w:bCs/>
          <w:szCs w:val="20"/>
        </w:rPr>
        <w:t xml:space="preserve"> </w:t>
      </w:r>
      <w:r w:rsidR="00E2343C" w:rsidRPr="00E2343C">
        <w:rPr>
          <w:rFonts w:ascii="Times New Roman" w:hAnsi="Times New Roman" w:cs="Times New Roman"/>
          <w:b/>
          <w:bCs/>
          <w:szCs w:val="20"/>
        </w:rPr>
        <w:t>Economics of Different Treatments</w:t>
      </w:r>
    </w:p>
    <w:p w14:paraId="4DA20A6F" w14:textId="77777777" w:rsidR="005C5386" w:rsidRPr="00E2343C" w:rsidRDefault="005C5386" w:rsidP="005C5386">
      <w:pPr>
        <w:spacing w:after="0" w:line="276" w:lineRule="auto"/>
        <w:jc w:val="both"/>
        <w:rPr>
          <w:rFonts w:ascii="Times New Roman" w:hAnsi="Times New Roman" w:cs="Times New Roman"/>
          <w:b/>
          <w:bCs/>
          <w:szCs w:val="20"/>
        </w:rPr>
      </w:pPr>
    </w:p>
    <w:p w14:paraId="163D6AE1" w14:textId="14C1C9D4" w:rsidR="00E2343C" w:rsidRPr="00BB2CC9" w:rsidRDefault="00E2343C"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Economic analysis is a critical criterion for assessing the feasibility and adoptability of nutrient management practices in beetroot cultivation. The present study clearly demonstrated that different organic manures and biofertilizer treatments significantly influenced root yield, cost of cultivation, net returns, and benefit–cost (B:C) ratio (Table</w:t>
      </w:r>
      <w:r w:rsidR="00926E14">
        <w:rPr>
          <w:rFonts w:ascii="Times New Roman" w:hAnsi="Times New Roman" w:cs="Times New Roman"/>
          <w:szCs w:val="20"/>
        </w:rPr>
        <w:t xml:space="preserve"> 3</w:t>
      </w:r>
      <w:r w:rsidRPr="00BB2CC9">
        <w:rPr>
          <w:rFonts w:ascii="Times New Roman" w:hAnsi="Times New Roman" w:cs="Times New Roman"/>
          <w:szCs w:val="20"/>
        </w:rPr>
        <w:t>).</w:t>
      </w:r>
    </w:p>
    <w:p w14:paraId="4D39EB44" w14:textId="77777777" w:rsidR="00E2343C" w:rsidRPr="00BB2CC9" w:rsidRDefault="00E2343C"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Among all treatments, T₁₁ (Vermicompost 50% + PSB 50%) recorded the highest root yield (174.80 q ha⁻¹), which directly translated into maximum gross returns (Rs. 4,37,000 ha⁻¹) and net returns (Rs. 3,48,650 ha⁻¹) with a B:C ratio of 3.94. The superior economic performance of this treatment can be attributed to enhanced nutrient availability, improved nutrient use efficiency, and increased yield at a comparatively moderate cost of cultivation. The synergistic effect of vermicompost and phosphate-solubilizing bacteria improves soil biological activity and phosphorus availability, resulting in higher productivity and profitability.</w:t>
      </w:r>
    </w:p>
    <w:p w14:paraId="42036C04" w14:textId="77777777" w:rsidR="00E2343C" w:rsidRPr="00BB2CC9" w:rsidRDefault="00E2343C"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The control treatment (T₁) recorded the lowest root yield (70.60 q ha⁻¹), minimum net returns (Rs. 1,17,050 ha⁻¹), and the lowest B:C ratio (1.96), indicating poor economic viability due to inadequate nutrient supply. Although chemical fertilizer treatment (T₂ – RDF) produced higher yield than control, its economic returns were lower than integrated organic treatments due to higher input costs and comparatively lower yield response.</w:t>
      </w:r>
    </w:p>
    <w:p w14:paraId="4D109B52" w14:textId="0D3A7B26" w:rsidR="00C66238" w:rsidRDefault="00E2343C"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lastRenderedPageBreak/>
        <w:t xml:space="preserve">Treatments involving single organic sources such as FYM (T₃), vermicompost (T₄), neem cake (T₅), or PSB alone (T₆) showed moderate economic returns. However, integrated treatments (T₁₀ and T₁₁) were consistently superior, confirming that combined application of organic manures and biofertilizers is more remunerative than their sole application. Similar findings have been reported in recent studies on beetroot and other root vegetables, where integrated organic nutrient management significantly improved profitability by increasing yield and reducing dependence on costly inorganic fertilizers (Patel </w:t>
      </w:r>
      <w:r w:rsidRPr="00C20ED7">
        <w:rPr>
          <w:rFonts w:ascii="Times New Roman" w:hAnsi="Times New Roman" w:cs="Times New Roman"/>
          <w:i/>
          <w:iCs/>
          <w:szCs w:val="20"/>
        </w:rPr>
        <w:t xml:space="preserve">et al., </w:t>
      </w:r>
      <w:r w:rsidRPr="00BB2CC9">
        <w:rPr>
          <w:rFonts w:ascii="Times New Roman" w:hAnsi="Times New Roman" w:cs="Times New Roman"/>
          <w:szCs w:val="20"/>
        </w:rPr>
        <w:t xml:space="preserve">2020; Sharma </w:t>
      </w:r>
      <w:r w:rsidRPr="00C20ED7">
        <w:rPr>
          <w:rFonts w:ascii="Times New Roman" w:hAnsi="Times New Roman" w:cs="Times New Roman"/>
          <w:i/>
          <w:iCs/>
          <w:szCs w:val="20"/>
        </w:rPr>
        <w:t xml:space="preserve">et al., </w:t>
      </w:r>
      <w:r w:rsidRPr="00BB2CC9">
        <w:rPr>
          <w:rFonts w:ascii="Times New Roman" w:hAnsi="Times New Roman" w:cs="Times New Roman"/>
          <w:szCs w:val="20"/>
        </w:rPr>
        <w:t xml:space="preserve">2021; Kumar </w:t>
      </w:r>
      <w:r w:rsidRPr="00C20ED7">
        <w:rPr>
          <w:rFonts w:ascii="Times New Roman" w:hAnsi="Times New Roman" w:cs="Times New Roman"/>
          <w:i/>
          <w:iCs/>
          <w:szCs w:val="20"/>
        </w:rPr>
        <w:t xml:space="preserve">et al., </w:t>
      </w:r>
      <w:r w:rsidRPr="00BB2CC9">
        <w:rPr>
          <w:rFonts w:ascii="Times New Roman" w:hAnsi="Times New Roman" w:cs="Times New Roman"/>
          <w:szCs w:val="20"/>
        </w:rPr>
        <w:t>2022).</w:t>
      </w:r>
      <w:r w:rsidR="00C20ED7">
        <w:rPr>
          <w:rFonts w:ascii="Times New Roman" w:hAnsi="Times New Roman" w:cs="Times New Roman"/>
          <w:szCs w:val="20"/>
        </w:rPr>
        <w:t xml:space="preserve"> </w:t>
      </w:r>
      <w:r w:rsidRPr="00BB2CC9">
        <w:rPr>
          <w:rFonts w:ascii="Times New Roman" w:hAnsi="Times New Roman" w:cs="Times New Roman"/>
          <w:szCs w:val="20"/>
        </w:rPr>
        <w:t xml:space="preserve">The results strongly support the concept that economic sustainability in beetroot cultivation is closely linked with integrated organic nutrient management, which ensures higher returns per unit investment while maintaining soil health. Thus, T₁₁ emerged as the most economically viable treatment and can be recommended for profitable beetroot production under similar </w:t>
      </w:r>
      <w:proofErr w:type="spellStart"/>
      <w:r w:rsidRPr="00BB2CC9">
        <w:rPr>
          <w:rFonts w:ascii="Times New Roman" w:hAnsi="Times New Roman" w:cs="Times New Roman"/>
          <w:szCs w:val="20"/>
        </w:rPr>
        <w:t>agro</w:t>
      </w:r>
      <w:proofErr w:type="spellEnd"/>
      <w:r w:rsidRPr="00BB2CC9">
        <w:rPr>
          <w:rFonts w:ascii="Times New Roman" w:hAnsi="Times New Roman" w:cs="Times New Roman"/>
          <w:szCs w:val="20"/>
        </w:rPr>
        <w:t>-ecological conditions.</w:t>
      </w:r>
    </w:p>
    <w:p w14:paraId="2829F8C2" w14:textId="77777777" w:rsidR="005C5386" w:rsidRDefault="005C5386" w:rsidP="005C5386">
      <w:pPr>
        <w:spacing w:after="0" w:line="276" w:lineRule="auto"/>
        <w:jc w:val="both"/>
        <w:rPr>
          <w:rFonts w:ascii="Times New Roman" w:hAnsi="Times New Roman" w:cs="Times New Roman"/>
          <w:szCs w:val="20"/>
        </w:rPr>
      </w:pPr>
    </w:p>
    <w:p w14:paraId="0C243AF9" w14:textId="218CD3B7" w:rsidR="005C5386" w:rsidRDefault="00C20ED7" w:rsidP="005C5386">
      <w:pPr>
        <w:spacing w:after="0" w:line="276" w:lineRule="auto"/>
        <w:jc w:val="both"/>
        <w:rPr>
          <w:rFonts w:ascii="Times New Roman" w:hAnsi="Times New Roman" w:cs="Times New Roman"/>
          <w:szCs w:val="20"/>
        </w:rPr>
      </w:pPr>
      <w:r w:rsidRPr="00926E14">
        <w:rPr>
          <w:rFonts w:ascii="Times New Roman" w:hAnsi="Times New Roman" w:cs="Times New Roman"/>
          <w:szCs w:val="20"/>
        </w:rPr>
        <w:t xml:space="preserve">The results of the present study clearly indicate that integrated application of organic manures and biofertilizers significantly enhanced yield and quality of beetroot. Among all treatments, vermicompost @ 2.5 t ha⁻¹ + PSB @ 1.25 kg ha⁻¹ (T₁₁) proved most effective, recording the highest root length (10.70 cm), root diameter (6.41 cm), root weight (154.09 g), and root yield (17.49 t ha⁻¹), along with maximum harvest index (86.33%) and TSS (21.13 °Brix). These values were markedly superior to the control, which recorded only 2.87 t ha⁻¹ root yield and 9.73 °Brix TSS. The enhanced performance under T₁₁ reflects improved nutrient availability, microbial activity, and efficient assimilate partitioning. Hence, integrated use of vermicompost and PSB can be recommended for achieving higher productivity, better quality, and sustainable beetroot cultivation under similar </w:t>
      </w:r>
      <w:proofErr w:type="spellStart"/>
      <w:r w:rsidRPr="00926E14">
        <w:rPr>
          <w:rFonts w:ascii="Times New Roman" w:hAnsi="Times New Roman" w:cs="Times New Roman"/>
          <w:szCs w:val="20"/>
        </w:rPr>
        <w:t>agro</w:t>
      </w:r>
      <w:proofErr w:type="spellEnd"/>
      <w:r w:rsidRPr="00926E14">
        <w:rPr>
          <w:rFonts w:ascii="Times New Roman" w:hAnsi="Times New Roman" w:cs="Times New Roman"/>
          <w:szCs w:val="20"/>
        </w:rPr>
        <w:t>-climatic conditions.</w:t>
      </w:r>
    </w:p>
    <w:p w14:paraId="2A2A7181" w14:textId="77777777" w:rsidR="00C20ED7" w:rsidRDefault="00C20ED7" w:rsidP="005C5386">
      <w:pPr>
        <w:spacing w:after="0" w:line="276" w:lineRule="auto"/>
        <w:jc w:val="both"/>
        <w:rPr>
          <w:rFonts w:ascii="Times New Roman" w:hAnsi="Times New Roman" w:cs="Times New Roman"/>
          <w:szCs w:val="20"/>
        </w:rPr>
      </w:pPr>
    </w:p>
    <w:p w14:paraId="5E9DD67E" w14:textId="77777777" w:rsidR="005C5386" w:rsidRDefault="005C5386" w:rsidP="005C5386">
      <w:pPr>
        <w:spacing w:after="0" w:line="276" w:lineRule="auto"/>
        <w:jc w:val="both"/>
        <w:rPr>
          <w:rFonts w:ascii="Times New Roman" w:hAnsi="Times New Roman" w:cs="Times New Roman"/>
          <w:szCs w:val="20"/>
        </w:rPr>
      </w:pPr>
    </w:p>
    <w:p w14:paraId="1A4D0101" w14:textId="691BD703" w:rsidR="00C66238" w:rsidRPr="005C5386" w:rsidRDefault="00C66238" w:rsidP="005C5386">
      <w:pPr>
        <w:spacing w:after="0" w:line="276" w:lineRule="auto"/>
        <w:jc w:val="both"/>
        <w:rPr>
          <w:rFonts w:ascii="Times New Roman" w:hAnsi="Times New Roman" w:cs="Times New Roman"/>
          <w:b/>
          <w:bCs/>
          <w:szCs w:val="20"/>
        </w:rPr>
      </w:pPr>
      <w:r w:rsidRPr="005C5386">
        <w:rPr>
          <w:rFonts w:ascii="Times New Roman" w:hAnsi="Times New Roman" w:cs="Times New Roman"/>
          <w:b/>
          <w:bCs/>
          <w:szCs w:val="20"/>
        </w:rPr>
        <w:t xml:space="preserve">Table </w:t>
      </w:r>
      <w:r w:rsidR="005C5386">
        <w:rPr>
          <w:rFonts w:ascii="Times New Roman" w:hAnsi="Times New Roman" w:cs="Times New Roman"/>
          <w:b/>
          <w:bCs/>
          <w:szCs w:val="20"/>
        </w:rPr>
        <w:t>3</w:t>
      </w:r>
      <w:r w:rsidRPr="005C5386">
        <w:rPr>
          <w:rFonts w:ascii="Times New Roman" w:hAnsi="Times New Roman" w:cs="Times New Roman"/>
          <w:b/>
          <w:bCs/>
          <w:szCs w:val="20"/>
        </w:rPr>
        <w:t xml:space="preserve">. </w:t>
      </w:r>
      <w:r w:rsidRPr="005C5386">
        <w:rPr>
          <w:rFonts w:ascii="Times New Roman" w:hAnsi="Times New Roman" w:cs="Times New Roman"/>
          <w:b/>
          <w:bCs/>
          <w:i/>
          <w:iCs/>
          <w:szCs w:val="20"/>
        </w:rPr>
        <w:t>Comparative economic analysis of different organic manure and biofertilizer treatments in beetroot (Beta vulgaris L.)</w:t>
      </w:r>
    </w:p>
    <w:p w14:paraId="18B90B54" w14:textId="77777777" w:rsidR="00C66238" w:rsidRDefault="00C66238" w:rsidP="005C5386">
      <w:pPr>
        <w:spacing w:after="0" w:line="276" w:lineRule="auto"/>
        <w:jc w:val="both"/>
        <w:rPr>
          <w:rFonts w:ascii="Times New Roman" w:hAnsi="Times New Roman" w:cs="Times New Roman"/>
          <w:szCs w:val="20"/>
        </w:rPr>
      </w:pPr>
    </w:p>
    <w:tbl>
      <w:tblPr>
        <w:tblW w:w="9910"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315"/>
        <w:gridCol w:w="2070"/>
        <w:gridCol w:w="2142"/>
        <w:gridCol w:w="1383"/>
      </w:tblGrid>
      <w:tr w:rsidR="00C66238" w:rsidRPr="00C66238" w14:paraId="597FC069" w14:textId="77777777" w:rsidTr="00C66238">
        <w:trPr>
          <w:trHeight w:val="459"/>
          <w:tblHeader/>
          <w:tblCellSpacing w:w="15" w:type="dxa"/>
        </w:trPr>
        <w:tc>
          <w:tcPr>
            <w:tcW w:w="4270" w:type="dxa"/>
            <w:tcBorders>
              <w:top w:val="single" w:sz="4" w:space="0" w:color="auto"/>
              <w:bottom w:val="single" w:sz="4" w:space="0" w:color="auto"/>
            </w:tcBorders>
            <w:vAlign w:val="center"/>
            <w:hideMark/>
          </w:tcPr>
          <w:p w14:paraId="4CB465A8" w14:textId="77777777" w:rsidR="00C66238" w:rsidRPr="00C66238" w:rsidRDefault="00C66238" w:rsidP="005C5386">
            <w:pPr>
              <w:spacing w:after="0" w:line="276" w:lineRule="auto"/>
              <w:jc w:val="center"/>
              <w:rPr>
                <w:rFonts w:ascii="Times New Roman" w:hAnsi="Times New Roman" w:cs="Times New Roman"/>
                <w:b/>
                <w:bCs/>
                <w:sz w:val="22"/>
                <w:szCs w:val="18"/>
              </w:rPr>
            </w:pPr>
            <w:r w:rsidRPr="00C66238">
              <w:rPr>
                <w:rFonts w:ascii="Times New Roman" w:hAnsi="Times New Roman" w:cs="Times New Roman"/>
                <w:b/>
                <w:bCs/>
                <w:sz w:val="22"/>
                <w:szCs w:val="18"/>
              </w:rPr>
              <w:t>Treatment</w:t>
            </w:r>
          </w:p>
        </w:tc>
        <w:tc>
          <w:tcPr>
            <w:tcW w:w="2040" w:type="dxa"/>
            <w:tcBorders>
              <w:top w:val="single" w:sz="4" w:space="0" w:color="auto"/>
              <w:bottom w:val="single" w:sz="4" w:space="0" w:color="auto"/>
            </w:tcBorders>
            <w:vAlign w:val="center"/>
            <w:hideMark/>
          </w:tcPr>
          <w:p w14:paraId="3FACB3F9" w14:textId="77777777" w:rsidR="00C66238" w:rsidRPr="00C66238" w:rsidRDefault="00C66238" w:rsidP="005C5386">
            <w:pPr>
              <w:spacing w:after="0" w:line="276" w:lineRule="auto"/>
              <w:jc w:val="center"/>
              <w:rPr>
                <w:rFonts w:ascii="Times New Roman" w:hAnsi="Times New Roman" w:cs="Times New Roman"/>
                <w:b/>
                <w:bCs/>
                <w:sz w:val="22"/>
                <w:szCs w:val="18"/>
              </w:rPr>
            </w:pPr>
            <w:r w:rsidRPr="00C66238">
              <w:rPr>
                <w:rFonts w:ascii="Times New Roman" w:hAnsi="Times New Roman" w:cs="Times New Roman"/>
                <w:b/>
                <w:bCs/>
                <w:sz w:val="22"/>
                <w:szCs w:val="18"/>
              </w:rPr>
              <w:t>Root yield (q ha⁻¹)</w:t>
            </w:r>
          </w:p>
        </w:tc>
        <w:tc>
          <w:tcPr>
            <w:tcW w:w="2112" w:type="dxa"/>
            <w:tcBorders>
              <w:top w:val="single" w:sz="4" w:space="0" w:color="auto"/>
              <w:bottom w:val="single" w:sz="4" w:space="0" w:color="auto"/>
            </w:tcBorders>
            <w:vAlign w:val="center"/>
            <w:hideMark/>
          </w:tcPr>
          <w:p w14:paraId="5F813E68" w14:textId="77777777" w:rsidR="00C66238" w:rsidRPr="00C66238" w:rsidRDefault="00C66238" w:rsidP="005C5386">
            <w:pPr>
              <w:spacing w:after="0" w:line="276" w:lineRule="auto"/>
              <w:jc w:val="center"/>
              <w:rPr>
                <w:rFonts w:ascii="Times New Roman" w:hAnsi="Times New Roman" w:cs="Times New Roman"/>
                <w:b/>
                <w:bCs/>
                <w:sz w:val="22"/>
                <w:szCs w:val="18"/>
              </w:rPr>
            </w:pPr>
            <w:r w:rsidRPr="00C66238">
              <w:rPr>
                <w:rFonts w:ascii="Times New Roman" w:hAnsi="Times New Roman" w:cs="Times New Roman"/>
                <w:b/>
                <w:bCs/>
                <w:sz w:val="22"/>
                <w:szCs w:val="18"/>
              </w:rPr>
              <w:t>Net returns (Rs ha⁻¹)</w:t>
            </w:r>
          </w:p>
        </w:tc>
        <w:tc>
          <w:tcPr>
            <w:tcW w:w="0" w:type="auto"/>
            <w:tcBorders>
              <w:top w:val="single" w:sz="4" w:space="0" w:color="auto"/>
              <w:bottom w:val="single" w:sz="4" w:space="0" w:color="auto"/>
            </w:tcBorders>
            <w:vAlign w:val="center"/>
            <w:hideMark/>
          </w:tcPr>
          <w:p w14:paraId="7C440BA5" w14:textId="77777777" w:rsidR="00C66238" w:rsidRPr="00C66238" w:rsidRDefault="00C66238" w:rsidP="005C5386">
            <w:pPr>
              <w:spacing w:after="0" w:line="276" w:lineRule="auto"/>
              <w:jc w:val="center"/>
              <w:rPr>
                <w:rFonts w:ascii="Times New Roman" w:hAnsi="Times New Roman" w:cs="Times New Roman"/>
                <w:b/>
                <w:bCs/>
                <w:sz w:val="22"/>
                <w:szCs w:val="18"/>
              </w:rPr>
            </w:pPr>
            <w:r w:rsidRPr="00C66238">
              <w:rPr>
                <w:rFonts w:ascii="Times New Roman" w:hAnsi="Times New Roman" w:cs="Times New Roman"/>
                <w:b/>
                <w:bCs/>
                <w:sz w:val="22"/>
                <w:szCs w:val="18"/>
              </w:rPr>
              <w:t>B:C ratio</w:t>
            </w:r>
          </w:p>
        </w:tc>
      </w:tr>
      <w:tr w:rsidR="00C66238" w:rsidRPr="00C66238" w14:paraId="2F76E22F" w14:textId="77777777" w:rsidTr="00C66238">
        <w:trPr>
          <w:trHeight w:val="276"/>
          <w:tblCellSpacing w:w="15" w:type="dxa"/>
        </w:trPr>
        <w:tc>
          <w:tcPr>
            <w:tcW w:w="4270" w:type="dxa"/>
            <w:vAlign w:val="center"/>
            <w:hideMark/>
          </w:tcPr>
          <w:p w14:paraId="15056592"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T₁ Control</w:t>
            </w:r>
          </w:p>
        </w:tc>
        <w:tc>
          <w:tcPr>
            <w:tcW w:w="2040" w:type="dxa"/>
            <w:vAlign w:val="center"/>
            <w:hideMark/>
          </w:tcPr>
          <w:p w14:paraId="0B165B53"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70.60</w:t>
            </w:r>
          </w:p>
        </w:tc>
        <w:tc>
          <w:tcPr>
            <w:tcW w:w="2112" w:type="dxa"/>
            <w:vAlign w:val="center"/>
            <w:hideMark/>
          </w:tcPr>
          <w:p w14:paraId="73BA24FD"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1,17,050</w:t>
            </w:r>
          </w:p>
        </w:tc>
        <w:tc>
          <w:tcPr>
            <w:tcW w:w="0" w:type="auto"/>
            <w:vAlign w:val="center"/>
            <w:hideMark/>
          </w:tcPr>
          <w:p w14:paraId="4729F3B3"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1.96</w:t>
            </w:r>
          </w:p>
        </w:tc>
      </w:tr>
      <w:tr w:rsidR="00C66238" w:rsidRPr="00C66238" w14:paraId="78777D7F" w14:textId="77777777" w:rsidTr="00C66238">
        <w:trPr>
          <w:trHeight w:val="213"/>
          <w:tblCellSpacing w:w="15" w:type="dxa"/>
        </w:trPr>
        <w:tc>
          <w:tcPr>
            <w:tcW w:w="4270" w:type="dxa"/>
            <w:vAlign w:val="center"/>
            <w:hideMark/>
          </w:tcPr>
          <w:p w14:paraId="7ECFFBD6"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T₂ RDF</w:t>
            </w:r>
          </w:p>
        </w:tc>
        <w:tc>
          <w:tcPr>
            <w:tcW w:w="2040" w:type="dxa"/>
            <w:vAlign w:val="center"/>
            <w:hideMark/>
          </w:tcPr>
          <w:p w14:paraId="0BFD4DFC"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109.36</w:t>
            </w:r>
          </w:p>
        </w:tc>
        <w:tc>
          <w:tcPr>
            <w:tcW w:w="2112" w:type="dxa"/>
            <w:vAlign w:val="center"/>
            <w:hideMark/>
          </w:tcPr>
          <w:p w14:paraId="0FA57F29"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2,07,450</w:t>
            </w:r>
          </w:p>
        </w:tc>
        <w:tc>
          <w:tcPr>
            <w:tcW w:w="0" w:type="auto"/>
            <w:vAlign w:val="center"/>
            <w:hideMark/>
          </w:tcPr>
          <w:p w14:paraId="5B0C0DBA"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3.14</w:t>
            </w:r>
          </w:p>
        </w:tc>
      </w:tr>
      <w:tr w:rsidR="00C66238" w:rsidRPr="00C66238" w14:paraId="6A0B4AC5" w14:textId="77777777" w:rsidTr="00C66238">
        <w:trPr>
          <w:trHeight w:val="150"/>
          <w:tblCellSpacing w:w="15" w:type="dxa"/>
        </w:trPr>
        <w:tc>
          <w:tcPr>
            <w:tcW w:w="4270" w:type="dxa"/>
            <w:vAlign w:val="center"/>
            <w:hideMark/>
          </w:tcPr>
          <w:p w14:paraId="1B1664AE"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T₃ FYM 20 t/ha</w:t>
            </w:r>
          </w:p>
        </w:tc>
        <w:tc>
          <w:tcPr>
            <w:tcW w:w="2040" w:type="dxa"/>
            <w:vAlign w:val="center"/>
            <w:hideMark/>
          </w:tcPr>
          <w:p w14:paraId="45211E49"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103.73</w:t>
            </w:r>
          </w:p>
        </w:tc>
        <w:tc>
          <w:tcPr>
            <w:tcW w:w="2112" w:type="dxa"/>
            <w:vAlign w:val="center"/>
            <w:hideMark/>
          </w:tcPr>
          <w:p w14:paraId="22939D67"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1,96,125</w:t>
            </w:r>
          </w:p>
        </w:tc>
        <w:tc>
          <w:tcPr>
            <w:tcW w:w="0" w:type="auto"/>
            <w:vAlign w:val="center"/>
            <w:hideMark/>
          </w:tcPr>
          <w:p w14:paraId="140A4BD1"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3.10</w:t>
            </w:r>
          </w:p>
        </w:tc>
      </w:tr>
      <w:tr w:rsidR="00C66238" w:rsidRPr="00C66238" w14:paraId="7EFC2368" w14:textId="77777777" w:rsidTr="00C66238">
        <w:trPr>
          <w:trHeight w:val="468"/>
          <w:tblCellSpacing w:w="15" w:type="dxa"/>
        </w:trPr>
        <w:tc>
          <w:tcPr>
            <w:tcW w:w="4270" w:type="dxa"/>
            <w:vAlign w:val="center"/>
            <w:hideMark/>
          </w:tcPr>
          <w:p w14:paraId="4E404A19"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T₄ Vermicompost 5 t/ha</w:t>
            </w:r>
          </w:p>
        </w:tc>
        <w:tc>
          <w:tcPr>
            <w:tcW w:w="2040" w:type="dxa"/>
            <w:vAlign w:val="center"/>
            <w:hideMark/>
          </w:tcPr>
          <w:p w14:paraId="13677574"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131.60</w:t>
            </w:r>
          </w:p>
        </w:tc>
        <w:tc>
          <w:tcPr>
            <w:tcW w:w="2112" w:type="dxa"/>
            <w:vAlign w:val="center"/>
            <w:hideMark/>
          </w:tcPr>
          <w:p w14:paraId="0311AADA"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2,41,050</w:t>
            </w:r>
          </w:p>
        </w:tc>
        <w:tc>
          <w:tcPr>
            <w:tcW w:w="0" w:type="auto"/>
            <w:vAlign w:val="center"/>
            <w:hideMark/>
          </w:tcPr>
          <w:p w14:paraId="57D41A27"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2.74</w:t>
            </w:r>
          </w:p>
        </w:tc>
      </w:tr>
      <w:tr w:rsidR="00C66238" w:rsidRPr="00C66238" w14:paraId="45934217" w14:textId="77777777" w:rsidTr="00C66238">
        <w:trPr>
          <w:trHeight w:val="468"/>
          <w:tblCellSpacing w:w="15" w:type="dxa"/>
        </w:trPr>
        <w:tc>
          <w:tcPr>
            <w:tcW w:w="4270" w:type="dxa"/>
            <w:vAlign w:val="center"/>
            <w:hideMark/>
          </w:tcPr>
          <w:p w14:paraId="29E74A70"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T₅ Neem cake 80 kg/ha</w:t>
            </w:r>
          </w:p>
        </w:tc>
        <w:tc>
          <w:tcPr>
            <w:tcW w:w="2040" w:type="dxa"/>
            <w:vAlign w:val="center"/>
            <w:hideMark/>
          </w:tcPr>
          <w:p w14:paraId="291F75B1"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114.33</w:t>
            </w:r>
          </w:p>
        </w:tc>
        <w:tc>
          <w:tcPr>
            <w:tcW w:w="2112" w:type="dxa"/>
            <w:vAlign w:val="center"/>
            <w:hideMark/>
          </w:tcPr>
          <w:p w14:paraId="36F2DA52"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1,96,375</w:t>
            </w:r>
          </w:p>
        </w:tc>
        <w:tc>
          <w:tcPr>
            <w:tcW w:w="0" w:type="auto"/>
            <w:vAlign w:val="center"/>
            <w:hideMark/>
          </w:tcPr>
          <w:p w14:paraId="1DAE5F85"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2.19</w:t>
            </w:r>
          </w:p>
        </w:tc>
      </w:tr>
      <w:tr w:rsidR="00C66238" w:rsidRPr="00C66238" w14:paraId="76C72939" w14:textId="77777777" w:rsidTr="00C66238">
        <w:trPr>
          <w:trHeight w:val="468"/>
          <w:tblCellSpacing w:w="15" w:type="dxa"/>
        </w:trPr>
        <w:tc>
          <w:tcPr>
            <w:tcW w:w="4270" w:type="dxa"/>
            <w:vAlign w:val="center"/>
            <w:hideMark/>
          </w:tcPr>
          <w:p w14:paraId="3D5B3EDA"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T₆ PSB</w:t>
            </w:r>
          </w:p>
        </w:tc>
        <w:tc>
          <w:tcPr>
            <w:tcW w:w="2040" w:type="dxa"/>
            <w:vAlign w:val="center"/>
            <w:hideMark/>
          </w:tcPr>
          <w:p w14:paraId="70870A82"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102.40</w:t>
            </w:r>
          </w:p>
        </w:tc>
        <w:tc>
          <w:tcPr>
            <w:tcW w:w="2112" w:type="dxa"/>
            <w:vAlign w:val="center"/>
            <w:hideMark/>
          </w:tcPr>
          <w:p w14:paraId="07AB0ADA"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1,96,150</w:t>
            </w:r>
          </w:p>
        </w:tc>
        <w:tc>
          <w:tcPr>
            <w:tcW w:w="0" w:type="auto"/>
            <w:vAlign w:val="center"/>
            <w:hideMark/>
          </w:tcPr>
          <w:p w14:paraId="47CBF6C8"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3.27</w:t>
            </w:r>
          </w:p>
        </w:tc>
      </w:tr>
      <w:tr w:rsidR="00C66238" w:rsidRPr="00C66238" w14:paraId="654014EE" w14:textId="77777777" w:rsidTr="00C66238">
        <w:trPr>
          <w:trHeight w:val="468"/>
          <w:tblCellSpacing w:w="15" w:type="dxa"/>
        </w:trPr>
        <w:tc>
          <w:tcPr>
            <w:tcW w:w="4270" w:type="dxa"/>
            <w:vAlign w:val="center"/>
            <w:hideMark/>
          </w:tcPr>
          <w:p w14:paraId="5185765A"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T₇ FYM + VC</w:t>
            </w:r>
          </w:p>
        </w:tc>
        <w:tc>
          <w:tcPr>
            <w:tcW w:w="2040" w:type="dxa"/>
            <w:vAlign w:val="center"/>
            <w:hideMark/>
          </w:tcPr>
          <w:p w14:paraId="081A4446"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118.20</w:t>
            </w:r>
          </w:p>
        </w:tc>
        <w:tc>
          <w:tcPr>
            <w:tcW w:w="2112" w:type="dxa"/>
            <w:vAlign w:val="center"/>
            <w:hideMark/>
          </w:tcPr>
          <w:p w14:paraId="72B9E248"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2,03,800</w:t>
            </w:r>
          </w:p>
        </w:tc>
        <w:tc>
          <w:tcPr>
            <w:tcW w:w="0" w:type="auto"/>
            <w:vAlign w:val="center"/>
            <w:hideMark/>
          </w:tcPr>
          <w:p w14:paraId="602ACE7A"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2.22</w:t>
            </w:r>
          </w:p>
        </w:tc>
      </w:tr>
      <w:tr w:rsidR="00C66238" w:rsidRPr="00C66238" w14:paraId="42152B09" w14:textId="77777777" w:rsidTr="00C66238">
        <w:trPr>
          <w:trHeight w:val="468"/>
          <w:tblCellSpacing w:w="15" w:type="dxa"/>
        </w:trPr>
        <w:tc>
          <w:tcPr>
            <w:tcW w:w="4270" w:type="dxa"/>
            <w:vAlign w:val="center"/>
            <w:hideMark/>
          </w:tcPr>
          <w:p w14:paraId="666FDCE7"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T₈ FYM + Neem cake</w:t>
            </w:r>
          </w:p>
        </w:tc>
        <w:tc>
          <w:tcPr>
            <w:tcW w:w="2040" w:type="dxa"/>
            <w:vAlign w:val="center"/>
            <w:hideMark/>
          </w:tcPr>
          <w:p w14:paraId="6C7A8014"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120.06</w:t>
            </w:r>
          </w:p>
        </w:tc>
        <w:tc>
          <w:tcPr>
            <w:tcW w:w="2112" w:type="dxa"/>
            <w:vAlign w:val="center"/>
            <w:hideMark/>
          </w:tcPr>
          <w:p w14:paraId="32906A44"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2,06,950</w:t>
            </w:r>
          </w:p>
        </w:tc>
        <w:tc>
          <w:tcPr>
            <w:tcW w:w="0" w:type="auto"/>
            <w:vAlign w:val="center"/>
            <w:hideMark/>
          </w:tcPr>
          <w:p w14:paraId="694974DD"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2.22</w:t>
            </w:r>
          </w:p>
        </w:tc>
      </w:tr>
      <w:tr w:rsidR="00C66238" w:rsidRPr="00C66238" w14:paraId="10CC8104" w14:textId="77777777" w:rsidTr="00C66238">
        <w:trPr>
          <w:trHeight w:val="468"/>
          <w:tblCellSpacing w:w="15" w:type="dxa"/>
        </w:trPr>
        <w:tc>
          <w:tcPr>
            <w:tcW w:w="4270" w:type="dxa"/>
            <w:vAlign w:val="center"/>
            <w:hideMark/>
          </w:tcPr>
          <w:p w14:paraId="4120CF90"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T₉ FYM + PSB</w:t>
            </w:r>
          </w:p>
        </w:tc>
        <w:tc>
          <w:tcPr>
            <w:tcW w:w="2040" w:type="dxa"/>
            <w:vAlign w:val="center"/>
            <w:hideMark/>
          </w:tcPr>
          <w:p w14:paraId="22C7923E"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107.90</w:t>
            </w:r>
          </w:p>
        </w:tc>
        <w:tc>
          <w:tcPr>
            <w:tcW w:w="2112" w:type="dxa"/>
            <w:vAlign w:val="center"/>
            <w:hideMark/>
          </w:tcPr>
          <w:p w14:paraId="5D422093"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2,06,150</w:t>
            </w:r>
          </w:p>
        </w:tc>
        <w:tc>
          <w:tcPr>
            <w:tcW w:w="0" w:type="auto"/>
            <w:vAlign w:val="center"/>
            <w:hideMark/>
          </w:tcPr>
          <w:p w14:paraId="4CE88F41"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3.24</w:t>
            </w:r>
          </w:p>
        </w:tc>
      </w:tr>
      <w:tr w:rsidR="00C66238" w:rsidRPr="00C66238" w14:paraId="0CE86430" w14:textId="77777777" w:rsidTr="00C66238">
        <w:trPr>
          <w:trHeight w:val="468"/>
          <w:tblCellSpacing w:w="15" w:type="dxa"/>
        </w:trPr>
        <w:tc>
          <w:tcPr>
            <w:tcW w:w="4270" w:type="dxa"/>
            <w:vAlign w:val="center"/>
            <w:hideMark/>
          </w:tcPr>
          <w:p w14:paraId="107E261C"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lastRenderedPageBreak/>
              <w:t>T₁₀ VC + Neem cake</w:t>
            </w:r>
          </w:p>
        </w:tc>
        <w:tc>
          <w:tcPr>
            <w:tcW w:w="2040" w:type="dxa"/>
            <w:vAlign w:val="center"/>
            <w:hideMark/>
          </w:tcPr>
          <w:p w14:paraId="5288C7BA"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156.00</w:t>
            </w:r>
          </w:p>
        </w:tc>
        <w:tc>
          <w:tcPr>
            <w:tcW w:w="2112" w:type="dxa"/>
            <w:vAlign w:val="center"/>
            <w:hideMark/>
          </w:tcPr>
          <w:p w14:paraId="64631651"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2,72,050</w:t>
            </w:r>
          </w:p>
        </w:tc>
        <w:tc>
          <w:tcPr>
            <w:tcW w:w="0" w:type="auto"/>
            <w:vAlign w:val="center"/>
            <w:hideMark/>
          </w:tcPr>
          <w:p w14:paraId="485C02E8"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2.30</w:t>
            </w:r>
          </w:p>
        </w:tc>
      </w:tr>
      <w:tr w:rsidR="00C66238" w:rsidRPr="00C66238" w14:paraId="3D8E61A4" w14:textId="77777777" w:rsidTr="00C66238">
        <w:trPr>
          <w:trHeight w:val="468"/>
          <w:tblCellSpacing w:w="15" w:type="dxa"/>
        </w:trPr>
        <w:tc>
          <w:tcPr>
            <w:tcW w:w="4270" w:type="dxa"/>
            <w:vAlign w:val="center"/>
            <w:hideMark/>
          </w:tcPr>
          <w:p w14:paraId="4A583A1D"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b/>
                <w:bCs/>
                <w:sz w:val="22"/>
                <w:szCs w:val="18"/>
              </w:rPr>
              <w:t>T₁₁ VC + PSB</w:t>
            </w:r>
          </w:p>
        </w:tc>
        <w:tc>
          <w:tcPr>
            <w:tcW w:w="2040" w:type="dxa"/>
            <w:vAlign w:val="center"/>
            <w:hideMark/>
          </w:tcPr>
          <w:p w14:paraId="35BA389D"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b/>
                <w:bCs/>
                <w:sz w:val="22"/>
                <w:szCs w:val="18"/>
              </w:rPr>
              <w:t>174.80</w:t>
            </w:r>
          </w:p>
        </w:tc>
        <w:tc>
          <w:tcPr>
            <w:tcW w:w="2112" w:type="dxa"/>
            <w:vAlign w:val="center"/>
            <w:hideMark/>
          </w:tcPr>
          <w:p w14:paraId="441A9CDA"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b/>
                <w:bCs/>
                <w:sz w:val="22"/>
                <w:szCs w:val="18"/>
              </w:rPr>
              <w:t>3,48,650</w:t>
            </w:r>
          </w:p>
        </w:tc>
        <w:tc>
          <w:tcPr>
            <w:tcW w:w="0" w:type="auto"/>
            <w:vAlign w:val="center"/>
            <w:hideMark/>
          </w:tcPr>
          <w:p w14:paraId="4C002B6A"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b/>
                <w:bCs/>
                <w:sz w:val="22"/>
                <w:szCs w:val="18"/>
              </w:rPr>
              <w:t>3.94</w:t>
            </w:r>
          </w:p>
        </w:tc>
      </w:tr>
    </w:tbl>
    <w:p w14:paraId="68CC4470" w14:textId="77777777" w:rsidR="00E2343C" w:rsidRDefault="00E2343C" w:rsidP="005C5386">
      <w:pPr>
        <w:spacing w:after="0" w:line="276" w:lineRule="auto"/>
        <w:jc w:val="both"/>
        <w:rPr>
          <w:rFonts w:ascii="Times New Roman" w:hAnsi="Times New Roman" w:cs="Times New Roman"/>
          <w:szCs w:val="20"/>
        </w:rPr>
      </w:pPr>
    </w:p>
    <w:p w14:paraId="10F59DFA" w14:textId="14533C81" w:rsidR="00456EFE" w:rsidRPr="0061344C" w:rsidRDefault="00456EFE" w:rsidP="00456EFE">
      <w:pPr>
        <w:spacing w:after="0" w:line="276" w:lineRule="auto"/>
        <w:jc w:val="center"/>
        <w:rPr>
          <w:rFonts w:ascii="Times New Roman" w:hAnsi="Times New Roman" w:cs="Times New Roman"/>
          <w:b/>
          <w:bCs/>
          <w:szCs w:val="20"/>
        </w:rPr>
      </w:pPr>
      <w:r w:rsidRPr="0061344C">
        <w:rPr>
          <w:rFonts w:ascii="Times New Roman" w:hAnsi="Times New Roman" w:cs="Times New Roman"/>
          <w:b/>
          <w:bCs/>
          <w:szCs w:val="20"/>
        </w:rPr>
        <w:t>Figure</w:t>
      </w:r>
      <w:r w:rsidR="0061344C" w:rsidRPr="0061344C">
        <w:rPr>
          <w:rFonts w:ascii="Times New Roman" w:hAnsi="Times New Roman" w:cs="Times New Roman"/>
          <w:b/>
          <w:bCs/>
          <w:szCs w:val="20"/>
        </w:rPr>
        <w:t xml:space="preserve"> 3. B:C Ratio</w:t>
      </w:r>
    </w:p>
    <w:p w14:paraId="32B36F19" w14:textId="33D03639" w:rsidR="00E2343C" w:rsidRDefault="006919AC" w:rsidP="005C5386">
      <w:pPr>
        <w:spacing w:after="0" w:line="276" w:lineRule="auto"/>
        <w:jc w:val="both"/>
        <w:rPr>
          <w:rFonts w:ascii="Times New Roman" w:hAnsi="Times New Roman" w:cs="Times New Roman"/>
          <w:szCs w:val="20"/>
        </w:rPr>
      </w:pPr>
      <w:r>
        <w:rPr>
          <w:noProof/>
        </w:rPr>
        <w:drawing>
          <wp:inline distT="0" distB="0" distL="0" distR="0" wp14:anchorId="55BCFC2D" wp14:editId="11CA0883">
            <wp:extent cx="6261100" cy="3968115"/>
            <wp:effectExtent l="0" t="0" r="6350" b="13335"/>
            <wp:docPr id="2136223976" name="Chart 1">
              <a:extLst xmlns:a="http://schemas.openxmlformats.org/drawingml/2006/main">
                <a:ext uri="{FF2B5EF4-FFF2-40B4-BE49-F238E27FC236}">
                  <a16:creationId xmlns:a16="http://schemas.microsoft.com/office/drawing/2014/main" id="{A87CFA1E-02FF-02BC-3E20-5757220E6D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E5BB866" w14:textId="77777777" w:rsidR="00C20ED7" w:rsidRPr="00926E14" w:rsidRDefault="00C20ED7" w:rsidP="005C5386">
      <w:pPr>
        <w:spacing w:after="0" w:line="276" w:lineRule="auto"/>
        <w:jc w:val="both"/>
        <w:rPr>
          <w:rFonts w:ascii="Times New Roman" w:hAnsi="Times New Roman" w:cs="Times New Roman"/>
          <w:szCs w:val="20"/>
        </w:rPr>
      </w:pPr>
    </w:p>
    <w:p w14:paraId="308C3FC8" w14:textId="77777777" w:rsidR="00912384" w:rsidRDefault="00912384" w:rsidP="005C5386">
      <w:pPr>
        <w:spacing w:after="0" w:line="276" w:lineRule="auto"/>
        <w:jc w:val="both"/>
        <w:rPr>
          <w:rFonts w:ascii="Times New Roman" w:hAnsi="Times New Roman" w:cs="Times New Roman"/>
          <w:b/>
          <w:bCs/>
          <w:szCs w:val="20"/>
        </w:rPr>
      </w:pPr>
      <w:bookmarkStart w:id="0" w:name="_GoBack"/>
      <w:bookmarkEnd w:id="0"/>
    </w:p>
    <w:p w14:paraId="20920963" w14:textId="2C5E165A" w:rsidR="007853C3" w:rsidRPr="007853C3" w:rsidRDefault="007853C3" w:rsidP="005C5386">
      <w:pPr>
        <w:spacing w:after="0" w:line="276" w:lineRule="auto"/>
        <w:jc w:val="both"/>
        <w:rPr>
          <w:rFonts w:ascii="Times New Roman" w:hAnsi="Times New Roman" w:cs="Times New Roman"/>
          <w:b/>
          <w:bCs/>
          <w:szCs w:val="20"/>
        </w:rPr>
      </w:pPr>
      <w:r w:rsidRPr="007853C3">
        <w:rPr>
          <w:rFonts w:ascii="Times New Roman" w:hAnsi="Times New Roman" w:cs="Times New Roman"/>
          <w:b/>
          <w:bCs/>
          <w:szCs w:val="20"/>
        </w:rPr>
        <w:t xml:space="preserve">REFERENCES </w:t>
      </w:r>
    </w:p>
    <w:p w14:paraId="0186274D" w14:textId="77777777" w:rsidR="00C66238" w:rsidRPr="00824FA7" w:rsidRDefault="00C66238" w:rsidP="005C5386">
      <w:pPr>
        <w:spacing w:after="0" w:line="276" w:lineRule="auto"/>
        <w:rPr>
          <w:rFonts w:ascii="Times New Roman" w:hAnsi="Times New Roman" w:cs="Times New Roman"/>
          <w:szCs w:val="20"/>
        </w:rPr>
      </w:pPr>
    </w:p>
    <w:p w14:paraId="129E62C2" w14:textId="70D08383" w:rsidR="00C66238" w:rsidRPr="00C66238" w:rsidRDefault="00C66238" w:rsidP="00CF40F5">
      <w:pPr>
        <w:pStyle w:val="ListParagraph"/>
        <w:numPr>
          <w:ilvl w:val="0"/>
          <w:numId w:val="1"/>
        </w:numPr>
        <w:spacing w:after="0" w:line="360" w:lineRule="auto"/>
        <w:rPr>
          <w:rFonts w:ascii="Times New Roman" w:hAnsi="Times New Roman" w:cs="Times New Roman"/>
          <w:szCs w:val="20"/>
        </w:rPr>
      </w:pPr>
      <w:r>
        <w:rPr>
          <w:rFonts w:ascii="Times New Roman" w:hAnsi="Times New Roman" w:cs="Times New Roman"/>
          <w:szCs w:val="20"/>
        </w:rPr>
        <w:t>P</w:t>
      </w:r>
      <w:r w:rsidRPr="00C66238">
        <w:rPr>
          <w:rFonts w:ascii="Times New Roman" w:hAnsi="Times New Roman" w:cs="Times New Roman"/>
          <w:szCs w:val="20"/>
        </w:rPr>
        <w:t>atel, R. K., Patel, D. P., &amp; Chaudhary, S. K. (2020). Effect of organic manures on yield and quality of beetroot (</w:t>
      </w:r>
      <w:r w:rsidRPr="00C66238">
        <w:rPr>
          <w:rFonts w:ascii="Times New Roman" w:hAnsi="Times New Roman" w:cs="Times New Roman"/>
          <w:i/>
          <w:iCs/>
          <w:szCs w:val="20"/>
        </w:rPr>
        <w:t>Beta vulgaris</w:t>
      </w:r>
      <w:r w:rsidRPr="00C66238">
        <w:rPr>
          <w:rFonts w:ascii="Times New Roman" w:hAnsi="Times New Roman" w:cs="Times New Roman"/>
          <w:szCs w:val="20"/>
        </w:rPr>
        <w:t xml:space="preserve"> L.). </w:t>
      </w:r>
      <w:r w:rsidRPr="00C66238">
        <w:rPr>
          <w:rFonts w:ascii="Times New Roman" w:hAnsi="Times New Roman" w:cs="Times New Roman"/>
          <w:i/>
          <w:iCs/>
          <w:szCs w:val="20"/>
        </w:rPr>
        <w:t>Journal of Root Crops</w:t>
      </w:r>
      <w:r w:rsidRPr="00C66238">
        <w:rPr>
          <w:rFonts w:ascii="Times New Roman" w:hAnsi="Times New Roman" w:cs="Times New Roman"/>
          <w:szCs w:val="20"/>
        </w:rPr>
        <w:t>, 46(2), 85–90.</w:t>
      </w:r>
    </w:p>
    <w:p w14:paraId="613F5F47" w14:textId="77777777" w:rsidR="00C66238" w:rsidRPr="00C66238" w:rsidRDefault="00C66238"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Das, S., Chatterjee, R., &amp; Bandyopadhyay, S. (2023). Integrated organic nutrient management improves growth and productivity of root vegetables. </w:t>
      </w:r>
      <w:r w:rsidRPr="00C66238">
        <w:rPr>
          <w:rFonts w:ascii="Times New Roman" w:hAnsi="Times New Roman" w:cs="Times New Roman"/>
          <w:i/>
          <w:iCs/>
          <w:szCs w:val="20"/>
        </w:rPr>
        <w:t>Journal of Soil Biology and Ecology</w:t>
      </w:r>
      <w:r w:rsidRPr="00C66238">
        <w:rPr>
          <w:rFonts w:ascii="Times New Roman" w:hAnsi="Times New Roman" w:cs="Times New Roman"/>
          <w:szCs w:val="20"/>
        </w:rPr>
        <w:t>, 43(2), 123–130.</w:t>
      </w:r>
    </w:p>
    <w:p w14:paraId="573711FA" w14:textId="77777777" w:rsidR="00C66238" w:rsidRPr="00C66238" w:rsidRDefault="00C66238"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Das, S., Ghosh, A., &amp; Chatterjee, R. (2024). Economic evaluation of organic inputs in beetroot cultivation under subtropical conditions. </w:t>
      </w:r>
      <w:r w:rsidRPr="00C66238">
        <w:rPr>
          <w:rFonts w:ascii="Times New Roman" w:hAnsi="Times New Roman" w:cs="Times New Roman"/>
          <w:i/>
          <w:iCs/>
          <w:szCs w:val="20"/>
        </w:rPr>
        <w:t>International Journal of Vegetable Science</w:t>
      </w:r>
      <w:r w:rsidRPr="00C66238">
        <w:rPr>
          <w:rFonts w:ascii="Times New Roman" w:hAnsi="Times New Roman" w:cs="Times New Roman"/>
          <w:szCs w:val="20"/>
        </w:rPr>
        <w:t>, 30(1), 45–53.</w:t>
      </w:r>
    </w:p>
    <w:p w14:paraId="76B98A9E" w14:textId="77777777" w:rsidR="00C66238" w:rsidRPr="00C66238" w:rsidRDefault="00C66238"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lastRenderedPageBreak/>
        <w:t xml:space="preserve">Das, S., Ghosh, A., &amp; Chatterjee, R. (2024). Influence of organic inputs on yield and quality attributes of beetroot under subtropical conditions. </w:t>
      </w:r>
      <w:r w:rsidRPr="00C66238">
        <w:rPr>
          <w:rFonts w:ascii="Times New Roman" w:hAnsi="Times New Roman" w:cs="Times New Roman"/>
          <w:i/>
          <w:iCs/>
          <w:szCs w:val="20"/>
        </w:rPr>
        <w:t>Journal of Plant Nutrition</w:t>
      </w:r>
      <w:r w:rsidRPr="00C66238">
        <w:rPr>
          <w:rFonts w:ascii="Times New Roman" w:hAnsi="Times New Roman" w:cs="Times New Roman"/>
          <w:szCs w:val="20"/>
        </w:rPr>
        <w:t>, 47(3), 412–424.</w:t>
      </w:r>
    </w:p>
    <w:p w14:paraId="4707D7B1" w14:textId="77777777" w:rsidR="00C66238" w:rsidRPr="00C66238" w:rsidRDefault="00C66238" w:rsidP="00CF40F5">
      <w:pPr>
        <w:pStyle w:val="ListParagraph"/>
        <w:numPr>
          <w:ilvl w:val="0"/>
          <w:numId w:val="1"/>
        </w:numPr>
        <w:spacing w:after="0" w:line="360" w:lineRule="auto"/>
        <w:jc w:val="both"/>
        <w:rPr>
          <w:rFonts w:ascii="Times New Roman" w:hAnsi="Times New Roman" w:cs="Times New Roman"/>
          <w:szCs w:val="20"/>
        </w:rPr>
      </w:pPr>
      <w:r w:rsidRPr="00C66238">
        <w:rPr>
          <w:rFonts w:ascii="Times New Roman" w:hAnsi="Times New Roman" w:cs="Times New Roman"/>
          <w:szCs w:val="20"/>
        </w:rPr>
        <w:t>Kondal, P., Kaur, R., Singh, N., Maurya, V., Sharma, A., &amp; Kumar, R. (2024). Effect of organic and inorganic fertilizers on the growth, yield and quality of beetroot (</w:t>
      </w:r>
      <w:r w:rsidRPr="00C66238">
        <w:rPr>
          <w:rFonts w:ascii="Times New Roman" w:hAnsi="Times New Roman" w:cs="Times New Roman"/>
          <w:i/>
          <w:iCs/>
          <w:szCs w:val="20"/>
        </w:rPr>
        <w:t>Beta vulgaris</w:t>
      </w:r>
      <w:r w:rsidRPr="00C66238">
        <w:rPr>
          <w:rFonts w:ascii="Times New Roman" w:hAnsi="Times New Roman" w:cs="Times New Roman"/>
          <w:szCs w:val="20"/>
        </w:rPr>
        <w:t xml:space="preserve"> L.). </w:t>
      </w:r>
      <w:r w:rsidRPr="00C66238">
        <w:rPr>
          <w:rFonts w:ascii="Times New Roman" w:hAnsi="Times New Roman" w:cs="Times New Roman"/>
          <w:i/>
          <w:iCs/>
          <w:szCs w:val="20"/>
        </w:rPr>
        <w:t>International Journal of Research in Agronomy, 7</w:t>
      </w:r>
      <w:r w:rsidRPr="00C66238">
        <w:rPr>
          <w:rFonts w:ascii="Times New Roman" w:hAnsi="Times New Roman" w:cs="Times New Roman"/>
          <w:szCs w:val="20"/>
        </w:rPr>
        <w:t xml:space="preserve">(2), 180–186. </w:t>
      </w:r>
      <w:hyperlink r:id="rId11" w:history="1">
        <w:r w:rsidRPr="00C66238">
          <w:rPr>
            <w:rStyle w:val="Hyperlink"/>
            <w:rFonts w:ascii="Times New Roman" w:hAnsi="Times New Roman" w:cs="Times New Roman"/>
            <w:szCs w:val="20"/>
          </w:rPr>
          <w:t>https://doi.org/10.33545/2618060X.2024.v7.i2c.305</w:t>
        </w:r>
      </w:hyperlink>
    </w:p>
    <w:p w14:paraId="12EA8ABA" w14:textId="77777777" w:rsidR="00C66238" w:rsidRPr="00C66238" w:rsidRDefault="00C66238" w:rsidP="00CF40F5">
      <w:pPr>
        <w:pStyle w:val="ListParagraph"/>
        <w:numPr>
          <w:ilvl w:val="0"/>
          <w:numId w:val="1"/>
        </w:numPr>
        <w:spacing w:after="0" w:line="360" w:lineRule="auto"/>
        <w:jc w:val="both"/>
        <w:rPr>
          <w:rFonts w:ascii="Times New Roman" w:hAnsi="Times New Roman" w:cs="Times New Roman"/>
          <w:szCs w:val="20"/>
        </w:rPr>
      </w:pPr>
      <w:r w:rsidRPr="00C66238">
        <w:rPr>
          <w:rFonts w:ascii="Times New Roman" w:hAnsi="Times New Roman" w:cs="Times New Roman"/>
          <w:szCs w:val="20"/>
        </w:rPr>
        <w:t>Kumar, M., Shukla, I. N., Kishor, B., Nirankar, R. P., &amp; Singh, S. (2023). Effect of organic manures and biofertilizer on growth, yield and quality of beetroot (</w:t>
      </w:r>
      <w:r w:rsidRPr="00C66238">
        <w:rPr>
          <w:rFonts w:ascii="Times New Roman" w:hAnsi="Times New Roman" w:cs="Times New Roman"/>
          <w:i/>
          <w:iCs/>
          <w:szCs w:val="20"/>
        </w:rPr>
        <w:t>Beta vulgaris</w:t>
      </w:r>
      <w:r w:rsidRPr="00C66238">
        <w:rPr>
          <w:rFonts w:ascii="Times New Roman" w:hAnsi="Times New Roman" w:cs="Times New Roman"/>
          <w:szCs w:val="20"/>
        </w:rPr>
        <w:t xml:space="preserve"> L.). </w:t>
      </w:r>
      <w:r w:rsidRPr="00C66238">
        <w:rPr>
          <w:rFonts w:ascii="Times New Roman" w:hAnsi="Times New Roman" w:cs="Times New Roman"/>
          <w:i/>
          <w:iCs/>
          <w:szCs w:val="20"/>
        </w:rPr>
        <w:t>Research Trend, 10</w:t>
      </w:r>
      <w:r w:rsidRPr="00C66238">
        <w:rPr>
          <w:rFonts w:ascii="Times New Roman" w:hAnsi="Times New Roman" w:cs="Times New Roman"/>
          <w:szCs w:val="20"/>
        </w:rPr>
        <w:t>(3), 45–50.</w:t>
      </w:r>
    </w:p>
    <w:p w14:paraId="4AD8CADA" w14:textId="77777777" w:rsidR="00C66238" w:rsidRPr="00C66238" w:rsidRDefault="00C66238"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Kumar, S., Meena, R. S., &amp; Lal, R. (2022). Integrated organic nutrient management for higher productivity and farm profitability. </w:t>
      </w:r>
      <w:r w:rsidRPr="00C66238">
        <w:rPr>
          <w:rFonts w:ascii="Times New Roman" w:hAnsi="Times New Roman" w:cs="Times New Roman"/>
          <w:i/>
          <w:iCs/>
          <w:szCs w:val="20"/>
        </w:rPr>
        <w:t>Agronomy</w:t>
      </w:r>
      <w:r w:rsidRPr="00C66238">
        <w:rPr>
          <w:rFonts w:ascii="Times New Roman" w:hAnsi="Times New Roman" w:cs="Times New Roman"/>
          <w:szCs w:val="20"/>
        </w:rPr>
        <w:t>, 12(11), 2764.</w:t>
      </w:r>
    </w:p>
    <w:p w14:paraId="79EAD965" w14:textId="77777777" w:rsidR="00C66238" w:rsidRPr="00C66238" w:rsidRDefault="00C66238"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Kumar, S., Meena, R. S., &amp; Lal, R. (2022). Organic nutrient management improves productivity and soil health in vegetable systems. </w:t>
      </w:r>
      <w:r w:rsidRPr="00C66238">
        <w:rPr>
          <w:rFonts w:ascii="Times New Roman" w:hAnsi="Times New Roman" w:cs="Times New Roman"/>
          <w:i/>
          <w:iCs/>
          <w:szCs w:val="20"/>
        </w:rPr>
        <w:t>Agronomy</w:t>
      </w:r>
      <w:r w:rsidRPr="00C66238">
        <w:rPr>
          <w:rFonts w:ascii="Times New Roman" w:hAnsi="Times New Roman" w:cs="Times New Roman"/>
          <w:szCs w:val="20"/>
        </w:rPr>
        <w:t>, 12(9), 2145.</w:t>
      </w:r>
    </w:p>
    <w:p w14:paraId="41A2ED7B" w14:textId="77777777" w:rsidR="00C66238" w:rsidRPr="00C66238" w:rsidRDefault="00C66238"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Kumar, V., Yadav, R. K., &amp; Singh, P. (2022). Effect of vermicompost and biofertilizers on growth and yield of beetroot (</w:t>
      </w:r>
      <w:r w:rsidRPr="00C66238">
        <w:rPr>
          <w:rFonts w:ascii="Times New Roman" w:hAnsi="Times New Roman" w:cs="Times New Roman"/>
          <w:i/>
          <w:iCs/>
          <w:szCs w:val="20"/>
        </w:rPr>
        <w:t>Beta vulgaris</w:t>
      </w:r>
      <w:r w:rsidRPr="00C66238">
        <w:rPr>
          <w:rFonts w:ascii="Times New Roman" w:hAnsi="Times New Roman" w:cs="Times New Roman"/>
          <w:szCs w:val="20"/>
        </w:rPr>
        <w:t xml:space="preserve"> L.). </w:t>
      </w:r>
      <w:r w:rsidRPr="00C66238">
        <w:rPr>
          <w:rFonts w:ascii="Times New Roman" w:hAnsi="Times New Roman" w:cs="Times New Roman"/>
          <w:i/>
          <w:iCs/>
          <w:szCs w:val="20"/>
        </w:rPr>
        <w:t>International Journal of Plant &amp; Soil Science</w:t>
      </w:r>
      <w:r w:rsidRPr="00C66238">
        <w:rPr>
          <w:rFonts w:ascii="Times New Roman" w:hAnsi="Times New Roman" w:cs="Times New Roman"/>
          <w:szCs w:val="20"/>
        </w:rPr>
        <w:t>, 34(21), 45–52.</w:t>
      </w:r>
    </w:p>
    <w:p w14:paraId="227D4FD7" w14:textId="77777777" w:rsidR="00C66238" w:rsidRPr="00C66238" w:rsidRDefault="00C66238"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Meena, R. S., Kumar, S., &amp; Meena, V. S. (2021). Biofertilizers and their role in improving soil fertility and crop productivity. </w:t>
      </w:r>
      <w:r w:rsidRPr="00C66238">
        <w:rPr>
          <w:rFonts w:ascii="Times New Roman" w:hAnsi="Times New Roman" w:cs="Times New Roman"/>
          <w:i/>
          <w:iCs/>
          <w:szCs w:val="20"/>
        </w:rPr>
        <w:t>Agronomy</w:t>
      </w:r>
      <w:r w:rsidRPr="00C66238">
        <w:rPr>
          <w:rFonts w:ascii="Times New Roman" w:hAnsi="Times New Roman" w:cs="Times New Roman"/>
          <w:szCs w:val="20"/>
        </w:rPr>
        <w:t>, 11(7), 1321.</w:t>
      </w:r>
    </w:p>
    <w:p w14:paraId="3C6CC1DF" w14:textId="77777777" w:rsidR="00C66238" w:rsidRPr="00C66238" w:rsidRDefault="00C66238"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Meena, R. S., Yadav, G. S., &amp; Lal, R. (2023). Biofertilizers and organic amendments for sustainable vegetable production. </w:t>
      </w:r>
      <w:r w:rsidRPr="00C66238">
        <w:rPr>
          <w:rFonts w:ascii="Times New Roman" w:hAnsi="Times New Roman" w:cs="Times New Roman"/>
          <w:i/>
          <w:iCs/>
          <w:szCs w:val="20"/>
        </w:rPr>
        <w:t>Journal of Plant Nutrition</w:t>
      </w:r>
      <w:r w:rsidRPr="00C66238">
        <w:rPr>
          <w:rFonts w:ascii="Times New Roman" w:hAnsi="Times New Roman" w:cs="Times New Roman"/>
          <w:szCs w:val="20"/>
        </w:rPr>
        <w:t>, 46(10), 1891–1904.</w:t>
      </w:r>
    </w:p>
    <w:p w14:paraId="33566EE4" w14:textId="77777777" w:rsidR="00C66238" w:rsidRPr="00C66238" w:rsidRDefault="00C66238" w:rsidP="00CF40F5">
      <w:pPr>
        <w:pStyle w:val="ListParagraph"/>
        <w:numPr>
          <w:ilvl w:val="0"/>
          <w:numId w:val="1"/>
        </w:numPr>
        <w:spacing w:after="0" w:line="360" w:lineRule="auto"/>
        <w:jc w:val="both"/>
        <w:rPr>
          <w:rFonts w:ascii="Times New Roman" w:hAnsi="Times New Roman" w:cs="Times New Roman"/>
          <w:szCs w:val="20"/>
        </w:rPr>
      </w:pPr>
      <w:r w:rsidRPr="00C66238">
        <w:rPr>
          <w:rFonts w:ascii="Times New Roman" w:hAnsi="Times New Roman" w:cs="Times New Roman"/>
          <w:szCs w:val="20"/>
        </w:rPr>
        <w:t>Mia, M. N., &amp; Rashid, M. H. A. (2023). Yield and quality performance of beetroot (</w:t>
      </w:r>
      <w:r w:rsidRPr="00C66238">
        <w:rPr>
          <w:rFonts w:ascii="Times New Roman" w:hAnsi="Times New Roman" w:cs="Times New Roman"/>
          <w:i/>
          <w:iCs/>
          <w:szCs w:val="20"/>
        </w:rPr>
        <w:t>Beta vulgaris</w:t>
      </w:r>
      <w:r w:rsidRPr="00C66238">
        <w:rPr>
          <w:rFonts w:ascii="Times New Roman" w:hAnsi="Times New Roman" w:cs="Times New Roman"/>
          <w:szCs w:val="20"/>
        </w:rPr>
        <w:t xml:space="preserve"> L.) as influenced by organic manure management. </w:t>
      </w:r>
      <w:r w:rsidRPr="00C66238">
        <w:rPr>
          <w:rFonts w:ascii="Times New Roman" w:hAnsi="Times New Roman" w:cs="Times New Roman"/>
          <w:i/>
          <w:iCs/>
          <w:szCs w:val="20"/>
        </w:rPr>
        <w:t>Fundamental and Applied Agriculture, 8</w:t>
      </w:r>
      <w:r w:rsidRPr="00C66238">
        <w:rPr>
          <w:rFonts w:ascii="Times New Roman" w:hAnsi="Times New Roman" w:cs="Times New Roman"/>
          <w:szCs w:val="20"/>
        </w:rPr>
        <w:t xml:space="preserve">(1–2), 377–389. </w:t>
      </w:r>
      <w:hyperlink r:id="rId12" w:history="1">
        <w:r w:rsidRPr="00C66238">
          <w:rPr>
            <w:rStyle w:val="Hyperlink"/>
            <w:rFonts w:ascii="Times New Roman" w:hAnsi="Times New Roman" w:cs="Times New Roman"/>
            <w:szCs w:val="20"/>
          </w:rPr>
          <w:t>https://doi.org/10.5455/faa.93670</w:t>
        </w:r>
      </w:hyperlink>
    </w:p>
    <w:p w14:paraId="15E8E35E" w14:textId="77777777" w:rsidR="00C66238" w:rsidRPr="00C66238" w:rsidRDefault="00C66238" w:rsidP="00CF40F5">
      <w:pPr>
        <w:pStyle w:val="ListParagraph"/>
        <w:numPr>
          <w:ilvl w:val="0"/>
          <w:numId w:val="1"/>
        </w:numPr>
        <w:spacing w:after="0" w:line="360" w:lineRule="auto"/>
        <w:jc w:val="both"/>
        <w:rPr>
          <w:rFonts w:ascii="Times New Roman" w:hAnsi="Times New Roman" w:cs="Times New Roman"/>
          <w:szCs w:val="20"/>
        </w:rPr>
      </w:pPr>
      <w:r w:rsidRPr="00C66238">
        <w:rPr>
          <w:rFonts w:ascii="Times New Roman" w:hAnsi="Times New Roman" w:cs="Times New Roman"/>
          <w:szCs w:val="20"/>
        </w:rPr>
        <w:t xml:space="preserve">Mishra, R. (2023). Studies on the effect of organic compost on growth, yield and </w:t>
      </w:r>
      <w:proofErr w:type="spellStart"/>
      <w:r w:rsidRPr="00C66238">
        <w:rPr>
          <w:rFonts w:ascii="Times New Roman" w:hAnsi="Times New Roman" w:cs="Times New Roman"/>
          <w:szCs w:val="20"/>
        </w:rPr>
        <w:t>betalain</w:t>
      </w:r>
      <w:proofErr w:type="spellEnd"/>
      <w:r w:rsidRPr="00C66238">
        <w:rPr>
          <w:rFonts w:ascii="Times New Roman" w:hAnsi="Times New Roman" w:cs="Times New Roman"/>
          <w:szCs w:val="20"/>
        </w:rPr>
        <w:t xml:space="preserve"> content of beetroot (</w:t>
      </w:r>
      <w:r w:rsidRPr="00C66238">
        <w:rPr>
          <w:rFonts w:ascii="Times New Roman" w:hAnsi="Times New Roman" w:cs="Times New Roman"/>
          <w:i/>
          <w:iCs/>
          <w:szCs w:val="20"/>
        </w:rPr>
        <w:t>Beta vulgaris</w:t>
      </w:r>
      <w:r w:rsidRPr="00C66238">
        <w:rPr>
          <w:rFonts w:ascii="Times New Roman" w:hAnsi="Times New Roman" w:cs="Times New Roman"/>
          <w:szCs w:val="20"/>
        </w:rPr>
        <w:t xml:space="preserve"> L.). </w:t>
      </w:r>
      <w:r w:rsidRPr="00C66238">
        <w:rPr>
          <w:rFonts w:ascii="Times New Roman" w:hAnsi="Times New Roman" w:cs="Times New Roman"/>
          <w:i/>
          <w:iCs/>
          <w:szCs w:val="20"/>
        </w:rPr>
        <w:t>International Journal of Environment and Climate Change, 13</w:t>
      </w:r>
      <w:r w:rsidRPr="00C66238">
        <w:rPr>
          <w:rFonts w:ascii="Times New Roman" w:hAnsi="Times New Roman" w:cs="Times New Roman"/>
          <w:szCs w:val="20"/>
        </w:rPr>
        <w:t>(9), 2397–2404.</w:t>
      </w:r>
    </w:p>
    <w:p w14:paraId="22674C04" w14:textId="77777777" w:rsidR="00C66238" w:rsidRPr="00C66238" w:rsidRDefault="00C66238"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Patel, H. R., Patel, K. P., &amp; Patel, A. M. (2021). Organic nutrient management in beetroot for sustainable production. </w:t>
      </w:r>
      <w:r w:rsidRPr="00C66238">
        <w:rPr>
          <w:rFonts w:ascii="Times New Roman" w:hAnsi="Times New Roman" w:cs="Times New Roman"/>
          <w:i/>
          <w:iCs/>
          <w:szCs w:val="20"/>
        </w:rPr>
        <w:t>Journal of Horticultural Sciences</w:t>
      </w:r>
      <w:r w:rsidRPr="00C66238">
        <w:rPr>
          <w:rFonts w:ascii="Times New Roman" w:hAnsi="Times New Roman" w:cs="Times New Roman"/>
          <w:szCs w:val="20"/>
        </w:rPr>
        <w:t>, 16(1), 56–61.</w:t>
      </w:r>
    </w:p>
    <w:p w14:paraId="6FDBF823" w14:textId="77777777" w:rsidR="00C66238" w:rsidRPr="00C66238" w:rsidRDefault="00C66238"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Patel, R. K., Patel, D. P., &amp; Chaudhary, S. K. (2020). Economics of organic nutrient management in root vegetables. </w:t>
      </w:r>
      <w:r w:rsidRPr="00C66238">
        <w:rPr>
          <w:rFonts w:ascii="Times New Roman" w:hAnsi="Times New Roman" w:cs="Times New Roman"/>
          <w:i/>
          <w:iCs/>
          <w:szCs w:val="20"/>
        </w:rPr>
        <w:t>Journal of Root Crops</w:t>
      </w:r>
      <w:r w:rsidRPr="00C66238">
        <w:rPr>
          <w:rFonts w:ascii="Times New Roman" w:hAnsi="Times New Roman" w:cs="Times New Roman"/>
          <w:szCs w:val="20"/>
        </w:rPr>
        <w:t>, 46(2), 120–126.</w:t>
      </w:r>
    </w:p>
    <w:p w14:paraId="64CB49E1" w14:textId="77777777" w:rsidR="00C66238" w:rsidRPr="00C66238" w:rsidRDefault="00C66238"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Reddy, G. C., Naik, M. H., &amp; Rao, D. S. (2024). Organic inputs influence crop phenology and productivity of root vegetables. </w:t>
      </w:r>
      <w:r w:rsidRPr="00C66238">
        <w:rPr>
          <w:rFonts w:ascii="Times New Roman" w:hAnsi="Times New Roman" w:cs="Times New Roman"/>
          <w:i/>
          <w:iCs/>
          <w:szCs w:val="20"/>
        </w:rPr>
        <w:t>Indian Journal of Agricultural Research</w:t>
      </w:r>
      <w:r w:rsidRPr="00C66238">
        <w:rPr>
          <w:rFonts w:ascii="Times New Roman" w:hAnsi="Times New Roman" w:cs="Times New Roman"/>
          <w:szCs w:val="20"/>
        </w:rPr>
        <w:t>, 58(1), 89–94.</w:t>
      </w:r>
    </w:p>
    <w:p w14:paraId="65DE1D9E" w14:textId="77777777" w:rsidR="00C66238" w:rsidRPr="00C66238" w:rsidRDefault="00C66238"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lastRenderedPageBreak/>
        <w:t xml:space="preserve">Sharma, R., &amp; Banik, P. (2021). Integrated nutrient management for improving yield and quality of vegetable crops. </w:t>
      </w:r>
      <w:r w:rsidRPr="00C66238">
        <w:rPr>
          <w:rFonts w:ascii="Times New Roman" w:hAnsi="Times New Roman" w:cs="Times New Roman"/>
          <w:i/>
          <w:iCs/>
          <w:szCs w:val="20"/>
        </w:rPr>
        <w:t xml:space="preserve">Scientia </w:t>
      </w:r>
      <w:proofErr w:type="spellStart"/>
      <w:r w:rsidRPr="00C66238">
        <w:rPr>
          <w:rFonts w:ascii="Times New Roman" w:hAnsi="Times New Roman" w:cs="Times New Roman"/>
          <w:i/>
          <w:iCs/>
          <w:szCs w:val="20"/>
        </w:rPr>
        <w:t>Horticulturae</w:t>
      </w:r>
      <w:proofErr w:type="spellEnd"/>
      <w:r w:rsidRPr="00C66238">
        <w:rPr>
          <w:rFonts w:ascii="Times New Roman" w:hAnsi="Times New Roman" w:cs="Times New Roman"/>
          <w:szCs w:val="20"/>
        </w:rPr>
        <w:t>, 283, 110034.</w:t>
      </w:r>
    </w:p>
    <w:p w14:paraId="15233149" w14:textId="77777777" w:rsidR="00C66238" w:rsidRPr="00C66238" w:rsidRDefault="00C66238"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Sharma, R., Singh, A., &amp; Banik, P. (2021). Profitability of integrated nutrient management in vegetable production systems. </w:t>
      </w:r>
      <w:r w:rsidRPr="00C66238">
        <w:rPr>
          <w:rFonts w:ascii="Times New Roman" w:hAnsi="Times New Roman" w:cs="Times New Roman"/>
          <w:i/>
          <w:iCs/>
          <w:szCs w:val="20"/>
        </w:rPr>
        <w:t xml:space="preserve">Scientia </w:t>
      </w:r>
      <w:proofErr w:type="spellStart"/>
      <w:r w:rsidRPr="00C66238">
        <w:rPr>
          <w:rFonts w:ascii="Times New Roman" w:hAnsi="Times New Roman" w:cs="Times New Roman"/>
          <w:i/>
          <w:iCs/>
          <w:szCs w:val="20"/>
        </w:rPr>
        <w:t>Horticulturae</w:t>
      </w:r>
      <w:proofErr w:type="spellEnd"/>
      <w:r w:rsidRPr="00C66238">
        <w:rPr>
          <w:rFonts w:ascii="Times New Roman" w:hAnsi="Times New Roman" w:cs="Times New Roman"/>
          <w:szCs w:val="20"/>
        </w:rPr>
        <w:t>, 287, 110267.</w:t>
      </w:r>
    </w:p>
    <w:p w14:paraId="02266CCE" w14:textId="77777777" w:rsidR="00C66238" w:rsidRPr="00C66238" w:rsidRDefault="00C66238"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Singh, A., Verma, S., &amp; Singh, R. (2020). Effect of organic manures and biofertilizers on growth of vegetable crops. </w:t>
      </w:r>
      <w:r w:rsidRPr="00C66238">
        <w:rPr>
          <w:rFonts w:ascii="Times New Roman" w:hAnsi="Times New Roman" w:cs="Times New Roman"/>
          <w:i/>
          <w:iCs/>
          <w:szCs w:val="20"/>
        </w:rPr>
        <w:t>International Journal of Chemical Studies</w:t>
      </w:r>
      <w:r w:rsidRPr="00C66238">
        <w:rPr>
          <w:rFonts w:ascii="Times New Roman" w:hAnsi="Times New Roman" w:cs="Times New Roman"/>
          <w:szCs w:val="20"/>
        </w:rPr>
        <w:t>, 8(4), 2101–2105.</w:t>
      </w:r>
    </w:p>
    <w:p w14:paraId="1728BF8E" w14:textId="77777777" w:rsidR="00C66238" w:rsidRPr="00C66238" w:rsidRDefault="00C66238"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Singh, V., Yadav, R. K., &amp; Kumar, A. (2021). Role of vermicompost and biofertilizers on growth and yield of root vegetables. </w:t>
      </w:r>
      <w:r w:rsidRPr="00C66238">
        <w:rPr>
          <w:rFonts w:ascii="Times New Roman" w:hAnsi="Times New Roman" w:cs="Times New Roman"/>
          <w:i/>
          <w:iCs/>
          <w:szCs w:val="20"/>
        </w:rPr>
        <w:t>International Journal of Vegetable Science</w:t>
      </w:r>
      <w:r w:rsidRPr="00C66238">
        <w:rPr>
          <w:rFonts w:ascii="Times New Roman" w:hAnsi="Times New Roman" w:cs="Times New Roman"/>
          <w:szCs w:val="20"/>
        </w:rPr>
        <w:t>, 27(5), 468–477.</w:t>
      </w:r>
    </w:p>
    <w:p w14:paraId="11495E38" w14:textId="77777777" w:rsidR="00C66238" w:rsidRPr="00C66238" w:rsidRDefault="00C66238" w:rsidP="00CF40F5">
      <w:pPr>
        <w:pStyle w:val="ListParagraph"/>
        <w:numPr>
          <w:ilvl w:val="0"/>
          <w:numId w:val="1"/>
        </w:numPr>
        <w:spacing w:after="0" w:line="360" w:lineRule="auto"/>
        <w:jc w:val="both"/>
        <w:rPr>
          <w:rFonts w:ascii="Times New Roman" w:hAnsi="Times New Roman" w:cs="Times New Roman"/>
          <w:szCs w:val="20"/>
        </w:rPr>
      </w:pPr>
      <w:r w:rsidRPr="00C66238">
        <w:rPr>
          <w:rFonts w:ascii="Times New Roman" w:hAnsi="Times New Roman" w:cs="Times New Roman"/>
          <w:szCs w:val="20"/>
        </w:rPr>
        <w:t xml:space="preserve">Vishwakarma, K., Kumar, N., Shandilya, C., Mohapatra, S., Bhayana, S., Varma, A., &amp; Singh, M. (2020). Revisiting plant–microbe interactions and microbial consortia application for enhancing sustainable agriculture. </w:t>
      </w:r>
      <w:r w:rsidRPr="00C66238">
        <w:rPr>
          <w:rFonts w:ascii="Times New Roman" w:hAnsi="Times New Roman" w:cs="Times New Roman"/>
          <w:i/>
          <w:iCs/>
          <w:szCs w:val="20"/>
        </w:rPr>
        <w:t>Journal of Cleaner Production, 277</w:t>
      </w:r>
      <w:r w:rsidRPr="00C66238">
        <w:rPr>
          <w:rFonts w:ascii="Times New Roman" w:hAnsi="Times New Roman" w:cs="Times New Roman"/>
          <w:szCs w:val="20"/>
        </w:rPr>
        <w:t xml:space="preserve">, 123–153. </w:t>
      </w:r>
      <w:hyperlink r:id="rId13" w:history="1">
        <w:r w:rsidRPr="00C66238">
          <w:rPr>
            <w:rStyle w:val="Hyperlink"/>
            <w:rFonts w:ascii="Times New Roman" w:hAnsi="Times New Roman" w:cs="Times New Roman"/>
            <w:szCs w:val="20"/>
          </w:rPr>
          <w:t>https://doi.org/10.1016/j.jclepro.2020.123146</w:t>
        </w:r>
      </w:hyperlink>
    </w:p>
    <w:p w14:paraId="46B0343B" w14:textId="77777777" w:rsidR="00C66238" w:rsidRPr="00C66238" w:rsidRDefault="00C66238"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Yadav, S., Kumar, R., Meena, M., &amp; Meena, V. S. (2021). Organic nutrient management for sustainable vegetable production: A review. </w:t>
      </w:r>
      <w:r w:rsidRPr="00C66238">
        <w:rPr>
          <w:rFonts w:ascii="Times New Roman" w:hAnsi="Times New Roman" w:cs="Times New Roman"/>
          <w:i/>
          <w:iCs/>
          <w:szCs w:val="20"/>
        </w:rPr>
        <w:t>International Journal of Plant &amp; Soil Science, 33</w:t>
      </w:r>
      <w:r w:rsidRPr="00C66238">
        <w:rPr>
          <w:rFonts w:ascii="Times New Roman" w:hAnsi="Times New Roman" w:cs="Times New Roman"/>
          <w:szCs w:val="20"/>
        </w:rPr>
        <w:t>(21), 42–55.</w:t>
      </w:r>
    </w:p>
    <w:p w14:paraId="2346358A" w14:textId="77777777" w:rsidR="00824FA7" w:rsidRPr="007853C3" w:rsidRDefault="00824FA7" w:rsidP="00CF40F5">
      <w:pPr>
        <w:spacing w:after="0" w:line="360" w:lineRule="auto"/>
        <w:rPr>
          <w:rFonts w:ascii="Times New Roman" w:hAnsi="Times New Roman" w:cs="Times New Roman"/>
          <w:szCs w:val="20"/>
        </w:rPr>
      </w:pPr>
    </w:p>
    <w:p w14:paraId="0783E13A" w14:textId="77777777" w:rsidR="007853C3" w:rsidRPr="007853C3" w:rsidRDefault="007853C3" w:rsidP="00CF40F5">
      <w:pPr>
        <w:spacing w:after="0" w:line="360" w:lineRule="auto"/>
        <w:rPr>
          <w:rFonts w:ascii="Times New Roman" w:hAnsi="Times New Roman" w:cs="Times New Roman"/>
          <w:szCs w:val="20"/>
        </w:rPr>
      </w:pPr>
    </w:p>
    <w:sectPr w:rsidR="007853C3" w:rsidRPr="007853C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B14C3" w14:textId="77777777" w:rsidR="00AF4388" w:rsidRDefault="00AF4388" w:rsidP="005C5386">
      <w:pPr>
        <w:spacing w:after="0" w:line="240" w:lineRule="auto"/>
      </w:pPr>
      <w:r>
        <w:separator/>
      </w:r>
    </w:p>
  </w:endnote>
  <w:endnote w:type="continuationSeparator" w:id="0">
    <w:p w14:paraId="6F7DCDDF" w14:textId="77777777" w:rsidR="00AF4388" w:rsidRDefault="00AF4388" w:rsidP="005C5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3ABDE" w14:textId="77777777" w:rsidR="007E7BC4" w:rsidRDefault="007E7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677D7" w14:textId="77777777" w:rsidR="007E7BC4" w:rsidRDefault="007E7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C758" w14:textId="77777777" w:rsidR="007E7BC4" w:rsidRDefault="007E7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D5D26" w14:textId="77777777" w:rsidR="00AF4388" w:rsidRDefault="00AF4388" w:rsidP="005C5386">
      <w:pPr>
        <w:spacing w:after="0" w:line="240" w:lineRule="auto"/>
      </w:pPr>
      <w:r>
        <w:separator/>
      </w:r>
    </w:p>
  </w:footnote>
  <w:footnote w:type="continuationSeparator" w:id="0">
    <w:p w14:paraId="6FDE4AC1" w14:textId="77777777" w:rsidR="00AF4388" w:rsidRDefault="00AF4388" w:rsidP="005C5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43D5" w14:textId="533851DE" w:rsidR="007E7BC4" w:rsidRDefault="007E7BC4">
    <w:pPr>
      <w:pStyle w:val="Header"/>
    </w:pPr>
    <w:r>
      <w:rPr>
        <w:noProof/>
      </w:rPr>
      <w:pict w14:anchorId="36F0E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27742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14A29" w14:textId="1D18D8A2" w:rsidR="007E7BC4" w:rsidRDefault="007E7BC4">
    <w:pPr>
      <w:pStyle w:val="Header"/>
    </w:pPr>
    <w:r>
      <w:rPr>
        <w:noProof/>
      </w:rPr>
      <w:pict w14:anchorId="52DA5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27742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D31FD" w14:textId="22B2AB95" w:rsidR="007E7BC4" w:rsidRDefault="007E7BC4">
    <w:pPr>
      <w:pStyle w:val="Header"/>
    </w:pPr>
    <w:r>
      <w:rPr>
        <w:noProof/>
      </w:rPr>
      <w:pict w14:anchorId="70CDD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27742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07424"/>
    <w:multiLevelType w:val="hybridMultilevel"/>
    <w:tmpl w:val="11927B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FC040A8"/>
    <w:multiLevelType w:val="hybridMultilevel"/>
    <w:tmpl w:val="48F8DD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7F8"/>
    <w:rsid w:val="00092CE5"/>
    <w:rsid w:val="0014328B"/>
    <w:rsid w:val="00303763"/>
    <w:rsid w:val="00312154"/>
    <w:rsid w:val="00332148"/>
    <w:rsid w:val="003574CE"/>
    <w:rsid w:val="00456EFE"/>
    <w:rsid w:val="005075B5"/>
    <w:rsid w:val="005217F8"/>
    <w:rsid w:val="00523D4C"/>
    <w:rsid w:val="00555135"/>
    <w:rsid w:val="005C5386"/>
    <w:rsid w:val="005F0D8A"/>
    <w:rsid w:val="0061344C"/>
    <w:rsid w:val="006308C8"/>
    <w:rsid w:val="00680D2E"/>
    <w:rsid w:val="006919AC"/>
    <w:rsid w:val="006F1F15"/>
    <w:rsid w:val="006F5AEC"/>
    <w:rsid w:val="00720BE9"/>
    <w:rsid w:val="007853C3"/>
    <w:rsid w:val="007E7BC4"/>
    <w:rsid w:val="00824FA7"/>
    <w:rsid w:val="0088462B"/>
    <w:rsid w:val="008B1E35"/>
    <w:rsid w:val="0090753D"/>
    <w:rsid w:val="00912384"/>
    <w:rsid w:val="00926E14"/>
    <w:rsid w:val="00991598"/>
    <w:rsid w:val="009A62B4"/>
    <w:rsid w:val="00AC2F62"/>
    <w:rsid w:val="00AF4388"/>
    <w:rsid w:val="00B21CC1"/>
    <w:rsid w:val="00BB2CC9"/>
    <w:rsid w:val="00C008A6"/>
    <w:rsid w:val="00C20ED7"/>
    <w:rsid w:val="00C66238"/>
    <w:rsid w:val="00CA18EB"/>
    <w:rsid w:val="00CD704F"/>
    <w:rsid w:val="00CF40F5"/>
    <w:rsid w:val="00D95902"/>
    <w:rsid w:val="00DE3A07"/>
    <w:rsid w:val="00E01BCE"/>
    <w:rsid w:val="00E2343C"/>
    <w:rsid w:val="00E274DD"/>
    <w:rsid w:val="00E37887"/>
    <w:rsid w:val="00EA192E"/>
    <w:rsid w:val="00EE59BF"/>
    <w:rsid w:val="00EF41CC"/>
    <w:rsid w:val="00EF5238"/>
    <w:rsid w:val="00F22C07"/>
    <w:rsid w:val="00FE411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C2E497"/>
  <w15:chartTrackingRefBased/>
  <w15:docId w15:val="{D7BF8576-FF2A-4962-BA00-62677E5F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7F8"/>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5217F8"/>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5217F8"/>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5217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7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7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7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7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7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7F8"/>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5217F8"/>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5217F8"/>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5217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7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7F8"/>
    <w:rPr>
      <w:rFonts w:eastAsiaTheme="majorEastAsia" w:cstheme="majorBidi"/>
      <w:color w:val="272727" w:themeColor="text1" w:themeTint="D8"/>
    </w:rPr>
  </w:style>
  <w:style w:type="paragraph" w:styleId="Title">
    <w:name w:val="Title"/>
    <w:basedOn w:val="Normal"/>
    <w:next w:val="Normal"/>
    <w:link w:val="TitleChar"/>
    <w:uiPriority w:val="10"/>
    <w:qFormat/>
    <w:rsid w:val="005217F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217F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217F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217F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217F8"/>
    <w:pPr>
      <w:spacing w:before="160"/>
      <w:jc w:val="center"/>
    </w:pPr>
    <w:rPr>
      <w:i/>
      <w:iCs/>
      <w:color w:val="404040" w:themeColor="text1" w:themeTint="BF"/>
    </w:rPr>
  </w:style>
  <w:style w:type="character" w:customStyle="1" w:styleId="QuoteChar">
    <w:name w:val="Quote Char"/>
    <w:basedOn w:val="DefaultParagraphFont"/>
    <w:link w:val="Quote"/>
    <w:uiPriority w:val="29"/>
    <w:rsid w:val="005217F8"/>
    <w:rPr>
      <w:i/>
      <w:iCs/>
      <w:color w:val="404040" w:themeColor="text1" w:themeTint="BF"/>
    </w:rPr>
  </w:style>
  <w:style w:type="paragraph" w:styleId="ListParagraph">
    <w:name w:val="List Paragraph"/>
    <w:basedOn w:val="Normal"/>
    <w:uiPriority w:val="34"/>
    <w:qFormat/>
    <w:rsid w:val="005217F8"/>
    <w:pPr>
      <w:ind w:left="720"/>
      <w:contextualSpacing/>
    </w:pPr>
  </w:style>
  <w:style w:type="character" w:styleId="IntenseEmphasis">
    <w:name w:val="Intense Emphasis"/>
    <w:basedOn w:val="DefaultParagraphFont"/>
    <w:uiPriority w:val="21"/>
    <w:qFormat/>
    <w:rsid w:val="005217F8"/>
    <w:rPr>
      <w:i/>
      <w:iCs/>
      <w:color w:val="0F4761" w:themeColor="accent1" w:themeShade="BF"/>
    </w:rPr>
  </w:style>
  <w:style w:type="paragraph" w:styleId="IntenseQuote">
    <w:name w:val="Intense Quote"/>
    <w:basedOn w:val="Normal"/>
    <w:next w:val="Normal"/>
    <w:link w:val="IntenseQuoteChar"/>
    <w:uiPriority w:val="30"/>
    <w:qFormat/>
    <w:rsid w:val="005217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7F8"/>
    <w:rPr>
      <w:i/>
      <w:iCs/>
      <w:color w:val="0F4761" w:themeColor="accent1" w:themeShade="BF"/>
    </w:rPr>
  </w:style>
  <w:style w:type="character" w:styleId="IntenseReference">
    <w:name w:val="Intense Reference"/>
    <w:basedOn w:val="DefaultParagraphFont"/>
    <w:uiPriority w:val="32"/>
    <w:qFormat/>
    <w:rsid w:val="005217F8"/>
    <w:rPr>
      <w:b/>
      <w:bCs/>
      <w:smallCaps/>
      <w:color w:val="0F4761" w:themeColor="accent1" w:themeShade="BF"/>
      <w:spacing w:val="5"/>
    </w:rPr>
  </w:style>
  <w:style w:type="character" w:styleId="Hyperlink">
    <w:name w:val="Hyperlink"/>
    <w:basedOn w:val="DefaultParagraphFont"/>
    <w:uiPriority w:val="99"/>
    <w:unhideWhenUsed/>
    <w:rsid w:val="007853C3"/>
    <w:rPr>
      <w:color w:val="467886" w:themeColor="hyperlink"/>
      <w:u w:val="single"/>
    </w:rPr>
  </w:style>
  <w:style w:type="character" w:styleId="UnresolvedMention">
    <w:name w:val="Unresolved Mention"/>
    <w:basedOn w:val="DefaultParagraphFont"/>
    <w:uiPriority w:val="99"/>
    <w:semiHidden/>
    <w:unhideWhenUsed/>
    <w:rsid w:val="007853C3"/>
    <w:rPr>
      <w:color w:val="605E5C"/>
      <w:shd w:val="clear" w:color="auto" w:fill="E1DFDD"/>
    </w:rPr>
  </w:style>
  <w:style w:type="paragraph" w:styleId="Header">
    <w:name w:val="header"/>
    <w:basedOn w:val="Normal"/>
    <w:link w:val="HeaderChar"/>
    <w:uiPriority w:val="99"/>
    <w:unhideWhenUsed/>
    <w:rsid w:val="005C5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386"/>
  </w:style>
  <w:style w:type="paragraph" w:styleId="Footer">
    <w:name w:val="footer"/>
    <w:basedOn w:val="Normal"/>
    <w:link w:val="FooterChar"/>
    <w:uiPriority w:val="99"/>
    <w:unhideWhenUsed/>
    <w:rsid w:val="005C53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jclepro.2020.123146"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5455/faa.9367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545/2618060X.2024.v7.i2c.30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b="1" i="0" u="none" strike="noStrike" baseline="0">
                <a:effectLst/>
              </a:rPr>
              <a:t>Fig. 1- Effect of Organic Manures and Biofertilizers on Growth </a:t>
            </a:r>
            <a:endParaRPr lang="en-IN" sz="1100"/>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Sheet1!$E$3</c:f>
              <c:strCache>
                <c:ptCount val="1"/>
                <c:pt idx="0">
                  <c:v>Plant height at harvest (cm)</c:v>
                </c:pt>
              </c:strCache>
            </c:strRef>
          </c:tx>
          <c:spPr>
            <a:solidFill>
              <a:schemeClr val="accent1"/>
            </a:solidFill>
            <a:ln>
              <a:noFill/>
            </a:ln>
            <a:effectLst/>
          </c:spPr>
          <c:invertIfNegative val="0"/>
          <c:cat>
            <c:strRef>
              <c:f>Sheet1!$D$4:$D$14</c:f>
              <c:strCache>
                <c:ptCount val="11"/>
                <c:pt idx="0">
                  <c:v>T₁ Control</c:v>
                </c:pt>
                <c:pt idx="1">
                  <c:v>T₂ RDF (N 125: P₂O₅ 50: K₂O 70 kg ha⁻¹)</c:v>
                </c:pt>
                <c:pt idx="2">
                  <c:v>T₃ FYM @ 20 t ha⁻¹</c:v>
                </c:pt>
                <c:pt idx="3">
                  <c:v>T₄ Vermicompost @ 5 t ha⁻¹</c:v>
                </c:pt>
                <c:pt idx="4">
                  <c:v>T₅ Neem cake @ 80 kg ha⁻¹</c:v>
                </c:pt>
                <c:pt idx="5">
                  <c:v>T₆ PSB @ 2.5 kg ha⁻¹</c:v>
                </c:pt>
                <c:pt idx="6">
                  <c:v>T₇ FYM @ 10 t ha⁻¹ + Vermicompost @ 2.5 t ha⁻¹</c:v>
                </c:pt>
                <c:pt idx="7">
                  <c:v>T₈ FYM @ 10 t ha⁻¹ + Neem cake @ 40 kg ha⁻¹</c:v>
                </c:pt>
                <c:pt idx="8">
                  <c:v>T₉ FYM @ 10 t ha⁻¹ + PSB @ 1.25 kg ha⁻¹</c:v>
                </c:pt>
                <c:pt idx="9">
                  <c:v>T₁₀ Vermicompost @ 2.5 t ha⁻¹ + Neem cake @ 40 kg ha⁻¹</c:v>
                </c:pt>
                <c:pt idx="10">
                  <c:v>T₁₁ Vermicompost @ 2.5 t ha⁻¹ + PSB @ 1.25 kg ha⁻¹</c:v>
                </c:pt>
              </c:strCache>
            </c:strRef>
          </c:cat>
          <c:val>
            <c:numRef>
              <c:f>Sheet1!$E$4:$E$14</c:f>
              <c:numCache>
                <c:formatCode>General</c:formatCode>
                <c:ptCount val="11"/>
                <c:pt idx="0">
                  <c:v>24.26</c:v>
                </c:pt>
                <c:pt idx="1">
                  <c:v>30.45</c:v>
                </c:pt>
                <c:pt idx="2">
                  <c:v>25.25</c:v>
                </c:pt>
                <c:pt idx="3">
                  <c:v>30.91</c:v>
                </c:pt>
                <c:pt idx="4">
                  <c:v>29.47</c:v>
                </c:pt>
                <c:pt idx="5">
                  <c:v>24.45</c:v>
                </c:pt>
                <c:pt idx="6">
                  <c:v>30.82</c:v>
                </c:pt>
                <c:pt idx="7">
                  <c:v>30.99</c:v>
                </c:pt>
                <c:pt idx="8">
                  <c:v>27.47</c:v>
                </c:pt>
                <c:pt idx="9">
                  <c:v>31.16</c:v>
                </c:pt>
                <c:pt idx="10">
                  <c:v>31.45</c:v>
                </c:pt>
              </c:numCache>
            </c:numRef>
          </c:val>
          <c:extLst>
            <c:ext xmlns:c16="http://schemas.microsoft.com/office/drawing/2014/chart" uri="{C3380CC4-5D6E-409C-BE32-E72D297353CC}">
              <c16:uniqueId val="{00000000-3846-449B-805E-AA1B9A2661A6}"/>
            </c:ext>
          </c:extLst>
        </c:ser>
        <c:ser>
          <c:idx val="1"/>
          <c:order val="1"/>
          <c:tx>
            <c:strRef>
              <c:f>Sheet1!$F$3</c:f>
              <c:strCache>
                <c:ptCount val="1"/>
                <c:pt idx="0">
                  <c:v>Number of leaves at harvest</c:v>
                </c:pt>
              </c:strCache>
            </c:strRef>
          </c:tx>
          <c:spPr>
            <a:solidFill>
              <a:schemeClr val="accent2"/>
            </a:solidFill>
            <a:ln>
              <a:noFill/>
            </a:ln>
            <a:effectLst/>
          </c:spPr>
          <c:invertIfNegative val="0"/>
          <c:cat>
            <c:strRef>
              <c:f>Sheet1!$D$4:$D$14</c:f>
              <c:strCache>
                <c:ptCount val="11"/>
                <c:pt idx="0">
                  <c:v>T₁ Control</c:v>
                </c:pt>
                <c:pt idx="1">
                  <c:v>T₂ RDF (N 125: P₂O₅ 50: K₂O 70 kg ha⁻¹)</c:v>
                </c:pt>
                <c:pt idx="2">
                  <c:v>T₃ FYM @ 20 t ha⁻¹</c:v>
                </c:pt>
                <c:pt idx="3">
                  <c:v>T₄ Vermicompost @ 5 t ha⁻¹</c:v>
                </c:pt>
                <c:pt idx="4">
                  <c:v>T₅ Neem cake @ 80 kg ha⁻¹</c:v>
                </c:pt>
                <c:pt idx="5">
                  <c:v>T₆ PSB @ 2.5 kg ha⁻¹</c:v>
                </c:pt>
                <c:pt idx="6">
                  <c:v>T₇ FYM @ 10 t ha⁻¹ + Vermicompost @ 2.5 t ha⁻¹</c:v>
                </c:pt>
                <c:pt idx="7">
                  <c:v>T₈ FYM @ 10 t ha⁻¹ + Neem cake @ 40 kg ha⁻¹</c:v>
                </c:pt>
                <c:pt idx="8">
                  <c:v>T₉ FYM @ 10 t ha⁻¹ + PSB @ 1.25 kg ha⁻¹</c:v>
                </c:pt>
                <c:pt idx="9">
                  <c:v>T₁₀ Vermicompost @ 2.5 t ha⁻¹ + Neem cake @ 40 kg ha⁻¹</c:v>
                </c:pt>
                <c:pt idx="10">
                  <c:v>T₁₁ Vermicompost @ 2.5 t ha⁻¹ + PSB @ 1.25 kg ha⁻¹</c:v>
                </c:pt>
              </c:strCache>
            </c:strRef>
          </c:cat>
          <c:val>
            <c:numRef>
              <c:f>Sheet1!$F$4:$F$14</c:f>
              <c:numCache>
                <c:formatCode>General</c:formatCode>
                <c:ptCount val="11"/>
                <c:pt idx="0">
                  <c:v>16.05</c:v>
                </c:pt>
                <c:pt idx="1">
                  <c:v>15.19</c:v>
                </c:pt>
                <c:pt idx="2">
                  <c:v>15.45</c:v>
                </c:pt>
                <c:pt idx="3">
                  <c:v>15.59</c:v>
                </c:pt>
                <c:pt idx="4">
                  <c:v>14.01</c:v>
                </c:pt>
                <c:pt idx="5">
                  <c:v>15.9</c:v>
                </c:pt>
                <c:pt idx="6">
                  <c:v>15.79</c:v>
                </c:pt>
                <c:pt idx="7">
                  <c:v>14.56</c:v>
                </c:pt>
                <c:pt idx="8">
                  <c:v>17.09</c:v>
                </c:pt>
                <c:pt idx="9">
                  <c:v>17.489999999999998</c:v>
                </c:pt>
                <c:pt idx="10">
                  <c:v>17.489999999999998</c:v>
                </c:pt>
              </c:numCache>
            </c:numRef>
          </c:val>
          <c:extLst>
            <c:ext xmlns:c16="http://schemas.microsoft.com/office/drawing/2014/chart" uri="{C3380CC4-5D6E-409C-BE32-E72D297353CC}">
              <c16:uniqueId val="{00000001-3846-449B-805E-AA1B9A2661A6}"/>
            </c:ext>
          </c:extLst>
        </c:ser>
        <c:ser>
          <c:idx val="2"/>
          <c:order val="2"/>
          <c:tx>
            <c:strRef>
              <c:f>Sheet1!$G$3</c:f>
              <c:strCache>
                <c:ptCount val="1"/>
                <c:pt idx="0">
                  <c:v>Leaf area (cm²) at 70 DAS</c:v>
                </c:pt>
              </c:strCache>
            </c:strRef>
          </c:tx>
          <c:spPr>
            <a:solidFill>
              <a:schemeClr val="accent3"/>
            </a:solidFill>
            <a:ln>
              <a:noFill/>
            </a:ln>
            <a:effectLst/>
          </c:spPr>
          <c:invertIfNegative val="0"/>
          <c:cat>
            <c:strRef>
              <c:f>Sheet1!$D$4:$D$14</c:f>
              <c:strCache>
                <c:ptCount val="11"/>
                <c:pt idx="0">
                  <c:v>T₁ Control</c:v>
                </c:pt>
                <c:pt idx="1">
                  <c:v>T₂ RDF (N 125: P₂O₅ 50: K₂O 70 kg ha⁻¹)</c:v>
                </c:pt>
                <c:pt idx="2">
                  <c:v>T₃ FYM @ 20 t ha⁻¹</c:v>
                </c:pt>
                <c:pt idx="3">
                  <c:v>T₄ Vermicompost @ 5 t ha⁻¹</c:v>
                </c:pt>
                <c:pt idx="4">
                  <c:v>T₅ Neem cake @ 80 kg ha⁻¹</c:v>
                </c:pt>
                <c:pt idx="5">
                  <c:v>T₆ PSB @ 2.5 kg ha⁻¹</c:v>
                </c:pt>
                <c:pt idx="6">
                  <c:v>T₇ FYM @ 10 t ha⁻¹ + Vermicompost @ 2.5 t ha⁻¹</c:v>
                </c:pt>
                <c:pt idx="7">
                  <c:v>T₈ FYM @ 10 t ha⁻¹ + Neem cake @ 40 kg ha⁻¹</c:v>
                </c:pt>
                <c:pt idx="8">
                  <c:v>T₉ FYM @ 10 t ha⁻¹ + PSB @ 1.25 kg ha⁻¹</c:v>
                </c:pt>
                <c:pt idx="9">
                  <c:v>T₁₀ Vermicompost @ 2.5 t ha⁻¹ + Neem cake @ 40 kg ha⁻¹</c:v>
                </c:pt>
                <c:pt idx="10">
                  <c:v>T₁₁ Vermicompost @ 2.5 t ha⁻¹ + PSB @ 1.25 kg ha⁻¹</c:v>
                </c:pt>
              </c:strCache>
            </c:strRef>
          </c:cat>
          <c:val>
            <c:numRef>
              <c:f>Sheet1!$G$4:$G$14</c:f>
              <c:numCache>
                <c:formatCode>General</c:formatCode>
                <c:ptCount val="11"/>
                <c:pt idx="0">
                  <c:v>852</c:v>
                </c:pt>
                <c:pt idx="1">
                  <c:v>943.78</c:v>
                </c:pt>
                <c:pt idx="2">
                  <c:v>904</c:v>
                </c:pt>
                <c:pt idx="3">
                  <c:v>1024.04</c:v>
                </c:pt>
                <c:pt idx="4">
                  <c:v>952.81</c:v>
                </c:pt>
                <c:pt idx="5">
                  <c:v>876.53</c:v>
                </c:pt>
                <c:pt idx="6">
                  <c:v>972.75</c:v>
                </c:pt>
                <c:pt idx="7">
                  <c:v>977.48</c:v>
                </c:pt>
                <c:pt idx="8">
                  <c:v>925.1</c:v>
                </c:pt>
                <c:pt idx="9">
                  <c:v>1025.1400000000001</c:v>
                </c:pt>
                <c:pt idx="10">
                  <c:v>1053.67</c:v>
                </c:pt>
              </c:numCache>
            </c:numRef>
          </c:val>
          <c:extLst>
            <c:ext xmlns:c16="http://schemas.microsoft.com/office/drawing/2014/chart" uri="{C3380CC4-5D6E-409C-BE32-E72D297353CC}">
              <c16:uniqueId val="{00000002-3846-449B-805E-AA1B9A2661A6}"/>
            </c:ext>
          </c:extLst>
        </c:ser>
        <c:ser>
          <c:idx val="3"/>
          <c:order val="3"/>
          <c:tx>
            <c:strRef>
              <c:f>Sheet1!$H$3</c:f>
              <c:strCache>
                <c:ptCount val="1"/>
                <c:pt idx="0">
                  <c:v>Leaf biomass (g plant⁻¹) at 70 DAS</c:v>
                </c:pt>
              </c:strCache>
            </c:strRef>
          </c:tx>
          <c:spPr>
            <a:solidFill>
              <a:schemeClr val="accent4"/>
            </a:solidFill>
            <a:ln>
              <a:noFill/>
            </a:ln>
            <a:effectLst/>
          </c:spPr>
          <c:invertIfNegative val="0"/>
          <c:cat>
            <c:strRef>
              <c:f>Sheet1!$D$4:$D$14</c:f>
              <c:strCache>
                <c:ptCount val="11"/>
                <c:pt idx="0">
                  <c:v>T₁ Control</c:v>
                </c:pt>
                <c:pt idx="1">
                  <c:v>T₂ RDF (N 125: P₂O₅ 50: K₂O 70 kg ha⁻¹)</c:v>
                </c:pt>
                <c:pt idx="2">
                  <c:v>T₃ FYM @ 20 t ha⁻¹</c:v>
                </c:pt>
                <c:pt idx="3">
                  <c:v>T₄ Vermicompost @ 5 t ha⁻¹</c:v>
                </c:pt>
                <c:pt idx="4">
                  <c:v>T₅ Neem cake @ 80 kg ha⁻¹</c:v>
                </c:pt>
                <c:pt idx="5">
                  <c:v>T₆ PSB @ 2.5 kg ha⁻¹</c:v>
                </c:pt>
                <c:pt idx="6">
                  <c:v>T₇ FYM @ 10 t ha⁻¹ + Vermicompost @ 2.5 t ha⁻¹</c:v>
                </c:pt>
                <c:pt idx="7">
                  <c:v>T₈ FYM @ 10 t ha⁻¹ + Neem cake @ 40 kg ha⁻¹</c:v>
                </c:pt>
                <c:pt idx="8">
                  <c:v>T₉ FYM @ 10 t ha⁻¹ + PSB @ 1.25 kg ha⁻¹</c:v>
                </c:pt>
                <c:pt idx="9">
                  <c:v>T₁₀ Vermicompost @ 2.5 t ha⁻¹ + Neem cake @ 40 kg ha⁻¹</c:v>
                </c:pt>
                <c:pt idx="10">
                  <c:v>T₁₁ Vermicompost @ 2.5 t ha⁻¹ + PSB @ 1.25 kg ha⁻¹</c:v>
                </c:pt>
              </c:strCache>
            </c:strRef>
          </c:cat>
          <c:val>
            <c:numRef>
              <c:f>Sheet1!$H$4:$H$14</c:f>
              <c:numCache>
                <c:formatCode>General</c:formatCode>
                <c:ptCount val="11"/>
                <c:pt idx="0">
                  <c:v>1.86</c:v>
                </c:pt>
                <c:pt idx="1">
                  <c:v>3.7</c:v>
                </c:pt>
                <c:pt idx="2">
                  <c:v>2.87</c:v>
                </c:pt>
                <c:pt idx="3">
                  <c:v>3.59</c:v>
                </c:pt>
                <c:pt idx="4">
                  <c:v>3.72</c:v>
                </c:pt>
                <c:pt idx="5">
                  <c:v>2.66</c:v>
                </c:pt>
                <c:pt idx="6">
                  <c:v>3.55</c:v>
                </c:pt>
                <c:pt idx="7">
                  <c:v>4.5</c:v>
                </c:pt>
                <c:pt idx="8">
                  <c:v>2.91</c:v>
                </c:pt>
                <c:pt idx="9">
                  <c:v>4.53</c:v>
                </c:pt>
                <c:pt idx="10">
                  <c:v>5.31</c:v>
                </c:pt>
              </c:numCache>
            </c:numRef>
          </c:val>
          <c:extLst>
            <c:ext xmlns:c16="http://schemas.microsoft.com/office/drawing/2014/chart" uri="{C3380CC4-5D6E-409C-BE32-E72D297353CC}">
              <c16:uniqueId val="{00000003-3846-449B-805E-AA1B9A2661A6}"/>
            </c:ext>
          </c:extLst>
        </c:ser>
        <c:ser>
          <c:idx val="4"/>
          <c:order val="4"/>
          <c:tx>
            <c:strRef>
              <c:f>Sheet1!$I$3</c:f>
              <c:strCache>
                <c:ptCount val="1"/>
                <c:pt idx="0">
                  <c:v>Days to harvest</c:v>
                </c:pt>
              </c:strCache>
            </c:strRef>
          </c:tx>
          <c:spPr>
            <a:solidFill>
              <a:schemeClr val="accent5"/>
            </a:solidFill>
            <a:ln>
              <a:noFill/>
            </a:ln>
            <a:effectLst/>
          </c:spPr>
          <c:invertIfNegative val="0"/>
          <c:cat>
            <c:strRef>
              <c:f>Sheet1!$D$4:$D$14</c:f>
              <c:strCache>
                <c:ptCount val="11"/>
                <c:pt idx="0">
                  <c:v>T₁ Control</c:v>
                </c:pt>
                <c:pt idx="1">
                  <c:v>T₂ RDF (N 125: P₂O₅ 50: K₂O 70 kg ha⁻¹)</c:v>
                </c:pt>
                <c:pt idx="2">
                  <c:v>T₃ FYM @ 20 t ha⁻¹</c:v>
                </c:pt>
                <c:pt idx="3">
                  <c:v>T₄ Vermicompost @ 5 t ha⁻¹</c:v>
                </c:pt>
                <c:pt idx="4">
                  <c:v>T₅ Neem cake @ 80 kg ha⁻¹</c:v>
                </c:pt>
                <c:pt idx="5">
                  <c:v>T₆ PSB @ 2.5 kg ha⁻¹</c:v>
                </c:pt>
                <c:pt idx="6">
                  <c:v>T₇ FYM @ 10 t ha⁻¹ + Vermicompost @ 2.5 t ha⁻¹</c:v>
                </c:pt>
                <c:pt idx="7">
                  <c:v>T₈ FYM @ 10 t ha⁻¹ + Neem cake @ 40 kg ha⁻¹</c:v>
                </c:pt>
                <c:pt idx="8">
                  <c:v>T₉ FYM @ 10 t ha⁻¹ + PSB @ 1.25 kg ha⁻¹</c:v>
                </c:pt>
                <c:pt idx="9">
                  <c:v>T₁₀ Vermicompost @ 2.5 t ha⁻¹ + Neem cake @ 40 kg ha⁻¹</c:v>
                </c:pt>
                <c:pt idx="10">
                  <c:v>T₁₁ Vermicompost @ 2.5 t ha⁻¹ + PSB @ 1.25 kg ha⁻¹</c:v>
                </c:pt>
              </c:strCache>
            </c:strRef>
          </c:cat>
          <c:val>
            <c:numRef>
              <c:f>Sheet1!$I$4:$I$14</c:f>
              <c:numCache>
                <c:formatCode>General</c:formatCode>
                <c:ptCount val="11"/>
                <c:pt idx="0">
                  <c:v>89.99</c:v>
                </c:pt>
                <c:pt idx="1">
                  <c:v>79.2</c:v>
                </c:pt>
                <c:pt idx="2">
                  <c:v>87.55</c:v>
                </c:pt>
                <c:pt idx="3">
                  <c:v>81.84</c:v>
                </c:pt>
                <c:pt idx="4">
                  <c:v>84.14</c:v>
                </c:pt>
                <c:pt idx="5">
                  <c:v>85.13</c:v>
                </c:pt>
                <c:pt idx="6">
                  <c:v>80.209999999999994</c:v>
                </c:pt>
                <c:pt idx="7">
                  <c:v>80.36</c:v>
                </c:pt>
                <c:pt idx="8">
                  <c:v>85.13</c:v>
                </c:pt>
                <c:pt idx="9">
                  <c:v>79.2</c:v>
                </c:pt>
                <c:pt idx="10">
                  <c:v>78.52</c:v>
                </c:pt>
              </c:numCache>
            </c:numRef>
          </c:val>
          <c:extLst>
            <c:ext xmlns:c16="http://schemas.microsoft.com/office/drawing/2014/chart" uri="{C3380CC4-5D6E-409C-BE32-E72D297353CC}">
              <c16:uniqueId val="{00000004-3846-449B-805E-AA1B9A2661A6}"/>
            </c:ext>
          </c:extLst>
        </c:ser>
        <c:dLbls>
          <c:showLegendKey val="0"/>
          <c:showVal val="0"/>
          <c:showCatName val="0"/>
          <c:showSerName val="0"/>
          <c:showPercent val="0"/>
          <c:showBubbleSize val="0"/>
        </c:dLbls>
        <c:gapWidth val="150"/>
        <c:axId val="828920815"/>
        <c:axId val="830916607"/>
      </c:barChart>
      <c:catAx>
        <c:axId val="828920815"/>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30916607"/>
        <c:crosses val="autoZero"/>
        <c:auto val="1"/>
        <c:lblAlgn val="ctr"/>
        <c:lblOffset val="100"/>
        <c:noMultiLvlLbl val="0"/>
      </c:catAx>
      <c:valAx>
        <c:axId val="83091660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Growth Range</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2892081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900" b="1"/>
              <a:t>Fig.</a:t>
            </a:r>
            <a:r>
              <a:rPr lang="en-IN" sz="900" b="1" baseline="0"/>
              <a:t> </a:t>
            </a:r>
            <a:r>
              <a:rPr lang="en-IN" sz="900" b="1"/>
              <a:t>2-Effect of Organic Manures and Biofertilizers on Yield Attributes and Quality </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Sheet2!$D$3</c:f>
              <c:strCache>
                <c:ptCount val="1"/>
                <c:pt idx="0">
                  <c:v>Root length (cm)</c:v>
                </c:pt>
              </c:strCache>
            </c:strRef>
          </c:tx>
          <c:spPr>
            <a:solidFill>
              <a:schemeClr val="accent1"/>
            </a:solidFill>
            <a:ln>
              <a:noFill/>
            </a:ln>
            <a:effectLst/>
          </c:spPr>
          <c:invertIfNegative val="0"/>
          <c:cat>
            <c:strRef>
              <c:f>Sheet2!$C$4:$C$14</c:f>
              <c:strCache>
                <c:ptCount val="11"/>
                <c:pt idx="0">
                  <c:v>T₁ Control</c:v>
                </c:pt>
                <c:pt idx="1">
                  <c:v>T₂ RDF</c:v>
                </c:pt>
                <c:pt idx="2">
                  <c:v>T₃ FYM 20 t/ha</c:v>
                </c:pt>
                <c:pt idx="3">
                  <c:v>T₄ Vermicompost 5 t/ha</c:v>
                </c:pt>
                <c:pt idx="4">
                  <c:v>T₅ Neem cake 80 kg/ha</c:v>
                </c:pt>
                <c:pt idx="5">
                  <c:v>T₆ PSB</c:v>
                </c:pt>
                <c:pt idx="6">
                  <c:v>T₇ FYM + VC</c:v>
                </c:pt>
                <c:pt idx="7">
                  <c:v>T₈ FYM + Neem cake</c:v>
                </c:pt>
                <c:pt idx="8">
                  <c:v>T₉ FYM + PSB</c:v>
                </c:pt>
                <c:pt idx="9">
                  <c:v>T₁₀ VC + Neem cake</c:v>
                </c:pt>
                <c:pt idx="10">
                  <c:v>T₁₁ VC + PSB</c:v>
                </c:pt>
              </c:strCache>
            </c:strRef>
          </c:cat>
          <c:val>
            <c:numRef>
              <c:f>Sheet2!$D$4:$D$14</c:f>
              <c:numCache>
                <c:formatCode>General</c:formatCode>
                <c:ptCount val="11"/>
                <c:pt idx="0">
                  <c:v>7.07</c:v>
                </c:pt>
                <c:pt idx="1">
                  <c:v>9.58</c:v>
                </c:pt>
                <c:pt idx="2">
                  <c:v>7.3</c:v>
                </c:pt>
                <c:pt idx="3">
                  <c:v>10.44</c:v>
                </c:pt>
                <c:pt idx="4">
                  <c:v>9.7799999999999994</c:v>
                </c:pt>
                <c:pt idx="5">
                  <c:v>7.53</c:v>
                </c:pt>
                <c:pt idx="6">
                  <c:v>10.199999999999999</c:v>
                </c:pt>
                <c:pt idx="7">
                  <c:v>10.26</c:v>
                </c:pt>
                <c:pt idx="8">
                  <c:v>9.19</c:v>
                </c:pt>
                <c:pt idx="9">
                  <c:v>10.49</c:v>
                </c:pt>
                <c:pt idx="10">
                  <c:v>10.7</c:v>
                </c:pt>
              </c:numCache>
            </c:numRef>
          </c:val>
          <c:extLst>
            <c:ext xmlns:c16="http://schemas.microsoft.com/office/drawing/2014/chart" uri="{C3380CC4-5D6E-409C-BE32-E72D297353CC}">
              <c16:uniqueId val="{00000000-4FC8-4D63-891D-DE978916F689}"/>
            </c:ext>
          </c:extLst>
        </c:ser>
        <c:ser>
          <c:idx val="1"/>
          <c:order val="1"/>
          <c:tx>
            <c:strRef>
              <c:f>Sheet2!$E$3</c:f>
              <c:strCache>
                <c:ptCount val="1"/>
                <c:pt idx="0">
                  <c:v>Root diameter (cm)</c:v>
                </c:pt>
              </c:strCache>
            </c:strRef>
          </c:tx>
          <c:spPr>
            <a:solidFill>
              <a:schemeClr val="accent2"/>
            </a:solidFill>
            <a:ln>
              <a:noFill/>
            </a:ln>
            <a:effectLst/>
          </c:spPr>
          <c:invertIfNegative val="0"/>
          <c:cat>
            <c:strRef>
              <c:f>Sheet2!$C$4:$C$14</c:f>
              <c:strCache>
                <c:ptCount val="11"/>
                <c:pt idx="0">
                  <c:v>T₁ Control</c:v>
                </c:pt>
                <c:pt idx="1">
                  <c:v>T₂ RDF</c:v>
                </c:pt>
                <c:pt idx="2">
                  <c:v>T₃ FYM 20 t/ha</c:v>
                </c:pt>
                <c:pt idx="3">
                  <c:v>T₄ Vermicompost 5 t/ha</c:v>
                </c:pt>
                <c:pt idx="4">
                  <c:v>T₅ Neem cake 80 kg/ha</c:v>
                </c:pt>
                <c:pt idx="5">
                  <c:v>T₆ PSB</c:v>
                </c:pt>
                <c:pt idx="6">
                  <c:v>T₇ FYM + VC</c:v>
                </c:pt>
                <c:pt idx="7">
                  <c:v>T₈ FYM + Neem cake</c:v>
                </c:pt>
                <c:pt idx="8">
                  <c:v>T₉ FYM + PSB</c:v>
                </c:pt>
                <c:pt idx="9">
                  <c:v>T₁₀ VC + Neem cake</c:v>
                </c:pt>
                <c:pt idx="10">
                  <c:v>T₁₁ VC + PSB</c:v>
                </c:pt>
              </c:strCache>
            </c:strRef>
          </c:cat>
          <c:val>
            <c:numRef>
              <c:f>Sheet2!$E$4:$E$14</c:f>
              <c:numCache>
                <c:formatCode>General</c:formatCode>
                <c:ptCount val="11"/>
                <c:pt idx="0">
                  <c:v>4.68</c:v>
                </c:pt>
                <c:pt idx="1">
                  <c:v>5.68</c:v>
                </c:pt>
                <c:pt idx="2">
                  <c:v>5.16</c:v>
                </c:pt>
                <c:pt idx="3">
                  <c:v>6.2</c:v>
                </c:pt>
                <c:pt idx="4">
                  <c:v>5.79</c:v>
                </c:pt>
                <c:pt idx="5">
                  <c:v>5.1100000000000003</c:v>
                </c:pt>
                <c:pt idx="6">
                  <c:v>5.98</c:v>
                </c:pt>
                <c:pt idx="7">
                  <c:v>6.11</c:v>
                </c:pt>
                <c:pt idx="8">
                  <c:v>5.71</c:v>
                </c:pt>
                <c:pt idx="9">
                  <c:v>6.31</c:v>
                </c:pt>
                <c:pt idx="10">
                  <c:v>6.41</c:v>
                </c:pt>
              </c:numCache>
            </c:numRef>
          </c:val>
          <c:extLst>
            <c:ext xmlns:c16="http://schemas.microsoft.com/office/drawing/2014/chart" uri="{C3380CC4-5D6E-409C-BE32-E72D297353CC}">
              <c16:uniqueId val="{00000001-4FC8-4D63-891D-DE978916F689}"/>
            </c:ext>
          </c:extLst>
        </c:ser>
        <c:ser>
          <c:idx val="2"/>
          <c:order val="2"/>
          <c:tx>
            <c:strRef>
              <c:f>Sheet2!$F$3</c:f>
              <c:strCache>
                <c:ptCount val="1"/>
                <c:pt idx="0">
                  <c:v>Root weight (g)</c:v>
                </c:pt>
              </c:strCache>
            </c:strRef>
          </c:tx>
          <c:spPr>
            <a:solidFill>
              <a:schemeClr val="accent3"/>
            </a:solidFill>
            <a:ln>
              <a:noFill/>
            </a:ln>
            <a:effectLst/>
          </c:spPr>
          <c:invertIfNegative val="0"/>
          <c:cat>
            <c:strRef>
              <c:f>Sheet2!$C$4:$C$14</c:f>
              <c:strCache>
                <c:ptCount val="11"/>
                <c:pt idx="0">
                  <c:v>T₁ Control</c:v>
                </c:pt>
                <c:pt idx="1">
                  <c:v>T₂ RDF</c:v>
                </c:pt>
                <c:pt idx="2">
                  <c:v>T₃ FYM 20 t/ha</c:v>
                </c:pt>
                <c:pt idx="3">
                  <c:v>T₄ Vermicompost 5 t/ha</c:v>
                </c:pt>
                <c:pt idx="4">
                  <c:v>T₅ Neem cake 80 kg/ha</c:v>
                </c:pt>
                <c:pt idx="5">
                  <c:v>T₆ PSB</c:v>
                </c:pt>
                <c:pt idx="6">
                  <c:v>T₇ FYM + VC</c:v>
                </c:pt>
                <c:pt idx="7">
                  <c:v>T₈ FYM + Neem cake</c:v>
                </c:pt>
                <c:pt idx="8">
                  <c:v>T₉ FYM + PSB</c:v>
                </c:pt>
                <c:pt idx="9">
                  <c:v>T₁₀ VC + Neem cake</c:v>
                </c:pt>
                <c:pt idx="10">
                  <c:v>T₁₁ VC + PSB</c:v>
                </c:pt>
              </c:strCache>
            </c:strRef>
          </c:cat>
          <c:val>
            <c:numRef>
              <c:f>Sheet2!$F$4:$F$14</c:f>
              <c:numCache>
                <c:formatCode>General</c:formatCode>
                <c:ptCount val="11"/>
                <c:pt idx="0">
                  <c:v>97.05</c:v>
                </c:pt>
                <c:pt idx="1">
                  <c:v>127.03</c:v>
                </c:pt>
                <c:pt idx="2">
                  <c:v>119.78</c:v>
                </c:pt>
                <c:pt idx="3">
                  <c:v>141.82</c:v>
                </c:pt>
                <c:pt idx="4">
                  <c:v>132.02000000000001</c:v>
                </c:pt>
                <c:pt idx="5">
                  <c:v>106.71</c:v>
                </c:pt>
                <c:pt idx="6">
                  <c:v>135.46</c:v>
                </c:pt>
                <c:pt idx="7">
                  <c:v>140.11000000000001</c:v>
                </c:pt>
                <c:pt idx="8">
                  <c:v>125.46</c:v>
                </c:pt>
                <c:pt idx="9">
                  <c:v>151.07</c:v>
                </c:pt>
                <c:pt idx="10">
                  <c:v>154.09</c:v>
                </c:pt>
              </c:numCache>
            </c:numRef>
          </c:val>
          <c:extLst>
            <c:ext xmlns:c16="http://schemas.microsoft.com/office/drawing/2014/chart" uri="{C3380CC4-5D6E-409C-BE32-E72D297353CC}">
              <c16:uniqueId val="{00000002-4FC8-4D63-891D-DE978916F689}"/>
            </c:ext>
          </c:extLst>
        </c:ser>
        <c:ser>
          <c:idx val="3"/>
          <c:order val="3"/>
          <c:tx>
            <c:strRef>
              <c:f>Sheet2!$G$3</c:f>
              <c:strCache>
                <c:ptCount val="1"/>
                <c:pt idx="0">
                  <c:v>Root yield (t ha⁻¹)</c:v>
                </c:pt>
              </c:strCache>
            </c:strRef>
          </c:tx>
          <c:spPr>
            <a:solidFill>
              <a:schemeClr val="accent4"/>
            </a:solidFill>
            <a:ln>
              <a:noFill/>
            </a:ln>
            <a:effectLst/>
          </c:spPr>
          <c:invertIfNegative val="0"/>
          <c:cat>
            <c:strRef>
              <c:f>Sheet2!$C$4:$C$14</c:f>
              <c:strCache>
                <c:ptCount val="11"/>
                <c:pt idx="0">
                  <c:v>T₁ Control</c:v>
                </c:pt>
                <c:pt idx="1">
                  <c:v>T₂ RDF</c:v>
                </c:pt>
                <c:pt idx="2">
                  <c:v>T₃ FYM 20 t/ha</c:v>
                </c:pt>
                <c:pt idx="3">
                  <c:v>T₄ Vermicompost 5 t/ha</c:v>
                </c:pt>
                <c:pt idx="4">
                  <c:v>T₅ Neem cake 80 kg/ha</c:v>
                </c:pt>
                <c:pt idx="5">
                  <c:v>T₆ PSB</c:v>
                </c:pt>
                <c:pt idx="6">
                  <c:v>T₇ FYM + VC</c:v>
                </c:pt>
                <c:pt idx="7">
                  <c:v>T₈ FYM + Neem cake</c:v>
                </c:pt>
                <c:pt idx="8">
                  <c:v>T₉ FYM + PSB</c:v>
                </c:pt>
                <c:pt idx="9">
                  <c:v>T₁₀ VC + Neem cake</c:v>
                </c:pt>
                <c:pt idx="10">
                  <c:v>T₁₁ VC + PSB</c:v>
                </c:pt>
              </c:strCache>
            </c:strRef>
          </c:cat>
          <c:val>
            <c:numRef>
              <c:f>Sheet2!$G$4:$G$14</c:f>
              <c:numCache>
                <c:formatCode>General</c:formatCode>
                <c:ptCount val="11"/>
                <c:pt idx="0">
                  <c:v>2.87</c:v>
                </c:pt>
                <c:pt idx="1">
                  <c:v>4.45</c:v>
                </c:pt>
                <c:pt idx="2">
                  <c:v>4.21</c:v>
                </c:pt>
                <c:pt idx="3">
                  <c:v>13.17</c:v>
                </c:pt>
                <c:pt idx="4">
                  <c:v>4.6399999999999997</c:v>
                </c:pt>
                <c:pt idx="5">
                  <c:v>10.26</c:v>
                </c:pt>
                <c:pt idx="6">
                  <c:v>12.02</c:v>
                </c:pt>
                <c:pt idx="7">
                  <c:v>13.17</c:v>
                </c:pt>
                <c:pt idx="8">
                  <c:v>4.38</c:v>
                </c:pt>
                <c:pt idx="9">
                  <c:v>15.61</c:v>
                </c:pt>
                <c:pt idx="10">
                  <c:v>17.489999999999998</c:v>
                </c:pt>
              </c:numCache>
            </c:numRef>
          </c:val>
          <c:extLst>
            <c:ext xmlns:c16="http://schemas.microsoft.com/office/drawing/2014/chart" uri="{C3380CC4-5D6E-409C-BE32-E72D297353CC}">
              <c16:uniqueId val="{00000003-4FC8-4D63-891D-DE978916F689}"/>
            </c:ext>
          </c:extLst>
        </c:ser>
        <c:ser>
          <c:idx val="4"/>
          <c:order val="4"/>
          <c:tx>
            <c:strRef>
              <c:f>Sheet2!$H$3</c:f>
              <c:strCache>
                <c:ptCount val="1"/>
                <c:pt idx="0">
                  <c:v>Harvest index (%)</c:v>
                </c:pt>
              </c:strCache>
            </c:strRef>
          </c:tx>
          <c:spPr>
            <a:solidFill>
              <a:schemeClr val="accent5"/>
            </a:solidFill>
            <a:ln>
              <a:noFill/>
            </a:ln>
            <a:effectLst/>
          </c:spPr>
          <c:invertIfNegative val="0"/>
          <c:cat>
            <c:strRef>
              <c:f>Sheet2!$C$4:$C$14</c:f>
              <c:strCache>
                <c:ptCount val="11"/>
                <c:pt idx="0">
                  <c:v>T₁ Control</c:v>
                </c:pt>
                <c:pt idx="1">
                  <c:v>T₂ RDF</c:v>
                </c:pt>
                <c:pt idx="2">
                  <c:v>T₃ FYM 20 t/ha</c:v>
                </c:pt>
                <c:pt idx="3">
                  <c:v>T₄ Vermicompost 5 t/ha</c:v>
                </c:pt>
                <c:pt idx="4">
                  <c:v>T₅ Neem cake 80 kg/ha</c:v>
                </c:pt>
                <c:pt idx="5">
                  <c:v>T₆ PSB</c:v>
                </c:pt>
                <c:pt idx="6">
                  <c:v>T₇ FYM + VC</c:v>
                </c:pt>
                <c:pt idx="7">
                  <c:v>T₈ FYM + Neem cake</c:v>
                </c:pt>
                <c:pt idx="8">
                  <c:v>T₉ FYM + PSB</c:v>
                </c:pt>
                <c:pt idx="9">
                  <c:v>T₁₀ VC + Neem cake</c:v>
                </c:pt>
                <c:pt idx="10">
                  <c:v>T₁₁ VC + PSB</c:v>
                </c:pt>
              </c:strCache>
            </c:strRef>
          </c:cat>
          <c:val>
            <c:numRef>
              <c:f>Sheet2!$H$4:$H$14</c:f>
              <c:numCache>
                <c:formatCode>General</c:formatCode>
                <c:ptCount val="11"/>
                <c:pt idx="0">
                  <c:v>66</c:v>
                </c:pt>
                <c:pt idx="1">
                  <c:v>76.44</c:v>
                </c:pt>
                <c:pt idx="2">
                  <c:v>74.33</c:v>
                </c:pt>
                <c:pt idx="3">
                  <c:v>83</c:v>
                </c:pt>
                <c:pt idx="4">
                  <c:v>79.209999999999994</c:v>
                </c:pt>
                <c:pt idx="5">
                  <c:v>72</c:v>
                </c:pt>
                <c:pt idx="6">
                  <c:v>81</c:v>
                </c:pt>
                <c:pt idx="7">
                  <c:v>82</c:v>
                </c:pt>
                <c:pt idx="8">
                  <c:v>75</c:v>
                </c:pt>
                <c:pt idx="9">
                  <c:v>85</c:v>
                </c:pt>
                <c:pt idx="10">
                  <c:v>86.33</c:v>
                </c:pt>
              </c:numCache>
            </c:numRef>
          </c:val>
          <c:extLst>
            <c:ext xmlns:c16="http://schemas.microsoft.com/office/drawing/2014/chart" uri="{C3380CC4-5D6E-409C-BE32-E72D297353CC}">
              <c16:uniqueId val="{00000004-4FC8-4D63-891D-DE978916F689}"/>
            </c:ext>
          </c:extLst>
        </c:ser>
        <c:ser>
          <c:idx val="5"/>
          <c:order val="5"/>
          <c:tx>
            <c:strRef>
              <c:f>Sheet2!$I$3</c:f>
              <c:strCache>
                <c:ptCount val="1"/>
                <c:pt idx="0">
                  <c:v>TSS (°Brix)</c:v>
                </c:pt>
              </c:strCache>
            </c:strRef>
          </c:tx>
          <c:spPr>
            <a:solidFill>
              <a:schemeClr val="accent6"/>
            </a:solidFill>
            <a:ln>
              <a:noFill/>
            </a:ln>
            <a:effectLst/>
          </c:spPr>
          <c:invertIfNegative val="0"/>
          <c:cat>
            <c:strRef>
              <c:f>Sheet2!$C$4:$C$14</c:f>
              <c:strCache>
                <c:ptCount val="11"/>
                <c:pt idx="0">
                  <c:v>T₁ Control</c:v>
                </c:pt>
                <c:pt idx="1">
                  <c:v>T₂ RDF</c:v>
                </c:pt>
                <c:pt idx="2">
                  <c:v>T₃ FYM 20 t/ha</c:v>
                </c:pt>
                <c:pt idx="3">
                  <c:v>T₄ Vermicompost 5 t/ha</c:v>
                </c:pt>
                <c:pt idx="4">
                  <c:v>T₅ Neem cake 80 kg/ha</c:v>
                </c:pt>
                <c:pt idx="5">
                  <c:v>T₆ PSB</c:v>
                </c:pt>
                <c:pt idx="6">
                  <c:v>T₇ FYM + VC</c:v>
                </c:pt>
                <c:pt idx="7">
                  <c:v>T₈ FYM + Neem cake</c:v>
                </c:pt>
                <c:pt idx="8">
                  <c:v>T₉ FYM + PSB</c:v>
                </c:pt>
                <c:pt idx="9">
                  <c:v>T₁₀ VC + Neem cake</c:v>
                </c:pt>
                <c:pt idx="10">
                  <c:v>T₁₁ VC + PSB</c:v>
                </c:pt>
              </c:strCache>
            </c:strRef>
          </c:cat>
          <c:val>
            <c:numRef>
              <c:f>Sheet2!$I$4:$I$14</c:f>
              <c:numCache>
                <c:formatCode>General</c:formatCode>
                <c:ptCount val="11"/>
                <c:pt idx="0">
                  <c:v>9.73</c:v>
                </c:pt>
                <c:pt idx="1">
                  <c:v>17.09</c:v>
                </c:pt>
                <c:pt idx="2">
                  <c:v>15.04</c:v>
                </c:pt>
                <c:pt idx="3">
                  <c:v>18.3</c:v>
                </c:pt>
                <c:pt idx="4">
                  <c:v>15.08</c:v>
                </c:pt>
                <c:pt idx="5">
                  <c:v>13.53</c:v>
                </c:pt>
                <c:pt idx="6">
                  <c:v>16.52</c:v>
                </c:pt>
                <c:pt idx="7">
                  <c:v>17.02</c:v>
                </c:pt>
                <c:pt idx="8">
                  <c:v>16.010000000000002</c:v>
                </c:pt>
                <c:pt idx="9">
                  <c:v>20</c:v>
                </c:pt>
                <c:pt idx="10">
                  <c:v>21.13</c:v>
                </c:pt>
              </c:numCache>
            </c:numRef>
          </c:val>
          <c:extLst>
            <c:ext xmlns:c16="http://schemas.microsoft.com/office/drawing/2014/chart" uri="{C3380CC4-5D6E-409C-BE32-E72D297353CC}">
              <c16:uniqueId val="{00000005-4FC8-4D63-891D-DE978916F689}"/>
            </c:ext>
          </c:extLst>
        </c:ser>
        <c:dLbls>
          <c:showLegendKey val="0"/>
          <c:showVal val="0"/>
          <c:showCatName val="0"/>
          <c:showSerName val="0"/>
          <c:showPercent val="0"/>
          <c:showBubbleSize val="0"/>
        </c:dLbls>
        <c:gapWidth val="150"/>
        <c:axId val="773240015"/>
        <c:axId val="973198927"/>
      </c:barChart>
      <c:catAx>
        <c:axId val="773240015"/>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Treatments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73198927"/>
        <c:crosses val="autoZero"/>
        <c:auto val="1"/>
        <c:lblAlgn val="ctr"/>
        <c:lblOffset val="100"/>
        <c:noMultiLvlLbl val="0"/>
      </c:catAx>
      <c:valAx>
        <c:axId val="97319892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Growth Range</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7324001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ofPieChart>
        <c:ofPieType val="pie"/>
        <c:varyColors val="1"/>
        <c:ser>
          <c:idx val="0"/>
          <c:order val="0"/>
          <c:tx>
            <c:strRef>
              <c:f>Sheet2!$O$3</c:f>
              <c:strCache>
                <c:ptCount val="1"/>
                <c:pt idx="0">
                  <c:v>B:C ratio</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A844-4DF5-864A-072253023F70}"/>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A844-4DF5-864A-072253023F70}"/>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A844-4DF5-864A-072253023F70}"/>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A844-4DF5-864A-072253023F70}"/>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A844-4DF5-864A-072253023F70}"/>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A844-4DF5-864A-072253023F70}"/>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A844-4DF5-864A-072253023F70}"/>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A844-4DF5-864A-072253023F70}"/>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A844-4DF5-864A-072253023F70}"/>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A844-4DF5-864A-072253023F70}"/>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A844-4DF5-864A-072253023F70}"/>
              </c:ext>
            </c:extLst>
          </c:dPt>
          <c:dPt>
            <c:idx val="11"/>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A844-4DF5-864A-072253023F70}"/>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A844-4DF5-864A-072253023F70}"/>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A844-4DF5-864A-072253023F70}"/>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A844-4DF5-864A-072253023F70}"/>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A844-4DF5-864A-072253023F70}"/>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A844-4DF5-864A-072253023F70}"/>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A844-4DF5-864A-072253023F70}"/>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D-A844-4DF5-864A-072253023F70}"/>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F-A844-4DF5-864A-072253023F70}"/>
                </c:ext>
              </c:extLst>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1-A844-4DF5-864A-072253023F70}"/>
                </c:ext>
              </c:extLst>
            </c:dLbl>
            <c:dLbl>
              <c:idx val="9"/>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3-A844-4DF5-864A-072253023F70}"/>
                </c:ext>
              </c:extLst>
            </c:dLbl>
            <c:dLbl>
              <c:idx val="1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5-A844-4DF5-864A-072253023F70}"/>
                </c:ext>
              </c:extLst>
            </c:dLbl>
            <c:dLbl>
              <c:idx val="11"/>
              <c:layout>
                <c:manualLayout>
                  <c:x val="-1.7833256523952939E-2"/>
                  <c:y val="0.15909090909090909"/>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A844-4DF5-864A-072253023F70}"/>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Sheet2!$L$4:$N$14</c:f>
              <c:multiLvlStrCache>
                <c:ptCount val="11"/>
                <c:lvl>
                  <c:pt idx="0">
                    <c:v>1,17,050</c:v>
                  </c:pt>
                  <c:pt idx="1">
                    <c:v>2,07,450</c:v>
                  </c:pt>
                  <c:pt idx="2">
                    <c:v>1,96,125</c:v>
                  </c:pt>
                  <c:pt idx="3">
                    <c:v>2,41,050</c:v>
                  </c:pt>
                  <c:pt idx="4">
                    <c:v>1,96,375</c:v>
                  </c:pt>
                  <c:pt idx="5">
                    <c:v>1,96,150</c:v>
                  </c:pt>
                  <c:pt idx="6">
                    <c:v>2,03,800</c:v>
                  </c:pt>
                  <c:pt idx="7">
                    <c:v>2,06,950</c:v>
                  </c:pt>
                  <c:pt idx="8">
                    <c:v>2,06,150</c:v>
                  </c:pt>
                  <c:pt idx="9">
                    <c:v>2,72,050</c:v>
                  </c:pt>
                  <c:pt idx="10">
                    <c:v>3,48,650</c:v>
                  </c:pt>
                </c:lvl>
                <c:lvl>
                  <c:pt idx="0">
                    <c:v>70.6</c:v>
                  </c:pt>
                  <c:pt idx="1">
                    <c:v>109.36</c:v>
                  </c:pt>
                  <c:pt idx="2">
                    <c:v>103.73</c:v>
                  </c:pt>
                  <c:pt idx="3">
                    <c:v>131.6</c:v>
                  </c:pt>
                  <c:pt idx="4">
                    <c:v>114.33</c:v>
                  </c:pt>
                  <c:pt idx="5">
                    <c:v>102.4</c:v>
                  </c:pt>
                  <c:pt idx="6">
                    <c:v>118.2</c:v>
                  </c:pt>
                  <c:pt idx="7">
                    <c:v>120.06</c:v>
                  </c:pt>
                  <c:pt idx="8">
                    <c:v>107.9</c:v>
                  </c:pt>
                  <c:pt idx="9">
                    <c:v>156</c:v>
                  </c:pt>
                  <c:pt idx="10">
                    <c:v>174.8</c:v>
                  </c:pt>
                </c:lvl>
                <c:lvl>
                  <c:pt idx="0">
                    <c:v>T₁ Control</c:v>
                  </c:pt>
                  <c:pt idx="1">
                    <c:v>T₂ RDF</c:v>
                  </c:pt>
                  <c:pt idx="2">
                    <c:v>T₃ FYM 20 t/ha</c:v>
                  </c:pt>
                  <c:pt idx="3">
                    <c:v>T₄ Vermicompost 5 t/ha</c:v>
                  </c:pt>
                  <c:pt idx="4">
                    <c:v>T₅ Neem cake 80 kg/ha</c:v>
                  </c:pt>
                  <c:pt idx="5">
                    <c:v>T₆ PSB</c:v>
                  </c:pt>
                  <c:pt idx="6">
                    <c:v>T₇ FYM + VC</c:v>
                  </c:pt>
                  <c:pt idx="7">
                    <c:v>T₈ FYM + Neem cake</c:v>
                  </c:pt>
                  <c:pt idx="8">
                    <c:v>T₉ FYM + PSB</c:v>
                  </c:pt>
                  <c:pt idx="9">
                    <c:v>T₁₀ VC + Neem cake</c:v>
                  </c:pt>
                  <c:pt idx="10">
                    <c:v>T₁₁ VC + PSB</c:v>
                  </c:pt>
                </c:lvl>
              </c:multiLvlStrCache>
            </c:multiLvlStrRef>
          </c:cat>
          <c:val>
            <c:numRef>
              <c:f>Sheet2!$O$4:$O$14</c:f>
              <c:numCache>
                <c:formatCode>General</c:formatCode>
                <c:ptCount val="11"/>
                <c:pt idx="0">
                  <c:v>1.96</c:v>
                </c:pt>
                <c:pt idx="1">
                  <c:v>3.14</c:v>
                </c:pt>
                <c:pt idx="2">
                  <c:v>3.1</c:v>
                </c:pt>
                <c:pt idx="3">
                  <c:v>2.74</c:v>
                </c:pt>
                <c:pt idx="4">
                  <c:v>2.19</c:v>
                </c:pt>
                <c:pt idx="5">
                  <c:v>3.27</c:v>
                </c:pt>
                <c:pt idx="6">
                  <c:v>2.2200000000000002</c:v>
                </c:pt>
                <c:pt idx="7">
                  <c:v>2.2200000000000002</c:v>
                </c:pt>
                <c:pt idx="8">
                  <c:v>3.24</c:v>
                </c:pt>
                <c:pt idx="9">
                  <c:v>2.2999999999999998</c:v>
                </c:pt>
                <c:pt idx="10">
                  <c:v>3.94</c:v>
                </c:pt>
              </c:numCache>
            </c:numRef>
          </c:val>
          <c:extLst>
            <c:ext xmlns:c16="http://schemas.microsoft.com/office/drawing/2014/chart" uri="{C3380CC4-5D6E-409C-BE32-E72D297353CC}">
              <c16:uniqueId val="{00000018-A844-4DF5-864A-072253023F70}"/>
            </c:ext>
          </c:extLst>
        </c:ser>
        <c:dLbls>
          <c:dLblPos val="outEnd"/>
          <c:showLegendKey val="0"/>
          <c:showVal val="0"/>
          <c:showCatName val="0"/>
          <c:showSerName val="0"/>
          <c:showPercent val="1"/>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EADAC-65EE-48BB-A102-74C45DBD6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11</Pages>
  <Words>3604</Words>
  <Characters>20547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Madhwendra Kumar Pathak</dc:creator>
  <cp:keywords/>
  <dc:description/>
  <cp:lastModifiedBy>SDI PC 1170</cp:lastModifiedBy>
  <cp:revision>67</cp:revision>
  <dcterms:created xsi:type="dcterms:W3CDTF">2026-02-17T14:31:00Z</dcterms:created>
  <dcterms:modified xsi:type="dcterms:W3CDTF">2026-02-20T11:39:00Z</dcterms:modified>
</cp:coreProperties>
</file>