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82D" w:rsidRDefault="0057282D"/>
    <w:p w:rsidR="0057282D" w:rsidRDefault="00D4215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Genetic Assay and Drug Resistance profile of </w:t>
      </w:r>
      <w:r>
        <w:rPr>
          <w:rFonts w:ascii="Times New Roman" w:hAnsi="Times New Roman" w:cs="Times New Roman"/>
          <w:b/>
          <w:i/>
          <w:iCs/>
          <w:sz w:val="24"/>
          <w:szCs w:val="24"/>
        </w:rPr>
        <w:t>Mycobacterium tuberculosis</w:t>
      </w:r>
      <w:r>
        <w:rPr>
          <w:rFonts w:ascii="Times New Roman" w:hAnsi="Times New Roman" w:cs="Times New Roman"/>
          <w:b/>
          <w:sz w:val="24"/>
          <w:szCs w:val="24"/>
        </w:rPr>
        <w:t xml:space="preserve"> complex among tuberculosis patients from selected hospitals in Benue and Nasarawa State, Nigeria.</w:t>
      </w:r>
    </w:p>
    <w:p w:rsidR="0057282D" w:rsidRDefault="0057282D">
      <w:pPr>
        <w:spacing w:line="360" w:lineRule="auto"/>
        <w:jc w:val="both"/>
        <w:rPr>
          <w:rFonts w:ascii="Times New Roman" w:hAnsi="Times New Roman" w:cs="Times New Roman"/>
          <w:b/>
          <w:sz w:val="24"/>
          <w:szCs w:val="24"/>
        </w:rPr>
      </w:pPr>
    </w:p>
    <w:p w:rsidR="0057282D" w:rsidRDefault="0057282D">
      <w:pPr>
        <w:spacing w:line="480" w:lineRule="auto"/>
        <w:jc w:val="both"/>
        <w:rPr>
          <w:rFonts w:ascii="Times New Roman" w:hAnsi="Times New Roman" w:cs="Times New Roman"/>
          <w:b/>
          <w:sz w:val="24"/>
          <w:szCs w:val="24"/>
        </w:rPr>
      </w:pPr>
    </w:p>
    <w:p w:rsidR="000867CF" w:rsidRDefault="000867CF">
      <w:pPr>
        <w:spacing w:line="480" w:lineRule="auto"/>
        <w:jc w:val="both"/>
        <w:rPr>
          <w:rFonts w:ascii="Times New Roman" w:hAnsi="Times New Roman" w:cs="Times New Roman"/>
          <w:b/>
          <w:sz w:val="24"/>
          <w:szCs w:val="24"/>
        </w:rPr>
      </w:pPr>
      <w:bookmarkStart w:id="0" w:name="_GoBack"/>
      <w:bookmarkEnd w:id="0"/>
    </w:p>
    <w:p w:rsidR="0057282D" w:rsidRDefault="00D42155">
      <w:pPr>
        <w:rPr>
          <w:rFonts w:ascii="Times New Roman" w:hAnsi="Times New Roman" w:cs="Times New Roman"/>
          <w:b/>
          <w:sz w:val="24"/>
          <w:szCs w:val="24"/>
        </w:rPr>
      </w:pPr>
      <w:r>
        <w:rPr>
          <w:rFonts w:ascii="Times New Roman" w:hAnsi="Times New Roman" w:cs="Times New Roman"/>
          <w:b/>
          <w:bCs/>
          <w:sz w:val="24"/>
          <w:szCs w:val="24"/>
        </w:rPr>
        <w:t>Abstract</w:t>
      </w:r>
      <w:r>
        <w:rPr>
          <w:rFonts w:ascii="Times New Roman" w:hAnsi="Times New Roman" w:cs="Times New Roman"/>
          <w:b/>
          <w:sz w:val="24"/>
          <w:szCs w:val="24"/>
        </w:rPr>
        <w:tab/>
      </w:r>
    </w:p>
    <w:p w:rsidR="0057282D" w:rsidRDefault="00D42155">
      <w:pPr>
        <w:pStyle w:val="NormalWeb"/>
        <w:jc w:val="both"/>
      </w:pPr>
      <w:r>
        <w:t>Molecular detection of drug resistance was performed using the Line Probe Assay (LPA) with Hain Life</w:t>
      </w:r>
      <w:r w:rsidR="00C729E5">
        <w:t xml:space="preserve"> </w:t>
      </w:r>
      <w:r>
        <w:t xml:space="preserve">science Genotype </w:t>
      </w:r>
      <w:proofErr w:type="spellStart"/>
      <w:r>
        <w:t>MTBDRplus</w:t>
      </w:r>
      <w:proofErr w:type="spellEnd"/>
      <w:r>
        <w:t xml:space="preserve"> and </w:t>
      </w:r>
      <w:proofErr w:type="spellStart"/>
      <w:r>
        <w:t>MTBDRsl</w:t>
      </w:r>
      <w:proofErr w:type="spellEnd"/>
      <w:r>
        <w:t xml:space="preserve"> kits, targeting mutations in the </w:t>
      </w:r>
      <w:proofErr w:type="spellStart"/>
      <w:r>
        <w:t>rpoB</w:t>
      </w:r>
      <w:proofErr w:type="spellEnd"/>
      <w:r>
        <w:t xml:space="preserve">, </w:t>
      </w:r>
      <w:proofErr w:type="spellStart"/>
      <w:r>
        <w:t>katG</w:t>
      </w:r>
      <w:proofErr w:type="spellEnd"/>
      <w:r>
        <w:t xml:space="preserve">, </w:t>
      </w:r>
      <w:proofErr w:type="spellStart"/>
      <w:r>
        <w:t>inhA</w:t>
      </w:r>
      <w:proofErr w:type="spellEnd"/>
      <w:r>
        <w:t xml:space="preserve">, </w:t>
      </w:r>
      <w:proofErr w:type="spellStart"/>
      <w:r>
        <w:t>gyrA</w:t>
      </w:r>
      <w:proofErr w:type="spellEnd"/>
      <w:r>
        <w:t xml:space="preserve">, </w:t>
      </w:r>
      <w:proofErr w:type="spellStart"/>
      <w:r>
        <w:t>gyrB</w:t>
      </w:r>
      <w:proofErr w:type="spellEnd"/>
      <w:r>
        <w:t xml:space="preserve">, </w:t>
      </w:r>
      <w:proofErr w:type="spellStart"/>
      <w:r>
        <w:t>rrs</w:t>
      </w:r>
      <w:proofErr w:type="spellEnd"/>
      <w:r>
        <w:t xml:space="preserve">, and </w:t>
      </w:r>
      <w:proofErr w:type="spellStart"/>
      <w:r>
        <w:t>eis</w:t>
      </w:r>
      <w:proofErr w:type="spellEnd"/>
      <w:r>
        <w:t xml:space="preserve"> genes. Analysis of rifampicin resistance (</w:t>
      </w:r>
      <w:proofErr w:type="spellStart"/>
      <w:r>
        <w:t>rpoB</w:t>
      </w:r>
      <w:proofErr w:type="spellEnd"/>
      <w:r>
        <w:t xml:space="preserve">) showed that 94 out of 150 samples (62.7%) retained all wild-type (WT) codons, indicating susceptibility to rifampicin. Furthermore, 104 samples (69.3%) showed all WT codons for isoniazid, while 46 samples (30.7%) indicated resistance due to missing WT codons. For fluoroquinolone (FQs) resistance, 45 out of 68 samples (66.2%) exhibited all WT codons in the </w:t>
      </w:r>
      <w:proofErr w:type="spellStart"/>
      <w:r>
        <w:t>gyrA</w:t>
      </w:r>
      <w:proofErr w:type="spellEnd"/>
      <w:r>
        <w:t xml:space="preserve"> gene, suggesting susceptibility, and 67.6% of samples for the </w:t>
      </w:r>
      <w:proofErr w:type="spellStart"/>
      <w:r>
        <w:t>gyrB</w:t>
      </w:r>
      <w:proofErr w:type="spellEnd"/>
      <w:r>
        <w:t xml:space="preserve"> gene also maintained WT codons, indicating similar susceptibility. The </w:t>
      </w:r>
      <w:proofErr w:type="spellStart"/>
      <w:r>
        <w:t>rrs</w:t>
      </w:r>
      <w:proofErr w:type="spellEnd"/>
      <w:r>
        <w:t xml:space="preserve"> gene analysis for low-level kanamycin resistance revealed that 49 samples (72.1%) maintained all WT codons, suggesting susceptibility, while 16.2% and 11.8% of samples showed missing WT codons, indicating possible </w:t>
      </w:r>
      <w:proofErr w:type="spellStart"/>
      <w:r>
        <w:t>resistance.To</w:t>
      </w:r>
      <w:proofErr w:type="spellEnd"/>
      <w:r>
        <w:t xml:space="preserve"> assess the relationship between infection and various demographic, clinical, and risk factors, chi-square analysis was employed. These findings are consistent with global reports estimating around 400,000 MDR/RR-TB cases in 2023, with Nigeria accounting for 4.6% of the global TB burden. This situation emphasizes the urgent need for targeted diagnostic interventions within the </w:t>
      </w:r>
      <w:proofErr w:type="spellStart"/>
      <w:r>
        <w:t>country.This</w:t>
      </w:r>
      <w:proofErr w:type="spellEnd"/>
      <w:r>
        <w:t xml:space="preserve"> study highlights the critical role of molecular diagnostic tools in the early detection of drug-resistant TB. Rapid assays like </w:t>
      </w:r>
      <w:proofErr w:type="spellStart"/>
      <w:r>
        <w:t>GenoType</w:t>
      </w:r>
      <w:proofErr w:type="spellEnd"/>
      <w:r>
        <w:t xml:space="preserve"> </w:t>
      </w:r>
      <w:proofErr w:type="spellStart"/>
      <w:r>
        <w:t>MTBDRplus</w:t>
      </w:r>
      <w:proofErr w:type="spellEnd"/>
      <w:r>
        <w:t>/</w:t>
      </w:r>
      <w:proofErr w:type="spellStart"/>
      <w:r>
        <w:t>sl</w:t>
      </w:r>
      <w:proofErr w:type="spellEnd"/>
      <w:r>
        <w:t xml:space="preserve"> not only facilitate timely clinical interventions but also enhance patient management, effectively reducing both transmission and mortality rates. The broader application of such diagnostic methods within Nigeria’s TB control framework is essential for achieving the WHO End TB Strategy targets.</w:t>
      </w:r>
    </w:p>
    <w:p w:rsidR="0057282D" w:rsidRDefault="00D42155">
      <w:pPr>
        <w:pStyle w:val="NormalWeb"/>
        <w:jc w:val="both"/>
      </w:pPr>
      <w:r>
        <w:rPr>
          <w:rStyle w:val="Strong"/>
        </w:rPr>
        <w:t>Keywords:</w:t>
      </w:r>
      <w:r>
        <w:t xml:space="preserve"> </w:t>
      </w:r>
      <w:r>
        <w:rPr>
          <w:rStyle w:val="Emphasis"/>
        </w:rPr>
        <w:t>Mycobacterium tuberculosis</w:t>
      </w:r>
      <w:r>
        <w:t xml:space="preserve"> complex, MDR-TB, genotypic assay, Hain Line Probe Assay, </w:t>
      </w:r>
      <w:proofErr w:type="spellStart"/>
      <w:r>
        <w:rPr>
          <w:rStyle w:val="Emphasis"/>
        </w:rPr>
        <w:t>rpoB</w:t>
      </w:r>
      <w:proofErr w:type="spellEnd"/>
      <w:r>
        <w:t xml:space="preserve">, </w:t>
      </w:r>
      <w:proofErr w:type="spellStart"/>
      <w:r>
        <w:rPr>
          <w:rStyle w:val="Emphasis"/>
        </w:rPr>
        <w:t>katG</w:t>
      </w:r>
      <w:proofErr w:type="spellEnd"/>
      <w:r>
        <w:t xml:space="preserve">, </w:t>
      </w:r>
      <w:proofErr w:type="spellStart"/>
      <w:r>
        <w:rPr>
          <w:rStyle w:val="Emphasis"/>
        </w:rPr>
        <w:t>gyrA</w:t>
      </w:r>
      <w:proofErr w:type="spellEnd"/>
      <w:r>
        <w:t>, Nigeria</w:t>
      </w:r>
      <w:proofErr w:type="gramStart"/>
      <w:r>
        <w:t>, ,</w:t>
      </w:r>
      <w:proofErr w:type="gramEnd"/>
      <w:r>
        <w:t xml:space="preserve"> Drug resistance</w:t>
      </w:r>
    </w:p>
    <w:p w:rsidR="0057282D" w:rsidRDefault="0057282D">
      <w:pPr>
        <w:pStyle w:val="NormalWeb"/>
        <w:jc w:val="both"/>
      </w:pPr>
    </w:p>
    <w:p w:rsidR="0057282D" w:rsidRDefault="0057282D">
      <w:pPr>
        <w:spacing w:line="480" w:lineRule="auto"/>
        <w:jc w:val="both"/>
        <w:rPr>
          <w:rFonts w:ascii="Times New Roman" w:hAnsi="Times New Roman" w:cs="Times New Roman"/>
          <w:color w:val="212121"/>
          <w:sz w:val="8"/>
          <w:szCs w:val="8"/>
          <w:shd w:val="clear" w:color="auto" w:fill="FFFFFF"/>
        </w:rPr>
      </w:pPr>
    </w:p>
    <w:p w:rsidR="0057282D" w:rsidRDefault="00D42155">
      <w:pPr>
        <w:numPr>
          <w:ilvl w:val="0"/>
          <w:numId w:val="1"/>
        </w:numPr>
        <w:jc w:val="both"/>
        <w:rPr>
          <w:rFonts w:ascii="Times New Roman" w:hAnsi="Times New Roman" w:cs="Times New Roman"/>
          <w:b/>
          <w:bCs/>
          <w:color w:val="212121"/>
          <w:sz w:val="24"/>
          <w:szCs w:val="24"/>
          <w:shd w:val="clear" w:color="auto" w:fill="FFFFFF"/>
        </w:rPr>
      </w:pPr>
      <w:r>
        <w:rPr>
          <w:rFonts w:ascii="Times New Roman" w:hAnsi="Times New Roman" w:cs="Times New Roman"/>
          <w:b/>
          <w:bCs/>
          <w:color w:val="212121"/>
          <w:sz w:val="24"/>
          <w:szCs w:val="24"/>
          <w:shd w:val="clear" w:color="auto" w:fill="FFFFFF"/>
        </w:rPr>
        <w:t>INTRODUCTION</w:t>
      </w:r>
    </w:p>
    <w:p w:rsidR="0057282D" w:rsidRDefault="0057282D">
      <w:pPr>
        <w:jc w:val="both"/>
        <w:rPr>
          <w:rFonts w:ascii="Times New Roman" w:hAnsi="Times New Roman" w:cs="Times New Roman"/>
          <w:b/>
          <w:bCs/>
          <w:color w:val="212121"/>
          <w:sz w:val="18"/>
          <w:szCs w:val="18"/>
          <w:shd w:val="clear" w:color="auto" w:fill="FFFFFF"/>
        </w:rPr>
      </w:pPr>
    </w:p>
    <w:p w:rsidR="0057282D" w:rsidRDefault="00D42155">
      <w:pPr>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Tuberculosis (TB) remains one of the most devastating infectious diseases affecting global public health. It is caused primarily by members of the</w:t>
      </w:r>
      <w:r>
        <w:rPr>
          <w:rFonts w:ascii="Times New Roman" w:hAnsi="Times New Roman" w:cs="Times New Roman"/>
          <w:i/>
          <w:iCs/>
          <w:color w:val="212121"/>
          <w:sz w:val="24"/>
          <w:szCs w:val="24"/>
          <w:shd w:val="clear" w:color="auto" w:fill="FFFFFF"/>
        </w:rPr>
        <w:t xml:space="preserve"> Mycobacterium tuberculosis </w:t>
      </w:r>
      <w:r>
        <w:rPr>
          <w:rFonts w:ascii="Times New Roman" w:hAnsi="Times New Roman" w:cs="Times New Roman"/>
          <w:color w:val="212121"/>
          <w:sz w:val="24"/>
          <w:szCs w:val="24"/>
          <w:shd w:val="clear" w:color="auto" w:fill="FFFFFF"/>
        </w:rPr>
        <w:t xml:space="preserve">complex (MTBC), a group of closely related mycobacterial species responsible for tuberculosis in humans and animals. Despite the availability of effective chemotherapy and global control strategies, tuberculosis continues to pose a serious health challenge, particularly in low- and middle-income </w:t>
      </w:r>
      <w:proofErr w:type="gramStart"/>
      <w:r>
        <w:rPr>
          <w:rFonts w:ascii="Times New Roman" w:hAnsi="Times New Roman" w:cs="Times New Roman"/>
          <w:color w:val="212121"/>
          <w:sz w:val="24"/>
          <w:szCs w:val="24"/>
          <w:shd w:val="clear" w:color="auto" w:fill="FFFFFF"/>
        </w:rPr>
        <w:t>countries.</w:t>
      </w:r>
      <w:r>
        <w:rPr>
          <w:rFonts w:ascii="Times New Roman" w:hAnsi="Times New Roman"/>
          <w:sz w:val="24"/>
          <w:szCs w:val="24"/>
        </w:rPr>
        <w:t>(</w:t>
      </w:r>
      <w:proofErr w:type="spellStart"/>
      <w:proofErr w:type="gramEnd"/>
      <w:r>
        <w:rPr>
          <w:rFonts w:ascii="Times New Roman" w:hAnsi="Times New Roman"/>
          <w:sz w:val="24"/>
          <w:szCs w:val="24"/>
        </w:rPr>
        <w:t>Oyedeji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2020).</w:t>
      </w:r>
      <w:r>
        <w:rPr>
          <w:rFonts w:ascii="Times New Roman" w:hAnsi="Times New Roman" w:cs="Times New Roman"/>
          <w:color w:val="212121"/>
          <w:sz w:val="24"/>
          <w:szCs w:val="24"/>
          <w:shd w:val="clear" w:color="auto" w:fill="FFFFFF"/>
        </w:rPr>
        <w:t xml:space="preserve"> According to the World Health Organization (WHO), tuberculosis is among the leading causes of death from a single infectious agent worldwide, surpassing many other communicable diseases in mortality and </w:t>
      </w:r>
      <w:proofErr w:type="gramStart"/>
      <w:r>
        <w:rPr>
          <w:rFonts w:ascii="Times New Roman" w:hAnsi="Times New Roman" w:cs="Times New Roman"/>
          <w:color w:val="212121"/>
          <w:sz w:val="24"/>
          <w:szCs w:val="24"/>
          <w:shd w:val="clear" w:color="auto" w:fill="FFFFFF"/>
        </w:rPr>
        <w:t>morbidity</w:t>
      </w:r>
      <w:r>
        <w:rPr>
          <w:rFonts w:ascii="Times New Roman" w:hAnsi="Times New Roman"/>
          <w:sz w:val="24"/>
          <w:szCs w:val="24"/>
        </w:rPr>
        <w:t>(</w:t>
      </w:r>
      <w:proofErr w:type="gramEnd"/>
      <w:r>
        <w:rPr>
          <w:rFonts w:ascii="Times New Roman" w:hAnsi="Times New Roman"/>
          <w:sz w:val="24"/>
          <w:szCs w:val="24"/>
        </w:rPr>
        <w:t>WHO Global TB Report 2023).</w:t>
      </w:r>
      <w:r>
        <w:rPr>
          <w:rFonts w:ascii="Times New Roman" w:hAnsi="Times New Roman" w:cs="Times New Roman"/>
          <w:color w:val="212121"/>
          <w:sz w:val="24"/>
          <w:szCs w:val="24"/>
          <w:shd w:val="clear" w:color="auto" w:fill="FFFFFF"/>
        </w:rPr>
        <w:t xml:space="preserve"> The burden of the disease is particularly high in sub-Saharan Africa, where factors such as poverty, overcrowding, weak health systems, and co-infection with HIV/AIDS contribute to persistent transmission and poor treatment outcomes.</w:t>
      </w:r>
    </w:p>
    <w:p w:rsidR="0057282D" w:rsidRDefault="0057282D">
      <w:pPr>
        <w:jc w:val="both"/>
        <w:rPr>
          <w:rFonts w:ascii="Times New Roman" w:hAnsi="Times New Roman" w:cs="Times New Roman"/>
          <w:color w:val="212121"/>
          <w:sz w:val="24"/>
          <w:szCs w:val="24"/>
          <w:shd w:val="clear" w:color="auto" w:fill="FFFFFF"/>
        </w:rPr>
      </w:pPr>
    </w:p>
    <w:p w:rsidR="0057282D" w:rsidRDefault="00D42155">
      <w:pPr>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lastRenderedPageBreak/>
        <w:t>Nigeria ranks among the countries with the highest tuberculosis burden globally. The country is also listed among the high-burden nations for multidrug-resistant tuberculosis (MDR-TB), a form of TB that shows resistance to at least Isoniazid and Rifampicin, the two most potent first-line anti-tuberculosis drugs.</w:t>
      </w:r>
      <w:r>
        <w:rPr>
          <w:rFonts w:ascii="Times New Roman" w:hAnsi="Times New Roman" w:cs="Times New Roman"/>
          <w:sz w:val="24"/>
          <w:szCs w:val="24"/>
          <w:lang w:val="en-GB"/>
        </w:rPr>
        <w:t>(</w:t>
      </w:r>
      <w:hyperlink r:id="rId7" w:anchor="B5" w:history="1">
        <w:r>
          <w:rPr>
            <w:rFonts w:ascii="Times New Roman" w:hAnsi="Times New Roman" w:cs="Times New Roman"/>
            <w:sz w:val="24"/>
            <w:szCs w:val="24"/>
          </w:rPr>
          <w:t>NTBLCP</w:t>
        </w:r>
      </w:hyperlink>
      <w:r>
        <w:rPr>
          <w:rFonts w:ascii="Times New Roman" w:hAnsi="Times New Roman" w:cs="Times New Roman"/>
          <w:sz w:val="24"/>
          <w:szCs w:val="24"/>
        </w:rPr>
        <w:t xml:space="preserve"> Workers Manual, 2020; </w:t>
      </w:r>
      <w:proofErr w:type="spellStart"/>
      <w:r>
        <w:rPr>
          <w:rFonts w:ascii="Times New Roman" w:hAnsi="Times New Roman" w:cs="Times New Roman"/>
          <w:sz w:val="24"/>
          <w:szCs w:val="24"/>
        </w:rPr>
        <w:t>Glaziou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WHO Global TB Report, 2023)</w:t>
      </w:r>
      <w:r>
        <w:rPr>
          <w:rFonts w:ascii="Times New Roman" w:hAnsi="Times New Roman" w:cs="Times New Roman"/>
          <w:color w:val="212121"/>
          <w:sz w:val="24"/>
          <w:szCs w:val="24"/>
          <w:shd w:val="clear" w:color="auto" w:fill="FFFFFF"/>
        </w:rPr>
        <w:t xml:space="preserve"> Drug-resistant tuberculosis has emerged as a major threat to TB control efforts because it complicates treatment regimens, increases treatment duration, and significantly raises healthcare costs. The emergence and spread of drug-resistant strains of the **Mycobacterium tuberculosis complex are largely driven by factors such as incomplete treatment, poor patient adherence to therapy, inappropriate prescription of anti-TB drugs, and inadequate diagnostic capacity in many healthcare settings.</w:t>
      </w:r>
    </w:p>
    <w:p w:rsidR="0057282D" w:rsidRDefault="0057282D">
      <w:pPr>
        <w:autoSpaceDE w:val="0"/>
        <w:autoSpaceDN w:val="0"/>
        <w:adjustRightInd w:val="0"/>
        <w:spacing w:before="240"/>
        <w:jc w:val="both"/>
        <w:rPr>
          <w:rFonts w:ascii="Times New Roman" w:hAnsi="Times New Roman" w:cs="Times New Roman"/>
          <w:sz w:val="24"/>
          <w:szCs w:val="24"/>
          <w:lang w:val="en-GB"/>
        </w:rPr>
      </w:pPr>
    </w:p>
    <w:p w:rsidR="0057282D" w:rsidRDefault="00D42155">
      <w:pPr>
        <w:numPr>
          <w:ilvl w:val="0"/>
          <w:numId w:val="1"/>
        </w:numPr>
        <w:jc w:val="both"/>
        <w:rPr>
          <w:rFonts w:ascii="Times New Roman" w:hAnsi="Times New Roman" w:cs="Times New Roman"/>
          <w:b/>
          <w:bCs/>
          <w:sz w:val="24"/>
          <w:szCs w:val="24"/>
        </w:rPr>
      </w:pPr>
      <w:r>
        <w:rPr>
          <w:rFonts w:ascii="Times New Roman" w:hAnsi="Times New Roman" w:cs="Times New Roman"/>
          <w:sz w:val="24"/>
          <w:szCs w:val="24"/>
        </w:rPr>
        <w:t>MATERIALS AND METHODS</w:t>
      </w:r>
      <w:r>
        <w:rPr>
          <w:rFonts w:ascii="Times New Roman" w:hAnsi="Times New Roman" w:cs="Times New Roman"/>
          <w:b/>
          <w:bCs/>
          <w:sz w:val="24"/>
          <w:szCs w:val="24"/>
        </w:rPr>
        <w:t xml:space="preserve"> </w:t>
      </w:r>
    </w:p>
    <w:p w:rsidR="0057282D" w:rsidRDefault="0057282D">
      <w:pPr>
        <w:ind w:left="420"/>
        <w:jc w:val="both"/>
        <w:rPr>
          <w:rFonts w:ascii="Times New Roman" w:hAnsi="Times New Roman" w:cs="Times New Roman"/>
          <w:b/>
          <w:bCs/>
          <w:sz w:val="24"/>
          <w:szCs w:val="24"/>
        </w:rPr>
      </w:pPr>
    </w:p>
    <w:p w:rsidR="0057282D" w:rsidRDefault="00D42155">
      <w:pPr>
        <w:jc w:val="both"/>
        <w:rPr>
          <w:rFonts w:ascii="Times New Roman" w:hAnsi="Times New Roman" w:cs="Times New Roman"/>
          <w:b/>
          <w:bCs/>
          <w:sz w:val="24"/>
          <w:szCs w:val="24"/>
        </w:rPr>
      </w:pPr>
      <w:r>
        <w:rPr>
          <w:rFonts w:ascii="Times New Roman" w:hAnsi="Times New Roman" w:cs="Times New Roman"/>
          <w:b/>
          <w:bCs/>
          <w:sz w:val="24"/>
          <w:szCs w:val="24"/>
        </w:rPr>
        <w:t xml:space="preserve">Study Area </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study was carried out at four Directly Observed Treatment Short course (DOTs) centers in </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Benue and Nasarawa: Benue State University Teaching Hospital (BSUTH) in Makurdi </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town, Saint Vincent Hospital, </w:t>
      </w:r>
      <w:proofErr w:type="spellStart"/>
      <w:r>
        <w:rPr>
          <w:rFonts w:ascii="Times New Roman" w:hAnsi="Times New Roman" w:cs="Times New Roman"/>
          <w:sz w:val="24"/>
          <w:szCs w:val="24"/>
        </w:rPr>
        <w:t>Alaide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w:t>
      </w:r>
      <w:proofErr w:type="spellEnd"/>
      <w:r>
        <w:rPr>
          <w:rFonts w:ascii="Times New Roman" w:hAnsi="Times New Roman" w:cs="Times New Roman"/>
          <w:sz w:val="24"/>
          <w:szCs w:val="24"/>
        </w:rPr>
        <w:t xml:space="preserve"> Specialist Hospital, Lafia; </w:t>
      </w:r>
      <w:proofErr w:type="spellStart"/>
      <w:r>
        <w:rPr>
          <w:rFonts w:ascii="Times New Roman" w:hAnsi="Times New Roman" w:cs="Times New Roman"/>
          <w:sz w:val="24"/>
          <w:szCs w:val="24"/>
        </w:rPr>
        <w:t>Alushi</w:t>
      </w:r>
      <w:proofErr w:type="spellEnd"/>
      <w:r>
        <w:rPr>
          <w:rFonts w:ascii="Times New Roman" w:hAnsi="Times New Roman" w:cs="Times New Roman"/>
          <w:sz w:val="24"/>
          <w:szCs w:val="24"/>
        </w:rPr>
        <w:t xml:space="preserve"> Medical Centre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Benue State occupies a strategic position in the North-Central region of Nigeria, Benue state has a landmass of 33,955 square kilometers with its coordinates extending from 6.5°30′N to 8.5°10′N latitude and 7°30′E to 9°45′E longitude.</w:t>
      </w:r>
    </w:p>
    <w:p w:rsidR="0057282D" w:rsidRDefault="0057282D">
      <w:pPr>
        <w:pStyle w:val="NoSpacing"/>
        <w:jc w:val="both"/>
        <w:rPr>
          <w:rFonts w:ascii="Times New Roman" w:hAnsi="Times New Roman" w:cs="Times New Roman"/>
          <w:sz w:val="24"/>
          <w:szCs w:val="24"/>
        </w:rPr>
      </w:pPr>
    </w:p>
    <w:p w:rsidR="0057282D" w:rsidRDefault="00D42155">
      <w:pPr>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p w:rsidR="0057282D" w:rsidRDefault="00D42155">
      <w:pPr>
        <w:jc w:val="both"/>
        <w:rPr>
          <w:rFonts w:ascii="Times New Roman" w:hAnsi="Times New Roman" w:cs="Times New Roman"/>
          <w:sz w:val="24"/>
          <w:szCs w:val="24"/>
        </w:rPr>
      </w:pPr>
      <w:r>
        <w:rPr>
          <w:rFonts w:ascii="Times New Roman" w:hAnsi="Times New Roman" w:cs="Times New Roman"/>
          <w:sz w:val="24"/>
          <w:szCs w:val="24"/>
        </w:rPr>
        <w:t>This was a cross-sectional hospital-based study. All consenting TB patients who were seen were enrolled in the study. Samples previously collected and tested by AFB microscopy were used for the analysis.</w:t>
      </w:r>
    </w:p>
    <w:p w:rsidR="0057282D" w:rsidRDefault="0057282D">
      <w:pPr>
        <w:jc w:val="both"/>
        <w:rPr>
          <w:rFonts w:ascii="Times New Roman" w:hAnsi="Times New Roman" w:cs="Times New Roman"/>
          <w:sz w:val="24"/>
          <w:szCs w:val="24"/>
        </w:rPr>
      </w:pPr>
    </w:p>
    <w:p w:rsidR="0057282D" w:rsidRDefault="00D4215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Study Population </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study population consisted of TB patients enrolled in the DOTs clinics of Benue State University Teaching Hospital (BSUTH), Saint Vincent Hospital </w:t>
      </w:r>
      <w:proofErr w:type="spellStart"/>
      <w:r>
        <w:rPr>
          <w:rFonts w:ascii="Times New Roman" w:hAnsi="Times New Roman" w:cs="Times New Roman"/>
          <w:sz w:val="24"/>
          <w:szCs w:val="24"/>
        </w:rPr>
        <w:t>Alaide</w:t>
      </w:r>
      <w:proofErr w:type="spellEnd"/>
      <w:r>
        <w:rPr>
          <w:rFonts w:ascii="Times New Roman" w:hAnsi="Times New Roman" w:cs="Times New Roman"/>
          <w:sz w:val="24"/>
          <w:szCs w:val="24"/>
        </w:rPr>
        <w:t xml:space="preserve"> (SVH), </w:t>
      </w:r>
      <w:proofErr w:type="spellStart"/>
      <w:r>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w:t>
      </w:r>
      <w:proofErr w:type="spellEnd"/>
      <w:r>
        <w:rPr>
          <w:rFonts w:ascii="Times New Roman" w:hAnsi="Times New Roman" w:cs="Times New Roman"/>
          <w:sz w:val="24"/>
          <w:szCs w:val="24"/>
        </w:rPr>
        <w:t xml:space="preserve"> Specialist Hospital Lafia (DASH), </w:t>
      </w:r>
      <w:proofErr w:type="spellStart"/>
      <w:r>
        <w:rPr>
          <w:rFonts w:ascii="Times New Roman" w:hAnsi="Times New Roman" w:cs="Times New Roman"/>
          <w:sz w:val="24"/>
          <w:szCs w:val="24"/>
        </w:rPr>
        <w:t>Aluchi</w:t>
      </w:r>
      <w:proofErr w:type="spellEnd"/>
      <w:r>
        <w:rPr>
          <w:rFonts w:ascii="Times New Roman" w:hAnsi="Times New Roman" w:cs="Times New Roman"/>
          <w:sz w:val="24"/>
          <w:szCs w:val="24"/>
        </w:rPr>
        <w:t xml:space="preserve"> Medical Centre,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xml:space="preserve"> (AMC). The patients enrolled per site are as follows: BSUTH (100 Patients), SVH (100 Patients), DASH (100 Patients), and AMC (100 Patients). The study population comprises of all ages, gender, occupation as well as their marital status.</w:t>
      </w:r>
    </w:p>
    <w:p w:rsidR="0057282D" w:rsidRDefault="0057282D">
      <w:pPr>
        <w:pStyle w:val="NoSpacing"/>
        <w:jc w:val="both"/>
        <w:rPr>
          <w:rFonts w:ascii="Times New Roman" w:hAnsi="Times New Roman" w:cs="Times New Roman"/>
          <w:sz w:val="24"/>
          <w:szCs w:val="24"/>
        </w:rPr>
      </w:pPr>
    </w:p>
    <w:p w:rsidR="0057282D" w:rsidRDefault="0057282D">
      <w:pPr>
        <w:pStyle w:val="NoSpacing"/>
        <w:jc w:val="both"/>
        <w:rPr>
          <w:rFonts w:ascii="Times New Roman" w:hAnsi="Times New Roman" w:cs="Times New Roman"/>
          <w:sz w:val="24"/>
          <w:szCs w:val="24"/>
        </w:rPr>
      </w:pPr>
    </w:p>
    <w:p w:rsidR="0057282D" w:rsidRDefault="00D42155">
      <w:pPr>
        <w:pStyle w:val="NoSpacing"/>
        <w:jc w:val="both"/>
        <w:rPr>
          <w:rFonts w:ascii="Times New Roman" w:hAnsi="Times New Roman" w:cs="Times New Roman"/>
          <w:b/>
          <w:sz w:val="24"/>
          <w:szCs w:val="24"/>
        </w:rPr>
      </w:pPr>
      <w:r>
        <w:rPr>
          <w:rFonts w:ascii="Times New Roman" w:hAnsi="Times New Roman" w:cs="Times New Roman"/>
          <w:b/>
          <w:sz w:val="24"/>
          <w:szCs w:val="24"/>
        </w:rPr>
        <w:t>Ethical Approval and Consent</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Ethical approval was obtained from the State Ministry of Health of Benue and Nasarawa State. Signed consents were collected from all patients where the samplings were done.</w:t>
      </w:r>
    </w:p>
    <w:p w:rsidR="0057282D" w:rsidRDefault="0057282D">
      <w:pPr>
        <w:pStyle w:val="NoSpacing"/>
        <w:jc w:val="both"/>
        <w:rPr>
          <w:rFonts w:ascii="Times New Roman" w:hAnsi="Times New Roman" w:cs="Times New Roman"/>
          <w:sz w:val="24"/>
          <w:szCs w:val="24"/>
        </w:rPr>
      </w:pPr>
    </w:p>
    <w:p w:rsidR="0057282D" w:rsidRDefault="00D4215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Inclusion-Exclusion and Criteria </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Individuals who gave written informed consent and patients on first-line anti-TB treatment for less than 4 weeks were included. The exclusion is the unwillingness to consent and as well we excluded pregnant and breastfeeding women to avoid ethical and health risks.</w:t>
      </w:r>
    </w:p>
    <w:p w:rsidR="0057282D" w:rsidRDefault="0057282D">
      <w:pPr>
        <w:pStyle w:val="NoSpacing"/>
        <w:jc w:val="both"/>
        <w:rPr>
          <w:rFonts w:ascii="Times New Roman" w:hAnsi="Times New Roman" w:cs="Times New Roman"/>
          <w:sz w:val="24"/>
          <w:szCs w:val="24"/>
        </w:rPr>
      </w:pPr>
    </w:p>
    <w:p w:rsidR="0057282D" w:rsidRDefault="00D42155">
      <w:pPr>
        <w:pStyle w:val="NoSpacing"/>
        <w:jc w:val="both"/>
        <w:rPr>
          <w:rFonts w:ascii="Times New Roman" w:hAnsi="Times New Roman" w:cs="Times New Roman"/>
          <w:sz w:val="24"/>
          <w:szCs w:val="24"/>
        </w:rPr>
      </w:pPr>
      <w:r>
        <w:rPr>
          <w:rFonts w:ascii="Times New Roman" w:hAnsi="Times New Roman" w:cs="Times New Roman"/>
          <w:b/>
          <w:sz w:val="24"/>
          <w:szCs w:val="24"/>
        </w:rPr>
        <w:t>Sample Size</w:t>
      </w:r>
      <w:r>
        <w:rPr>
          <w:rFonts w:ascii="Times New Roman" w:hAnsi="Times New Roman" w:cs="Times New Roman"/>
          <w:b/>
          <w:sz w:val="24"/>
          <w:szCs w:val="24"/>
        </w:rPr>
        <w:cr/>
      </w:r>
      <w:r>
        <w:rPr>
          <w:rFonts w:ascii="Times New Roman" w:hAnsi="Times New Roman" w:cs="Times New Roman"/>
          <w:sz w:val="24"/>
          <w:szCs w:val="24"/>
        </w:rPr>
        <w:t>The sample size used for the study was determined using a formula recommended by WHO (1990) shown below and a previous prevalence of 4.8% MDR TB determined in Nigeria in 2012 (</w:t>
      </w:r>
      <w:proofErr w:type="spellStart"/>
      <w:r>
        <w:rPr>
          <w:rFonts w:ascii="Times New Roman" w:hAnsi="Times New Roman" w:cs="Times New Roman"/>
          <w:sz w:val="24"/>
          <w:szCs w:val="24"/>
        </w:rPr>
        <w:t>Onyedun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cr/>
        <w:t xml:space="preserve">  </w:t>
      </w:r>
      <w:r>
        <w:rPr>
          <w:rFonts w:ascii="Times New Roman" w:hAnsi="Times New Roman" w:cs="Times New Roman"/>
          <w:sz w:val="24"/>
          <w:szCs w:val="24"/>
        </w:rPr>
        <w:tab/>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 x 1-P</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cr/>
        <w:t xml:space="preserve">         Where N = Sample Size</w:t>
      </w:r>
      <w:r>
        <w:rPr>
          <w:rFonts w:ascii="Times New Roman" w:hAnsi="Times New Roman" w:cs="Times New Roman"/>
          <w:sz w:val="24"/>
          <w:szCs w:val="24"/>
        </w:rPr>
        <w:tab/>
      </w:r>
      <w:r>
        <w:rPr>
          <w:rFonts w:ascii="Times New Roman" w:hAnsi="Times New Roman" w:cs="Times New Roman"/>
          <w:sz w:val="24"/>
          <w:szCs w:val="24"/>
        </w:rPr>
        <w:cr/>
        <w:t>Z = Standard normal distribution at 95% confidence interval (1.96)</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P = Prevalence of Previous Report (4.8%) (Nigeria MDR TB Prevalence</w:t>
      </w:r>
      <w:r>
        <w:rPr>
          <w:rFonts w:ascii="Times New Roman" w:hAnsi="Times New Roman" w:cs="Times New Roman"/>
          <w:sz w:val="24"/>
          <w:szCs w:val="24"/>
        </w:rPr>
        <w:tab/>
        <w:t>Report 2012)</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D = Allowable error is taken as 5%</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q = 1 – P</w:t>
      </w:r>
      <w:r>
        <w:rPr>
          <w:rFonts w:ascii="Times New Roman" w:hAnsi="Times New Roman" w:cs="Times New Roman"/>
          <w:sz w:val="24"/>
          <w:szCs w:val="24"/>
        </w:rPr>
        <w:tab/>
      </w:r>
    </w:p>
    <w:p w:rsidR="0057282D" w:rsidRDefault="00D42155">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u w:val="single"/>
        </w:rPr>
        <w:t xml:space="preserve">  (1.96)</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x 0.048 x (1 - 0.048)</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vertAlign w:val="superscript"/>
        </w:rPr>
        <w:t xml:space="preserve">2 </w:t>
      </w:r>
    </w:p>
    <w:p w:rsidR="0057282D" w:rsidRDefault="0057282D">
      <w:pPr>
        <w:pStyle w:val="NoSpacing"/>
        <w:jc w:val="both"/>
        <w:rPr>
          <w:rFonts w:ascii="Times New Roman" w:hAnsi="Times New Roman" w:cs="Times New Roman"/>
          <w:sz w:val="24"/>
          <w:szCs w:val="24"/>
        </w:rPr>
      </w:pPr>
    </w:p>
    <w:p w:rsidR="0057282D" w:rsidRDefault="00D42155">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sz w:val="24"/>
          <w:szCs w:val="24"/>
          <w:u w:val="single"/>
        </w:rPr>
        <w:t>3.8416 x 0.048 x 0.952</w:t>
      </w:r>
      <w:r>
        <w:rPr>
          <w:rFonts w:ascii="Times New Roman" w:hAnsi="Times New Roman" w:cs="Times New Roman"/>
          <w:sz w:val="24"/>
          <w:szCs w:val="24"/>
        </w:rPr>
        <w:t xml:space="preserve">       = 70      </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t xml:space="preserve">      0.0025       </w:t>
      </w:r>
    </w:p>
    <w:p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 acceptable error margin of 5% and a 95% confidence interval were used. The calculated sample size was 70. However, to adjust for expected losses through contaminated cultures, non-growth, and other factors, the calculated sample size was increased by 20% (WHO, 2003) giving a total sample size of 84 but because of the different facilities and locations, 100 samples were collected per facility. </w:t>
      </w:r>
    </w:p>
    <w:p w:rsidR="0057282D" w:rsidRDefault="0057282D">
      <w:pPr>
        <w:pStyle w:val="NoSpacing"/>
        <w:jc w:val="both"/>
        <w:rPr>
          <w:rFonts w:ascii="Times New Roman" w:hAnsi="Times New Roman" w:cs="Times New Roman"/>
          <w:sz w:val="24"/>
          <w:szCs w:val="24"/>
        </w:rPr>
      </w:pPr>
    </w:p>
    <w:p w:rsidR="0057282D" w:rsidRDefault="00D42155">
      <w:pPr>
        <w:pStyle w:val="NoSpacing"/>
        <w:jc w:val="both"/>
        <w:rPr>
          <w:rFonts w:ascii="Times New Roman" w:hAnsi="Times New Roman" w:cs="Times New Roman"/>
          <w:sz w:val="24"/>
          <w:szCs w:val="24"/>
        </w:rPr>
      </w:pPr>
      <w:r>
        <w:rPr>
          <w:rFonts w:ascii="Times New Roman" w:hAnsi="Times New Roman" w:cs="Times New Roman"/>
          <w:b/>
          <w:sz w:val="24"/>
          <w:szCs w:val="24"/>
        </w:rPr>
        <w:t>Sample Collection</w:t>
      </w:r>
      <w:r>
        <w:rPr>
          <w:rFonts w:ascii="Times New Roman" w:hAnsi="Times New Roman" w:cs="Times New Roman"/>
          <w:b/>
          <w:sz w:val="24"/>
          <w:szCs w:val="24"/>
        </w:rPr>
        <w:cr/>
      </w:r>
      <w:r>
        <w:rPr>
          <w:rFonts w:ascii="Times New Roman" w:hAnsi="Times New Roman" w:cs="Times New Roman"/>
          <w:sz w:val="24"/>
          <w:szCs w:val="24"/>
        </w:rPr>
        <w:t>A consecutive sampling method was used based on individuals who presented and consented at the hospitals. A total of 400 samples of sputum were collected from patients attending different hospitals at different locations area of Benue State and Nasarawa State from November 2023 to February 2024.) and tuberculosis was diagnosed according to Nigeria Programmatic Management of Drug-Resistant Tuberculosis Guidelines (2013). One on-the-spot sputum sample was collected in standard screw-capped leak-proof sputum containers with specific clinic identification and study numbers.  Sputum specimens that were AFB smear-positive at the study sites were kept in a refrigerator at 2-8</w:t>
      </w:r>
      <w:r>
        <w:rPr>
          <w:rFonts w:ascii="Times New Roman" w:hAnsi="Times New Roman" w:cs="Times New Roman"/>
          <w:sz w:val="24"/>
          <w:szCs w:val="24"/>
          <w:vertAlign w:val="superscript"/>
        </w:rPr>
        <w:t>0</w:t>
      </w:r>
      <w:r>
        <w:rPr>
          <w:rFonts w:ascii="Times New Roman" w:hAnsi="Times New Roman" w:cs="Times New Roman"/>
          <w:sz w:val="24"/>
          <w:szCs w:val="24"/>
        </w:rPr>
        <w:t>C and then moved to Reference laboratories for testing.</w:t>
      </w:r>
    </w:p>
    <w:p w:rsidR="0057282D" w:rsidRDefault="0057282D">
      <w:pPr>
        <w:pStyle w:val="NoSpacing"/>
        <w:jc w:val="both"/>
        <w:rPr>
          <w:rFonts w:ascii="Times New Roman" w:hAnsi="Times New Roman" w:cs="Times New Roman"/>
          <w:sz w:val="24"/>
          <w:szCs w:val="24"/>
        </w:rPr>
      </w:pPr>
    </w:p>
    <w:p w:rsidR="0057282D" w:rsidRDefault="00D42155">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Sputum transportation: </w:t>
      </w:r>
      <w:r>
        <w:rPr>
          <w:rFonts w:ascii="Times New Roman" w:hAnsi="Times New Roman" w:cs="Times New Roman"/>
          <w:sz w:val="24"/>
          <w:szCs w:val="24"/>
        </w:rPr>
        <w:t xml:space="preserve">The sputum samples were transported in cold boxes within 3 days at 2-8 degrees Celsius to the </w:t>
      </w:r>
      <w:proofErr w:type="spellStart"/>
      <w:r>
        <w:rPr>
          <w:rFonts w:ascii="Times New Roman" w:hAnsi="Times New Roman" w:cs="Times New Roman"/>
          <w:sz w:val="24"/>
          <w:szCs w:val="24"/>
        </w:rPr>
        <w:t>Zanklin</w:t>
      </w:r>
      <w:proofErr w:type="spellEnd"/>
      <w:r>
        <w:rPr>
          <w:rFonts w:ascii="Times New Roman" w:hAnsi="Times New Roman" w:cs="Times New Roman"/>
          <w:sz w:val="24"/>
          <w:szCs w:val="24"/>
        </w:rPr>
        <w:t xml:space="preserve"> Research, TB Reference Laboratory at Bingham University located in </w:t>
      </w:r>
      <w:proofErr w:type="spellStart"/>
      <w:r>
        <w:rPr>
          <w:rFonts w:ascii="Times New Roman" w:hAnsi="Times New Roman" w:cs="Times New Roman"/>
          <w:sz w:val="24"/>
          <w:szCs w:val="24"/>
        </w:rPr>
        <w:t>Karu</w:t>
      </w:r>
      <w:proofErr w:type="spellEnd"/>
      <w:r>
        <w:rPr>
          <w:rFonts w:ascii="Times New Roman" w:hAnsi="Times New Roman" w:cs="Times New Roman"/>
          <w:sz w:val="24"/>
          <w:szCs w:val="24"/>
        </w:rPr>
        <w:t>, 26 kilometers away from the Federal Capital City of Nigeria, Abuja, for investigations by a designated carrier. The cold boxes were studded with ice packs, and a thermometer monitored the temperature.</w:t>
      </w:r>
    </w:p>
    <w:p w:rsidR="0057282D" w:rsidRDefault="0057282D">
      <w:pPr>
        <w:pStyle w:val="NoSpacing"/>
        <w:jc w:val="both"/>
        <w:rPr>
          <w:rFonts w:ascii="Times New Roman" w:hAnsi="Times New Roman" w:cs="Times New Roman"/>
          <w:sz w:val="13"/>
          <w:szCs w:val="13"/>
        </w:rPr>
      </w:pPr>
    </w:p>
    <w:p w:rsidR="0057282D" w:rsidRDefault="00D42155">
      <w:pPr>
        <w:spacing w:before="240"/>
        <w:jc w:val="both"/>
        <w:rPr>
          <w:rFonts w:ascii="Times New Roman" w:hAnsi="Times New Roman"/>
          <w:b/>
          <w:sz w:val="24"/>
          <w:szCs w:val="24"/>
        </w:rPr>
      </w:pPr>
      <w:r>
        <w:rPr>
          <w:rFonts w:ascii="Times New Roman" w:hAnsi="Times New Roman"/>
          <w:b/>
          <w:sz w:val="24"/>
          <w:szCs w:val="24"/>
        </w:rPr>
        <w:t>Analysis of Samples</w:t>
      </w:r>
    </w:p>
    <w:p w:rsidR="0057282D" w:rsidRDefault="00D42155">
      <w:pPr>
        <w:jc w:val="both"/>
        <w:rPr>
          <w:rFonts w:ascii="Times New Roman" w:hAnsi="Times New Roman"/>
          <w:sz w:val="24"/>
          <w:szCs w:val="24"/>
        </w:rPr>
      </w:pPr>
      <w:r>
        <w:rPr>
          <w:rFonts w:ascii="Times New Roman" w:hAnsi="Times New Roman"/>
          <w:sz w:val="24"/>
          <w:szCs w:val="24"/>
        </w:rPr>
        <w:t xml:space="preserve">The samples that were smear positive after microscopy were subjected to pre-culture AFB smear microscopy, culture, post-culture AFB smear microscopy, and Hain Line Probe Assay. </w:t>
      </w:r>
      <w:r>
        <w:rPr>
          <w:rFonts w:ascii="Times New Roman" w:hAnsi="Times New Roman"/>
          <w:b/>
          <w:sz w:val="24"/>
          <w:szCs w:val="24"/>
        </w:rPr>
        <w:t xml:space="preserve"> </w:t>
      </w:r>
      <w:r>
        <w:rPr>
          <w:rFonts w:ascii="Times New Roman" w:hAnsi="Times New Roman"/>
          <w:sz w:val="24"/>
          <w:szCs w:val="24"/>
        </w:rPr>
        <w:t xml:space="preserve">Culture smears were stained with 1% </w:t>
      </w:r>
      <w:proofErr w:type="spellStart"/>
      <w:r>
        <w:rPr>
          <w:rFonts w:ascii="Times New Roman" w:hAnsi="Times New Roman"/>
          <w:sz w:val="24"/>
          <w:szCs w:val="24"/>
        </w:rPr>
        <w:t>carbol</w:t>
      </w:r>
      <w:proofErr w:type="spellEnd"/>
      <w:r>
        <w:rPr>
          <w:rFonts w:ascii="Times New Roman" w:hAnsi="Times New Roman"/>
          <w:sz w:val="24"/>
          <w:szCs w:val="24"/>
        </w:rPr>
        <w:t xml:space="preserve"> fuchsin and heat was applied underneath using a spirit lamp until the steam rose. The stain was allowed to act on the smear for 5 minutes and then rinsed with water followed by decolorization of smears with 3% acid alcohol for 3 minutes. The slides were rinsed with water thoroughly and counterstained with 1% methylene blue for I minute. The slides were rinsed with water and allowed to drain dry before examination under the microscope using x100 oil immersion (</w:t>
      </w:r>
      <w:proofErr w:type="spellStart"/>
      <w:r>
        <w:rPr>
          <w:rFonts w:ascii="Times New Roman" w:hAnsi="Times New Roman"/>
          <w:sz w:val="24"/>
          <w:szCs w:val="24"/>
        </w:rPr>
        <w:t>Salaman</w:t>
      </w:r>
      <w:proofErr w:type="spellEnd"/>
      <w:r>
        <w:rPr>
          <w:rFonts w:ascii="Times New Roman" w:hAnsi="Times New Roman"/>
          <w:sz w:val="24"/>
          <w:szCs w:val="24"/>
        </w:rPr>
        <w:t xml:space="preserve"> and Sabine, 2006). The Acid fast (AFB) load was graded according to the International Union against Tuberculosis and Lung Disease (2000) grading system.</w:t>
      </w:r>
    </w:p>
    <w:p w:rsidR="0057282D" w:rsidRDefault="0057282D">
      <w:pPr>
        <w:jc w:val="both"/>
        <w:rPr>
          <w:rFonts w:ascii="Times New Roman" w:hAnsi="Times New Roman"/>
          <w:sz w:val="14"/>
          <w:szCs w:val="24"/>
        </w:rPr>
      </w:pPr>
    </w:p>
    <w:p w:rsidR="0057282D" w:rsidRDefault="00D42155">
      <w:pPr>
        <w:jc w:val="both"/>
        <w:rPr>
          <w:rFonts w:ascii="Times New Roman" w:hAnsi="Times New Roman"/>
          <w:sz w:val="24"/>
          <w:szCs w:val="24"/>
        </w:rPr>
      </w:pPr>
      <w:r>
        <w:rPr>
          <w:rFonts w:ascii="Times New Roman" w:hAnsi="Times New Roman"/>
          <w:b/>
          <w:sz w:val="24"/>
          <w:szCs w:val="24"/>
        </w:rPr>
        <w:t>Culture of Specimens on Solid Medium</w:t>
      </w:r>
      <w:r>
        <w:rPr>
          <w:rFonts w:ascii="Times New Roman" w:hAnsi="Times New Roman"/>
          <w:b/>
          <w:sz w:val="24"/>
          <w:szCs w:val="24"/>
        </w:rPr>
        <w:cr/>
      </w:r>
      <w:r>
        <w:rPr>
          <w:rFonts w:ascii="Times New Roman" w:hAnsi="Times New Roman"/>
          <w:sz w:val="24"/>
          <w:szCs w:val="24"/>
        </w:rPr>
        <w:t>All clinical specimens were processed in a Biological Safety Cabinet (BSC) using the NALC-NaOH method as previously described in (</w:t>
      </w:r>
      <w:proofErr w:type="spellStart"/>
      <w:r>
        <w:rPr>
          <w:rFonts w:ascii="Times New Roman" w:hAnsi="Times New Roman"/>
          <w:sz w:val="24"/>
          <w:szCs w:val="24"/>
        </w:rPr>
        <w:t>Steingart</w:t>
      </w:r>
      <w:proofErr w:type="spellEnd"/>
      <w:r>
        <w:rPr>
          <w:rFonts w:ascii="Times New Roman" w:hAnsi="Times New Roman"/>
          <w:sz w:val="24"/>
          <w:szCs w:val="24"/>
        </w:rPr>
        <w:t xml:space="preserve"> et al., 2006). Equal volume (5ml) of NALC-NaOH and sputum was mixed. This was vortexed and incubated for 15 minutes, 35ml Phosphate buffer was added to the NALC-NaOH-Sputum mixture and the tubes were centrifuged at 4oC for 15 minutes at 3000xg. </w:t>
      </w:r>
      <w:r>
        <w:rPr>
          <w:rFonts w:ascii="Times New Roman" w:hAnsi="Times New Roman"/>
          <w:sz w:val="24"/>
          <w:szCs w:val="24"/>
        </w:rPr>
        <w:lastRenderedPageBreak/>
        <w:t xml:space="preserve">The supernatants were carefully discarded and the sediment was resuspended in 2ml buffer. The sediments were used to inoculate Lowenstein Jensen’s (LJ). </w:t>
      </w:r>
    </w:p>
    <w:p w:rsidR="0057282D" w:rsidRDefault="0057282D">
      <w:pPr>
        <w:jc w:val="both"/>
        <w:rPr>
          <w:rFonts w:ascii="Times New Roman" w:hAnsi="Times New Roman"/>
          <w:sz w:val="24"/>
          <w:szCs w:val="24"/>
        </w:rPr>
      </w:pPr>
    </w:p>
    <w:p w:rsidR="0057282D" w:rsidRDefault="0057282D">
      <w:pPr>
        <w:jc w:val="both"/>
        <w:rPr>
          <w:rFonts w:ascii="Times New Roman" w:hAnsi="Times New Roman"/>
          <w:bCs/>
          <w:iCs/>
          <w:color w:val="222222"/>
          <w:sz w:val="13"/>
          <w:szCs w:val="13"/>
          <w:shd w:val="clear" w:color="auto" w:fill="FFFFFF"/>
        </w:rPr>
      </w:pPr>
    </w:p>
    <w:p w:rsidR="0057282D" w:rsidRDefault="0057282D">
      <w:pPr>
        <w:jc w:val="both"/>
        <w:rPr>
          <w:rFonts w:ascii="Times New Roman" w:hAnsi="Times New Roman"/>
          <w:bCs/>
          <w:iCs/>
          <w:color w:val="222222"/>
          <w:sz w:val="2"/>
          <w:szCs w:val="2"/>
          <w:shd w:val="clear" w:color="auto" w:fill="FFFFFF"/>
        </w:rPr>
      </w:pPr>
    </w:p>
    <w:p w:rsidR="0057282D" w:rsidRDefault="00D42155">
      <w:pPr>
        <w:jc w:val="both"/>
        <w:rPr>
          <w:rFonts w:ascii="Times New Roman" w:hAnsi="Times New Roman"/>
          <w:b/>
          <w:bCs/>
          <w:iCs/>
          <w:color w:val="222222"/>
          <w:sz w:val="24"/>
          <w:szCs w:val="24"/>
          <w:shd w:val="clear" w:color="auto" w:fill="FFFFFF"/>
        </w:rPr>
      </w:pPr>
      <w:r>
        <w:rPr>
          <w:rFonts w:ascii="Times New Roman" w:hAnsi="Times New Roman"/>
          <w:b/>
          <w:bCs/>
          <w:sz w:val="24"/>
          <w:szCs w:val="24"/>
        </w:rPr>
        <w:t>Genotypic Line Probe Assay</w:t>
      </w:r>
    </w:p>
    <w:p w:rsidR="0057282D" w:rsidRDefault="00D42155">
      <w:pPr>
        <w:widowControl w:val="0"/>
        <w:overflowPunct w:val="0"/>
        <w:autoSpaceDE w:val="0"/>
        <w:adjustRightInd w:val="0"/>
        <w:jc w:val="both"/>
        <w:rPr>
          <w:rFonts w:ascii="Times New Roman" w:eastAsia="Arial Unicode MS" w:hAnsi="Times New Roman"/>
          <w:kern w:val="28"/>
          <w:sz w:val="24"/>
          <w:szCs w:val="24"/>
        </w:rPr>
      </w:pPr>
      <w:r>
        <w:rPr>
          <w:rFonts w:ascii="Times New Roman" w:eastAsia="Arial Unicode MS" w:hAnsi="Times New Roman"/>
          <w:kern w:val="28"/>
          <w:sz w:val="24"/>
          <w:szCs w:val="24"/>
        </w:rPr>
        <w:t xml:space="preserve">The Hain Line Probe Assay is a DNA strip technology that uses the principle of polymerase chain reaction (PCR) for the molecular </w:t>
      </w:r>
      <w:r>
        <w:rPr>
          <w:rFonts w:ascii="Times New Roman" w:eastAsia="Arial Unicode MS" w:hAnsi="Times New Roman"/>
          <w:kern w:val="28"/>
          <w:sz w:val="24"/>
          <w:szCs w:val="24"/>
          <w:lang w:val="de-DE"/>
        </w:rPr>
        <w:t>genetic assay. The principle and procedures of the test is the same and the procedur</w:t>
      </w:r>
      <w:r>
        <w:rPr>
          <w:rFonts w:ascii="Times New Roman" w:eastAsia="Arial Unicode MS" w:hAnsi="Times New Roman"/>
          <w:kern w:val="28"/>
          <w:sz w:val="24"/>
          <w:szCs w:val="24"/>
        </w:rPr>
        <w:t xml:space="preserve">e is as follows ; Specimen Preparation, </w:t>
      </w:r>
      <w:r>
        <w:rPr>
          <w:rFonts w:ascii="Times New Roman" w:eastAsia="Arial Unicode MS" w:hAnsi="Times New Roman"/>
          <w:kern w:val="28"/>
          <w:sz w:val="24"/>
          <w:szCs w:val="24"/>
          <w:lang w:val="de-DE"/>
        </w:rPr>
        <w:t xml:space="preserve"> DNA extraction,</w:t>
      </w:r>
      <w:r>
        <w:rPr>
          <w:rFonts w:ascii="Times New Roman" w:eastAsia="Arial Unicode MS" w:hAnsi="Times New Roman"/>
          <w:kern w:val="28"/>
          <w:sz w:val="24"/>
          <w:szCs w:val="24"/>
        </w:rPr>
        <w:t xml:space="preserve"> Pre-PCR,</w:t>
      </w:r>
      <w:r>
        <w:rPr>
          <w:rFonts w:ascii="Times New Roman" w:eastAsia="Arial Unicode MS" w:hAnsi="Times New Roman"/>
          <w:kern w:val="28"/>
          <w:sz w:val="24"/>
          <w:szCs w:val="24"/>
          <w:lang w:val="de-DE"/>
        </w:rPr>
        <w:t xml:space="preserve"> Amplification</w:t>
      </w:r>
      <w:r>
        <w:rPr>
          <w:rFonts w:ascii="Times New Roman" w:eastAsia="Arial Unicode MS" w:hAnsi="Times New Roman"/>
          <w:kern w:val="28"/>
          <w:sz w:val="24"/>
          <w:szCs w:val="24"/>
        </w:rPr>
        <w:t xml:space="preserve">, Post-PCR and finally mounting ,reading and Interpretation of results. </w:t>
      </w:r>
      <w:r>
        <w:rPr>
          <w:rFonts w:ascii="Times New Roman" w:eastAsia="DengXian" w:hAnsi="Times New Roman"/>
          <w:sz w:val="24"/>
          <w:szCs w:val="24"/>
        </w:rPr>
        <w:t xml:space="preserve">The Genotype </w:t>
      </w:r>
      <w:proofErr w:type="spellStart"/>
      <w:r>
        <w:rPr>
          <w:rFonts w:ascii="Times New Roman" w:eastAsia="DengXian" w:hAnsi="Times New Roman"/>
          <w:sz w:val="24"/>
          <w:szCs w:val="24"/>
        </w:rPr>
        <w:t>MTBDR</w:t>
      </w:r>
      <w:r>
        <w:rPr>
          <w:rFonts w:ascii="Times New Roman" w:eastAsia="DengXian" w:hAnsi="Times New Roman"/>
          <w:i/>
          <w:iCs/>
          <w:sz w:val="24"/>
          <w:szCs w:val="24"/>
        </w:rPr>
        <w:t>plus</w:t>
      </w:r>
      <w:proofErr w:type="spellEnd"/>
      <w:r>
        <w:rPr>
          <w:rFonts w:ascii="Times New Roman" w:eastAsia="DengXian" w:hAnsi="Times New Roman"/>
          <w:sz w:val="24"/>
          <w:szCs w:val="24"/>
        </w:rPr>
        <w:t xml:space="preserve"> VER 2.0 is a qualitative in vitro test for the rapid </w:t>
      </w:r>
      <w:r>
        <w:rPr>
          <w:rFonts w:ascii="Times New Roman" w:eastAsia="Arial Unicode MS" w:hAnsi="Times New Roman"/>
          <w:kern w:val="28"/>
          <w:sz w:val="24"/>
          <w:szCs w:val="24"/>
          <w:lang w:val="de-DE"/>
        </w:rPr>
        <w:t xml:space="preserve">identification of </w:t>
      </w:r>
      <w:r>
        <w:rPr>
          <w:rFonts w:ascii="Times New Roman" w:eastAsia="Arial Unicode MS" w:hAnsi="Times New Roman"/>
          <w:i/>
          <w:iCs/>
          <w:kern w:val="28"/>
          <w:sz w:val="24"/>
          <w:szCs w:val="24"/>
          <w:lang w:val="de-DE"/>
        </w:rPr>
        <w:t xml:space="preserve">Mycobacterium tuberculosis </w:t>
      </w:r>
      <w:r>
        <w:rPr>
          <w:rFonts w:ascii="Times New Roman" w:eastAsia="Arial Unicode MS" w:hAnsi="Times New Roman"/>
          <w:kern w:val="28"/>
          <w:sz w:val="24"/>
          <w:szCs w:val="24"/>
          <w:lang w:val="de-DE"/>
        </w:rPr>
        <w:t xml:space="preserve">complex and </w:t>
      </w:r>
      <w:r>
        <w:rPr>
          <w:rFonts w:ascii="Times New Roman" w:eastAsia="Arial Unicode MS" w:hAnsi="Times New Roman"/>
          <w:kern w:val="28"/>
          <w:sz w:val="24"/>
          <w:szCs w:val="24"/>
        </w:rPr>
        <w:t>detection</w:t>
      </w:r>
      <w:r>
        <w:rPr>
          <w:rFonts w:ascii="Times New Roman" w:eastAsia="Arial Unicode MS" w:hAnsi="Times New Roman"/>
          <w:kern w:val="28"/>
          <w:sz w:val="24"/>
          <w:szCs w:val="24"/>
          <w:lang w:val="de-DE"/>
        </w:rPr>
        <w:t xml:space="preserve"> of rifampicin resistance </w:t>
      </w:r>
      <w:r>
        <w:rPr>
          <w:rFonts w:ascii="Times New Roman" w:eastAsia="Arial Unicode MS" w:hAnsi="Times New Roman"/>
          <w:kern w:val="28"/>
          <w:sz w:val="24"/>
          <w:szCs w:val="24"/>
        </w:rPr>
        <w:t xml:space="preserve">that </w:t>
      </w:r>
      <w:r>
        <w:rPr>
          <w:rFonts w:ascii="Times New Roman" w:eastAsia="Arial Unicode MS" w:hAnsi="Times New Roman"/>
          <w:kern w:val="28"/>
          <w:sz w:val="24"/>
          <w:szCs w:val="24"/>
          <w:lang w:val="de-DE"/>
        </w:rPr>
        <w:t>detect</w:t>
      </w:r>
      <w:r>
        <w:rPr>
          <w:rFonts w:ascii="Times New Roman" w:eastAsia="Arial Unicode MS" w:hAnsi="Times New Roman"/>
          <w:kern w:val="28"/>
          <w:sz w:val="24"/>
          <w:szCs w:val="24"/>
        </w:rPr>
        <w:t>s</w:t>
      </w:r>
      <w:r>
        <w:rPr>
          <w:rFonts w:ascii="Times New Roman" w:eastAsia="Arial Unicode MS" w:hAnsi="Times New Roman"/>
          <w:kern w:val="28"/>
          <w:sz w:val="24"/>
          <w:szCs w:val="24"/>
          <w:lang w:val="de-DE"/>
        </w:rPr>
        <w:t xml:space="preserve"> mutations of the </w:t>
      </w:r>
      <w:r>
        <w:rPr>
          <w:rFonts w:ascii="Times New Roman" w:eastAsia="Arial Unicode MS" w:hAnsi="Times New Roman"/>
          <w:i/>
          <w:iCs/>
          <w:kern w:val="28"/>
          <w:sz w:val="24"/>
          <w:szCs w:val="24"/>
          <w:lang w:val="de-DE"/>
        </w:rPr>
        <w:t xml:space="preserve">rpoB </w:t>
      </w:r>
      <w:r>
        <w:rPr>
          <w:rFonts w:ascii="Times New Roman" w:eastAsia="Arial Unicode MS" w:hAnsi="Times New Roman"/>
          <w:kern w:val="28"/>
          <w:sz w:val="24"/>
          <w:szCs w:val="24"/>
          <w:lang w:val="de-DE"/>
        </w:rPr>
        <w:t>gene</w:t>
      </w:r>
      <w:r>
        <w:rPr>
          <w:rFonts w:ascii="Times New Roman" w:eastAsia="Arial Unicode MS" w:hAnsi="Times New Roman"/>
          <w:kern w:val="28"/>
          <w:sz w:val="24"/>
          <w:szCs w:val="24"/>
        </w:rPr>
        <w:t xml:space="preserve"> coding for the B-subunit of the RNA polymerase</w:t>
      </w:r>
      <w:r>
        <w:rPr>
          <w:rFonts w:ascii="Times New Roman" w:eastAsia="Arial Unicode MS" w:hAnsi="Times New Roman"/>
          <w:kern w:val="28"/>
          <w:sz w:val="24"/>
          <w:szCs w:val="24"/>
          <w:lang w:val="de-DE"/>
        </w:rPr>
        <w:t>) and isoniazid resistance testing</w:t>
      </w:r>
      <w:r>
        <w:rPr>
          <w:rFonts w:ascii="Times New Roman" w:eastAsia="Arial Unicode MS" w:hAnsi="Times New Roman"/>
          <w:kern w:val="28"/>
          <w:sz w:val="24"/>
          <w:szCs w:val="24"/>
        </w:rPr>
        <w:t xml:space="preserve"> that</w:t>
      </w:r>
      <w:r>
        <w:rPr>
          <w:rFonts w:ascii="Times New Roman" w:eastAsia="Arial Unicode MS" w:hAnsi="Times New Roman"/>
          <w:kern w:val="28"/>
          <w:sz w:val="24"/>
          <w:szCs w:val="24"/>
          <w:lang w:val="de-DE"/>
        </w:rPr>
        <w:t xml:space="preserve"> is enabled by the </w:t>
      </w:r>
      <w:r>
        <w:rPr>
          <w:rFonts w:ascii="Times New Roman" w:eastAsia="Arial Unicode MS" w:hAnsi="Times New Roman"/>
          <w:i/>
          <w:iCs/>
          <w:kern w:val="28"/>
          <w:sz w:val="24"/>
          <w:szCs w:val="24"/>
          <w:lang w:val="de-DE"/>
        </w:rPr>
        <w:t xml:space="preserve">katG </w:t>
      </w:r>
      <w:r>
        <w:rPr>
          <w:rFonts w:ascii="Times New Roman" w:eastAsia="Arial Unicode MS" w:hAnsi="Times New Roman"/>
          <w:kern w:val="28"/>
          <w:sz w:val="24"/>
          <w:szCs w:val="24"/>
          <w:lang w:val="de-DE"/>
        </w:rPr>
        <w:t>gene</w:t>
      </w:r>
      <w:r>
        <w:rPr>
          <w:rFonts w:ascii="Times New Roman" w:eastAsia="Arial Unicode MS" w:hAnsi="Times New Roman"/>
          <w:kern w:val="28"/>
          <w:sz w:val="24"/>
          <w:szCs w:val="24"/>
        </w:rPr>
        <w:t xml:space="preserve"> which codes for the catalase peroxidase</w:t>
      </w:r>
      <w:r>
        <w:rPr>
          <w:rFonts w:ascii="Times New Roman" w:eastAsia="Arial Unicode MS" w:hAnsi="Times New Roman"/>
          <w:kern w:val="28"/>
          <w:sz w:val="24"/>
          <w:szCs w:val="24"/>
          <w:lang w:val="de-DE"/>
        </w:rPr>
        <w:t xml:space="preserve"> and the inhA gene</w:t>
      </w:r>
      <w:r>
        <w:rPr>
          <w:rFonts w:ascii="Times New Roman" w:eastAsia="Arial Unicode MS" w:hAnsi="Times New Roman"/>
          <w:kern w:val="28"/>
          <w:sz w:val="24"/>
          <w:szCs w:val="24"/>
        </w:rPr>
        <w:t xml:space="preserve"> coding for the NADH enoyl ACP reductase</w:t>
      </w:r>
      <w:r>
        <w:rPr>
          <w:rFonts w:ascii="Times New Roman" w:eastAsia="Arial Unicode MS" w:hAnsi="Times New Roman"/>
          <w:kern w:val="28"/>
          <w:sz w:val="24"/>
          <w:szCs w:val="24"/>
          <w:lang w:val="de-DE"/>
        </w:rPr>
        <w:t>. The GenoType MTBDRsl VER 2.0 is a qualitative in vitro test for the identification of the Mycobacterium tuberculosis complex and its resistance to fluoroquinolones (FLQ; e.g. ofloxacin</w:t>
      </w:r>
      <w:r>
        <w:rPr>
          <w:rFonts w:ascii="Times New Roman" w:eastAsia="Arial Unicode MS" w:hAnsi="Times New Roman"/>
          <w:kern w:val="28"/>
          <w:sz w:val="24"/>
          <w:szCs w:val="24"/>
        </w:rPr>
        <w:t>, levofloxacin</w:t>
      </w:r>
      <w:r>
        <w:rPr>
          <w:rFonts w:ascii="Times New Roman" w:eastAsia="Arial Unicode MS" w:hAnsi="Times New Roman"/>
          <w:kern w:val="28"/>
          <w:sz w:val="24"/>
          <w:szCs w:val="24"/>
          <w:lang w:val="de-DE"/>
        </w:rPr>
        <w:t xml:space="preserve"> and moxifloxacin) and aminoglycosides/cyclic peptides (AG/CP; injectable antibiotics such as kanamycin, amikacin, capreomycin, and viomycin) from smear-positive or -negative sputum specimens and cultivated samples</w:t>
      </w:r>
      <w:r>
        <w:rPr>
          <w:rFonts w:ascii="Times New Roman" w:eastAsia="Arial Unicode MS" w:hAnsi="Times New Roman"/>
          <w:kern w:val="28"/>
          <w:sz w:val="24"/>
          <w:szCs w:val="24"/>
        </w:rPr>
        <w:t xml:space="preserve">. The detection of FLQ-resistance is enabled by the detection of the most significant resistance-associated mutations of the </w:t>
      </w:r>
      <w:proofErr w:type="spellStart"/>
      <w:r>
        <w:rPr>
          <w:rFonts w:ascii="Times New Roman" w:eastAsia="Arial Unicode MS" w:hAnsi="Times New Roman"/>
          <w:kern w:val="28"/>
          <w:sz w:val="24"/>
          <w:szCs w:val="24"/>
        </w:rPr>
        <w:t>gyrA</w:t>
      </w:r>
      <w:proofErr w:type="spellEnd"/>
      <w:r>
        <w:rPr>
          <w:rFonts w:ascii="Times New Roman" w:eastAsia="Arial Unicode MS" w:hAnsi="Times New Roman"/>
          <w:kern w:val="28"/>
          <w:sz w:val="24"/>
          <w:szCs w:val="24"/>
        </w:rPr>
        <w:t xml:space="preserve"> and </w:t>
      </w:r>
      <w:proofErr w:type="spellStart"/>
      <w:r>
        <w:rPr>
          <w:rFonts w:ascii="Times New Roman" w:eastAsia="Arial Unicode MS" w:hAnsi="Times New Roman"/>
          <w:kern w:val="28"/>
          <w:sz w:val="24"/>
          <w:szCs w:val="24"/>
        </w:rPr>
        <w:t>gyrB</w:t>
      </w:r>
      <w:proofErr w:type="spellEnd"/>
      <w:r>
        <w:rPr>
          <w:rFonts w:ascii="Times New Roman" w:eastAsia="Arial Unicode MS" w:hAnsi="Times New Roman"/>
          <w:kern w:val="28"/>
          <w:sz w:val="24"/>
          <w:szCs w:val="24"/>
        </w:rPr>
        <w:t xml:space="preserve"> genes (coding for the A-subunit and the B-subunit of the DNA gyrase, respectively). For detection of AG/CP-resistance, the 16S rRNA gene (</w:t>
      </w:r>
      <w:proofErr w:type="spellStart"/>
      <w:r>
        <w:rPr>
          <w:rFonts w:ascii="Times New Roman" w:eastAsia="Arial Unicode MS" w:hAnsi="Times New Roman"/>
          <w:kern w:val="28"/>
          <w:sz w:val="24"/>
          <w:szCs w:val="24"/>
        </w:rPr>
        <w:t>rrs</w:t>
      </w:r>
      <w:proofErr w:type="spellEnd"/>
      <w:r>
        <w:rPr>
          <w:rFonts w:ascii="Times New Roman" w:eastAsia="Arial Unicode MS" w:hAnsi="Times New Roman"/>
          <w:kern w:val="28"/>
          <w:sz w:val="24"/>
          <w:szCs w:val="24"/>
        </w:rPr>
        <w:t xml:space="preserve">) is examined, for detection of low-level kanamycin-resistance, the promoter region of the </w:t>
      </w:r>
      <w:proofErr w:type="spellStart"/>
      <w:r>
        <w:rPr>
          <w:rFonts w:ascii="Times New Roman" w:eastAsia="Arial Unicode MS" w:hAnsi="Times New Roman"/>
          <w:kern w:val="28"/>
          <w:sz w:val="24"/>
          <w:szCs w:val="24"/>
        </w:rPr>
        <w:t>eis</w:t>
      </w:r>
      <w:proofErr w:type="spellEnd"/>
      <w:r>
        <w:rPr>
          <w:rFonts w:ascii="Times New Roman" w:eastAsia="Arial Unicode MS" w:hAnsi="Times New Roman"/>
          <w:kern w:val="28"/>
          <w:sz w:val="24"/>
          <w:szCs w:val="24"/>
        </w:rPr>
        <w:t xml:space="preserve"> gene (coding for the acetyltransferase </w:t>
      </w:r>
      <w:proofErr w:type="spellStart"/>
      <w:r>
        <w:rPr>
          <w:rFonts w:ascii="Times New Roman" w:eastAsia="Arial Unicode MS" w:hAnsi="Times New Roman"/>
          <w:kern w:val="28"/>
          <w:sz w:val="24"/>
          <w:szCs w:val="24"/>
        </w:rPr>
        <w:t>Eis</w:t>
      </w:r>
      <w:proofErr w:type="spellEnd"/>
      <w:r>
        <w:rPr>
          <w:rFonts w:ascii="Times New Roman" w:eastAsia="Arial Unicode MS" w:hAnsi="Times New Roman"/>
          <w:kern w:val="28"/>
          <w:sz w:val="24"/>
          <w:szCs w:val="24"/>
        </w:rPr>
        <w:t>) is examined.</w:t>
      </w:r>
    </w:p>
    <w:p w:rsidR="0057282D" w:rsidRDefault="0057282D">
      <w:pPr>
        <w:widowControl w:val="0"/>
        <w:overflowPunct w:val="0"/>
        <w:autoSpaceDE w:val="0"/>
        <w:adjustRightInd w:val="0"/>
        <w:spacing w:before="240"/>
        <w:jc w:val="both"/>
        <w:rPr>
          <w:rFonts w:ascii="Times New Roman" w:eastAsia="Arial Unicode MS" w:hAnsi="Times New Roman"/>
          <w:kern w:val="28"/>
          <w:sz w:val="4"/>
          <w:szCs w:val="4"/>
          <w:lang w:val="de-DE"/>
        </w:rPr>
      </w:pPr>
    </w:p>
    <w:p w:rsidR="0057282D" w:rsidRDefault="00D42155">
      <w:pPr>
        <w:widowControl w:val="0"/>
        <w:overflowPunct w:val="0"/>
        <w:autoSpaceDE w:val="0"/>
        <w:adjustRightInd w:val="0"/>
        <w:jc w:val="both"/>
        <w:rPr>
          <w:rFonts w:ascii="Times New Roman" w:eastAsia="Arial Unicode MS" w:hAnsi="Times New Roman"/>
          <w:kern w:val="28"/>
          <w:sz w:val="24"/>
          <w:szCs w:val="24"/>
        </w:rPr>
      </w:pPr>
      <w:r>
        <w:rPr>
          <w:rFonts w:ascii="Times New Roman" w:eastAsia="Arial Unicode MS" w:hAnsi="Times New Roman"/>
          <w:kern w:val="28"/>
          <w:sz w:val="24"/>
          <w:szCs w:val="24"/>
          <w:lang w:val="de-DE"/>
        </w:rPr>
        <w:t>The</w:t>
      </w:r>
      <w:r>
        <w:rPr>
          <w:rFonts w:ascii="Times New Roman" w:eastAsia="Arial Unicode MS" w:hAnsi="Times New Roman"/>
          <w:kern w:val="28"/>
          <w:sz w:val="24"/>
          <w:szCs w:val="24"/>
        </w:rPr>
        <w:t xml:space="preserve"> Genotype</w:t>
      </w:r>
      <w:r>
        <w:rPr>
          <w:rFonts w:ascii="Times New Roman" w:eastAsia="Arial Unicode MS" w:hAnsi="Times New Roman"/>
          <w:kern w:val="28"/>
          <w:sz w:val="24"/>
          <w:szCs w:val="24"/>
          <w:lang w:val="de-DE"/>
        </w:rPr>
        <w:t xml:space="preserve"> MTBC </w:t>
      </w:r>
      <w:r>
        <w:rPr>
          <w:rFonts w:ascii="Times New Roman" w:eastAsia="DengXian" w:hAnsi="Times New Roman"/>
          <w:sz w:val="24"/>
          <w:szCs w:val="24"/>
        </w:rPr>
        <w:t xml:space="preserve">(Hain </w:t>
      </w:r>
      <w:proofErr w:type="spellStart"/>
      <w:r>
        <w:rPr>
          <w:rFonts w:ascii="Times New Roman" w:eastAsia="DengXian" w:hAnsi="Times New Roman"/>
          <w:sz w:val="24"/>
          <w:szCs w:val="24"/>
        </w:rPr>
        <w:t>Lifescience</w:t>
      </w:r>
      <w:proofErr w:type="spellEnd"/>
      <w:r>
        <w:rPr>
          <w:rFonts w:ascii="Times New Roman" w:eastAsia="DengXian" w:hAnsi="Times New Roman"/>
          <w:sz w:val="24"/>
          <w:szCs w:val="24"/>
        </w:rPr>
        <w:t xml:space="preserve"> GmbH, </w:t>
      </w:r>
      <w:proofErr w:type="spellStart"/>
      <w:r>
        <w:rPr>
          <w:rFonts w:ascii="Times New Roman" w:eastAsia="DengXian" w:hAnsi="Times New Roman"/>
          <w:sz w:val="24"/>
          <w:szCs w:val="24"/>
        </w:rPr>
        <w:t>Nehren</w:t>
      </w:r>
      <w:proofErr w:type="spellEnd"/>
      <w:r>
        <w:rPr>
          <w:rFonts w:ascii="Times New Roman" w:eastAsia="DengXian" w:hAnsi="Times New Roman"/>
          <w:sz w:val="24"/>
          <w:szCs w:val="24"/>
        </w:rPr>
        <w:t xml:space="preserve">, Germany) </w:t>
      </w:r>
      <w:r>
        <w:rPr>
          <w:rFonts w:ascii="Times New Roman" w:eastAsia="Arial Unicode MS" w:hAnsi="Times New Roman"/>
          <w:kern w:val="28"/>
          <w:sz w:val="24"/>
          <w:szCs w:val="24"/>
          <w:lang w:val="de-DE"/>
        </w:rPr>
        <w:t>allows for the d</w:t>
      </w:r>
      <w:r>
        <w:rPr>
          <w:rFonts w:ascii="Times New Roman" w:eastAsia="Arial Unicode MS" w:hAnsi="Times New Roman"/>
          <w:kern w:val="28"/>
          <w:sz w:val="24"/>
          <w:szCs w:val="24"/>
        </w:rPr>
        <w:t xml:space="preserve">differentiation of the </w:t>
      </w:r>
      <w:r>
        <w:rPr>
          <w:rFonts w:ascii="Times New Roman" w:eastAsia="Arial Unicode MS" w:hAnsi="Times New Roman"/>
          <w:i/>
          <w:kern w:val="28"/>
          <w:sz w:val="24"/>
          <w:szCs w:val="24"/>
        </w:rPr>
        <w:t>Mycobacterium tuberculosis</w:t>
      </w:r>
      <w:r>
        <w:rPr>
          <w:rFonts w:ascii="Times New Roman" w:eastAsia="Arial Unicode MS" w:hAnsi="Times New Roman"/>
          <w:kern w:val="28"/>
          <w:sz w:val="24"/>
          <w:szCs w:val="24"/>
        </w:rPr>
        <w:t xml:space="preserve"> complex from culture  material by identifying species belonging to the </w:t>
      </w:r>
      <w:r>
        <w:rPr>
          <w:rFonts w:ascii="Times New Roman" w:eastAsia="Arial Unicode MS" w:hAnsi="Times New Roman"/>
          <w:i/>
          <w:kern w:val="28"/>
          <w:sz w:val="24"/>
          <w:szCs w:val="24"/>
        </w:rPr>
        <w:t>Mycobacterium tuberculosis</w:t>
      </w:r>
      <w:r>
        <w:rPr>
          <w:rFonts w:ascii="Times New Roman" w:eastAsia="Arial Unicode MS" w:hAnsi="Times New Roman"/>
          <w:kern w:val="28"/>
          <w:sz w:val="24"/>
          <w:szCs w:val="24"/>
        </w:rPr>
        <w:t xml:space="preserve"> complex;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africanum</w:t>
      </w:r>
      <w:proofErr w:type="spellEnd"/>
      <w:r>
        <w:rPr>
          <w:rFonts w:ascii="Times New Roman" w:eastAsia="Arial Unicode MS" w:hAnsi="Times New Roman"/>
          <w:kern w:val="28"/>
          <w:sz w:val="24"/>
          <w:szCs w:val="24"/>
        </w:rPr>
        <w:t xml:space="preserve">, </w:t>
      </w:r>
      <w:proofErr w:type="spellStart"/>
      <w:proofErr w:type="gramStart"/>
      <w:r>
        <w:rPr>
          <w:rFonts w:ascii="Times New Roman" w:eastAsia="Arial Unicode MS" w:hAnsi="Times New Roman"/>
          <w:i/>
          <w:kern w:val="28"/>
          <w:sz w:val="24"/>
          <w:szCs w:val="24"/>
        </w:rPr>
        <w:t>M.bovis</w:t>
      </w:r>
      <w:proofErr w:type="spellEnd"/>
      <w:proofErr w:type="gramEnd"/>
      <w:r>
        <w:rPr>
          <w:rFonts w:ascii="Times New Roman" w:eastAsia="Arial Unicode MS" w:hAnsi="Times New Roman"/>
          <w:i/>
          <w:kern w:val="28"/>
          <w:sz w:val="24"/>
          <w:szCs w:val="24"/>
        </w:rPr>
        <w:t xml:space="preserve"> BCG, M. </w:t>
      </w:r>
      <w:proofErr w:type="spellStart"/>
      <w:r>
        <w:rPr>
          <w:rFonts w:ascii="Times New Roman" w:eastAsia="Arial Unicode MS" w:hAnsi="Times New Roman"/>
          <w:i/>
          <w:kern w:val="28"/>
          <w:sz w:val="24"/>
          <w:szCs w:val="24"/>
        </w:rPr>
        <w:t>Bovis</w:t>
      </w:r>
      <w:proofErr w:type="spellEnd"/>
      <w:r>
        <w:rPr>
          <w:rFonts w:ascii="Times New Roman" w:eastAsia="Arial Unicode MS" w:hAnsi="Times New Roman"/>
          <w:kern w:val="28"/>
          <w:sz w:val="24"/>
          <w:szCs w:val="24"/>
        </w:rPr>
        <w:t xml:space="preserve"> ssp. </w:t>
      </w:r>
      <w:proofErr w:type="spellStart"/>
      <w:r>
        <w:rPr>
          <w:rFonts w:ascii="Times New Roman" w:eastAsia="Arial Unicode MS" w:hAnsi="Times New Roman"/>
          <w:i/>
          <w:kern w:val="28"/>
          <w:sz w:val="24"/>
          <w:szCs w:val="24"/>
        </w:rPr>
        <w:t>bovis</w:t>
      </w:r>
      <w:proofErr w:type="spellEnd"/>
      <w:r>
        <w:rPr>
          <w:rFonts w:ascii="Times New Roman" w:eastAsia="Arial Unicode MS" w:hAnsi="Times New Roman"/>
          <w:kern w:val="28"/>
          <w:sz w:val="24"/>
          <w:szCs w:val="24"/>
        </w:rPr>
        <w:t xml:space="preserve">,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bovis</w:t>
      </w:r>
      <w:proofErr w:type="spellEnd"/>
      <w:r>
        <w:rPr>
          <w:rFonts w:ascii="Times New Roman" w:eastAsia="Arial Unicode MS" w:hAnsi="Times New Roman"/>
          <w:kern w:val="28"/>
          <w:sz w:val="24"/>
          <w:szCs w:val="24"/>
        </w:rPr>
        <w:t xml:space="preserve"> spp. </w:t>
      </w:r>
      <w:proofErr w:type="spellStart"/>
      <w:r>
        <w:rPr>
          <w:rFonts w:ascii="Times New Roman" w:eastAsia="Arial Unicode MS" w:hAnsi="Times New Roman"/>
          <w:i/>
          <w:iCs/>
          <w:kern w:val="28"/>
          <w:sz w:val="24"/>
          <w:szCs w:val="24"/>
        </w:rPr>
        <w:t>caprae</w:t>
      </w:r>
      <w:proofErr w:type="spellEnd"/>
      <w:r>
        <w:rPr>
          <w:rFonts w:ascii="Times New Roman" w:eastAsia="Arial Unicode MS" w:hAnsi="Times New Roman"/>
          <w:kern w:val="28"/>
          <w:sz w:val="24"/>
          <w:szCs w:val="24"/>
        </w:rPr>
        <w:t xml:space="preserve">,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Microti</w:t>
      </w:r>
      <w:proofErr w:type="spellEnd"/>
      <w:r>
        <w:rPr>
          <w:rFonts w:ascii="Times New Roman" w:eastAsia="Arial Unicode MS" w:hAnsi="Times New Roman"/>
          <w:i/>
          <w:kern w:val="28"/>
          <w:sz w:val="24"/>
          <w:szCs w:val="24"/>
        </w:rPr>
        <w:t>,</w:t>
      </w:r>
      <w:r>
        <w:rPr>
          <w:rFonts w:ascii="Times New Roman" w:eastAsia="Arial Unicode MS" w:hAnsi="Times New Roman"/>
          <w:kern w:val="28"/>
          <w:sz w:val="24"/>
          <w:szCs w:val="24"/>
        </w:rPr>
        <w:t xml:space="preserve"> and </w:t>
      </w:r>
      <w:r>
        <w:rPr>
          <w:rFonts w:ascii="Times New Roman" w:eastAsia="Arial Unicode MS" w:hAnsi="Times New Roman"/>
          <w:i/>
          <w:kern w:val="28"/>
          <w:sz w:val="24"/>
          <w:szCs w:val="24"/>
        </w:rPr>
        <w:t>M. Tuberculosis</w:t>
      </w:r>
      <w:r>
        <w:rPr>
          <w:rFonts w:ascii="Times New Roman" w:eastAsia="Arial Unicode MS" w:hAnsi="Times New Roman"/>
          <w:kern w:val="28"/>
          <w:sz w:val="24"/>
          <w:szCs w:val="24"/>
        </w:rPr>
        <w:t>/</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Canettii</w:t>
      </w:r>
      <w:proofErr w:type="spellEnd"/>
      <w:r>
        <w:rPr>
          <w:rFonts w:ascii="Times New Roman" w:eastAsia="Arial Unicode MS" w:hAnsi="Times New Roman"/>
          <w:kern w:val="28"/>
          <w:sz w:val="24"/>
          <w:szCs w:val="24"/>
        </w:rPr>
        <w:t xml:space="preserve">. </w:t>
      </w:r>
      <w:r>
        <w:rPr>
          <w:rFonts w:ascii="Times New Roman" w:eastAsia="Arial Unicode MS" w:hAnsi="Times New Roman"/>
          <w:i/>
          <w:iCs/>
          <w:kern w:val="28"/>
          <w:sz w:val="24"/>
          <w:szCs w:val="24"/>
        </w:rPr>
        <w:t xml:space="preserve">M. tuberculosis </w:t>
      </w:r>
      <w:r>
        <w:rPr>
          <w:rFonts w:ascii="Times New Roman" w:eastAsia="Arial Unicode MS" w:hAnsi="Times New Roman"/>
          <w:kern w:val="28"/>
          <w:sz w:val="24"/>
          <w:szCs w:val="24"/>
        </w:rPr>
        <w:t xml:space="preserve">complex which is differentiated by the analysis of any of the most frequently investigated conserved regions (16S ribosomal DNA, ITS, 23S ribosomal DNA). The Genotype Common Mycobacterial -CM </w:t>
      </w:r>
      <w:r>
        <w:rPr>
          <w:rFonts w:ascii="Times New Roman" w:eastAsia="DengXian" w:hAnsi="Times New Roman"/>
          <w:sz w:val="24"/>
          <w:szCs w:val="24"/>
        </w:rPr>
        <w:t xml:space="preserve">(Hain </w:t>
      </w:r>
      <w:proofErr w:type="spellStart"/>
      <w:r>
        <w:rPr>
          <w:rFonts w:ascii="Times New Roman" w:eastAsia="DengXian" w:hAnsi="Times New Roman"/>
          <w:sz w:val="24"/>
          <w:szCs w:val="24"/>
        </w:rPr>
        <w:t>Lifescience</w:t>
      </w:r>
      <w:proofErr w:type="spellEnd"/>
      <w:r>
        <w:rPr>
          <w:rFonts w:ascii="Times New Roman" w:eastAsia="DengXian" w:hAnsi="Times New Roman"/>
          <w:sz w:val="24"/>
          <w:szCs w:val="24"/>
        </w:rPr>
        <w:t xml:space="preserve"> GmbH, </w:t>
      </w:r>
      <w:proofErr w:type="spellStart"/>
      <w:r>
        <w:rPr>
          <w:rFonts w:ascii="Times New Roman" w:eastAsia="DengXian" w:hAnsi="Times New Roman"/>
          <w:sz w:val="24"/>
          <w:szCs w:val="24"/>
        </w:rPr>
        <w:t>Nehren</w:t>
      </w:r>
      <w:proofErr w:type="spellEnd"/>
      <w:r>
        <w:rPr>
          <w:rFonts w:ascii="Times New Roman" w:eastAsia="DengXian" w:hAnsi="Times New Roman"/>
          <w:sz w:val="24"/>
          <w:szCs w:val="24"/>
        </w:rPr>
        <w:t>, Germany)</w:t>
      </w:r>
      <w:r>
        <w:rPr>
          <w:rFonts w:ascii="Times New Roman" w:eastAsia="Arial Unicode MS" w:hAnsi="Times New Roman"/>
          <w:kern w:val="28"/>
          <w:sz w:val="24"/>
          <w:szCs w:val="24"/>
        </w:rPr>
        <w:t xml:space="preserve"> allows the identification of the Clinical Most Relevant Mycobacterial Species from culture isolates and this permits the identification non tuberculous mycobacterial species. Genotypic drug susceptibility testing was carried out using the Hain Line Probe assay on culture isolates as described above according to the manufacturer’s insert. In addition, genotypic species characterization testing was done using the Hain Line Probe assay on culture isolates from Lowenstein Jensen’s (LJ) slants. Standard strains of MTBC were used as positive controls for the Line Probe assay.</w:t>
      </w:r>
    </w:p>
    <w:p w:rsidR="0057282D" w:rsidRDefault="0057282D">
      <w:pPr>
        <w:widowControl w:val="0"/>
        <w:overflowPunct w:val="0"/>
        <w:autoSpaceDE w:val="0"/>
        <w:adjustRightInd w:val="0"/>
        <w:jc w:val="both"/>
        <w:rPr>
          <w:rFonts w:ascii="Times New Roman" w:eastAsia="Arial Unicode MS" w:hAnsi="Times New Roman"/>
          <w:kern w:val="28"/>
          <w:sz w:val="24"/>
          <w:szCs w:val="24"/>
        </w:rPr>
      </w:pPr>
    </w:p>
    <w:p w:rsidR="0057282D" w:rsidRDefault="00D42155">
      <w:pPr>
        <w:widowControl w:val="0"/>
        <w:overflowPunct w:val="0"/>
        <w:autoSpaceDE w:val="0"/>
        <w:adjustRightInd w:val="0"/>
        <w:jc w:val="both"/>
        <w:rPr>
          <w:rFonts w:ascii="Times New Roman" w:eastAsia="Arial Unicode MS" w:hAnsi="Times New Roman"/>
          <w:b/>
          <w:bCs/>
          <w:sz w:val="24"/>
          <w:szCs w:val="24"/>
        </w:rPr>
      </w:pPr>
      <w:r>
        <w:rPr>
          <w:rFonts w:ascii="Times New Roman" w:eastAsia="Arial Unicode MS" w:hAnsi="Times New Roman"/>
          <w:b/>
          <w:bCs/>
          <w:sz w:val="24"/>
          <w:szCs w:val="24"/>
        </w:rPr>
        <w:t>DNA Extraction</w:t>
      </w:r>
    </w:p>
    <w:p w:rsidR="0057282D" w:rsidRDefault="00D42155">
      <w:pPr>
        <w:widowControl w:val="0"/>
        <w:overflowPunct w:val="0"/>
        <w:autoSpaceDE w:val="0"/>
        <w:adjustRightInd w:val="0"/>
        <w:jc w:val="both"/>
        <w:rPr>
          <w:rFonts w:eastAsia="DengXian"/>
        </w:rPr>
      </w:pPr>
      <w:r>
        <w:rPr>
          <w:rFonts w:ascii="Times New Roman" w:eastAsia="DengXian" w:hAnsi="Times New Roman"/>
          <w:sz w:val="24"/>
          <w:szCs w:val="24"/>
        </w:rPr>
        <w:t xml:space="preserve">100µl of distilled water was pipette into 1.5 ml screw capped tube, a few loops of the MTB culture isolates were transferred into the tubes and it was emulsified to mix briefly. 100ul of lysing buffer was dispense into the sediment which was thoroughly vortexed. After that, sediment containing the lysing buffer was incubated in a water bath at 950C for 5minutes, and it was allowed to cool for 5 minutes, at this point 100ul of the Neutralizing buffer was transferred into the already sediments that contain the lysing buffer. It was vortexed for 5seconds after which it was centrifuge at 12,000RCF for 5 minutes, the DNA was now harvested into a sterile tube with the aid of </w:t>
      </w:r>
      <w:proofErr w:type="spellStart"/>
      <w:r>
        <w:rPr>
          <w:rFonts w:ascii="Times New Roman" w:eastAsia="DengXian" w:hAnsi="Times New Roman"/>
          <w:sz w:val="24"/>
          <w:szCs w:val="24"/>
        </w:rPr>
        <w:t>pasteur</w:t>
      </w:r>
      <w:proofErr w:type="spellEnd"/>
      <w:r>
        <w:rPr>
          <w:rFonts w:ascii="Times New Roman" w:eastAsia="DengXian" w:hAnsi="Times New Roman"/>
          <w:sz w:val="24"/>
          <w:szCs w:val="24"/>
        </w:rPr>
        <w:t xml:space="preserve"> pipette</w:t>
      </w:r>
      <w:r>
        <w:rPr>
          <w:rFonts w:eastAsia="DengXian"/>
        </w:rPr>
        <w:t>.</w:t>
      </w:r>
    </w:p>
    <w:p w:rsidR="0057282D" w:rsidRDefault="0057282D">
      <w:pPr>
        <w:widowControl w:val="0"/>
        <w:overflowPunct w:val="0"/>
        <w:autoSpaceDE w:val="0"/>
        <w:adjustRightInd w:val="0"/>
        <w:jc w:val="both"/>
        <w:rPr>
          <w:rFonts w:eastAsia="DengXian"/>
        </w:rPr>
      </w:pPr>
    </w:p>
    <w:p w:rsidR="0057282D" w:rsidRDefault="00D42155">
      <w:pPr>
        <w:tabs>
          <w:tab w:val="left" w:pos="1440"/>
        </w:tabs>
        <w:jc w:val="both"/>
        <w:rPr>
          <w:rFonts w:ascii="Times New Roman" w:hAnsi="Times New Roman" w:cs="Times New Roman"/>
          <w:b/>
          <w:sz w:val="24"/>
          <w:szCs w:val="24"/>
        </w:rPr>
      </w:pPr>
      <w:r>
        <w:rPr>
          <w:rFonts w:ascii="Times New Roman" w:hAnsi="Times New Roman" w:cs="Times New Roman"/>
          <w:b/>
          <w:sz w:val="24"/>
          <w:szCs w:val="24"/>
        </w:rPr>
        <w:t xml:space="preserve">Amplification mix for genotype </w:t>
      </w:r>
      <w:proofErr w:type="spellStart"/>
      <w:r>
        <w:rPr>
          <w:rFonts w:ascii="Times New Roman" w:hAnsi="Times New Roman" w:cs="Times New Roman"/>
          <w:b/>
          <w:sz w:val="24"/>
          <w:szCs w:val="24"/>
        </w:rPr>
        <w:t>MTBDRplus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Genotypesl</w:t>
      </w:r>
      <w:proofErr w:type="spellEnd"/>
      <w:r>
        <w:rPr>
          <w:rFonts w:ascii="Times New Roman" w:hAnsi="Times New Roman" w:cs="Times New Roman"/>
          <w:b/>
          <w:sz w:val="24"/>
          <w:szCs w:val="24"/>
        </w:rPr>
        <w:t>, genotype MTBC</w:t>
      </w:r>
    </w:p>
    <w:p w:rsidR="0057282D" w:rsidRDefault="00D42155">
      <w:pPr>
        <w:tabs>
          <w:tab w:val="left" w:pos="360"/>
          <w:tab w:val="left" w:pos="1080"/>
          <w:tab w:val="left" w:pos="1200"/>
          <w:tab w:val="left" w:pos="1440"/>
          <w:tab w:val="left" w:pos="2520"/>
        </w:tabs>
        <w:jc w:val="both"/>
        <w:rPr>
          <w:rFonts w:ascii="Times New Roman" w:eastAsia="DengXian" w:hAnsi="Times New Roman"/>
          <w:sz w:val="24"/>
          <w:szCs w:val="24"/>
        </w:rPr>
      </w:pPr>
      <w:r>
        <w:rPr>
          <w:rFonts w:ascii="Times New Roman" w:hAnsi="Times New Roman" w:cs="Times New Roman"/>
          <w:sz w:val="24"/>
          <w:szCs w:val="24"/>
        </w:rPr>
        <w:t xml:space="preserve">All reagents needed for amplification are included in the Amplification Mixes A and B (AM-A and AM-B) ready for quick mix to use for the test. After Extraction of DNA </w:t>
      </w:r>
      <w:proofErr w:type="gramStart"/>
      <w:r>
        <w:rPr>
          <w:rFonts w:ascii="Times New Roman" w:hAnsi="Times New Roman" w:cs="Times New Roman"/>
          <w:sz w:val="24"/>
          <w:szCs w:val="24"/>
        </w:rPr>
        <w:t xml:space="preserve">with  </w:t>
      </w:r>
      <w:proofErr w:type="spellStart"/>
      <w:r>
        <w:rPr>
          <w:rFonts w:ascii="Times New Roman" w:hAnsi="Times New Roman" w:cs="Times New Roman"/>
          <w:sz w:val="24"/>
          <w:szCs w:val="24"/>
        </w:rPr>
        <w:t>GenoLyse</w:t>
      </w:r>
      <w:proofErr w:type="spellEnd"/>
      <w:proofErr w:type="gramEnd"/>
      <w:r>
        <w:rPr>
          <w:rFonts w:ascii="Times New Roman" w:hAnsi="Times New Roman" w:cs="Times New Roman"/>
          <w:sz w:val="24"/>
          <w:szCs w:val="24"/>
        </w:rPr>
        <w:t xml:space="preserve">  kit, it was vortexed and accurately aliquoted in the right volume into the PCR reaction tubes .10 µl AM-A ; 35 µl AM-B ; 5 µl DNA solution ; Final volume 50µl. </w:t>
      </w:r>
      <w:r>
        <w:rPr>
          <w:rFonts w:ascii="Times New Roman" w:eastAsia="DengXian" w:hAnsi="Times New Roman"/>
          <w:sz w:val="24"/>
          <w:szCs w:val="24"/>
        </w:rPr>
        <w:t xml:space="preserve"> The total reactions is given by the total number of </w:t>
      </w:r>
      <w:r>
        <w:rPr>
          <w:rFonts w:ascii="Times New Roman" w:eastAsia="DengXian" w:hAnsi="Times New Roman"/>
          <w:sz w:val="24"/>
          <w:szCs w:val="24"/>
        </w:rPr>
        <w:lastRenderedPageBreak/>
        <w:t>specimens to be processed, plus one positive control, one negative control. The reaction tubes was placed on to the Thermo- cycler and the lid was closed, appropriate program was selected for the amplification procedure and the start button was clicked. According to the heating cycles detailed as follows: 15 minutes at 95</w:t>
      </w:r>
      <w:r>
        <w:rPr>
          <w:rFonts w:ascii="Times New Roman" w:eastAsia="DengXian" w:hAnsi="Times New Roman"/>
          <w:sz w:val="24"/>
          <w:szCs w:val="24"/>
          <w:vertAlign w:val="superscript"/>
        </w:rPr>
        <w:t>o</w:t>
      </w:r>
      <w:r>
        <w:rPr>
          <w:rFonts w:ascii="Times New Roman" w:eastAsia="DengXian" w:hAnsi="Times New Roman"/>
          <w:sz w:val="24"/>
          <w:szCs w:val="24"/>
        </w:rPr>
        <w:t>c for 1 cycle, 30 seconds at 95</w:t>
      </w:r>
      <w:r>
        <w:rPr>
          <w:rFonts w:ascii="Times New Roman" w:eastAsia="DengXian" w:hAnsi="Times New Roman"/>
          <w:sz w:val="24"/>
          <w:szCs w:val="24"/>
          <w:vertAlign w:val="superscript"/>
        </w:rPr>
        <w:t>o</w:t>
      </w:r>
      <w:r>
        <w:rPr>
          <w:rFonts w:ascii="Times New Roman" w:eastAsia="DengXian" w:hAnsi="Times New Roman"/>
          <w:sz w:val="24"/>
          <w:szCs w:val="24"/>
        </w:rPr>
        <w:t>c and 2 minutes at 65</w:t>
      </w:r>
      <w:r>
        <w:rPr>
          <w:rFonts w:ascii="Times New Roman" w:eastAsia="DengXian" w:hAnsi="Times New Roman"/>
          <w:sz w:val="24"/>
          <w:szCs w:val="24"/>
          <w:vertAlign w:val="superscript"/>
        </w:rPr>
        <w:t>o</w:t>
      </w:r>
      <w:r>
        <w:rPr>
          <w:rFonts w:ascii="Times New Roman" w:eastAsia="DengXian" w:hAnsi="Times New Roman"/>
          <w:sz w:val="24"/>
          <w:szCs w:val="24"/>
        </w:rPr>
        <w:t>c for 10 cycles, 25 seconds at 95</w:t>
      </w:r>
      <w:r>
        <w:rPr>
          <w:rFonts w:ascii="Times New Roman" w:eastAsia="DengXian" w:hAnsi="Times New Roman"/>
          <w:sz w:val="24"/>
          <w:szCs w:val="24"/>
          <w:vertAlign w:val="superscript"/>
        </w:rPr>
        <w:t>o</w:t>
      </w:r>
      <w:r>
        <w:rPr>
          <w:rFonts w:ascii="Times New Roman" w:eastAsia="DengXian" w:hAnsi="Times New Roman"/>
          <w:sz w:val="24"/>
          <w:szCs w:val="24"/>
        </w:rPr>
        <w:t>c, 40 seconds  at 50</w:t>
      </w:r>
      <w:r>
        <w:rPr>
          <w:rFonts w:ascii="Times New Roman" w:eastAsia="DengXian" w:hAnsi="Times New Roman"/>
          <w:sz w:val="24"/>
          <w:szCs w:val="24"/>
          <w:vertAlign w:val="superscript"/>
        </w:rPr>
        <w:t>o</w:t>
      </w:r>
      <w:r>
        <w:rPr>
          <w:rFonts w:ascii="Times New Roman" w:eastAsia="DengXian" w:hAnsi="Times New Roman"/>
          <w:sz w:val="24"/>
          <w:szCs w:val="24"/>
        </w:rPr>
        <w:t>c, 40 seconds at 70</w:t>
      </w:r>
      <w:r>
        <w:rPr>
          <w:rFonts w:ascii="Times New Roman" w:eastAsia="DengXian" w:hAnsi="Times New Roman"/>
          <w:sz w:val="24"/>
          <w:szCs w:val="24"/>
          <w:vertAlign w:val="superscript"/>
        </w:rPr>
        <w:t>o</w:t>
      </w:r>
      <w:r>
        <w:rPr>
          <w:rFonts w:ascii="Times New Roman" w:eastAsia="DengXian" w:hAnsi="Times New Roman"/>
          <w:sz w:val="24"/>
          <w:szCs w:val="24"/>
        </w:rPr>
        <w:t>c for  (30 cycles- clinical, 20 cycles- culture); 8 minutes at 70</w:t>
      </w:r>
      <w:r>
        <w:rPr>
          <w:rFonts w:ascii="Times New Roman" w:eastAsia="DengXian" w:hAnsi="Times New Roman"/>
          <w:sz w:val="24"/>
          <w:szCs w:val="24"/>
          <w:vertAlign w:val="superscript"/>
        </w:rPr>
        <w:t>o</w:t>
      </w:r>
      <w:r>
        <w:rPr>
          <w:rFonts w:ascii="Times New Roman" w:eastAsia="DengXian" w:hAnsi="Times New Roman"/>
          <w:sz w:val="24"/>
          <w:szCs w:val="24"/>
        </w:rPr>
        <w:t>c for 1 cycle.</w:t>
      </w:r>
    </w:p>
    <w:p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rsidR="0057282D" w:rsidRDefault="00D42155">
      <w:pPr>
        <w:tabs>
          <w:tab w:val="left" w:pos="360"/>
          <w:tab w:val="left" w:pos="1080"/>
          <w:tab w:val="left" w:pos="1200"/>
          <w:tab w:val="left" w:pos="1440"/>
          <w:tab w:val="left" w:pos="2520"/>
        </w:tabs>
        <w:jc w:val="both"/>
        <w:rPr>
          <w:rFonts w:ascii="Times New Roman" w:eastAsia="DengXian" w:hAnsi="Times New Roman"/>
          <w:b/>
          <w:bCs/>
          <w:sz w:val="24"/>
          <w:szCs w:val="24"/>
        </w:rPr>
      </w:pPr>
      <w:r>
        <w:rPr>
          <w:rFonts w:ascii="Times New Roman" w:eastAsia="DengXian" w:hAnsi="Times New Roman"/>
          <w:b/>
          <w:bCs/>
          <w:sz w:val="24"/>
          <w:szCs w:val="24"/>
        </w:rPr>
        <w:t>Reverse Hybridization</w:t>
      </w:r>
    </w:p>
    <w:p w:rsidR="0057282D" w:rsidRDefault="00D42155">
      <w:pPr>
        <w:tabs>
          <w:tab w:val="left" w:pos="360"/>
          <w:tab w:val="left" w:pos="1080"/>
          <w:tab w:val="left" w:pos="1200"/>
          <w:tab w:val="left" w:pos="1440"/>
          <w:tab w:val="left" w:pos="2520"/>
        </w:tabs>
        <w:jc w:val="both"/>
        <w:rPr>
          <w:rFonts w:ascii="Times New Roman" w:eastAsia="DengXian" w:hAnsi="Times New Roman"/>
          <w:sz w:val="24"/>
          <w:szCs w:val="24"/>
        </w:rPr>
      </w:pPr>
      <w:r>
        <w:rPr>
          <w:rFonts w:ascii="Times New Roman" w:eastAsia="DengXian" w:hAnsi="Times New Roman"/>
          <w:sz w:val="24"/>
          <w:szCs w:val="24"/>
        </w:rPr>
        <w:t>The amplified products (amplicon) were detected using the hybridization- reverse process</w:t>
      </w:r>
      <w:r>
        <w:rPr>
          <w:rFonts w:ascii="Times New Roman" w:eastAsia="DengXian" w:hAnsi="Times New Roman"/>
          <w:b/>
          <w:sz w:val="24"/>
          <w:szCs w:val="24"/>
        </w:rPr>
        <w:t xml:space="preserve"> </w:t>
      </w:r>
      <w:r>
        <w:rPr>
          <w:rFonts w:ascii="Times New Roman" w:eastAsia="DengXian" w:hAnsi="Times New Roman"/>
          <w:sz w:val="24"/>
          <w:szCs w:val="24"/>
        </w:rPr>
        <w:t xml:space="preserve">which involved the chemical denaturation of 20µl amplification products by the addition of 20µl denaturation solution. Hybridization of the single stranded, biotin labelled amplicon to membrane bound probes was done by adding 1ml of hybridization solution (HYB) to each well containing DEN + amplified DNA, the solution was thoroughly mixed. Strips were labelled according to the samples labelling, using </w:t>
      </w:r>
      <w:proofErr w:type="spellStart"/>
      <w:r>
        <w:rPr>
          <w:rFonts w:ascii="Times New Roman" w:eastAsia="DengXian" w:hAnsi="Times New Roman"/>
          <w:sz w:val="24"/>
          <w:szCs w:val="24"/>
        </w:rPr>
        <w:t>DNAstrip</w:t>
      </w:r>
      <w:proofErr w:type="spellEnd"/>
      <w:r>
        <w:rPr>
          <w:rFonts w:ascii="Times New Roman" w:eastAsia="DengXian" w:hAnsi="Times New Roman"/>
          <w:sz w:val="24"/>
          <w:szCs w:val="24"/>
        </w:rPr>
        <w:t xml:space="preserve"> marker. The labelled strips were placed to each tray corresponding to each sample (the well contains already the mixture DEN, DNA, HYB) and it was incubated for 20 min. at 45</w:t>
      </w:r>
      <w:r>
        <w:rPr>
          <w:rFonts w:ascii="Times New Roman" w:eastAsia="DengXian" w:hAnsi="Times New Roman"/>
          <w:sz w:val="24"/>
          <w:szCs w:val="24"/>
          <w:vertAlign w:val="superscript"/>
        </w:rPr>
        <w:t>0</w:t>
      </w:r>
      <w:r>
        <w:rPr>
          <w:rFonts w:ascii="Times New Roman" w:eastAsia="DengXian" w:hAnsi="Times New Roman"/>
          <w:sz w:val="24"/>
          <w:szCs w:val="24"/>
        </w:rPr>
        <w:t xml:space="preserve">C 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xml:space="preserve">. The whole quantity of HYB was completely aspirated after that, 1 ml of STR (fixing and washing solution) was added to each tray and incubated for 10 min. 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xml:space="preserve">. The whole quantity of STR was removed, 1 ml of RIN (rinsing solution) was added to each tray and incubated for 1 min. at room temperature in the </w:t>
      </w:r>
      <w:proofErr w:type="spellStart"/>
      <w:r>
        <w:rPr>
          <w:rFonts w:ascii="Times New Roman" w:eastAsia="DengXian" w:hAnsi="Times New Roman"/>
          <w:sz w:val="24"/>
          <w:szCs w:val="24"/>
        </w:rPr>
        <w:t>Twincubator.The</w:t>
      </w:r>
      <w:proofErr w:type="spellEnd"/>
      <w:r>
        <w:rPr>
          <w:rFonts w:ascii="Times New Roman" w:eastAsia="DengXian" w:hAnsi="Times New Roman"/>
          <w:sz w:val="24"/>
          <w:szCs w:val="24"/>
        </w:rPr>
        <w:t xml:space="preserve"> whole quantity of RIN was removed. 1 ml of the diluted conjugate was added and incubated for 20 minutes at 37</w:t>
      </w:r>
      <w:r>
        <w:rPr>
          <w:rFonts w:ascii="Times New Roman" w:eastAsia="DengXian" w:hAnsi="Times New Roman"/>
          <w:sz w:val="24"/>
          <w:szCs w:val="24"/>
          <w:vertAlign w:val="superscript"/>
        </w:rPr>
        <w:t>0</w:t>
      </w:r>
      <w:r>
        <w:rPr>
          <w:rFonts w:ascii="Times New Roman" w:eastAsia="DengXian" w:hAnsi="Times New Roman"/>
          <w:sz w:val="24"/>
          <w:szCs w:val="24"/>
        </w:rPr>
        <w:t xml:space="preserve">C 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xml:space="preserve">. The conjugate was completely aspirated. 1ml of RIN (rinsing solution) was added to each tray and incubate for 1 min. at room temperature 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xml:space="preserve">. The whole quantity of RIN completely </w:t>
      </w:r>
      <w:proofErr w:type="spellStart"/>
      <w:r>
        <w:rPr>
          <w:rFonts w:ascii="Times New Roman" w:eastAsia="DengXian" w:hAnsi="Times New Roman"/>
          <w:sz w:val="24"/>
          <w:szCs w:val="24"/>
        </w:rPr>
        <w:t>apirated</w:t>
      </w:r>
      <w:proofErr w:type="spellEnd"/>
      <w:r>
        <w:rPr>
          <w:rFonts w:ascii="Times New Roman" w:eastAsia="DengXian" w:hAnsi="Times New Roman"/>
          <w:sz w:val="24"/>
          <w:szCs w:val="24"/>
        </w:rPr>
        <w:t xml:space="preserve">, and it was rinse once with water for 1 min. 1 ml of substrate was added to each tray and incubated for 2-10 minutes at </w:t>
      </w:r>
      <w:proofErr w:type="spellStart"/>
      <w:r>
        <w:rPr>
          <w:rFonts w:ascii="Times New Roman" w:eastAsia="DengXian" w:hAnsi="Times New Roman"/>
          <w:sz w:val="24"/>
          <w:szCs w:val="24"/>
        </w:rPr>
        <w:t>RTin</w:t>
      </w:r>
      <w:proofErr w:type="spellEnd"/>
      <w:r>
        <w:rPr>
          <w:rFonts w:ascii="Times New Roman" w:eastAsia="DengXian" w:hAnsi="Times New Roman"/>
          <w:sz w:val="24"/>
          <w:szCs w:val="24"/>
        </w:rPr>
        <w:t xml:space="preserve">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The substrate was aspirated completely.</w:t>
      </w:r>
    </w:p>
    <w:p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rsidR="0057282D" w:rsidRDefault="00D42155">
      <w:pPr>
        <w:pStyle w:val="Heading3"/>
        <w:spacing w:before="0"/>
        <w:rPr>
          <w:rFonts w:cs="Times New Roman"/>
        </w:rPr>
      </w:pPr>
      <w:r>
        <w:rPr>
          <w:rFonts w:cs="Times New Roman"/>
        </w:rPr>
        <w:t>Results Interpretation</w:t>
      </w:r>
    </w:p>
    <w:p w:rsidR="0057282D" w:rsidRDefault="00D42155">
      <w:pPr>
        <w:tabs>
          <w:tab w:val="left" w:pos="360"/>
          <w:tab w:val="left" w:pos="1080"/>
        </w:tabs>
        <w:jc w:val="both"/>
        <w:rPr>
          <w:rFonts w:ascii="Times New Roman" w:hAnsi="Times New Roman" w:cs="Times New Roman"/>
          <w:sz w:val="24"/>
          <w:szCs w:val="24"/>
        </w:rPr>
      </w:pPr>
      <w:r>
        <w:rPr>
          <w:rFonts w:ascii="Times New Roman" w:hAnsi="Times New Roman" w:cs="Times New Roman"/>
          <w:sz w:val="24"/>
          <w:szCs w:val="24"/>
        </w:rPr>
        <w:t>The membrane strips were allowed to air dried and evaluated using the charts. The strips were pasted in the designated fields by aligning the bands Conjugate Control (CC), Universal Control (AC), Amplification Control (AC) and Tuberculosis Control (TUB), with respective lines on the evaluation sheet.</w:t>
      </w:r>
    </w:p>
    <w:p w:rsidR="0057282D" w:rsidRDefault="0057282D">
      <w:pPr>
        <w:tabs>
          <w:tab w:val="left" w:pos="360"/>
          <w:tab w:val="left" w:pos="1080"/>
        </w:tabs>
        <w:jc w:val="both"/>
        <w:rPr>
          <w:rFonts w:ascii="Times New Roman" w:hAnsi="Times New Roman" w:cs="Times New Roman"/>
          <w:sz w:val="24"/>
          <w:szCs w:val="24"/>
        </w:rPr>
      </w:pPr>
    </w:p>
    <w:p w:rsidR="0057282D" w:rsidRDefault="00D42155">
      <w:pPr>
        <w:tabs>
          <w:tab w:val="left" w:pos="360"/>
          <w:tab w:val="left" w:pos="1080"/>
        </w:tabs>
        <w:spacing w:before="240"/>
        <w:jc w:val="both"/>
        <w:rPr>
          <w:rFonts w:ascii="Times New Roman" w:eastAsia="DengXian" w:hAnsi="Times New Roman"/>
          <w:b/>
          <w:sz w:val="24"/>
          <w:szCs w:val="24"/>
        </w:rPr>
      </w:pPr>
      <w:r>
        <w:rPr>
          <w:rFonts w:ascii="Times New Roman" w:eastAsia="DengXian" w:hAnsi="Times New Roman"/>
          <w:b/>
          <w:sz w:val="24"/>
          <w:szCs w:val="24"/>
        </w:rPr>
        <w:t xml:space="preserve">Genotype </w:t>
      </w:r>
      <w:proofErr w:type="spellStart"/>
      <w:r>
        <w:rPr>
          <w:rFonts w:ascii="Times New Roman" w:eastAsia="DengXian" w:hAnsi="Times New Roman"/>
          <w:b/>
          <w:sz w:val="24"/>
          <w:szCs w:val="24"/>
        </w:rPr>
        <w:t>MTBDRplus</w:t>
      </w:r>
      <w:proofErr w:type="spellEnd"/>
    </w:p>
    <w:p w:rsidR="0057282D" w:rsidRDefault="00D42155">
      <w:pPr>
        <w:tabs>
          <w:tab w:val="left" w:pos="360"/>
          <w:tab w:val="left" w:pos="720"/>
          <w:tab w:val="left" w:pos="1080"/>
          <w:tab w:val="left" w:pos="1440"/>
          <w:tab w:val="left" w:pos="2520"/>
        </w:tabs>
        <w:jc w:val="both"/>
        <w:rPr>
          <w:rFonts w:ascii="Times New Roman" w:eastAsia="DengXian" w:hAnsi="Times New Roman"/>
          <w:sz w:val="24"/>
          <w:szCs w:val="24"/>
        </w:rPr>
      </w:pPr>
      <w:r>
        <w:rPr>
          <w:rFonts w:ascii="Times New Roman" w:eastAsia="DengXian" w:hAnsi="Times New Roman"/>
          <w:sz w:val="24"/>
          <w:szCs w:val="24"/>
          <w:lang w:val="de-DE"/>
        </w:rPr>
        <w:t xml:space="preserve">There are three gene loci on the GenoType MTBDRplus strips and they are </w:t>
      </w:r>
      <w:r>
        <w:rPr>
          <w:rFonts w:ascii="Times New Roman" w:eastAsia="DengXian" w:hAnsi="Times New Roman"/>
          <w:i/>
          <w:iCs/>
          <w:sz w:val="24"/>
          <w:szCs w:val="24"/>
          <w:lang w:val="de-DE"/>
        </w:rPr>
        <w:t xml:space="preserve">rpoB </w:t>
      </w:r>
      <w:r>
        <w:rPr>
          <w:rFonts w:ascii="Times New Roman" w:eastAsia="DengXian" w:hAnsi="Times New Roman"/>
          <w:sz w:val="24"/>
          <w:szCs w:val="24"/>
          <w:lang w:val="de-DE"/>
        </w:rPr>
        <w:t xml:space="preserve">gene locus with 8 wild type probes and 4 mutation probes, </w:t>
      </w:r>
      <w:r>
        <w:rPr>
          <w:rFonts w:ascii="Times New Roman" w:eastAsia="DengXian" w:hAnsi="Times New Roman"/>
          <w:i/>
          <w:iCs/>
          <w:sz w:val="24"/>
          <w:szCs w:val="24"/>
          <w:lang w:val="de-DE"/>
        </w:rPr>
        <w:t xml:space="preserve">katG </w:t>
      </w:r>
      <w:r>
        <w:rPr>
          <w:rFonts w:ascii="Times New Roman" w:eastAsia="DengXian" w:hAnsi="Times New Roman"/>
          <w:sz w:val="24"/>
          <w:szCs w:val="24"/>
          <w:lang w:val="de-DE"/>
        </w:rPr>
        <w:t xml:space="preserve">gene locus has 1 wild type probe and 2 mutation probes, and </w:t>
      </w:r>
      <w:r>
        <w:rPr>
          <w:rFonts w:ascii="Times New Roman" w:eastAsia="DengXian" w:hAnsi="Times New Roman"/>
          <w:i/>
          <w:iCs/>
          <w:sz w:val="24"/>
          <w:szCs w:val="24"/>
          <w:lang w:val="de-DE"/>
        </w:rPr>
        <w:t>inhA</w:t>
      </w:r>
      <w:r>
        <w:rPr>
          <w:rFonts w:ascii="Times New Roman" w:eastAsia="DengXian" w:hAnsi="Times New Roman"/>
          <w:sz w:val="24"/>
          <w:szCs w:val="24"/>
          <w:lang w:val="de-DE"/>
        </w:rPr>
        <w:t xml:space="preserve"> gene locus has 2 wild type probes and  4 mutation probes. In addition the three controls loci; AC, CC and TUB. </w:t>
      </w:r>
      <w:r>
        <w:rPr>
          <w:rFonts w:ascii="Times New Roman" w:eastAsia="DengXian" w:hAnsi="Times New Roman"/>
          <w:sz w:val="24"/>
          <w:szCs w:val="24"/>
        </w:rPr>
        <w:t xml:space="preserve">Conjugate Control (CC) Zone: Used to check the binding of the conjugate on the strip and a correct chromogenic reaction. </w:t>
      </w:r>
      <w:r>
        <w:rPr>
          <w:rFonts w:ascii="Times New Roman" w:eastAsia="DengXian" w:hAnsi="Times New Roman"/>
          <w:sz w:val="24"/>
          <w:szCs w:val="24"/>
          <w:lang w:val="de-DE"/>
        </w:rPr>
        <w:t xml:space="preserve">Test invalid if CC is missing. </w:t>
      </w:r>
      <w:r>
        <w:rPr>
          <w:rFonts w:ascii="Times New Roman" w:eastAsia="DengXian" w:hAnsi="Times New Roman"/>
          <w:sz w:val="24"/>
          <w:szCs w:val="24"/>
        </w:rPr>
        <w:t xml:space="preserve">Amplification Control (AC) Zone: The presence of this control zone indicates that the amplification procedure was successful. A missing AC band in case of a negative result indicates errors during amplification set up, or carry-over of amplification inhibitors. In case the test is positive for TUB, the respective samples do not have to be repeated. </w:t>
      </w:r>
      <w:r>
        <w:rPr>
          <w:rFonts w:ascii="Times New Roman" w:eastAsia="DengXian" w:hAnsi="Times New Roman"/>
          <w:sz w:val="24"/>
          <w:szCs w:val="24"/>
          <w:lang w:val="de-DE"/>
        </w:rPr>
        <w:t xml:space="preserve">TUB </w:t>
      </w:r>
      <w:r>
        <w:rPr>
          <w:rFonts w:ascii="Times New Roman" w:eastAsia="DengXian" w:hAnsi="Times New Roman"/>
          <w:sz w:val="24"/>
          <w:szCs w:val="24"/>
        </w:rPr>
        <w:t xml:space="preserve">Amplification  Control (AC) Zone: </w:t>
      </w:r>
      <w:r>
        <w:rPr>
          <w:rFonts w:ascii="Times New Roman" w:eastAsia="DengXian" w:hAnsi="Times New Roman"/>
          <w:sz w:val="24"/>
          <w:szCs w:val="24"/>
          <w:lang w:val="de-DE"/>
        </w:rPr>
        <w:t xml:space="preserve">This zone hybridizes with amplicons generated from all known members of the </w:t>
      </w:r>
      <w:r>
        <w:rPr>
          <w:rFonts w:ascii="Times New Roman" w:eastAsia="DengXian" w:hAnsi="Times New Roman"/>
          <w:i/>
          <w:iCs/>
          <w:sz w:val="24"/>
          <w:szCs w:val="24"/>
          <w:lang w:val="de-DE"/>
        </w:rPr>
        <w:t xml:space="preserve">Mycobacterium tuberculosis </w:t>
      </w:r>
      <w:r>
        <w:rPr>
          <w:rFonts w:ascii="Times New Roman" w:eastAsia="DengXian" w:hAnsi="Times New Roman"/>
          <w:sz w:val="24"/>
          <w:szCs w:val="24"/>
          <w:lang w:val="de-DE"/>
        </w:rPr>
        <w:t xml:space="preserve">complex. </w:t>
      </w:r>
      <w:r>
        <w:rPr>
          <w:rFonts w:ascii="Times New Roman" w:eastAsia="DengXian" w:hAnsi="Times New Roman"/>
          <w:sz w:val="24"/>
          <w:szCs w:val="24"/>
        </w:rPr>
        <w:t xml:space="preserve">The presence of this zone indicates that the organism belongs to the </w:t>
      </w:r>
      <w:r>
        <w:rPr>
          <w:rFonts w:ascii="Times New Roman" w:eastAsia="DengXian" w:hAnsi="Times New Roman"/>
          <w:i/>
          <w:sz w:val="24"/>
          <w:szCs w:val="24"/>
        </w:rPr>
        <w:t xml:space="preserve">Mycobacterium tuberculosis </w:t>
      </w:r>
      <w:r>
        <w:rPr>
          <w:rFonts w:ascii="Times New Roman" w:eastAsia="DengXian" w:hAnsi="Times New Roman"/>
          <w:sz w:val="24"/>
          <w:szCs w:val="24"/>
        </w:rPr>
        <w:t xml:space="preserve">complex.  If this zone is missing, the organism does not belong to the </w:t>
      </w:r>
      <w:r>
        <w:rPr>
          <w:rFonts w:ascii="Times New Roman" w:eastAsia="DengXian" w:hAnsi="Times New Roman"/>
          <w:i/>
          <w:sz w:val="24"/>
          <w:szCs w:val="24"/>
        </w:rPr>
        <w:t xml:space="preserve">Mycobacterium tuberculosis </w:t>
      </w:r>
      <w:r>
        <w:rPr>
          <w:rFonts w:ascii="Times New Roman" w:eastAsia="DengXian" w:hAnsi="Times New Roman"/>
          <w:sz w:val="24"/>
          <w:szCs w:val="24"/>
        </w:rPr>
        <w:t xml:space="preserve">complex and cannot be evaluated by this test system. Locus control zones for </w:t>
      </w:r>
      <w:proofErr w:type="spellStart"/>
      <w:r>
        <w:rPr>
          <w:rFonts w:ascii="Times New Roman" w:eastAsia="DengXian" w:hAnsi="Times New Roman"/>
          <w:i/>
          <w:sz w:val="24"/>
          <w:szCs w:val="24"/>
        </w:rPr>
        <w:t>rpoB</w:t>
      </w:r>
      <w:proofErr w:type="spellEnd"/>
      <w:r>
        <w:rPr>
          <w:rFonts w:ascii="Times New Roman" w:eastAsia="DengXian" w:hAnsi="Times New Roman"/>
          <w:i/>
          <w:sz w:val="24"/>
          <w:szCs w:val="24"/>
        </w:rPr>
        <w:t xml:space="preserve">, </w:t>
      </w:r>
      <w:proofErr w:type="spellStart"/>
      <w:r>
        <w:rPr>
          <w:rFonts w:ascii="Times New Roman" w:eastAsia="DengXian" w:hAnsi="Times New Roman"/>
          <w:i/>
          <w:sz w:val="24"/>
          <w:szCs w:val="24"/>
        </w:rPr>
        <w:t>katG</w:t>
      </w:r>
      <w:proofErr w:type="spellEnd"/>
      <w:r>
        <w:rPr>
          <w:rFonts w:ascii="Times New Roman" w:eastAsia="DengXian" w:hAnsi="Times New Roman"/>
          <w:i/>
          <w:sz w:val="24"/>
          <w:szCs w:val="24"/>
        </w:rPr>
        <w:t xml:space="preserve">, </w:t>
      </w:r>
      <w:proofErr w:type="spellStart"/>
      <w:r>
        <w:rPr>
          <w:rFonts w:ascii="Times New Roman" w:eastAsia="DengXian" w:hAnsi="Times New Roman"/>
          <w:i/>
          <w:sz w:val="24"/>
          <w:szCs w:val="24"/>
        </w:rPr>
        <w:t>inhA</w:t>
      </w:r>
      <w:proofErr w:type="spellEnd"/>
      <w:r>
        <w:rPr>
          <w:rFonts w:ascii="Times New Roman" w:eastAsia="DengXian" w:hAnsi="Times New Roman"/>
          <w:sz w:val="24"/>
          <w:szCs w:val="24"/>
        </w:rPr>
        <w:t xml:space="preserve">: Respective locus is present and must always be positive when the TUB has documented the presence of a </w:t>
      </w:r>
      <w:r>
        <w:rPr>
          <w:rFonts w:ascii="Times New Roman" w:eastAsia="DengXian" w:hAnsi="Times New Roman"/>
          <w:i/>
          <w:sz w:val="24"/>
          <w:szCs w:val="24"/>
        </w:rPr>
        <w:t xml:space="preserve">M. tuberculosis </w:t>
      </w:r>
      <w:r>
        <w:rPr>
          <w:rFonts w:ascii="Times New Roman" w:eastAsia="DengXian" w:hAnsi="Times New Roman"/>
          <w:sz w:val="24"/>
          <w:szCs w:val="24"/>
        </w:rPr>
        <w:t>strain. If neither the Locus Control probe nor the Wild type or Mutation probes of one of the three genes examined are developed, the test cannot be evaluated.</w:t>
      </w:r>
    </w:p>
    <w:p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rsidR="0057282D" w:rsidRDefault="00D42155">
      <w:pPr>
        <w:tabs>
          <w:tab w:val="left" w:pos="360"/>
          <w:tab w:val="left" w:pos="720"/>
          <w:tab w:val="left" w:pos="1080"/>
          <w:tab w:val="left" w:pos="1440"/>
          <w:tab w:val="left" w:pos="2520"/>
        </w:tabs>
        <w:jc w:val="both"/>
        <w:rPr>
          <w:rFonts w:ascii="Times New Roman" w:eastAsia="DengXian" w:hAnsi="Times New Roman"/>
          <w:b/>
          <w:bCs/>
          <w:sz w:val="24"/>
          <w:szCs w:val="24"/>
        </w:rPr>
      </w:pPr>
      <w:r>
        <w:rPr>
          <w:rFonts w:ascii="Times New Roman" w:eastAsia="DengXian" w:hAnsi="Times New Roman"/>
          <w:b/>
          <w:bCs/>
          <w:sz w:val="24"/>
          <w:szCs w:val="24"/>
        </w:rPr>
        <w:t xml:space="preserve">Genotype </w:t>
      </w:r>
      <w:proofErr w:type="spellStart"/>
      <w:r>
        <w:rPr>
          <w:rFonts w:ascii="Times New Roman" w:eastAsia="DengXian" w:hAnsi="Times New Roman"/>
          <w:b/>
          <w:bCs/>
          <w:sz w:val="24"/>
          <w:szCs w:val="24"/>
        </w:rPr>
        <w:t>MTBDRsl</w:t>
      </w:r>
      <w:proofErr w:type="spellEnd"/>
    </w:p>
    <w:p w:rsidR="0057282D" w:rsidRDefault="00D42155">
      <w:pPr>
        <w:tabs>
          <w:tab w:val="left" w:pos="360"/>
          <w:tab w:val="left" w:pos="720"/>
          <w:tab w:val="left" w:pos="1080"/>
          <w:tab w:val="left" w:pos="1440"/>
          <w:tab w:val="left" w:pos="2520"/>
        </w:tabs>
        <w:jc w:val="both"/>
        <w:rPr>
          <w:rFonts w:ascii="Times New Roman" w:eastAsia="DengXian" w:hAnsi="Times New Roman"/>
          <w:sz w:val="24"/>
          <w:szCs w:val="24"/>
        </w:rPr>
      </w:pPr>
      <w:r>
        <w:rPr>
          <w:rFonts w:ascii="Times New Roman" w:eastAsia="DengXian" w:hAnsi="Times New Roman"/>
          <w:sz w:val="24"/>
          <w:szCs w:val="24"/>
        </w:rPr>
        <w:t xml:space="preserve">There are four gene loci on the </w:t>
      </w:r>
      <w:proofErr w:type="spellStart"/>
      <w:r>
        <w:rPr>
          <w:rFonts w:ascii="Times New Roman" w:eastAsia="DengXian" w:hAnsi="Times New Roman"/>
          <w:sz w:val="24"/>
          <w:szCs w:val="24"/>
        </w:rPr>
        <w:t>GenoType</w:t>
      </w:r>
      <w:proofErr w:type="spellEnd"/>
      <w:r>
        <w:rPr>
          <w:rFonts w:ascii="Times New Roman" w:eastAsia="DengXian" w:hAnsi="Times New Roman"/>
          <w:sz w:val="24"/>
          <w:szCs w:val="24"/>
        </w:rPr>
        <w:t xml:space="preserve"> </w:t>
      </w:r>
      <w:proofErr w:type="spellStart"/>
      <w:r>
        <w:rPr>
          <w:rFonts w:ascii="Times New Roman" w:eastAsia="DengXian" w:hAnsi="Times New Roman"/>
          <w:sz w:val="24"/>
          <w:szCs w:val="24"/>
        </w:rPr>
        <w:t>MTBDRsl</w:t>
      </w:r>
      <w:proofErr w:type="spellEnd"/>
      <w:r>
        <w:rPr>
          <w:rFonts w:ascii="Times New Roman" w:eastAsia="DengXian" w:hAnsi="Times New Roman"/>
          <w:sz w:val="24"/>
          <w:szCs w:val="24"/>
        </w:rPr>
        <w:t xml:space="preserve"> strips and they are </w:t>
      </w:r>
      <w:proofErr w:type="spellStart"/>
      <w:r>
        <w:rPr>
          <w:rFonts w:ascii="Times New Roman" w:eastAsia="DengXian" w:hAnsi="Times New Roman"/>
          <w:sz w:val="24"/>
          <w:szCs w:val="24"/>
        </w:rPr>
        <w:t>gyrA</w:t>
      </w:r>
      <w:proofErr w:type="spellEnd"/>
      <w:r>
        <w:rPr>
          <w:rFonts w:ascii="Times New Roman" w:eastAsia="DengXian" w:hAnsi="Times New Roman"/>
          <w:sz w:val="24"/>
          <w:szCs w:val="24"/>
        </w:rPr>
        <w:t xml:space="preserve"> gene locus with 3 wild type probes and 6 mutation probes, </w:t>
      </w:r>
      <w:proofErr w:type="spellStart"/>
      <w:r>
        <w:rPr>
          <w:rFonts w:ascii="Times New Roman" w:eastAsia="DengXian" w:hAnsi="Times New Roman"/>
          <w:sz w:val="24"/>
          <w:szCs w:val="24"/>
        </w:rPr>
        <w:t>gyrB</w:t>
      </w:r>
      <w:proofErr w:type="spellEnd"/>
      <w:r>
        <w:rPr>
          <w:rFonts w:ascii="Times New Roman" w:eastAsia="DengXian" w:hAnsi="Times New Roman"/>
          <w:sz w:val="24"/>
          <w:szCs w:val="24"/>
        </w:rPr>
        <w:t xml:space="preserve"> gene locus has 1 wild type probe and 2 mutation probes, and </w:t>
      </w:r>
      <w:proofErr w:type="spellStart"/>
      <w:r>
        <w:rPr>
          <w:rFonts w:ascii="Times New Roman" w:eastAsia="DengXian" w:hAnsi="Times New Roman"/>
          <w:sz w:val="24"/>
          <w:szCs w:val="24"/>
        </w:rPr>
        <w:t>inhA</w:t>
      </w:r>
      <w:proofErr w:type="spellEnd"/>
      <w:r>
        <w:rPr>
          <w:rFonts w:ascii="Times New Roman" w:eastAsia="DengXian" w:hAnsi="Times New Roman"/>
          <w:sz w:val="24"/>
          <w:szCs w:val="24"/>
        </w:rPr>
        <w:t xml:space="preserve"> gene locus has 2 wild type probes and  4 mutation probes. In addition the three controls loci; AC, CC and TUB.</w:t>
      </w:r>
    </w:p>
    <w:p w:rsidR="0057282D" w:rsidRDefault="00D42155">
      <w:pPr>
        <w:tabs>
          <w:tab w:val="left" w:pos="360"/>
          <w:tab w:val="left" w:pos="720"/>
          <w:tab w:val="left" w:pos="1080"/>
          <w:tab w:val="left" w:pos="1440"/>
          <w:tab w:val="left" w:pos="2520"/>
        </w:tabs>
        <w:jc w:val="both"/>
        <w:rPr>
          <w:rFonts w:ascii="Times New Roman" w:eastAsia="DengXian" w:hAnsi="Times New Roman"/>
          <w:sz w:val="24"/>
          <w:szCs w:val="24"/>
        </w:rPr>
      </w:pPr>
      <w:r>
        <w:rPr>
          <w:rFonts w:ascii="Times New Roman" w:eastAsia="DengXian" w:hAnsi="Times New Roman"/>
          <w:sz w:val="24"/>
          <w:szCs w:val="24"/>
        </w:rPr>
        <w:t>In the hybridization steps, probes are embedded in the strips which will complement the correct DNA sequence, if present in the amplicons. The primers used in the amplification process are biotinylated, when these amplicons are subjected to all conditions as prescribed in the hybridization procedure; these complementary sequences are visible as bands on the strips. These bands are further interpreted to define positive diagnosis or absence of susceptible TB, MTBC (Mycobacterium TB Complex), NTM (Non-Tuberculosis Mycobacteria), any mono-drug resistant TB, MDR-TB, or XDR-TB as the case might be.</w:t>
      </w:r>
    </w:p>
    <w:p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rsidR="0057282D" w:rsidRDefault="00D42155">
      <w:pPr>
        <w:keepNext/>
        <w:keepLines/>
        <w:widowControl w:val="0"/>
        <w:spacing w:before="240"/>
        <w:jc w:val="both"/>
        <w:outlineLvl w:val="0"/>
        <w:rPr>
          <w:rFonts w:ascii="Times New Roman" w:eastAsia="Arial Unicode MS" w:hAnsi="Times New Roman"/>
          <w:b/>
          <w:color w:val="000000"/>
          <w:sz w:val="24"/>
          <w:szCs w:val="24"/>
        </w:rPr>
      </w:pPr>
      <w:bookmarkStart w:id="1" w:name="_Toc18340652"/>
      <w:r>
        <w:rPr>
          <w:rFonts w:ascii="Times New Roman" w:eastAsia="Arial Unicode MS" w:hAnsi="Times New Roman"/>
          <w:b/>
          <w:color w:val="000000"/>
          <w:sz w:val="24"/>
          <w:szCs w:val="24"/>
        </w:rPr>
        <w:t>Data Analysis</w:t>
      </w:r>
      <w:bookmarkEnd w:id="1"/>
    </w:p>
    <w:p w:rsidR="0057282D" w:rsidRDefault="00D42155">
      <w:pPr>
        <w:rPr>
          <w:rFonts w:ascii="Times New Roman" w:hAnsi="Times New Roman"/>
          <w:b/>
          <w:bCs/>
          <w:sz w:val="24"/>
          <w:szCs w:val="24"/>
        </w:rPr>
      </w:pPr>
      <w:r>
        <w:rPr>
          <w:rFonts w:ascii="Times New Roman" w:hAnsi="Times New Roman"/>
          <w:sz w:val="24"/>
          <w:szCs w:val="24"/>
        </w:rPr>
        <w:t>The results of the study were summarized as percentages and presented in tables, charts, and figures. The data were also analyzed using SPSS version 24.</w:t>
      </w:r>
    </w:p>
    <w:p w:rsidR="0057282D" w:rsidRDefault="0057282D">
      <w:pPr>
        <w:rPr>
          <w:rFonts w:ascii="Times New Roman" w:hAnsi="Times New Roman"/>
          <w:b/>
          <w:bCs/>
          <w:sz w:val="24"/>
          <w:szCs w:val="24"/>
        </w:rPr>
      </w:pPr>
    </w:p>
    <w:p w:rsidR="0057282D" w:rsidRDefault="0057282D">
      <w:pPr>
        <w:rPr>
          <w:rFonts w:ascii="Times New Roman" w:hAnsi="Times New Roman"/>
          <w:b/>
          <w:bCs/>
          <w:sz w:val="24"/>
          <w:szCs w:val="24"/>
        </w:rPr>
      </w:pPr>
    </w:p>
    <w:p w:rsidR="0057282D" w:rsidRDefault="00D42155">
      <w:pPr>
        <w:numPr>
          <w:ilvl w:val="0"/>
          <w:numId w:val="1"/>
        </w:numPr>
        <w:rPr>
          <w:rFonts w:ascii="Times New Roman" w:hAnsi="Times New Roman"/>
          <w:b/>
          <w:bCs/>
          <w:sz w:val="24"/>
          <w:szCs w:val="24"/>
        </w:rPr>
      </w:pPr>
      <w:r>
        <w:rPr>
          <w:rFonts w:ascii="Times New Roman" w:hAnsi="Times New Roman"/>
          <w:b/>
          <w:bCs/>
          <w:sz w:val="24"/>
          <w:szCs w:val="24"/>
        </w:rPr>
        <w:t>RESULTS</w:t>
      </w:r>
    </w:p>
    <w:p w:rsidR="0057282D" w:rsidRDefault="00D42155">
      <w:pPr>
        <w:jc w:val="both"/>
        <w:rPr>
          <w:rFonts w:ascii="Times New Roman" w:eastAsia="DengXian" w:hAnsi="Times New Roman"/>
          <w:sz w:val="24"/>
          <w:szCs w:val="24"/>
        </w:rPr>
      </w:pPr>
      <w:r>
        <w:rPr>
          <w:rFonts w:ascii="Times New Roman" w:eastAsia="DengXian" w:hAnsi="Times New Roman"/>
          <w:sz w:val="24"/>
          <w:szCs w:val="24"/>
        </w:rPr>
        <w:t xml:space="preserve">Table 1 summarizes the genotypic drug resistance profile for Mycobacterium tuberculosis complex (MTBC) species in relation to first-line tuberculosis (TB) drugs. The total number of pan-susceptible cases across all species was 76 where </w:t>
      </w:r>
      <w:r>
        <w:rPr>
          <w:rFonts w:ascii="Times New Roman" w:eastAsia="DengXian" w:hAnsi="Times New Roman"/>
          <w:i/>
          <w:iCs/>
          <w:sz w:val="24"/>
          <w:szCs w:val="24"/>
        </w:rPr>
        <w:t>Mycobacterium tuberculosis</w:t>
      </w:r>
      <w:r>
        <w:rPr>
          <w:rFonts w:ascii="Times New Roman" w:eastAsia="DengXian" w:hAnsi="Times New Roman"/>
          <w:sz w:val="24"/>
          <w:szCs w:val="24"/>
        </w:rPr>
        <w:t xml:space="preserve"> tends to have the highest susceptibility (89.4%) 68/76. In addition, the total number of multidrug-resistant cases was 17 and Mycobacterium tuberculosis had the highest resistance rate (64.7%). However, the chi-square test (χ² = 10.155, df = 8, p = 0.255) suggests no significant difference in drug resistance profiles across the MTBC species for first-line drugs.</w:t>
      </w:r>
    </w:p>
    <w:p w:rsidR="0057282D" w:rsidRDefault="0057282D">
      <w:pPr>
        <w:jc w:val="both"/>
        <w:rPr>
          <w:rFonts w:ascii="Times New Roman" w:eastAsia="DengXian" w:hAnsi="Times New Roman"/>
          <w:sz w:val="24"/>
          <w:szCs w:val="24"/>
        </w:rPr>
      </w:pPr>
    </w:p>
    <w:p w:rsidR="0057282D" w:rsidRDefault="00D42155">
      <w:pPr>
        <w:rPr>
          <w:rFonts w:ascii="Times New Roman" w:hAnsi="Times New Roman" w:cs="Times New Roman"/>
          <w:b/>
          <w:sz w:val="24"/>
          <w:szCs w:val="24"/>
        </w:rPr>
      </w:pPr>
      <w:r>
        <w:rPr>
          <w:rFonts w:ascii="Times New Roman" w:hAnsi="Times New Roman" w:cs="Times New Roman"/>
          <w:b/>
          <w:sz w:val="24"/>
          <w:szCs w:val="24"/>
        </w:rPr>
        <w:t>Table 1: Genotypic drug resistance profile for first-line drugs in MTBC Species</w:t>
      </w:r>
    </w:p>
    <w:p w:rsidR="0057282D" w:rsidRDefault="00D42155">
      <w:pPr>
        <w:pBdr>
          <w:bottom w:val="single" w:sz="4" w:space="0" w:color="auto"/>
        </w:pBd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7282D" w:rsidRDefault="00D42155">
      <w:pPr>
        <w:rPr>
          <w:rFonts w:ascii="Times New Roman" w:hAnsi="Times New Roman" w:cs="Times New Roman"/>
          <w:bCs/>
          <w:sz w:val="24"/>
          <w:szCs w:val="24"/>
        </w:rPr>
      </w:pPr>
      <w:r>
        <w:rPr>
          <w:rFonts w:ascii="Times New Roman" w:hAnsi="Times New Roman" w:cs="Times New Roman"/>
          <w:b/>
          <w:sz w:val="22"/>
          <w:szCs w:val="22"/>
        </w:rPr>
        <w:t xml:space="preserve">Genotypic DST For  </w:t>
      </w:r>
      <w:r>
        <w:rPr>
          <w:rFonts w:ascii="Times New Roman" w:hAnsi="Times New Roman" w:cs="Times New Roman"/>
          <w:b/>
          <w:i/>
          <w:iCs/>
          <w:sz w:val="22"/>
          <w:szCs w:val="22"/>
        </w:rPr>
        <w:t xml:space="preserve"> </w:t>
      </w:r>
      <w:proofErr w:type="gramStart"/>
      <w:r>
        <w:rPr>
          <w:rFonts w:ascii="Times New Roman" w:hAnsi="Times New Roman" w:cs="Times New Roman"/>
          <w:bCs/>
          <w:i/>
          <w:iCs/>
          <w:sz w:val="22"/>
          <w:szCs w:val="22"/>
        </w:rPr>
        <w:t xml:space="preserve">Mycobacterium </w:t>
      </w:r>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r>
        <w:rPr>
          <w:rFonts w:ascii="Times New Roman" w:hAnsi="Times New Roman" w:cs="Times New Roman"/>
          <w:bCs/>
          <w:sz w:val="22"/>
          <w:szCs w:val="22"/>
        </w:rPr>
        <w:t xml:space="preserve">       Total(%)  </w:t>
      </w:r>
      <w:r>
        <w:rPr>
          <w:rFonts w:ascii="Times New Roman" w:hAnsi="Times New Roman" w:cs="Times New Roman"/>
          <w:b/>
          <w:bCs/>
          <w:sz w:val="22"/>
          <w:szCs w:val="22"/>
        </w:rPr>
        <w:t xml:space="preserve">    </w:t>
      </w:r>
      <w:r>
        <w:rPr>
          <w:rFonts w:ascii="Times New Roman" w:eastAsia="Times New Roman" w:hAnsi="Times New Roman" w:cs="Times New Roman"/>
          <w:color w:val="000000"/>
          <w:sz w:val="24"/>
          <w:szCs w:val="24"/>
        </w:rPr>
        <w:t>χ²      df      P-</w:t>
      </w:r>
      <w:r>
        <w:rPr>
          <w:rFonts w:ascii="Times New Roman" w:eastAsia="Times New Roman" w:hAnsi="Times New Roman" w:cs="Times New Roman"/>
          <w:color w:val="000000"/>
        </w:rPr>
        <w:t>Value</w:t>
      </w:r>
    </w:p>
    <w:p w:rsidR="0057282D" w:rsidRDefault="00D42155">
      <w:pPr>
        <w:pBdr>
          <w:bottom w:val="single" w:sz="4" w:space="0" w:color="auto"/>
        </w:pBdr>
        <w:rPr>
          <w:rFonts w:ascii="Times New Roman" w:hAnsi="Times New Roman" w:cs="Times New Roman"/>
          <w:bCs/>
          <w:i/>
          <w:iCs/>
          <w:sz w:val="22"/>
          <w:szCs w:val="22"/>
        </w:rPr>
      </w:pPr>
      <w:r>
        <w:rPr>
          <w:rFonts w:ascii="Times New Roman" w:hAnsi="Times New Roman" w:cs="Times New Roman"/>
          <w:b/>
          <w:sz w:val="22"/>
          <w:szCs w:val="22"/>
        </w:rPr>
        <w:t xml:space="preserve">First Line Drugs       </w:t>
      </w:r>
      <w:r>
        <w:rPr>
          <w:rFonts w:ascii="Times New Roman" w:hAnsi="Times New Roman" w:cs="Times New Roman"/>
          <w:bCs/>
          <w:i/>
          <w:iCs/>
          <w:sz w:val="22"/>
          <w:szCs w:val="22"/>
        </w:rPr>
        <w:t xml:space="preserve"> </w:t>
      </w:r>
      <w:proofErr w:type="gramStart"/>
      <w:r>
        <w:rPr>
          <w:rFonts w:ascii="Times New Roman" w:hAnsi="Times New Roman" w:cs="Times New Roman"/>
          <w:bCs/>
          <w:i/>
          <w:iCs/>
          <w:sz w:val="22"/>
          <w:szCs w:val="22"/>
        </w:rPr>
        <w:t>tuberculosis(</w:t>
      </w:r>
      <w:proofErr w:type="gramEnd"/>
      <w:r>
        <w:rPr>
          <w:rFonts w:ascii="Times New Roman" w:hAnsi="Times New Roman" w:cs="Times New Roman"/>
          <w:bCs/>
          <w:i/>
          <w:iCs/>
          <w:sz w:val="22"/>
          <w:szCs w:val="22"/>
        </w:rPr>
        <w:t>%)</w:t>
      </w:r>
      <w:r>
        <w:rPr>
          <w:rFonts w:ascii="Times New Roman" w:hAnsi="Times New Roman" w:cs="Times New Roman"/>
          <w:bCs/>
          <w:i/>
          <w:iCs/>
          <w:sz w:val="22"/>
          <w:szCs w:val="22"/>
        </w:rPr>
        <w:tab/>
        <w:t xml:space="preserve">    </w:t>
      </w:r>
      <w:proofErr w:type="spellStart"/>
      <w:r>
        <w:rPr>
          <w:rFonts w:ascii="Times New Roman" w:hAnsi="Times New Roman" w:cs="Times New Roman"/>
          <w:bCs/>
          <w:i/>
          <w:iCs/>
          <w:sz w:val="22"/>
          <w:szCs w:val="22"/>
        </w:rPr>
        <w:t>bovis</w:t>
      </w:r>
      <w:proofErr w:type="spellEnd"/>
      <w:r>
        <w:rPr>
          <w:rFonts w:ascii="Times New Roman" w:hAnsi="Times New Roman" w:cs="Times New Roman"/>
          <w:bCs/>
          <w:i/>
          <w:iCs/>
          <w:sz w:val="22"/>
          <w:szCs w:val="22"/>
        </w:rPr>
        <w:t>(%)</w:t>
      </w:r>
      <w:r>
        <w:rPr>
          <w:rFonts w:ascii="Times New Roman" w:hAnsi="Times New Roman" w:cs="Times New Roman"/>
          <w:bCs/>
          <w:sz w:val="22"/>
          <w:szCs w:val="22"/>
        </w:rPr>
        <w:tab/>
        <w:t xml:space="preserve"> </w:t>
      </w:r>
      <w:proofErr w:type="spellStart"/>
      <w:r>
        <w:rPr>
          <w:rFonts w:ascii="Times New Roman" w:hAnsi="Times New Roman" w:cs="Times New Roman"/>
          <w:bCs/>
          <w:i/>
          <w:iCs/>
          <w:sz w:val="22"/>
          <w:szCs w:val="22"/>
        </w:rPr>
        <w:t>africanum</w:t>
      </w:r>
      <w:proofErr w:type="spellEnd"/>
      <w:r>
        <w:rPr>
          <w:rFonts w:ascii="Times New Roman" w:hAnsi="Times New Roman" w:cs="Times New Roman"/>
          <w:bCs/>
          <w:i/>
          <w:iCs/>
          <w:sz w:val="22"/>
          <w:szCs w:val="22"/>
        </w:rPr>
        <w:t>(%)</w:t>
      </w:r>
    </w:p>
    <w:p w:rsidR="0057282D" w:rsidRDefault="0057282D">
      <w:pPr>
        <w:pBdr>
          <w:bottom w:val="single" w:sz="4" w:space="0" w:color="auto"/>
        </w:pBdr>
        <w:rPr>
          <w:rFonts w:ascii="Times New Roman" w:hAnsi="Times New Roman" w:cs="Times New Roman"/>
          <w:bCs/>
          <w:sz w:val="22"/>
          <w:szCs w:val="22"/>
        </w:rPr>
      </w:pPr>
    </w:p>
    <w:p w:rsidR="0057282D" w:rsidRDefault="00D42155">
      <w:pPr>
        <w:rPr>
          <w:rFonts w:ascii="Times New Roman" w:hAnsi="Times New Roman" w:cs="Times New Roman"/>
          <w:bCs/>
          <w:sz w:val="22"/>
          <w:szCs w:val="22"/>
        </w:rPr>
      </w:pPr>
      <w:r>
        <w:rPr>
          <w:rFonts w:ascii="Times New Roman" w:hAnsi="Times New Roman" w:cs="Times New Roman"/>
          <w:bCs/>
          <w:sz w:val="22"/>
          <w:szCs w:val="22"/>
        </w:rPr>
        <w:t xml:space="preserve">PAN </w:t>
      </w:r>
      <w:proofErr w:type="spellStart"/>
      <w:r>
        <w:rPr>
          <w:rFonts w:ascii="Times New Roman" w:hAnsi="Times New Roman" w:cs="Times New Roman"/>
          <w:bCs/>
          <w:sz w:val="22"/>
          <w:szCs w:val="22"/>
        </w:rPr>
        <w:t>Suceptible</w:t>
      </w:r>
      <w:proofErr w:type="spellEnd"/>
      <w:r>
        <w:rPr>
          <w:rFonts w:ascii="Times New Roman" w:hAnsi="Times New Roman" w:cs="Times New Roman"/>
          <w:bCs/>
          <w:sz w:val="22"/>
          <w:szCs w:val="22"/>
        </w:rPr>
        <w:tab/>
      </w:r>
      <w:r>
        <w:rPr>
          <w:rFonts w:ascii="Times New Roman" w:hAnsi="Times New Roman" w:cs="Times New Roman"/>
          <w:bCs/>
          <w:sz w:val="22"/>
          <w:szCs w:val="22"/>
        </w:rPr>
        <w:tab/>
        <w:t>68(89.4)</w:t>
      </w:r>
      <w:r>
        <w:rPr>
          <w:rFonts w:ascii="Times New Roman" w:hAnsi="Times New Roman" w:cs="Times New Roman"/>
          <w:bCs/>
          <w:sz w:val="22"/>
          <w:szCs w:val="22"/>
        </w:rPr>
        <w:tab/>
        <w:t>5(7.0)</w:t>
      </w:r>
      <w:r>
        <w:rPr>
          <w:rFonts w:ascii="Times New Roman" w:hAnsi="Times New Roman" w:cs="Times New Roman"/>
          <w:bCs/>
          <w:sz w:val="22"/>
          <w:szCs w:val="22"/>
        </w:rPr>
        <w:tab/>
      </w:r>
      <w:r>
        <w:rPr>
          <w:rFonts w:ascii="Times New Roman" w:hAnsi="Times New Roman" w:cs="Times New Roman"/>
          <w:bCs/>
          <w:sz w:val="22"/>
          <w:szCs w:val="22"/>
        </w:rPr>
        <w:tab/>
        <w:t>3(4.2)</w:t>
      </w:r>
      <w:r>
        <w:rPr>
          <w:rFonts w:ascii="Times New Roman" w:hAnsi="Times New Roman" w:cs="Times New Roman"/>
          <w:bCs/>
          <w:sz w:val="22"/>
          <w:szCs w:val="22"/>
        </w:rPr>
        <w:tab/>
      </w:r>
      <w:r>
        <w:rPr>
          <w:rFonts w:ascii="Times New Roman" w:hAnsi="Times New Roman" w:cs="Times New Roman"/>
          <w:bCs/>
          <w:sz w:val="22"/>
          <w:szCs w:val="22"/>
        </w:rPr>
        <w:tab/>
        <w:t xml:space="preserve">      76(100)         </w:t>
      </w:r>
    </w:p>
    <w:p w:rsidR="0057282D" w:rsidRDefault="0057282D">
      <w:pPr>
        <w:rPr>
          <w:rFonts w:ascii="Times New Roman" w:hAnsi="Times New Roman" w:cs="Times New Roman"/>
          <w:bCs/>
          <w:sz w:val="22"/>
          <w:szCs w:val="22"/>
        </w:rPr>
      </w:pPr>
    </w:p>
    <w:p w:rsidR="0057282D" w:rsidRDefault="00D42155">
      <w:pPr>
        <w:rPr>
          <w:rFonts w:ascii="Times New Roman" w:hAnsi="Times New Roman" w:cs="Times New Roman"/>
          <w:sz w:val="22"/>
          <w:szCs w:val="22"/>
        </w:rPr>
      </w:pPr>
      <w:r>
        <w:rPr>
          <w:rFonts w:ascii="Times New Roman" w:hAnsi="Times New Roman" w:cs="Times New Roman"/>
          <w:sz w:val="22"/>
          <w:szCs w:val="22"/>
        </w:rPr>
        <w:t>RIF Resistance/INH</w:t>
      </w:r>
      <w:r>
        <w:rPr>
          <w:rFonts w:ascii="Times New Roman" w:hAnsi="Times New Roman" w:cs="Times New Roman"/>
          <w:sz w:val="22"/>
          <w:szCs w:val="22"/>
        </w:rPr>
        <w:tab/>
        <w:t xml:space="preserve">15(78.9)     </w:t>
      </w:r>
      <w:r>
        <w:rPr>
          <w:rFonts w:ascii="Times New Roman" w:hAnsi="Times New Roman" w:cs="Times New Roman"/>
          <w:sz w:val="22"/>
          <w:szCs w:val="22"/>
        </w:rPr>
        <w:tab/>
        <w:t>1(5.3)</w:t>
      </w:r>
      <w:r>
        <w:rPr>
          <w:rFonts w:ascii="Times New Roman" w:hAnsi="Times New Roman" w:cs="Times New Roman"/>
          <w:sz w:val="22"/>
          <w:szCs w:val="22"/>
        </w:rPr>
        <w:tab/>
      </w:r>
      <w:r>
        <w:rPr>
          <w:rFonts w:ascii="Times New Roman" w:hAnsi="Times New Roman" w:cs="Times New Roman"/>
          <w:sz w:val="22"/>
          <w:szCs w:val="22"/>
        </w:rPr>
        <w:tab/>
        <w:t>3(15.8)</w:t>
      </w:r>
      <w:r>
        <w:rPr>
          <w:rFonts w:ascii="Times New Roman" w:hAnsi="Times New Roman" w:cs="Times New Roman"/>
          <w:sz w:val="22"/>
          <w:szCs w:val="22"/>
        </w:rPr>
        <w:tab/>
      </w:r>
      <w:r>
        <w:rPr>
          <w:rFonts w:ascii="Times New Roman" w:hAnsi="Times New Roman" w:cs="Times New Roman"/>
          <w:sz w:val="22"/>
          <w:szCs w:val="22"/>
        </w:rPr>
        <w:tab/>
        <w:t xml:space="preserve">      19(100)</w:t>
      </w:r>
    </w:p>
    <w:p w:rsidR="0057282D" w:rsidRDefault="00D42155">
      <w:pPr>
        <w:rPr>
          <w:rFonts w:ascii="Times New Roman" w:hAnsi="Times New Roman" w:cs="Times New Roman"/>
          <w:sz w:val="22"/>
          <w:szCs w:val="22"/>
        </w:rPr>
      </w:pPr>
      <w:proofErr w:type="spellStart"/>
      <w:r>
        <w:rPr>
          <w:rFonts w:ascii="Times New Roman" w:hAnsi="Times New Roman" w:cs="Times New Roman"/>
          <w:sz w:val="22"/>
          <w:szCs w:val="22"/>
        </w:rPr>
        <w:t>Suceptible</w:t>
      </w:r>
      <w:proofErr w:type="spellEnd"/>
    </w:p>
    <w:p w:rsidR="0057282D" w:rsidRDefault="00D42155">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10.155    8        0.255</w:t>
      </w:r>
    </w:p>
    <w:p w:rsidR="0057282D" w:rsidRDefault="00D42155">
      <w:pPr>
        <w:rPr>
          <w:rFonts w:ascii="Times New Roman" w:hAnsi="Times New Roman" w:cs="Times New Roman"/>
          <w:sz w:val="22"/>
          <w:szCs w:val="22"/>
        </w:rPr>
      </w:pPr>
      <w:r>
        <w:rPr>
          <w:rFonts w:ascii="Times New Roman" w:hAnsi="Times New Roman" w:cs="Times New Roman"/>
          <w:sz w:val="22"/>
          <w:szCs w:val="22"/>
        </w:rPr>
        <w:t xml:space="preserve">RIF </w:t>
      </w:r>
      <w:proofErr w:type="spellStart"/>
      <w:r>
        <w:rPr>
          <w:rFonts w:ascii="Times New Roman" w:hAnsi="Times New Roman" w:cs="Times New Roman"/>
          <w:sz w:val="22"/>
          <w:szCs w:val="22"/>
        </w:rPr>
        <w:t>Suceptible</w:t>
      </w:r>
      <w:proofErr w:type="spellEnd"/>
      <w:r>
        <w:rPr>
          <w:rFonts w:ascii="Times New Roman" w:hAnsi="Times New Roman" w:cs="Times New Roman"/>
          <w:sz w:val="22"/>
          <w:szCs w:val="22"/>
        </w:rPr>
        <w:t>/INH</w:t>
      </w:r>
      <w:r>
        <w:rPr>
          <w:rFonts w:ascii="Times New Roman" w:hAnsi="Times New Roman" w:cs="Times New Roman"/>
          <w:sz w:val="22"/>
          <w:szCs w:val="22"/>
        </w:rPr>
        <w:tab/>
        <w:t>31(83.8)</w:t>
      </w:r>
      <w:r>
        <w:rPr>
          <w:rFonts w:ascii="Times New Roman" w:hAnsi="Times New Roman" w:cs="Times New Roman"/>
          <w:sz w:val="22"/>
          <w:szCs w:val="22"/>
        </w:rPr>
        <w:tab/>
        <w:t>4(10.8)</w:t>
      </w:r>
      <w:r>
        <w:rPr>
          <w:rFonts w:ascii="Times New Roman" w:hAnsi="Times New Roman" w:cs="Times New Roman"/>
          <w:sz w:val="22"/>
          <w:szCs w:val="22"/>
        </w:rPr>
        <w:tab/>
      </w:r>
      <w:r>
        <w:rPr>
          <w:rFonts w:ascii="Times New Roman" w:hAnsi="Times New Roman" w:cs="Times New Roman"/>
          <w:sz w:val="22"/>
          <w:szCs w:val="22"/>
        </w:rPr>
        <w:tab/>
        <w:t>2(5.4)</w:t>
      </w:r>
      <w:r>
        <w:rPr>
          <w:rFonts w:ascii="Times New Roman" w:hAnsi="Times New Roman" w:cs="Times New Roman"/>
          <w:sz w:val="22"/>
          <w:szCs w:val="22"/>
        </w:rPr>
        <w:tab/>
      </w:r>
      <w:r>
        <w:rPr>
          <w:rFonts w:ascii="Times New Roman" w:hAnsi="Times New Roman" w:cs="Times New Roman"/>
          <w:sz w:val="22"/>
          <w:szCs w:val="22"/>
        </w:rPr>
        <w:tab/>
        <w:t xml:space="preserve">      37(100)</w:t>
      </w:r>
    </w:p>
    <w:p w:rsidR="0057282D" w:rsidRDefault="00D42155">
      <w:pPr>
        <w:rPr>
          <w:rFonts w:ascii="Times New Roman" w:hAnsi="Times New Roman" w:cs="Times New Roman"/>
          <w:sz w:val="22"/>
          <w:szCs w:val="22"/>
        </w:rPr>
      </w:pPr>
      <w:r>
        <w:rPr>
          <w:rFonts w:ascii="Times New Roman" w:hAnsi="Times New Roman" w:cs="Times New Roman"/>
          <w:sz w:val="22"/>
          <w:szCs w:val="22"/>
        </w:rPr>
        <w:t>Resistance</w:t>
      </w:r>
    </w:p>
    <w:p w:rsidR="0057282D" w:rsidRDefault="0057282D">
      <w:pPr>
        <w:rPr>
          <w:rFonts w:ascii="Times New Roman" w:hAnsi="Times New Roman" w:cs="Times New Roman"/>
          <w:sz w:val="22"/>
          <w:szCs w:val="22"/>
        </w:rPr>
      </w:pPr>
    </w:p>
    <w:p w:rsidR="0057282D" w:rsidRDefault="00D42155">
      <w:pPr>
        <w:rPr>
          <w:rFonts w:ascii="Times New Roman" w:hAnsi="Times New Roman" w:cs="Times New Roman"/>
          <w:sz w:val="22"/>
          <w:szCs w:val="22"/>
        </w:rPr>
      </w:pPr>
      <w:r>
        <w:rPr>
          <w:rFonts w:ascii="Times New Roman" w:hAnsi="Times New Roman" w:cs="Times New Roman"/>
          <w:sz w:val="22"/>
          <w:szCs w:val="22"/>
        </w:rPr>
        <w:t>Multidrug Resistance</w:t>
      </w:r>
      <w:r>
        <w:rPr>
          <w:rFonts w:ascii="Times New Roman" w:hAnsi="Times New Roman" w:cs="Times New Roman"/>
          <w:sz w:val="22"/>
          <w:szCs w:val="22"/>
        </w:rPr>
        <w:tab/>
        <w:t>11(64.7)</w:t>
      </w:r>
      <w:r>
        <w:rPr>
          <w:rFonts w:ascii="Times New Roman" w:hAnsi="Times New Roman" w:cs="Times New Roman"/>
          <w:sz w:val="22"/>
          <w:szCs w:val="22"/>
        </w:rPr>
        <w:tab/>
        <w:t>4(23.5)</w:t>
      </w:r>
      <w:r>
        <w:rPr>
          <w:rFonts w:ascii="Times New Roman" w:hAnsi="Times New Roman" w:cs="Times New Roman"/>
          <w:sz w:val="22"/>
          <w:szCs w:val="22"/>
        </w:rPr>
        <w:tab/>
      </w:r>
      <w:r>
        <w:rPr>
          <w:rFonts w:ascii="Times New Roman" w:hAnsi="Times New Roman" w:cs="Times New Roman"/>
          <w:sz w:val="22"/>
          <w:szCs w:val="22"/>
        </w:rPr>
        <w:tab/>
        <w:t>2(11.8)</w:t>
      </w:r>
      <w:r>
        <w:rPr>
          <w:rFonts w:ascii="Times New Roman" w:hAnsi="Times New Roman" w:cs="Times New Roman"/>
          <w:sz w:val="22"/>
          <w:szCs w:val="22"/>
        </w:rPr>
        <w:tab/>
      </w:r>
      <w:r>
        <w:rPr>
          <w:rFonts w:ascii="Times New Roman" w:hAnsi="Times New Roman" w:cs="Times New Roman"/>
          <w:sz w:val="22"/>
          <w:szCs w:val="22"/>
        </w:rPr>
        <w:tab/>
        <w:t xml:space="preserve">      17(100)</w:t>
      </w:r>
      <w:r>
        <w:rPr>
          <w:rFonts w:ascii="Times New Roman" w:hAnsi="Times New Roman" w:cs="Times New Roman"/>
          <w:sz w:val="22"/>
          <w:szCs w:val="22"/>
        </w:rPr>
        <w:tab/>
      </w:r>
    </w:p>
    <w:p w:rsidR="0057282D" w:rsidRDefault="0057282D">
      <w:pPr>
        <w:rPr>
          <w:rFonts w:ascii="Times New Roman" w:hAnsi="Times New Roman" w:cs="Times New Roman"/>
          <w:sz w:val="22"/>
          <w:szCs w:val="22"/>
        </w:rPr>
      </w:pPr>
    </w:p>
    <w:p w:rsidR="0057282D" w:rsidRDefault="00D42155">
      <w:pPr>
        <w:pBdr>
          <w:bottom w:val="single" w:sz="4" w:space="0" w:color="auto"/>
        </w:pBdr>
        <w:rPr>
          <w:rFonts w:ascii="Times New Roman" w:hAnsi="Times New Roman" w:cs="Times New Roman"/>
          <w:b/>
          <w:bCs/>
          <w:sz w:val="22"/>
          <w:szCs w:val="22"/>
        </w:rPr>
      </w:pPr>
      <w:r>
        <w:rPr>
          <w:rFonts w:ascii="Times New Roman" w:hAnsi="Times New Roman" w:cs="Times New Roman"/>
          <w:b/>
          <w:bCs/>
          <w:sz w:val="22"/>
          <w:szCs w:val="22"/>
        </w:rPr>
        <w:t>Total</w:t>
      </w:r>
      <w:r>
        <w:rPr>
          <w:rFonts w:ascii="Times New Roman" w:hAnsi="Times New Roman" w:cs="Times New Roman"/>
          <w:sz w:val="22"/>
          <w:szCs w:val="22"/>
        </w:rPr>
        <w:tab/>
        <w:t xml:space="preserve">      </w:t>
      </w:r>
      <w:r>
        <w:rPr>
          <w:rFonts w:ascii="Times New Roman" w:hAnsi="Times New Roman" w:cs="Times New Roman"/>
          <w:b/>
          <w:bCs/>
          <w:sz w:val="22"/>
          <w:szCs w:val="22"/>
        </w:rPr>
        <w:tab/>
      </w:r>
      <w:r>
        <w:rPr>
          <w:rFonts w:ascii="Times New Roman" w:hAnsi="Times New Roman" w:cs="Times New Roman"/>
          <w:b/>
          <w:bCs/>
          <w:sz w:val="22"/>
          <w:szCs w:val="22"/>
        </w:rPr>
        <w:tab/>
        <w:t>124(83.3)</w:t>
      </w:r>
      <w:r>
        <w:rPr>
          <w:rFonts w:ascii="Times New Roman" w:hAnsi="Times New Roman" w:cs="Times New Roman"/>
          <w:b/>
          <w:bCs/>
          <w:sz w:val="22"/>
          <w:szCs w:val="22"/>
        </w:rPr>
        <w:tab/>
        <w:t>14(9.4)</w:t>
      </w:r>
      <w:r>
        <w:rPr>
          <w:rFonts w:ascii="Times New Roman" w:hAnsi="Times New Roman" w:cs="Times New Roman"/>
          <w:b/>
          <w:bCs/>
          <w:sz w:val="22"/>
          <w:szCs w:val="22"/>
        </w:rPr>
        <w:tab/>
      </w:r>
      <w:r>
        <w:rPr>
          <w:rFonts w:ascii="Times New Roman" w:hAnsi="Times New Roman" w:cs="Times New Roman"/>
          <w:b/>
          <w:bCs/>
          <w:sz w:val="22"/>
          <w:szCs w:val="22"/>
        </w:rPr>
        <w:tab/>
        <w:t>10(6.7)</w:t>
      </w:r>
      <w:r>
        <w:rPr>
          <w:rFonts w:ascii="Times New Roman" w:hAnsi="Times New Roman" w:cs="Times New Roman"/>
          <w:b/>
          <w:bCs/>
          <w:sz w:val="22"/>
          <w:szCs w:val="22"/>
        </w:rPr>
        <w:tab/>
      </w:r>
      <w:r>
        <w:rPr>
          <w:rFonts w:ascii="Times New Roman" w:hAnsi="Times New Roman" w:cs="Times New Roman"/>
          <w:b/>
          <w:bCs/>
          <w:sz w:val="22"/>
          <w:szCs w:val="22"/>
        </w:rPr>
        <w:tab/>
        <w:t xml:space="preserve">      149(100)</w:t>
      </w:r>
    </w:p>
    <w:p w:rsidR="0057282D" w:rsidRDefault="0057282D">
      <w:pPr>
        <w:pBdr>
          <w:bottom w:val="single" w:sz="4" w:space="0" w:color="auto"/>
        </w:pBdr>
        <w:rPr>
          <w:rFonts w:ascii="Times New Roman" w:hAnsi="Times New Roman" w:cs="Times New Roman"/>
          <w:b/>
          <w:bCs/>
          <w:sz w:val="22"/>
          <w:szCs w:val="22"/>
        </w:rPr>
      </w:pPr>
    </w:p>
    <w:p w:rsidR="0057282D" w:rsidRDefault="0057282D">
      <w:pPr>
        <w:pBdr>
          <w:bottom w:val="single" w:sz="4" w:space="0" w:color="auto"/>
        </w:pBdr>
        <w:rPr>
          <w:rFonts w:ascii="Times New Roman" w:hAnsi="Times New Roman" w:cs="Times New Roman"/>
          <w:b/>
          <w:bCs/>
          <w:sz w:val="22"/>
          <w:szCs w:val="22"/>
        </w:rPr>
      </w:pPr>
    </w:p>
    <w:p w:rsidR="0057282D" w:rsidRDefault="0057282D">
      <w:pPr>
        <w:jc w:val="both"/>
        <w:rPr>
          <w:rFonts w:ascii="Times New Roman" w:hAnsi="Times New Roman" w:cs="Times New Roman"/>
          <w:sz w:val="24"/>
          <w:szCs w:val="24"/>
        </w:rPr>
      </w:pPr>
    </w:p>
    <w:p w:rsidR="0057282D" w:rsidRDefault="00D42155">
      <w:pPr>
        <w:spacing w:before="100" w:beforeAutospacing="1" w:after="100" w:afterAutospacing="1"/>
        <w:jc w:val="both"/>
        <w:outlineLvl w:val="3"/>
        <w:rPr>
          <w:rFonts w:ascii="Times New Roman" w:eastAsia="Times New Roman" w:hAnsi="Times New Roman"/>
          <w:sz w:val="24"/>
          <w:szCs w:val="24"/>
        </w:rPr>
      </w:pPr>
      <w:r>
        <w:rPr>
          <w:rFonts w:ascii="Times New Roman" w:eastAsia="Times New Roman" w:hAnsi="Times New Roman"/>
          <w:bCs/>
          <w:sz w:val="24"/>
          <w:szCs w:val="24"/>
        </w:rPr>
        <w:lastRenderedPageBreak/>
        <w:t xml:space="preserve">The genotypic Drug Resistance Profile for Second-Line Drugs in MTBC </w:t>
      </w:r>
      <w:r>
        <w:rPr>
          <w:rFonts w:ascii="Times New Roman" w:eastAsia="Times New Roman" w:hAnsi="Times New Roman"/>
          <w:b/>
          <w:bCs/>
          <w:sz w:val="24"/>
          <w:szCs w:val="24"/>
        </w:rPr>
        <w:t>(Table 2</w:t>
      </w:r>
      <w:r>
        <w:rPr>
          <w:rFonts w:ascii="Times New Roman" w:eastAsia="Times New Roman" w:hAnsi="Times New Roman"/>
          <w:bCs/>
          <w:sz w:val="24"/>
          <w:szCs w:val="24"/>
        </w:rPr>
        <w:t xml:space="preserve">) showed resistance for fluoroquinolones and low-level kanamycin </w:t>
      </w:r>
      <w:r>
        <w:rPr>
          <w:rFonts w:ascii="Times New Roman" w:eastAsia="Times New Roman" w:hAnsi="Times New Roman"/>
          <w:sz w:val="24"/>
          <w:szCs w:val="24"/>
        </w:rPr>
        <w:t xml:space="preserve">Out of 72 isolates: </w:t>
      </w:r>
      <w:r>
        <w:rPr>
          <w:rFonts w:ascii="Times New Roman" w:eastAsia="Times New Roman" w:hAnsi="Times New Roman"/>
          <w:bCs/>
          <w:sz w:val="24"/>
          <w:szCs w:val="24"/>
        </w:rPr>
        <w:t>M. tuberculosis</w:t>
      </w:r>
      <w:r>
        <w:rPr>
          <w:rFonts w:ascii="Times New Roman" w:eastAsia="Times New Roman" w:hAnsi="Times New Roman"/>
          <w:sz w:val="24"/>
          <w:szCs w:val="24"/>
        </w:rPr>
        <w:t xml:space="preserve"> had the highest representation 56/72 (77.8%), with 14/16 (87.5%) resistant to fluoroquinolones and 12/13(92.3%) exhibiting low-level resistance to </w:t>
      </w:r>
      <w:proofErr w:type="spellStart"/>
      <w:r>
        <w:rPr>
          <w:rFonts w:ascii="Times New Roman" w:eastAsia="Times New Roman" w:hAnsi="Times New Roman"/>
          <w:sz w:val="24"/>
          <w:szCs w:val="24"/>
        </w:rPr>
        <w:t>Kanamycin.</w:t>
      </w:r>
      <w:r>
        <w:rPr>
          <w:rFonts w:ascii="Times New Roman" w:eastAsia="Times New Roman" w:hAnsi="Times New Roman"/>
          <w:bCs/>
          <w:sz w:val="24"/>
          <w:szCs w:val="24"/>
        </w:rPr>
        <w:t>M</w:t>
      </w:r>
      <w:proofErr w:type="spellEnd"/>
      <w:r>
        <w:rPr>
          <w:rFonts w:ascii="Times New Roman" w:eastAsia="Times New Roman" w:hAnsi="Times New Roman"/>
          <w:bCs/>
          <w:sz w:val="24"/>
          <w:szCs w:val="24"/>
        </w:rPr>
        <w:t xml:space="preserve">. </w:t>
      </w:r>
      <w:r>
        <w:rPr>
          <w:rFonts w:ascii="Times New Roman" w:eastAsia="Times New Roman" w:hAnsi="Times New Roman"/>
          <w:sz w:val="24"/>
          <w:szCs w:val="24"/>
        </w:rPr>
        <w:t xml:space="preserve"> Only one case displayed extensive drug resistance. The chi-square test (χ² = 8.919, df = 8, p = 0.349) indicates no statistically significant difference in resistance profiles across species.</w:t>
      </w:r>
    </w:p>
    <w:p w:rsidR="0057282D" w:rsidRDefault="0057282D">
      <w:pPr>
        <w:spacing w:before="100" w:beforeAutospacing="1" w:after="100" w:afterAutospacing="1"/>
        <w:jc w:val="both"/>
        <w:outlineLvl w:val="3"/>
        <w:rPr>
          <w:rFonts w:ascii="Times New Roman" w:eastAsia="Times New Roman" w:hAnsi="Times New Roman"/>
          <w:sz w:val="2"/>
          <w:szCs w:val="2"/>
        </w:rPr>
      </w:pPr>
    </w:p>
    <w:p w:rsidR="0057282D" w:rsidRDefault="00D42155">
      <w:pPr>
        <w:pBdr>
          <w:bottom w:val="single" w:sz="4" w:space="0" w:color="auto"/>
        </w:pBdr>
        <w:rPr>
          <w:rFonts w:ascii="Times New Roman" w:hAnsi="Times New Roman" w:cs="Times New Roman"/>
          <w:b/>
          <w:sz w:val="24"/>
          <w:szCs w:val="24"/>
        </w:rPr>
      </w:pPr>
      <w:r>
        <w:rPr>
          <w:rFonts w:ascii="Times New Roman" w:hAnsi="Times New Roman" w:cs="Times New Roman"/>
          <w:b/>
          <w:sz w:val="24"/>
          <w:szCs w:val="24"/>
        </w:rPr>
        <w:t>Table 2: Genotypic drug resistance profile for second-line drugs in MTBC Species</w:t>
      </w:r>
    </w:p>
    <w:p w:rsidR="0057282D" w:rsidRDefault="00D42155">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7282D" w:rsidRDefault="00D42155">
      <w:pPr>
        <w:rPr>
          <w:rFonts w:ascii="Times New Roman" w:hAnsi="Times New Roman" w:cs="Times New Roman"/>
          <w:bCs/>
          <w:sz w:val="24"/>
          <w:szCs w:val="24"/>
        </w:rPr>
      </w:pPr>
      <w:r>
        <w:rPr>
          <w:rFonts w:ascii="Times New Roman" w:hAnsi="Times New Roman" w:cs="Times New Roman"/>
          <w:b/>
          <w:sz w:val="22"/>
          <w:szCs w:val="22"/>
        </w:rPr>
        <w:t xml:space="preserve">Genotypic DST For  </w:t>
      </w:r>
      <w:r>
        <w:rPr>
          <w:rFonts w:ascii="Times New Roman" w:hAnsi="Times New Roman" w:cs="Times New Roman"/>
          <w:b/>
          <w:i/>
          <w:iCs/>
          <w:sz w:val="22"/>
          <w:szCs w:val="22"/>
        </w:rPr>
        <w:t xml:space="preserve"> </w:t>
      </w:r>
      <w:proofErr w:type="gramStart"/>
      <w:r>
        <w:rPr>
          <w:rFonts w:ascii="Times New Roman" w:hAnsi="Times New Roman" w:cs="Times New Roman"/>
          <w:bCs/>
          <w:i/>
          <w:iCs/>
          <w:sz w:val="22"/>
          <w:szCs w:val="22"/>
        </w:rPr>
        <w:t xml:space="preserve">Mycobacterium </w:t>
      </w:r>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r>
        <w:rPr>
          <w:rFonts w:ascii="Times New Roman" w:hAnsi="Times New Roman" w:cs="Times New Roman"/>
          <w:bCs/>
          <w:sz w:val="22"/>
          <w:szCs w:val="22"/>
        </w:rPr>
        <w:t xml:space="preserve">     Total(%)  </w:t>
      </w:r>
      <w:r>
        <w:rPr>
          <w:rFonts w:ascii="Times New Roman" w:hAnsi="Times New Roman" w:cs="Times New Roman"/>
          <w:b/>
          <w:bCs/>
          <w:sz w:val="22"/>
          <w:szCs w:val="22"/>
        </w:rPr>
        <w:t xml:space="preserve">   </w:t>
      </w:r>
      <w:r>
        <w:rPr>
          <w:rFonts w:ascii="Times New Roman" w:eastAsia="Times New Roman" w:hAnsi="Times New Roman" w:cs="Times New Roman"/>
          <w:color w:val="000000"/>
          <w:sz w:val="24"/>
          <w:szCs w:val="24"/>
        </w:rPr>
        <w:t xml:space="preserve">χ²      df     </w:t>
      </w:r>
      <w:r>
        <w:rPr>
          <w:rFonts w:ascii="Times New Roman" w:eastAsia="Times New Roman" w:hAnsi="Times New Roman" w:cs="Times New Roman"/>
          <w:color w:val="000000"/>
          <w:sz w:val="22"/>
          <w:szCs w:val="22"/>
        </w:rPr>
        <w:t xml:space="preserve"> P-Value</w:t>
      </w:r>
    </w:p>
    <w:p w:rsidR="0057282D" w:rsidRDefault="00D42155">
      <w:pPr>
        <w:pBdr>
          <w:bottom w:val="single" w:sz="4" w:space="0" w:color="auto"/>
        </w:pBdr>
        <w:rPr>
          <w:rFonts w:ascii="Times New Roman" w:hAnsi="Times New Roman" w:cs="Times New Roman"/>
          <w:bCs/>
          <w:i/>
          <w:iCs/>
          <w:sz w:val="22"/>
          <w:szCs w:val="22"/>
        </w:rPr>
      </w:pPr>
      <w:proofErr w:type="gramStart"/>
      <w:r>
        <w:rPr>
          <w:rFonts w:ascii="Times New Roman" w:hAnsi="Times New Roman" w:cs="Times New Roman"/>
          <w:b/>
          <w:sz w:val="22"/>
          <w:szCs w:val="22"/>
        </w:rPr>
        <w:t>Second  Line</w:t>
      </w:r>
      <w:proofErr w:type="gramEnd"/>
      <w:r>
        <w:rPr>
          <w:rFonts w:ascii="Times New Roman" w:hAnsi="Times New Roman" w:cs="Times New Roman"/>
          <w:bCs/>
          <w:sz w:val="22"/>
          <w:szCs w:val="22"/>
        </w:rPr>
        <w:tab/>
        <w:t xml:space="preserve">          t</w:t>
      </w:r>
      <w:r>
        <w:rPr>
          <w:rFonts w:ascii="Times New Roman" w:hAnsi="Times New Roman" w:cs="Times New Roman"/>
          <w:bCs/>
          <w:i/>
          <w:iCs/>
          <w:sz w:val="22"/>
          <w:szCs w:val="22"/>
        </w:rPr>
        <w:t>uberculosis(%)</w:t>
      </w:r>
      <w:r>
        <w:rPr>
          <w:rFonts w:ascii="Times New Roman" w:hAnsi="Times New Roman" w:cs="Times New Roman"/>
          <w:bCs/>
          <w:i/>
          <w:iCs/>
          <w:sz w:val="22"/>
          <w:szCs w:val="22"/>
        </w:rPr>
        <w:tab/>
        <w:t xml:space="preserve">    </w:t>
      </w:r>
      <w:proofErr w:type="spellStart"/>
      <w:r>
        <w:rPr>
          <w:rFonts w:ascii="Times New Roman" w:hAnsi="Times New Roman" w:cs="Times New Roman"/>
          <w:bCs/>
          <w:i/>
          <w:iCs/>
          <w:sz w:val="22"/>
          <w:szCs w:val="22"/>
        </w:rPr>
        <w:t>bovis</w:t>
      </w:r>
      <w:proofErr w:type="spellEnd"/>
      <w:r>
        <w:rPr>
          <w:rFonts w:ascii="Times New Roman" w:hAnsi="Times New Roman" w:cs="Times New Roman"/>
          <w:bCs/>
          <w:i/>
          <w:iCs/>
          <w:sz w:val="22"/>
          <w:szCs w:val="22"/>
        </w:rPr>
        <w:t xml:space="preserve">(%)       </w:t>
      </w:r>
      <w:proofErr w:type="spellStart"/>
      <w:r>
        <w:rPr>
          <w:rFonts w:ascii="Times New Roman" w:hAnsi="Times New Roman" w:cs="Times New Roman"/>
          <w:bCs/>
          <w:i/>
          <w:iCs/>
          <w:sz w:val="22"/>
          <w:szCs w:val="22"/>
        </w:rPr>
        <w:t>africanum</w:t>
      </w:r>
      <w:proofErr w:type="spellEnd"/>
      <w:r>
        <w:rPr>
          <w:rFonts w:ascii="Times New Roman" w:hAnsi="Times New Roman" w:cs="Times New Roman"/>
          <w:bCs/>
          <w:i/>
          <w:iCs/>
          <w:sz w:val="22"/>
          <w:szCs w:val="22"/>
        </w:rPr>
        <w:t>(%)</w:t>
      </w:r>
    </w:p>
    <w:p w:rsidR="0057282D" w:rsidRDefault="0057282D">
      <w:pPr>
        <w:rPr>
          <w:rFonts w:ascii="Times New Roman" w:hAnsi="Times New Roman" w:cs="Times New Roman"/>
          <w:bCs/>
          <w:sz w:val="22"/>
          <w:szCs w:val="22"/>
        </w:rPr>
      </w:pPr>
    </w:p>
    <w:p w:rsidR="0057282D" w:rsidRDefault="00D42155">
      <w:pPr>
        <w:rPr>
          <w:rFonts w:ascii="Times New Roman" w:hAnsi="Times New Roman" w:cs="Times New Roman"/>
          <w:bCs/>
          <w:sz w:val="22"/>
          <w:szCs w:val="22"/>
        </w:rPr>
      </w:pPr>
      <w:r>
        <w:rPr>
          <w:rFonts w:ascii="Times New Roman" w:hAnsi="Times New Roman" w:cs="Times New Roman"/>
          <w:bCs/>
          <w:sz w:val="22"/>
          <w:szCs w:val="22"/>
        </w:rPr>
        <w:t xml:space="preserve">PAN </w:t>
      </w:r>
      <w:proofErr w:type="spellStart"/>
      <w:r>
        <w:rPr>
          <w:rFonts w:ascii="Times New Roman" w:hAnsi="Times New Roman" w:cs="Times New Roman"/>
          <w:bCs/>
          <w:sz w:val="22"/>
          <w:szCs w:val="22"/>
        </w:rPr>
        <w:t>Suceptible</w:t>
      </w:r>
      <w:proofErr w:type="spellEnd"/>
      <w:r>
        <w:rPr>
          <w:rFonts w:ascii="Times New Roman" w:hAnsi="Times New Roman" w:cs="Times New Roman"/>
          <w:bCs/>
          <w:sz w:val="22"/>
          <w:szCs w:val="22"/>
        </w:rPr>
        <w:tab/>
      </w:r>
      <w:r>
        <w:rPr>
          <w:rFonts w:ascii="Times New Roman" w:hAnsi="Times New Roman" w:cs="Times New Roman"/>
          <w:bCs/>
          <w:sz w:val="22"/>
          <w:szCs w:val="22"/>
        </w:rPr>
        <w:tab/>
        <w:t>22(66.7)</w:t>
      </w:r>
      <w:r>
        <w:rPr>
          <w:rFonts w:ascii="Times New Roman" w:hAnsi="Times New Roman" w:cs="Times New Roman"/>
          <w:bCs/>
          <w:sz w:val="22"/>
          <w:szCs w:val="22"/>
        </w:rPr>
        <w:tab/>
        <w:t>7(21.2)</w:t>
      </w:r>
      <w:r>
        <w:rPr>
          <w:rFonts w:ascii="Times New Roman" w:hAnsi="Times New Roman" w:cs="Times New Roman"/>
          <w:bCs/>
          <w:sz w:val="22"/>
          <w:szCs w:val="22"/>
        </w:rPr>
        <w:tab/>
      </w:r>
      <w:r>
        <w:rPr>
          <w:rFonts w:ascii="Times New Roman" w:hAnsi="Times New Roman" w:cs="Times New Roman"/>
          <w:bCs/>
          <w:sz w:val="22"/>
          <w:szCs w:val="22"/>
        </w:rPr>
        <w:tab/>
        <w:t>4(12.1)</w:t>
      </w:r>
      <w:r>
        <w:rPr>
          <w:rFonts w:ascii="Times New Roman" w:hAnsi="Times New Roman" w:cs="Times New Roman"/>
          <w:bCs/>
          <w:sz w:val="22"/>
          <w:szCs w:val="22"/>
        </w:rPr>
        <w:tab/>
      </w:r>
      <w:r>
        <w:rPr>
          <w:rFonts w:ascii="Times New Roman" w:hAnsi="Times New Roman" w:cs="Times New Roman"/>
          <w:bCs/>
          <w:sz w:val="22"/>
          <w:szCs w:val="22"/>
        </w:rPr>
        <w:tab/>
        <w:t xml:space="preserve">      33(100)        </w:t>
      </w:r>
    </w:p>
    <w:p w:rsidR="0057282D" w:rsidRDefault="0057282D">
      <w:pPr>
        <w:rPr>
          <w:rFonts w:ascii="Times New Roman" w:hAnsi="Times New Roman" w:cs="Times New Roman"/>
          <w:bCs/>
          <w:sz w:val="18"/>
          <w:szCs w:val="18"/>
        </w:rPr>
      </w:pPr>
    </w:p>
    <w:p w:rsidR="0057282D" w:rsidRDefault="00D42155">
      <w:pPr>
        <w:rPr>
          <w:rFonts w:ascii="Times New Roman" w:hAnsi="Times New Roman" w:cs="Times New Roman"/>
          <w:sz w:val="22"/>
          <w:szCs w:val="22"/>
        </w:rPr>
      </w:pPr>
      <w:proofErr w:type="spellStart"/>
      <w:r>
        <w:rPr>
          <w:rFonts w:ascii="Times New Roman" w:hAnsi="Times New Roman" w:cs="Times New Roman"/>
          <w:sz w:val="22"/>
          <w:szCs w:val="22"/>
        </w:rPr>
        <w:t>Floroquilonone</w:t>
      </w:r>
      <w:proofErr w:type="spellEnd"/>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14(87.5)     </w:t>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2(12.5)</w:t>
      </w:r>
      <w:r>
        <w:rPr>
          <w:rFonts w:ascii="Times New Roman" w:hAnsi="Times New Roman" w:cs="Times New Roman"/>
          <w:sz w:val="22"/>
          <w:szCs w:val="22"/>
        </w:rPr>
        <w:tab/>
      </w:r>
      <w:r>
        <w:rPr>
          <w:rFonts w:ascii="Times New Roman" w:hAnsi="Times New Roman" w:cs="Times New Roman"/>
          <w:sz w:val="22"/>
          <w:szCs w:val="22"/>
        </w:rPr>
        <w:tab/>
        <w:t xml:space="preserve">      16(100)</w:t>
      </w:r>
    </w:p>
    <w:p w:rsidR="0057282D" w:rsidRDefault="00D42155">
      <w:pPr>
        <w:rPr>
          <w:rFonts w:ascii="Times New Roman" w:hAnsi="Times New Roman" w:cs="Times New Roman"/>
          <w:sz w:val="22"/>
          <w:szCs w:val="22"/>
        </w:rPr>
      </w:pPr>
      <w:r>
        <w:rPr>
          <w:rFonts w:ascii="Times New Roman" w:hAnsi="Times New Roman" w:cs="Times New Roman"/>
          <w:sz w:val="22"/>
          <w:szCs w:val="22"/>
        </w:rPr>
        <w:t>Resistance</w:t>
      </w:r>
    </w:p>
    <w:p w:rsidR="0057282D" w:rsidRDefault="00D42155">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8.919     8          0.349</w:t>
      </w:r>
    </w:p>
    <w:p w:rsidR="0057282D" w:rsidRDefault="00D42155">
      <w:pPr>
        <w:rPr>
          <w:rFonts w:ascii="Times New Roman" w:hAnsi="Times New Roman" w:cs="Times New Roman"/>
          <w:sz w:val="22"/>
          <w:szCs w:val="22"/>
        </w:rPr>
      </w:pPr>
      <w:r>
        <w:rPr>
          <w:rFonts w:ascii="Times New Roman" w:hAnsi="Times New Roman" w:cs="Times New Roman"/>
          <w:sz w:val="22"/>
          <w:szCs w:val="22"/>
        </w:rPr>
        <w:t>Low level</w:t>
      </w:r>
      <w:r>
        <w:rPr>
          <w:rFonts w:ascii="Times New Roman" w:hAnsi="Times New Roman" w:cs="Times New Roman"/>
          <w:sz w:val="22"/>
          <w:szCs w:val="22"/>
        </w:rPr>
        <w:tab/>
      </w:r>
      <w:r>
        <w:rPr>
          <w:rFonts w:ascii="Times New Roman" w:hAnsi="Times New Roman" w:cs="Times New Roman"/>
          <w:sz w:val="22"/>
          <w:szCs w:val="22"/>
        </w:rPr>
        <w:tab/>
        <w:t>12(92.3)</w:t>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1(7.7)</w:t>
      </w:r>
      <w:r>
        <w:rPr>
          <w:rFonts w:ascii="Times New Roman" w:hAnsi="Times New Roman" w:cs="Times New Roman"/>
          <w:sz w:val="22"/>
          <w:szCs w:val="22"/>
        </w:rPr>
        <w:tab/>
      </w:r>
      <w:r>
        <w:rPr>
          <w:rFonts w:ascii="Times New Roman" w:hAnsi="Times New Roman" w:cs="Times New Roman"/>
          <w:sz w:val="22"/>
          <w:szCs w:val="22"/>
        </w:rPr>
        <w:tab/>
        <w:t xml:space="preserve">      13(100)</w:t>
      </w:r>
    </w:p>
    <w:p w:rsidR="0057282D" w:rsidRDefault="00D42155">
      <w:pPr>
        <w:rPr>
          <w:rFonts w:ascii="Times New Roman" w:hAnsi="Times New Roman" w:cs="Times New Roman"/>
          <w:sz w:val="22"/>
          <w:szCs w:val="22"/>
        </w:rPr>
      </w:pPr>
      <w:r>
        <w:rPr>
          <w:rFonts w:ascii="Times New Roman" w:hAnsi="Times New Roman" w:cs="Times New Roman"/>
          <w:sz w:val="22"/>
          <w:szCs w:val="22"/>
        </w:rPr>
        <w:t>Kanamycin</w:t>
      </w:r>
    </w:p>
    <w:p w:rsidR="0057282D" w:rsidRDefault="0057282D">
      <w:pPr>
        <w:rPr>
          <w:rFonts w:ascii="Times New Roman" w:hAnsi="Times New Roman" w:cs="Times New Roman"/>
          <w:sz w:val="22"/>
          <w:szCs w:val="22"/>
        </w:rPr>
      </w:pPr>
    </w:p>
    <w:p w:rsidR="0057282D" w:rsidRDefault="00D42155">
      <w:pPr>
        <w:rPr>
          <w:rFonts w:ascii="Times New Roman" w:hAnsi="Times New Roman" w:cs="Times New Roman"/>
          <w:sz w:val="22"/>
          <w:szCs w:val="22"/>
        </w:rPr>
      </w:pPr>
      <w:r>
        <w:rPr>
          <w:rFonts w:ascii="Times New Roman" w:hAnsi="Times New Roman" w:cs="Times New Roman"/>
          <w:sz w:val="22"/>
          <w:szCs w:val="22"/>
        </w:rPr>
        <w:t>Pre-</w:t>
      </w:r>
      <w:proofErr w:type="spellStart"/>
      <w:r>
        <w:rPr>
          <w:rFonts w:ascii="Times New Roman" w:hAnsi="Times New Roman" w:cs="Times New Roman"/>
          <w:sz w:val="22"/>
          <w:szCs w:val="22"/>
        </w:rPr>
        <w:t>Xtensive</w:t>
      </w:r>
      <w:proofErr w:type="spellEnd"/>
      <w:r>
        <w:rPr>
          <w:rFonts w:ascii="Times New Roman" w:hAnsi="Times New Roman" w:cs="Times New Roman"/>
          <w:sz w:val="22"/>
          <w:szCs w:val="22"/>
        </w:rPr>
        <w:t xml:space="preserve"> Drug </w:t>
      </w:r>
      <w:r>
        <w:rPr>
          <w:rFonts w:ascii="Times New Roman" w:hAnsi="Times New Roman" w:cs="Times New Roman"/>
          <w:sz w:val="22"/>
          <w:szCs w:val="22"/>
        </w:rPr>
        <w:tab/>
        <w:t>7(77.8)</w:t>
      </w:r>
      <w:r>
        <w:rPr>
          <w:rFonts w:ascii="Times New Roman" w:hAnsi="Times New Roman" w:cs="Times New Roman"/>
          <w:sz w:val="22"/>
          <w:szCs w:val="22"/>
        </w:rPr>
        <w:tab/>
      </w:r>
      <w:r>
        <w:rPr>
          <w:rFonts w:ascii="Times New Roman" w:hAnsi="Times New Roman" w:cs="Times New Roman"/>
          <w:sz w:val="22"/>
          <w:szCs w:val="22"/>
        </w:rPr>
        <w:tab/>
        <w:t>2(22.2)</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 xml:space="preserve">      09(100)</w:t>
      </w:r>
    </w:p>
    <w:p w:rsidR="0057282D" w:rsidRDefault="00D42155">
      <w:pPr>
        <w:rPr>
          <w:rFonts w:ascii="Times New Roman" w:hAnsi="Times New Roman" w:cs="Times New Roman"/>
          <w:sz w:val="22"/>
          <w:szCs w:val="22"/>
        </w:rPr>
      </w:pPr>
      <w:r>
        <w:rPr>
          <w:rFonts w:ascii="Times New Roman" w:hAnsi="Times New Roman" w:cs="Times New Roman"/>
          <w:sz w:val="22"/>
          <w:szCs w:val="22"/>
        </w:rPr>
        <w:t>Resistance</w:t>
      </w:r>
    </w:p>
    <w:p w:rsidR="0057282D" w:rsidRDefault="0057282D">
      <w:pPr>
        <w:rPr>
          <w:rFonts w:ascii="Times New Roman" w:hAnsi="Times New Roman" w:cs="Times New Roman"/>
          <w:sz w:val="22"/>
          <w:szCs w:val="22"/>
        </w:rPr>
      </w:pPr>
    </w:p>
    <w:p w:rsidR="0057282D" w:rsidRDefault="00D42155">
      <w:pPr>
        <w:rPr>
          <w:rFonts w:ascii="Times New Roman" w:hAnsi="Times New Roman" w:cs="Times New Roman"/>
          <w:sz w:val="22"/>
          <w:szCs w:val="22"/>
        </w:rPr>
      </w:pPr>
      <w:r>
        <w:rPr>
          <w:rFonts w:ascii="Times New Roman" w:hAnsi="Times New Roman" w:cs="Times New Roman"/>
          <w:sz w:val="22"/>
          <w:szCs w:val="22"/>
        </w:rPr>
        <w:t xml:space="preserve">Extensive Drug </w:t>
      </w:r>
      <w:r>
        <w:rPr>
          <w:rFonts w:ascii="Times New Roman" w:hAnsi="Times New Roman" w:cs="Times New Roman"/>
          <w:sz w:val="22"/>
          <w:szCs w:val="22"/>
        </w:rPr>
        <w:tab/>
      </w:r>
      <w:r>
        <w:rPr>
          <w:rFonts w:ascii="Times New Roman" w:hAnsi="Times New Roman" w:cs="Times New Roman"/>
          <w:sz w:val="22"/>
          <w:szCs w:val="22"/>
        </w:rPr>
        <w:tab/>
        <w:t>1(100)</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 xml:space="preserve">       1(100)</w:t>
      </w:r>
    </w:p>
    <w:p w:rsidR="0057282D" w:rsidRDefault="00D42155">
      <w:pPr>
        <w:rPr>
          <w:rFonts w:ascii="Times New Roman" w:hAnsi="Times New Roman" w:cs="Times New Roman"/>
          <w:sz w:val="22"/>
          <w:szCs w:val="22"/>
        </w:rPr>
      </w:pPr>
      <w:r>
        <w:rPr>
          <w:rFonts w:ascii="Times New Roman" w:hAnsi="Times New Roman" w:cs="Times New Roman"/>
          <w:sz w:val="22"/>
          <w:szCs w:val="22"/>
        </w:rPr>
        <w:t>Resistance</w:t>
      </w:r>
      <w:r>
        <w:rPr>
          <w:rFonts w:ascii="Times New Roman" w:hAnsi="Times New Roman" w:cs="Times New Roman"/>
          <w:sz w:val="22"/>
          <w:szCs w:val="22"/>
        </w:rPr>
        <w:tab/>
      </w:r>
    </w:p>
    <w:p w:rsidR="0057282D" w:rsidRDefault="0057282D">
      <w:pPr>
        <w:rPr>
          <w:rFonts w:ascii="Times New Roman" w:hAnsi="Times New Roman" w:cs="Times New Roman"/>
          <w:sz w:val="22"/>
          <w:szCs w:val="22"/>
        </w:rPr>
      </w:pPr>
    </w:p>
    <w:p w:rsidR="0057282D" w:rsidRDefault="00D42155">
      <w:pPr>
        <w:pBdr>
          <w:bottom w:val="single" w:sz="4" w:space="0" w:color="auto"/>
        </w:pBdr>
        <w:rPr>
          <w:rFonts w:ascii="Times New Roman" w:hAnsi="Times New Roman" w:cs="Times New Roman"/>
          <w:sz w:val="22"/>
          <w:szCs w:val="22"/>
        </w:rPr>
      </w:pPr>
      <w:r>
        <w:rPr>
          <w:rFonts w:ascii="Times New Roman" w:hAnsi="Times New Roman" w:cs="Times New Roman"/>
          <w:b/>
          <w:bCs/>
          <w:sz w:val="22"/>
          <w:szCs w:val="22"/>
        </w:rPr>
        <w:t>Total</w:t>
      </w:r>
      <w:r>
        <w:rPr>
          <w:rFonts w:ascii="Times New Roman" w:hAnsi="Times New Roman" w:cs="Times New Roman"/>
          <w:sz w:val="22"/>
          <w:szCs w:val="22"/>
        </w:rPr>
        <w:tab/>
        <w:t xml:space="preserve">      </w:t>
      </w:r>
      <w:r>
        <w:rPr>
          <w:rFonts w:ascii="Times New Roman" w:hAnsi="Times New Roman" w:cs="Times New Roman"/>
          <w:b/>
          <w:bCs/>
          <w:sz w:val="22"/>
          <w:szCs w:val="22"/>
        </w:rPr>
        <w:tab/>
      </w:r>
      <w:r>
        <w:rPr>
          <w:rFonts w:ascii="Times New Roman" w:hAnsi="Times New Roman" w:cs="Times New Roman"/>
          <w:b/>
          <w:bCs/>
          <w:sz w:val="22"/>
          <w:szCs w:val="22"/>
        </w:rPr>
        <w:tab/>
        <w:t>56(77.8)</w:t>
      </w:r>
      <w:r>
        <w:rPr>
          <w:rFonts w:ascii="Times New Roman" w:hAnsi="Times New Roman" w:cs="Times New Roman"/>
          <w:b/>
          <w:bCs/>
          <w:sz w:val="22"/>
          <w:szCs w:val="22"/>
        </w:rPr>
        <w:tab/>
        <w:t>9(12.5)</w:t>
      </w:r>
      <w:r>
        <w:rPr>
          <w:rFonts w:ascii="Times New Roman" w:hAnsi="Times New Roman" w:cs="Times New Roman"/>
          <w:b/>
          <w:bCs/>
          <w:sz w:val="22"/>
          <w:szCs w:val="22"/>
        </w:rPr>
        <w:tab/>
      </w:r>
      <w:r>
        <w:rPr>
          <w:rFonts w:ascii="Times New Roman" w:hAnsi="Times New Roman" w:cs="Times New Roman"/>
          <w:b/>
          <w:bCs/>
          <w:sz w:val="22"/>
          <w:szCs w:val="22"/>
        </w:rPr>
        <w:tab/>
        <w:t>7(9.7)</w:t>
      </w:r>
      <w:r>
        <w:rPr>
          <w:rFonts w:ascii="Times New Roman" w:hAnsi="Times New Roman" w:cs="Times New Roman"/>
          <w:b/>
          <w:bCs/>
          <w:sz w:val="22"/>
          <w:szCs w:val="22"/>
        </w:rPr>
        <w:tab/>
      </w:r>
      <w:r>
        <w:rPr>
          <w:rFonts w:ascii="Times New Roman" w:hAnsi="Times New Roman" w:cs="Times New Roman"/>
          <w:b/>
          <w:bCs/>
          <w:sz w:val="22"/>
          <w:szCs w:val="22"/>
        </w:rPr>
        <w:tab/>
        <w:t xml:space="preserve">      72(100)</w:t>
      </w:r>
    </w:p>
    <w:p w:rsidR="0057282D" w:rsidRDefault="0057282D">
      <w:pPr>
        <w:pBdr>
          <w:bottom w:val="single" w:sz="4" w:space="0" w:color="auto"/>
        </w:pBdr>
        <w:rPr>
          <w:rFonts w:ascii="Times New Roman" w:hAnsi="Times New Roman" w:cs="Times New Roman"/>
          <w:b/>
          <w:bCs/>
          <w:sz w:val="22"/>
          <w:szCs w:val="22"/>
        </w:rPr>
      </w:pPr>
    </w:p>
    <w:p w:rsidR="0057282D" w:rsidRDefault="0057282D">
      <w:pPr>
        <w:jc w:val="both"/>
        <w:outlineLvl w:val="3"/>
        <w:rPr>
          <w:rFonts w:ascii="Times New Roman" w:eastAsia="Times New Roman" w:hAnsi="Times New Roman"/>
          <w:sz w:val="24"/>
          <w:szCs w:val="24"/>
        </w:rPr>
      </w:pPr>
    </w:p>
    <w:p w:rsidR="0057282D" w:rsidRDefault="0057282D">
      <w:pPr>
        <w:jc w:val="both"/>
        <w:rPr>
          <w:rFonts w:ascii="Times New Roman" w:hAnsi="Times New Roman" w:cs="Times New Roman"/>
          <w:sz w:val="24"/>
          <w:szCs w:val="24"/>
        </w:rPr>
      </w:pPr>
    </w:p>
    <w:p w:rsidR="0057282D" w:rsidRDefault="0057282D">
      <w:pPr>
        <w:spacing w:line="480" w:lineRule="auto"/>
        <w:jc w:val="both"/>
        <w:rPr>
          <w:rFonts w:ascii="Times New Roman" w:eastAsia="Times New Roman" w:hAnsi="Times New Roman" w:cs="Times New Roman"/>
          <w:sz w:val="4"/>
          <w:szCs w:val="4"/>
          <w:lang w:bidi="ar"/>
        </w:rPr>
      </w:pPr>
    </w:p>
    <w:p w:rsidR="0057282D" w:rsidRDefault="00D42155">
      <w:pPr>
        <w:jc w:val="both"/>
        <w:rPr>
          <w:rFonts w:ascii="Times New Roman" w:eastAsia="Times New Roman" w:hAnsi="Times New Roman" w:cs="Times New Roman"/>
          <w:sz w:val="24"/>
          <w:szCs w:val="24"/>
          <w:lang w:bidi="ar"/>
        </w:rPr>
      </w:pPr>
      <w:r>
        <w:rPr>
          <w:rFonts w:ascii="Times New Roman" w:eastAsia="Times New Roman" w:hAnsi="Times New Roman" w:cs="Times New Roman"/>
          <w:b/>
          <w:bCs/>
          <w:sz w:val="24"/>
          <w:szCs w:val="24"/>
          <w:lang w:bidi="ar"/>
        </w:rPr>
        <w:t>Fig 1</w:t>
      </w:r>
      <w:r>
        <w:rPr>
          <w:rFonts w:ascii="Times New Roman" w:eastAsia="Times New Roman" w:hAnsi="Times New Roman" w:cs="Times New Roman"/>
          <w:sz w:val="24"/>
          <w:szCs w:val="24"/>
          <w:lang w:bidi="ar"/>
        </w:rPr>
        <w:t xml:space="preserve"> Summarizes the wild-</w:t>
      </w:r>
      <w:proofErr w:type="gramStart"/>
      <w:r>
        <w:rPr>
          <w:rFonts w:ascii="Times New Roman" w:eastAsia="Times New Roman" w:hAnsi="Times New Roman" w:cs="Times New Roman"/>
          <w:sz w:val="24"/>
          <w:szCs w:val="24"/>
          <w:lang w:bidi="ar"/>
        </w:rPr>
        <w:t>type(</w:t>
      </w:r>
      <w:proofErr w:type="gramEnd"/>
      <w:r>
        <w:rPr>
          <w:rFonts w:ascii="Times New Roman" w:eastAsia="Times New Roman" w:hAnsi="Times New Roman" w:cs="Times New Roman"/>
          <w:sz w:val="24"/>
          <w:szCs w:val="24"/>
          <w:lang w:bidi="ar"/>
        </w:rPr>
        <w:t xml:space="preserve">WT) and mutation profile of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associated with resistance to rifampicin.  For the mutation analysis, 94 out of 150 samples (63.3%) had no mutations 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indicating they were susceptible to rifampicin.  However, 36.7% showed </w:t>
      </w:r>
      <w:proofErr w:type="gramStart"/>
      <w:r>
        <w:rPr>
          <w:rFonts w:ascii="Times New Roman" w:eastAsia="Times New Roman" w:hAnsi="Times New Roman" w:cs="Times New Roman"/>
          <w:sz w:val="24"/>
          <w:szCs w:val="24"/>
          <w:lang w:bidi="ar"/>
        </w:rPr>
        <w:t>mutations  which</w:t>
      </w:r>
      <w:proofErr w:type="gramEnd"/>
      <w:r>
        <w:rPr>
          <w:rFonts w:ascii="Times New Roman" w:eastAsia="Times New Roman" w:hAnsi="Times New Roman" w:cs="Times New Roman"/>
          <w:sz w:val="24"/>
          <w:szCs w:val="24"/>
          <w:lang w:bidi="ar"/>
        </w:rPr>
        <w:t xml:space="preserve"> are associated with rifampicin resistance. Also,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(Isoniazid Resistance). Wild-type analysis shows that 104 samples (69.3%) had all WT codons, indicating susceptibility to isoniazid, while 46 samples (30.7%) had missing WT codons hence mutation, suggesting resistance</w:t>
      </w:r>
    </w:p>
    <w:p w:rsidR="0057282D" w:rsidRDefault="00D42155">
      <w:pPr>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Furthermore, a detailed account of the mutation patterns identified in the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gene is known to confer resistance to isoniazid. No Mutation was found in 105 isolates (70%), reflecting a majority that retained the wild-type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sequence, while 30% had a missing wildtype. This suggests that these parts of the gene may be involved in resistance. </w:t>
      </w:r>
    </w:p>
    <w:p w:rsidR="0057282D" w:rsidRDefault="00D42155">
      <w:pPr>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The frequencies and patterns of mutations in the genes </w:t>
      </w:r>
      <w:proofErr w:type="spellStart"/>
      <w:r>
        <w:rPr>
          <w:rFonts w:ascii="Times New Roman" w:eastAsia="Times New Roman" w:hAnsi="Times New Roman" w:cs="Times New Roman"/>
          <w:sz w:val="24"/>
          <w:szCs w:val="24"/>
          <w:lang w:bidi="ar"/>
        </w:rPr>
        <w:t>gyrA</w:t>
      </w:r>
      <w:proofErr w:type="spellEnd"/>
      <w:r>
        <w:rPr>
          <w:rFonts w:ascii="Times New Roman" w:eastAsia="Times New Roman" w:hAnsi="Times New Roman" w:cs="Times New Roman"/>
          <w:sz w:val="24"/>
          <w:szCs w:val="24"/>
          <w:lang w:bidi="ar"/>
        </w:rPr>
        <w:t xml:space="preserve"> and </w:t>
      </w:r>
      <w:proofErr w:type="spellStart"/>
      <w:r>
        <w:rPr>
          <w:rFonts w:ascii="Times New Roman" w:eastAsia="Times New Roman" w:hAnsi="Times New Roman" w:cs="Times New Roman"/>
          <w:sz w:val="24"/>
          <w:szCs w:val="24"/>
          <w:lang w:bidi="ar"/>
        </w:rPr>
        <w:t>gyrB</w:t>
      </w:r>
      <w:proofErr w:type="spellEnd"/>
      <w:r>
        <w:rPr>
          <w:rFonts w:ascii="Times New Roman" w:eastAsia="Times New Roman" w:hAnsi="Times New Roman" w:cs="Times New Roman"/>
          <w:sz w:val="24"/>
          <w:szCs w:val="24"/>
          <w:lang w:bidi="ar"/>
        </w:rPr>
        <w:t xml:space="preserve"> of the Mycobacterium tuberculosis complex associated with the resistance to </w:t>
      </w:r>
      <w:proofErr w:type="spellStart"/>
      <w:r>
        <w:rPr>
          <w:rFonts w:ascii="Times New Roman" w:eastAsia="Times New Roman" w:hAnsi="Times New Roman" w:cs="Times New Roman"/>
          <w:sz w:val="24"/>
          <w:szCs w:val="24"/>
          <w:lang w:bidi="ar"/>
        </w:rPr>
        <w:t>flouroquinolonones.Mutation</w:t>
      </w:r>
      <w:proofErr w:type="spellEnd"/>
      <w:r>
        <w:rPr>
          <w:rFonts w:ascii="Times New Roman" w:eastAsia="Times New Roman" w:hAnsi="Times New Roman" w:cs="Times New Roman"/>
          <w:sz w:val="24"/>
          <w:szCs w:val="24"/>
          <w:lang w:bidi="ar"/>
        </w:rPr>
        <w:t xml:space="preserve"> analysis shows that 45 samples (66.2%) had no mutations. The most frequent mutations showed 30% which </w:t>
      </w:r>
      <w:proofErr w:type="gramStart"/>
      <w:r>
        <w:rPr>
          <w:rFonts w:ascii="Times New Roman" w:eastAsia="Times New Roman" w:hAnsi="Times New Roman" w:cs="Times New Roman"/>
          <w:sz w:val="24"/>
          <w:szCs w:val="24"/>
          <w:lang w:bidi="ar"/>
        </w:rPr>
        <w:t>indicate  fluoroquinolones</w:t>
      </w:r>
      <w:proofErr w:type="gramEnd"/>
      <w:r>
        <w:rPr>
          <w:rFonts w:ascii="Times New Roman" w:eastAsia="Times New Roman" w:hAnsi="Times New Roman" w:cs="Times New Roman"/>
          <w:sz w:val="24"/>
          <w:szCs w:val="24"/>
          <w:lang w:bidi="ar"/>
        </w:rPr>
        <w:t xml:space="preserve"> resistance. For the (</w:t>
      </w:r>
      <w:proofErr w:type="spellStart"/>
      <w:r>
        <w:rPr>
          <w:rFonts w:ascii="Times New Roman" w:eastAsia="Times New Roman" w:hAnsi="Times New Roman" w:cs="Times New Roman"/>
          <w:sz w:val="24"/>
          <w:szCs w:val="24"/>
          <w:lang w:bidi="ar"/>
        </w:rPr>
        <w:t>gyrB</w:t>
      </w:r>
      <w:proofErr w:type="spellEnd"/>
      <w:r>
        <w:rPr>
          <w:rFonts w:ascii="Times New Roman" w:eastAsia="Times New Roman" w:hAnsi="Times New Roman" w:cs="Times New Roman"/>
          <w:sz w:val="24"/>
          <w:szCs w:val="24"/>
          <w:lang w:bidi="ar"/>
        </w:rPr>
        <w:t xml:space="preserve">) Gene, 67.6% of the samples retained all WT codons, indicating susceptibility, while 32.4% had missing WT codons, suggesting resistance. The results for </w:t>
      </w:r>
      <w:proofErr w:type="spellStart"/>
      <w:r>
        <w:rPr>
          <w:rFonts w:ascii="Times New Roman" w:eastAsia="Times New Roman" w:hAnsi="Times New Roman" w:cs="Times New Roman"/>
          <w:sz w:val="24"/>
          <w:szCs w:val="24"/>
          <w:lang w:bidi="ar"/>
        </w:rPr>
        <w:t>rrs</w:t>
      </w:r>
      <w:proofErr w:type="spellEnd"/>
      <w:r>
        <w:rPr>
          <w:rFonts w:ascii="Times New Roman" w:eastAsia="Times New Roman" w:hAnsi="Times New Roman" w:cs="Times New Roman"/>
          <w:sz w:val="24"/>
          <w:szCs w:val="24"/>
          <w:lang w:bidi="ar"/>
        </w:rPr>
        <w:t xml:space="preserve"> gene (Low-Level Kanamycin Resistance) which revealed that 49 samples (72.1%) had all WT codons, suggesting susceptibility to low-level kanamycin, while Mutation Analysis indicate that 27.9% samples had mutation  suggesting resistance to aminoglycosides like kanamycin.</w:t>
      </w:r>
    </w:p>
    <w:p w:rsidR="0057282D" w:rsidRDefault="0057282D">
      <w:pPr>
        <w:jc w:val="both"/>
        <w:rPr>
          <w:rFonts w:ascii="Times New Roman" w:eastAsia="Times New Roman" w:hAnsi="Times New Roman" w:cs="Times New Roman"/>
          <w:sz w:val="24"/>
          <w:szCs w:val="24"/>
          <w:lang w:bidi="ar"/>
        </w:rPr>
      </w:pPr>
    </w:p>
    <w:p w:rsidR="0057282D" w:rsidRDefault="00D42155">
      <w:pPr>
        <w:ind w:left="1100" w:hangingChars="550" w:hanging="1100"/>
      </w:pPr>
      <w:r>
        <w:rPr>
          <w:noProof/>
          <w:lang w:eastAsia="en-US"/>
        </w:rPr>
        <w:lastRenderedPageBreak/>
        <w:drawing>
          <wp:inline distT="0" distB="0" distL="114300" distR="114300">
            <wp:extent cx="5597525" cy="2597785"/>
            <wp:effectExtent l="0" t="0" r="0" b="0"/>
            <wp:docPr id="60"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p>
    <w:p w:rsidR="0057282D" w:rsidRDefault="0057282D">
      <w:pPr>
        <w:ind w:leftChars="359" w:left="1518" w:hangingChars="400" w:hanging="800"/>
      </w:pPr>
    </w:p>
    <w:p w:rsidR="0057282D" w:rsidRDefault="0057282D">
      <w:pPr>
        <w:ind w:leftChars="359" w:left="1518" w:hangingChars="400" w:hanging="800"/>
      </w:pPr>
    </w:p>
    <w:p w:rsidR="0057282D" w:rsidRDefault="00D42155">
      <w:pPr>
        <w:ind w:leftChars="478" w:left="1796" w:hangingChars="350" w:hanging="840"/>
        <w:rPr>
          <w:rFonts w:ascii="Times New Roman" w:hAnsi="Times New Roman" w:cs="Times New Roman"/>
          <w:sz w:val="24"/>
          <w:szCs w:val="24"/>
        </w:rPr>
      </w:pPr>
      <w:r>
        <w:rPr>
          <w:rFonts w:ascii="Times New Roman" w:hAnsi="Times New Roman" w:cs="Times New Roman"/>
          <w:b/>
          <w:bCs/>
          <w:sz w:val="24"/>
          <w:szCs w:val="24"/>
        </w:rPr>
        <w:t>Fig 1</w:t>
      </w:r>
      <w:r>
        <w:rPr>
          <w:rFonts w:ascii="Times New Roman" w:hAnsi="Times New Roman" w:cs="Times New Roman"/>
          <w:sz w:val="24"/>
          <w:szCs w:val="24"/>
        </w:rPr>
        <w:t xml:space="preserve">: Over all frequency of mutation in the first line and second line antibiotics resistance </w:t>
      </w:r>
    </w:p>
    <w:p w:rsidR="0057282D" w:rsidRDefault="00D42155">
      <w:pPr>
        <w:ind w:firstLineChars="550" w:firstLine="1320"/>
        <w:rPr>
          <w:rFonts w:ascii="Times New Roman" w:hAnsi="Times New Roman" w:cs="Times New Roman"/>
          <w:sz w:val="24"/>
          <w:szCs w:val="24"/>
        </w:rPr>
      </w:pPr>
      <w:r>
        <w:rPr>
          <w:rFonts w:ascii="Times New Roman" w:hAnsi="Times New Roman" w:cs="Times New Roman"/>
          <w:sz w:val="24"/>
          <w:szCs w:val="24"/>
        </w:rPr>
        <w:t>Genes</w:t>
      </w:r>
    </w:p>
    <w:p w:rsidR="0057282D" w:rsidRDefault="00D42155">
      <w:pPr>
        <w:jc w:val="both"/>
        <w:rPr>
          <w:rFonts w:ascii="Times New Roman" w:hAnsi="Times New Roman" w:cs="Times New Roman"/>
          <w:sz w:val="24"/>
          <w:szCs w:val="24"/>
        </w:rPr>
      </w:pPr>
      <w:r>
        <w:rPr>
          <w:rFonts w:ascii="Times New Roman" w:eastAsia="Times New Roman" w:hAnsi="Times New Roman" w:cs="Times New Roman"/>
          <w:b/>
          <w:bCs/>
          <w:sz w:val="24"/>
          <w:szCs w:val="24"/>
          <w:lang w:bidi="ar"/>
        </w:rPr>
        <w:t>Fig</w:t>
      </w:r>
      <w:r w:rsidR="003E7069">
        <w:rPr>
          <w:rFonts w:ascii="Times New Roman" w:eastAsia="Times New Roman" w:hAnsi="Times New Roman" w:cs="Times New Roman"/>
          <w:b/>
          <w:bCs/>
          <w:sz w:val="24"/>
          <w:szCs w:val="24"/>
          <w:lang w:bidi="ar"/>
        </w:rPr>
        <w:t xml:space="preserve"> </w:t>
      </w:r>
      <w:r>
        <w:rPr>
          <w:rFonts w:ascii="Times New Roman" w:eastAsia="Times New Roman" w:hAnsi="Times New Roman" w:cs="Times New Roman"/>
          <w:b/>
          <w:bCs/>
          <w:sz w:val="24"/>
          <w:szCs w:val="24"/>
          <w:lang w:bidi="ar"/>
        </w:rPr>
        <w:t xml:space="preserve">2 </w:t>
      </w:r>
      <w:r>
        <w:rPr>
          <w:rFonts w:ascii="Times New Roman" w:eastAsia="Times New Roman" w:hAnsi="Times New Roman" w:cs="Times New Roman"/>
          <w:sz w:val="24"/>
          <w:szCs w:val="24"/>
          <w:lang w:bidi="ar"/>
        </w:rPr>
        <w:t xml:space="preserve">Revealed that there are various mutations identified within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For </w:t>
      </w:r>
      <w:proofErr w:type="spellStart"/>
      <w:proofErr w:type="gramStart"/>
      <w:r>
        <w:rPr>
          <w:rFonts w:ascii="Times New Roman" w:eastAsia="Times New Roman" w:hAnsi="Times New Roman" w:cs="Times New Roman"/>
          <w:sz w:val="24"/>
          <w:szCs w:val="24"/>
          <w:lang w:bidi="ar"/>
        </w:rPr>
        <w:t>example,mutation</w:t>
      </w:r>
      <w:proofErr w:type="spellEnd"/>
      <w:proofErr w:type="gramEnd"/>
      <w:r>
        <w:rPr>
          <w:rFonts w:ascii="Times New Roman" w:eastAsia="Times New Roman" w:hAnsi="Times New Roman" w:cs="Times New Roman"/>
          <w:sz w:val="24"/>
          <w:szCs w:val="24"/>
          <w:lang w:bidi="ar"/>
        </w:rPr>
        <w:t xml:space="preserve"> appears at a higher rate in BSUTH (13.8%) and St Vincent (17%). The p-value for the mutation types 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is 0.009, which is statistically significant, suggesting a significant difference in mutation types across the different locations. Mutations in the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which is involved in the activation of isoniazid, another first-line anti-TB drug.  The percentage of samples missing the wild-type gene shows variation among locations. BSUTH has the highest prevalence rate of mutation rate at 15.4%, followed by Lafia 14.4%. Chi-Square (χ²) test results indicate that there is a statistically significant difference (p-value = 0.199) in mutation rates among the locations, especially in the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A large proportion of samples had mutations in the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gene, with Lafia showing 16.7%, BSUTH 15.7%. T</w:t>
      </w:r>
      <w:r>
        <w:rPr>
          <w:rFonts w:ascii="Times New Roman" w:hAnsi="Times New Roman" w:cs="Times New Roman"/>
          <w:sz w:val="24"/>
          <w:szCs w:val="24"/>
        </w:rPr>
        <w:t xml:space="preserve">he association between location and drug resistance is not statistically </w:t>
      </w:r>
      <w:proofErr w:type="gramStart"/>
      <w:r>
        <w:rPr>
          <w:rFonts w:ascii="Times New Roman" w:hAnsi="Times New Roman" w:cs="Times New Roman"/>
          <w:sz w:val="24"/>
          <w:szCs w:val="24"/>
        </w:rPr>
        <w:t>significant.(</w:t>
      </w:r>
      <w:proofErr w:type="gramEnd"/>
      <w:r>
        <w:rPr>
          <w:rFonts w:ascii="Times New Roman" w:hAnsi="Times New Roman" w:cs="Times New Roman"/>
          <w:sz w:val="22"/>
          <w:szCs w:val="22"/>
        </w:rPr>
        <w:t xml:space="preserve"> </w:t>
      </w:r>
      <w:r>
        <w:rPr>
          <w:rFonts w:ascii="Times New Roman" w:eastAsia="Times New Roman" w:hAnsi="Times New Roman" w:cs="Times New Roman"/>
          <w:color w:val="000000"/>
          <w:sz w:val="22"/>
          <w:szCs w:val="22"/>
          <w:lang w:bidi="ar"/>
        </w:rPr>
        <w:t xml:space="preserve">χ²  = </w:t>
      </w:r>
      <w:r>
        <w:rPr>
          <w:rFonts w:ascii="Times New Roman" w:eastAsia="Times New Roman" w:hAnsi="Times New Roman" w:cs="Times New Roman"/>
          <w:color w:val="000000"/>
          <w:sz w:val="24"/>
          <w:szCs w:val="24"/>
          <w:lang w:bidi="ar"/>
        </w:rPr>
        <w:t xml:space="preserve">15.737 df= 12, </w:t>
      </w:r>
      <w:r>
        <w:rPr>
          <w:rFonts w:ascii="Times New Roman" w:hAnsi="Times New Roman" w:cs="Times New Roman"/>
          <w:sz w:val="24"/>
          <w:szCs w:val="24"/>
        </w:rPr>
        <w:t xml:space="preserve">p= 0.204). The missing of wild-type codons in the </w:t>
      </w:r>
      <w:proofErr w:type="spellStart"/>
      <w:r>
        <w:rPr>
          <w:rFonts w:ascii="Times New Roman" w:hAnsi="Times New Roman" w:cs="Times New Roman"/>
          <w:sz w:val="24"/>
          <w:szCs w:val="24"/>
        </w:rPr>
        <w:t>gyrA</w:t>
      </w:r>
      <w:proofErr w:type="spellEnd"/>
      <w:r>
        <w:rPr>
          <w:rFonts w:ascii="Times New Roman" w:hAnsi="Times New Roman" w:cs="Times New Roman"/>
          <w:sz w:val="24"/>
          <w:szCs w:val="24"/>
        </w:rPr>
        <w:t xml:space="preserve"> gene (6.7% in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15.6% in Lafia, 11.1% in St. Vincent, and 17.8% in BSUTH) suggests that the majority of these samples have the typical sequence, which is resistance to fluoroquinolones.</w:t>
      </w:r>
    </w:p>
    <w:p w:rsidR="0057282D" w:rsidRDefault="0057282D">
      <w:pPr>
        <w:jc w:val="both"/>
        <w:rPr>
          <w:rFonts w:ascii="Times New Roman" w:hAnsi="Times New Roman" w:cs="Times New Roman"/>
          <w:sz w:val="24"/>
          <w:szCs w:val="24"/>
        </w:rPr>
      </w:pPr>
    </w:p>
    <w:p w:rsidR="0057282D" w:rsidRDefault="00D42155">
      <w:pPr>
        <w:jc w:val="both"/>
      </w:pPr>
      <w:r>
        <w:rPr>
          <w:noProof/>
          <w:lang w:eastAsia="en-US"/>
        </w:rPr>
        <w:lastRenderedPageBreak/>
        <w:drawing>
          <wp:inline distT="0" distB="0" distL="114300" distR="114300">
            <wp:extent cx="6182995" cy="3737610"/>
            <wp:effectExtent l="0" t="0" r="0" b="0"/>
            <wp:docPr id="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282D" w:rsidRDefault="0057282D">
      <w:pPr>
        <w:jc w:val="both"/>
      </w:pPr>
    </w:p>
    <w:p w:rsidR="0057282D" w:rsidRDefault="00D42155">
      <w:pPr>
        <w:spacing w:line="360" w:lineRule="auto"/>
        <w:ind w:firstLine="720"/>
        <w:jc w:val="both"/>
        <w:rPr>
          <w:rFonts w:ascii="Times New Roman" w:hAnsi="Times New Roman"/>
          <w:sz w:val="24"/>
          <w:szCs w:val="24"/>
        </w:rPr>
      </w:pPr>
      <w:r>
        <w:rPr>
          <w:rFonts w:ascii="Times New Roman" w:hAnsi="Times New Roman"/>
          <w:b/>
          <w:bCs/>
          <w:sz w:val="24"/>
          <w:szCs w:val="24"/>
        </w:rPr>
        <w:t xml:space="preserve">Fig. 2: </w:t>
      </w:r>
      <w:r>
        <w:rPr>
          <w:rFonts w:ascii="Times New Roman" w:hAnsi="Times New Roman"/>
          <w:sz w:val="24"/>
          <w:szCs w:val="24"/>
        </w:rPr>
        <w:t xml:space="preserve">Frequency of </w:t>
      </w:r>
      <w:proofErr w:type="gramStart"/>
      <w:r>
        <w:rPr>
          <w:rFonts w:ascii="Times New Roman" w:hAnsi="Times New Roman"/>
          <w:sz w:val="24"/>
          <w:szCs w:val="24"/>
        </w:rPr>
        <w:t>mutation  in</w:t>
      </w:r>
      <w:proofErr w:type="gramEnd"/>
      <w:r>
        <w:rPr>
          <w:rFonts w:ascii="Times New Roman" w:hAnsi="Times New Roman"/>
          <w:sz w:val="24"/>
          <w:szCs w:val="24"/>
        </w:rPr>
        <w:t xml:space="preserve"> the antibiotics resistance genes based on location</w:t>
      </w:r>
    </w:p>
    <w:p w:rsidR="0057282D" w:rsidRDefault="0057282D">
      <w:pPr>
        <w:spacing w:line="360" w:lineRule="auto"/>
        <w:ind w:firstLine="720"/>
        <w:jc w:val="both"/>
        <w:rPr>
          <w:rFonts w:ascii="Times New Roman" w:hAnsi="Times New Roman"/>
          <w:sz w:val="24"/>
          <w:szCs w:val="24"/>
        </w:rPr>
      </w:pPr>
    </w:p>
    <w:p w:rsidR="0057282D" w:rsidRDefault="0057282D">
      <w:pPr>
        <w:spacing w:line="360" w:lineRule="auto"/>
        <w:ind w:firstLine="720"/>
        <w:jc w:val="both"/>
        <w:rPr>
          <w:rFonts w:ascii="Times New Roman" w:hAnsi="Times New Roman"/>
          <w:sz w:val="2"/>
          <w:szCs w:val="2"/>
        </w:rPr>
      </w:pPr>
    </w:p>
    <w:p w:rsidR="0057282D" w:rsidRDefault="00D42155">
      <w:pPr>
        <w:jc w:val="both"/>
        <w:outlineLvl w:val="3"/>
        <w:rPr>
          <w:rFonts w:ascii="Times New Roman" w:eastAsia="Times New Roman" w:hAnsi="Times New Roman" w:cs="Times New Roman"/>
          <w:sz w:val="24"/>
          <w:szCs w:val="24"/>
        </w:rPr>
      </w:pPr>
      <w:r>
        <w:rPr>
          <w:rFonts w:ascii="Times New Roman" w:eastAsia="Times New Roman" w:hAnsi="Times New Roman"/>
          <w:b/>
          <w:bCs/>
          <w:sz w:val="24"/>
          <w:szCs w:val="24"/>
        </w:rPr>
        <w:t>Fig. 3</w:t>
      </w:r>
      <w:r>
        <w:rPr>
          <w:rFonts w:ascii="Times New Roman" w:eastAsia="Times New Roman" w:hAnsi="Times New Roman"/>
          <w:sz w:val="24"/>
          <w:szCs w:val="24"/>
        </w:rPr>
        <w:t xml:space="preserve"> Show the</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frequency of mutations in the antibiotics resistance genes based on the genes, </w:t>
      </w:r>
      <w:r>
        <w:rPr>
          <w:rFonts w:ascii="Times New Roman" w:eastAsia="Times New Roman" w:hAnsi="Times New Roman" w:cs="Times New Roman"/>
          <w:sz w:val="24"/>
          <w:szCs w:val="24"/>
        </w:rPr>
        <w:t xml:space="preserve"> However, the most common mutations were MUT1 (4.7%) for </w:t>
      </w:r>
      <w:proofErr w:type="spellStart"/>
      <w:r>
        <w:rPr>
          <w:rFonts w:ascii="Times New Roman" w:eastAsia="Times New Roman" w:hAnsi="Times New Roman" w:cs="Times New Roman"/>
          <w:sz w:val="24"/>
          <w:szCs w:val="24"/>
        </w:rPr>
        <w:t>rpoB</w:t>
      </w:r>
      <w:proofErr w:type="spellEnd"/>
      <w:r>
        <w:rPr>
          <w:rFonts w:ascii="Times New Roman" w:eastAsia="Times New Roman" w:hAnsi="Times New Roman" w:cs="Times New Roman"/>
          <w:sz w:val="24"/>
          <w:szCs w:val="24"/>
        </w:rPr>
        <w:t xml:space="preserve"> gene associated with rifampicin resistance  (16.7%) for </w:t>
      </w:r>
      <w:proofErr w:type="spellStart"/>
      <w:r>
        <w:rPr>
          <w:rFonts w:ascii="Times New Roman" w:eastAsia="Times New Roman" w:hAnsi="Times New Roman" w:cs="Times New Roman"/>
          <w:sz w:val="24"/>
          <w:szCs w:val="24"/>
        </w:rPr>
        <w:t>KatG</w:t>
      </w:r>
      <w:proofErr w:type="spellEnd"/>
      <w:r>
        <w:rPr>
          <w:rFonts w:ascii="Times New Roman" w:eastAsia="Times New Roman" w:hAnsi="Times New Roman" w:cs="Times New Roman"/>
          <w:sz w:val="24"/>
          <w:szCs w:val="24"/>
        </w:rPr>
        <w:t xml:space="preserve"> gene associated with Isoniazid resistance (10%) for </w:t>
      </w:r>
      <w:proofErr w:type="spellStart"/>
      <w:r>
        <w:rPr>
          <w:rFonts w:ascii="Times New Roman" w:eastAsia="Times New Roman" w:hAnsi="Times New Roman" w:cs="Times New Roman"/>
          <w:sz w:val="24"/>
          <w:szCs w:val="24"/>
        </w:rPr>
        <w:t>inhA</w:t>
      </w:r>
      <w:proofErr w:type="spellEnd"/>
      <w:r>
        <w:rPr>
          <w:rFonts w:ascii="Times New Roman" w:eastAsia="Times New Roman" w:hAnsi="Times New Roman" w:cs="Times New Roman"/>
          <w:sz w:val="24"/>
          <w:szCs w:val="24"/>
        </w:rPr>
        <w:t xml:space="preserve"> gene associated with Isoniazid resistance, </w:t>
      </w:r>
      <w:proofErr w:type="spellStart"/>
      <w:r>
        <w:rPr>
          <w:rFonts w:ascii="Times New Roman" w:eastAsia="Times New Roman" w:hAnsi="Times New Roman" w:cs="Times New Roman"/>
          <w:sz w:val="24"/>
          <w:szCs w:val="24"/>
        </w:rPr>
        <w:t>gyrA</w:t>
      </w:r>
      <w:proofErr w:type="spellEnd"/>
      <w:r>
        <w:rPr>
          <w:rFonts w:ascii="Times New Roman" w:eastAsia="Times New Roman" w:hAnsi="Times New Roman" w:cs="Times New Roman"/>
          <w:sz w:val="24"/>
          <w:szCs w:val="24"/>
        </w:rPr>
        <w:t xml:space="preserve"> (8.8%) and </w:t>
      </w:r>
      <w:proofErr w:type="spellStart"/>
      <w:r>
        <w:rPr>
          <w:rFonts w:ascii="Times New Roman" w:eastAsia="Times New Roman" w:hAnsi="Times New Roman" w:cs="Times New Roman"/>
          <w:sz w:val="24"/>
          <w:szCs w:val="24"/>
        </w:rPr>
        <w:t>gyrB</w:t>
      </w:r>
      <w:proofErr w:type="spellEnd"/>
      <w:r>
        <w:rPr>
          <w:rFonts w:ascii="Times New Roman" w:eastAsia="Times New Roman" w:hAnsi="Times New Roman" w:cs="Times New Roman"/>
          <w:sz w:val="24"/>
          <w:szCs w:val="24"/>
        </w:rPr>
        <w:t xml:space="preserve"> (16.2%) associated with </w:t>
      </w:r>
      <w:proofErr w:type="spellStart"/>
      <w:r>
        <w:rPr>
          <w:rFonts w:ascii="Times New Roman" w:eastAsia="Times New Roman" w:hAnsi="Times New Roman" w:cs="Times New Roman"/>
          <w:sz w:val="24"/>
          <w:szCs w:val="24"/>
        </w:rPr>
        <w:t>flouroquinolone</w:t>
      </w:r>
      <w:proofErr w:type="spellEnd"/>
      <w:r>
        <w:rPr>
          <w:rFonts w:ascii="Times New Roman" w:eastAsia="Times New Roman" w:hAnsi="Times New Roman" w:cs="Times New Roman"/>
          <w:sz w:val="24"/>
          <w:szCs w:val="24"/>
        </w:rPr>
        <w:t xml:space="preserve"> high and low level resistance (</w:t>
      </w:r>
      <w:proofErr w:type="spellStart"/>
      <w:r>
        <w:rPr>
          <w:rFonts w:ascii="Times New Roman" w:eastAsia="Times New Roman" w:hAnsi="Times New Roman" w:cs="Times New Roman"/>
          <w:sz w:val="24"/>
          <w:szCs w:val="24"/>
        </w:rPr>
        <w:t>Moxifloxacin,Ofloxacin</w:t>
      </w:r>
      <w:proofErr w:type="spellEnd"/>
      <w:r>
        <w:rPr>
          <w:rFonts w:ascii="Times New Roman" w:eastAsia="Times New Roman" w:hAnsi="Times New Roman" w:cs="Times New Roman"/>
          <w:sz w:val="24"/>
          <w:szCs w:val="24"/>
        </w:rPr>
        <w:t xml:space="preserve">, Levofloxacin) </w:t>
      </w:r>
      <w:proofErr w:type="spellStart"/>
      <w:r>
        <w:rPr>
          <w:rFonts w:ascii="Times New Roman" w:eastAsia="Times New Roman" w:hAnsi="Times New Roman" w:cs="Times New Roman"/>
          <w:sz w:val="24"/>
          <w:szCs w:val="24"/>
        </w:rPr>
        <w:t>rrs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eis</w:t>
      </w:r>
      <w:proofErr w:type="spellEnd"/>
      <w:r>
        <w:rPr>
          <w:rFonts w:ascii="Times New Roman" w:eastAsia="Times New Roman" w:hAnsi="Times New Roman" w:cs="Times New Roman"/>
          <w:sz w:val="24"/>
          <w:szCs w:val="24"/>
        </w:rPr>
        <w:t xml:space="preserve"> gene for low level kanamycin resistance showed 14.7% and 27.9% respectively.  Furthermore, MUT 2 were also common in the antibiotic resistance gene based on the gene showing resistance to the </w:t>
      </w:r>
      <w:proofErr w:type="spellStart"/>
      <w:r>
        <w:rPr>
          <w:rFonts w:ascii="Times New Roman" w:eastAsia="Times New Roman" w:hAnsi="Times New Roman" w:cs="Times New Roman"/>
          <w:sz w:val="24"/>
          <w:szCs w:val="24"/>
        </w:rPr>
        <w:t>pecularity</w:t>
      </w:r>
      <w:proofErr w:type="spellEnd"/>
      <w:r>
        <w:rPr>
          <w:rFonts w:ascii="Times New Roman" w:eastAsia="Times New Roman" w:hAnsi="Times New Roman" w:cs="Times New Roman"/>
          <w:sz w:val="24"/>
          <w:szCs w:val="24"/>
        </w:rPr>
        <w:t xml:space="preserve"> of each drug.</w:t>
      </w:r>
    </w:p>
    <w:p w:rsidR="0057282D" w:rsidRDefault="0057282D">
      <w:pPr>
        <w:jc w:val="both"/>
        <w:outlineLvl w:val="3"/>
        <w:rPr>
          <w:rFonts w:ascii="Times New Roman" w:eastAsia="Times New Roman" w:hAnsi="Times New Roman" w:cs="Times New Roman"/>
          <w:sz w:val="24"/>
          <w:szCs w:val="24"/>
        </w:rPr>
      </w:pPr>
    </w:p>
    <w:p w:rsidR="0057282D" w:rsidRDefault="00D42155">
      <w:pPr>
        <w:spacing w:line="480" w:lineRule="auto"/>
        <w:jc w:val="both"/>
        <w:outlineLvl w:val="3"/>
      </w:pPr>
      <w:r>
        <w:rPr>
          <w:noProof/>
          <w:lang w:eastAsia="en-US"/>
        </w:rPr>
        <w:drawing>
          <wp:inline distT="0" distB="0" distL="114300" distR="114300">
            <wp:extent cx="5537200" cy="2242820"/>
            <wp:effectExtent l="0" t="0" r="0" b="0"/>
            <wp:docPr id="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282D" w:rsidRDefault="00D42155">
      <w:pPr>
        <w:spacing w:line="480" w:lineRule="auto"/>
        <w:ind w:firstLine="720"/>
        <w:jc w:val="both"/>
        <w:outlineLvl w:val="3"/>
        <w:rPr>
          <w:rFonts w:ascii="Times New Roman" w:eastAsia="Times New Roman" w:hAnsi="Times New Roman"/>
          <w:sz w:val="24"/>
          <w:szCs w:val="24"/>
        </w:rPr>
      </w:pPr>
      <w:r>
        <w:rPr>
          <w:rFonts w:ascii="Times New Roman" w:eastAsia="Times New Roman" w:hAnsi="Times New Roman"/>
          <w:b/>
          <w:bCs/>
          <w:sz w:val="24"/>
          <w:szCs w:val="24"/>
        </w:rPr>
        <w:t xml:space="preserve">Fig. 3: </w:t>
      </w:r>
      <w:r>
        <w:rPr>
          <w:rFonts w:ascii="Times New Roman" w:eastAsia="Times New Roman" w:hAnsi="Times New Roman"/>
          <w:sz w:val="24"/>
          <w:szCs w:val="24"/>
        </w:rPr>
        <w:t>Frequency of mutations in the antibiotics resistance genes based on the genes</w:t>
      </w:r>
    </w:p>
    <w:p w:rsidR="0057282D" w:rsidRDefault="0057282D">
      <w:pPr>
        <w:spacing w:line="480" w:lineRule="auto"/>
        <w:ind w:firstLine="720"/>
        <w:jc w:val="both"/>
        <w:outlineLvl w:val="3"/>
        <w:rPr>
          <w:rFonts w:ascii="Times New Roman" w:eastAsia="Times New Roman" w:hAnsi="Times New Roman"/>
          <w:sz w:val="24"/>
          <w:szCs w:val="24"/>
        </w:rPr>
      </w:pPr>
    </w:p>
    <w:p w:rsidR="0057282D" w:rsidRDefault="00D42155">
      <w:pPr>
        <w:numPr>
          <w:ilvl w:val="0"/>
          <w:numId w:val="1"/>
        </w:numPr>
        <w:jc w:val="both"/>
        <w:outlineLvl w:val="3"/>
        <w:rPr>
          <w:rFonts w:ascii="Times New Roman" w:eastAsia="Times New Roman" w:hAnsi="Times New Roman"/>
          <w:b/>
          <w:bCs/>
          <w:sz w:val="24"/>
          <w:szCs w:val="24"/>
        </w:rPr>
      </w:pPr>
      <w:r>
        <w:rPr>
          <w:rFonts w:ascii="Times New Roman" w:eastAsia="Times New Roman" w:hAnsi="Times New Roman"/>
          <w:b/>
          <w:bCs/>
          <w:sz w:val="24"/>
          <w:szCs w:val="24"/>
        </w:rPr>
        <w:lastRenderedPageBreak/>
        <w:t>DISCUSSION</w:t>
      </w:r>
    </w:p>
    <w:p w:rsidR="0057282D" w:rsidRDefault="00D42155">
      <w:pPr>
        <w:jc w:val="both"/>
        <w:outlineLvl w:val="3"/>
        <w:rPr>
          <w:rFonts w:ascii="Times New Roman" w:eastAsia="Times New Roman" w:hAnsi="Times New Roman"/>
          <w:sz w:val="24"/>
          <w:szCs w:val="24"/>
        </w:rPr>
      </w:pPr>
      <w:r>
        <w:rPr>
          <w:rFonts w:ascii="Times New Roman" w:eastAsia="Times New Roman" w:hAnsi="Times New Roman"/>
          <w:sz w:val="24"/>
          <w:szCs w:val="24"/>
        </w:rPr>
        <w:t xml:space="preserve">The results obtained from the genetic assay and drug resistance profiling of Mycobacterium tuberculosis complex (MTBC) among tuberculosis patients from selected hospitals in Benue and Nasarawa States, Nigeria offer important insights into the prevalence of tuberculosis (TB) and the genetic resistance patterns of the isolates. These results are essential for improving the understanding of the transmission dynamics of Mycobacterium tuberculosis (MTB) and the extent of its resistance to both first-line and second-line anti-tuberculosis drugs. The study indicates that out of 400 sputum samples, 55% were culture-positive for mycobacteria, while 45% were negative. This highlights a significant proportion of culture-negative TB cases, which might reflect issues like sample handling or bacterial load, a problem common in many resource-limited settings. A similar study conducted in Ethiopia by </w:t>
      </w:r>
      <w:proofErr w:type="spellStart"/>
      <w:r>
        <w:rPr>
          <w:rFonts w:ascii="Times New Roman" w:eastAsia="Times New Roman" w:hAnsi="Times New Roman"/>
          <w:sz w:val="24"/>
          <w:szCs w:val="24"/>
        </w:rPr>
        <w:t>Ayele</w:t>
      </w:r>
      <w:proofErr w:type="spellEnd"/>
      <w:r>
        <w:rPr>
          <w:rFonts w:ascii="Times New Roman" w:eastAsia="Times New Roman" w:hAnsi="Times New Roman"/>
          <w:sz w:val="24"/>
          <w:szCs w:val="24"/>
        </w:rPr>
        <w:t xml:space="preserve"> et al. (2019) also reported culture positivity rates of around 50-55% in routine TB testing. These findings emphasize the need for improved diagnostic techniques, such as molecular assays, that offer higher sensitivity.</w:t>
      </w:r>
    </w:p>
    <w:p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Multidrug-resistant TB (MDR-TB) was found in 19 cases, all (100%) within the MTBC group. The level of resistance to anti-TB drugs observed in this study is high, particularly with an MDR-TB rate of 100% compared with a report from Ghana, a neighboring West African country, with an MDR-TB rate of 2% (</w:t>
      </w:r>
      <w:proofErr w:type="spellStart"/>
      <w:r>
        <w:rPr>
          <w:rFonts w:ascii="Times New Roman" w:eastAsia="DengXian" w:hAnsi="Times New Roman"/>
          <w:sz w:val="24"/>
          <w:szCs w:val="24"/>
        </w:rPr>
        <w:t>Owosu</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xml:space="preserve">., 2006). A study by </w:t>
      </w:r>
      <w:r>
        <w:rPr>
          <w:rFonts w:ascii="Times New Roman" w:eastAsia="DengXian" w:hAnsi="Times New Roman"/>
          <w:color w:val="000000" w:themeColor="text1"/>
          <w:sz w:val="24"/>
          <w:szCs w:val="24"/>
        </w:rPr>
        <w:t xml:space="preserve">Kehinde </w:t>
      </w:r>
      <w:r>
        <w:rPr>
          <w:rFonts w:ascii="Times New Roman" w:eastAsia="DengXian" w:hAnsi="Times New Roman"/>
          <w:i/>
          <w:iCs/>
          <w:color w:val="000000" w:themeColor="text1"/>
          <w:sz w:val="24"/>
          <w:szCs w:val="24"/>
        </w:rPr>
        <w:t>et al</w:t>
      </w:r>
      <w:r>
        <w:rPr>
          <w:rFonts w:ascii="Times New Roman" w:eastAsia="DengXian" w:hAnsi="Times New Roman"/>
          <w:color w:val="000000" w:themeColor="text1"/>
          <w:sz w:val="24"/>
          <w:szCs w:val="24"/>
          <w:highlight w:val="yellow"/>
        </w:rPr>
        <w:t>.</w:t>
      </w:r>
      <w:r>
        <w:rPr>
          <w:rFonts w:ascii="Times New Roman" w:eastAsia="DengXian" w:hAnsi="Times New Roman"/>
          <w:sz w:val="24"/>
          <w:szCs w:val="24"/>
        </w:rPr>
        <w:t xml:space="preserve"> (2010) in Ibadan, Nigeria reported a multidrug resistance prevalence of 53% in new cases of TB. There could be selection bias in this reported study Because the University Teaching Hospital Ibadan is a reference hospital that receives patients with chronic and life-threatening medical conditions from different parts of the country, some of the patients reported as new cases may therefore, have failed therapy during previous TB medications elsewhere.  Fluoroquinolone resistance at 100% in 16 cases and a significant proportion of kanamycin resistance (85.7%) are concerning trends, indicating potential misuse or overuse of second-line drugs.  This agrees with A meta-analysis by Bastos </w:t>
      </w:r>
      <w:r>
        <w:rPr>
          <w:rFonts w:ascii="Times New Roman" w:eastAsia="DengXian" w:hAnsi="Times New Roman"/>
          <w:i/>
          <w:iCs/>
          <w:sz w:val="24"/>
          <w:szCs w:val="24"/>
        </w:rPr>
        <w:t>et al</w:t>
      </w:r>
      <w:r>
        <w:rPr>
          <w:rFonts w:ascii="Times New Roman" w:eastAsia="DengXian" w:hAnsi="Times New Roman"/>
          <w:sz w:val="24"/>
          <w:szCs w:val="24"/>
        </w:rPr>
        <w:t xml:space="preserve">. (2017) noted that FQ resistance is increasing in Asia and Eastern Europe due to widespread over-the-counter availability. In Nigeria, similar trends have been reported by </w:t>
      </w:r>
      <w:proofErr w:type="spellStart"/>
      <w:r>
        <w:rPr>
          <w:rFonts w:ascii="Times New Roman" w:eastAsia="DengXian" w:hAnsi="Times New Roman"/>
          <w:sz w:val="24"/>
          <w:szCs w:val="24"/>
        </w:rPr>
        <w:t>Oga</w:t>
      </w:r>
      <w:proofErr w:type="spellEnd"/>
      <w:r>
        <w:rPr>
          <w:rFonts w:ascii="Times New Roman" w:eastAsia="DengXian" w:hAnsi="Times New Roman"/>
          <w:i/>
          <w:iCs/>
          <w:sz w:val="24"/>
          <w:szCs w:val="24"/>
        </w:rPr>
        <w:t xml:space="preserve"> et al.</w:t>
      </w:r>
      <w:r>
        <w:rPr>
          <w:rFonts w:ascii="Times New Roman" w:eastAsia="DengXian" w:hAnsi="Times New Roman"/>
          <w:sz w:val="24"/>
          <w:szCs w:val="24"/>
        </w:rPr>
        <w:t xml:space="preserve"> (2020), who documented poor regulation in antibiotic sales as a contributing factor.</w:t>
      </w:r>
    </w:p>
    <w:p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The results obtained from this study highlight a concerning level of drug resistance across different MTBC species (</w:t>
      </w:r>
      <w:r>
        <w:rPr>
          <w:rFonts w:ascii="Times New Roman" w:eastAsia="DengXian" w:hAnsi="Times New Roman"/>
          <w:i/>
          <w:iCs/>
          <w:sz w:val="24"/>
          <w:szCs w:val="24"/>
        </w:rPr>
        <w:t>M. tuberculosis</w:t>
      </w:r>
      <w:r>
        <w:rPr>
          <w:rFonts w:ascii="Times New Roman" w:eastAsia="DengXian" w:hAnsi="Times New Roman"/>
          <w:sz w:val="24"/>
          <w:szCs w:val="24"/>
        </w:rPr>
        <w:t xml:space="preserve">,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and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africanum</w:t>
      </w:r>
      <w:proofErr w:type="spellEnd"/>
      <w:r>
        <w:rPr>
          <w:rFonts w:ascii="Times New Roman" w:eastAsia="DengXian" w:hAnsi="Times New Roman"/>
          <w:sz w:val="24"/>
          <w:szCs w:val="24"/>
        </w:rPr>
        <w:t xml:space="preserve">). Our findings highlighted the presence of multidrug-resistant tuberculosis (MDR-TB) in all species, with M. tuberculosis exhibiting the highest prevalence (64.7%) of MDR-TB. This corresponds to global findings indicating that M. tuberculosis is the primary driver of the MDR-TB epidemic worldwide, particularly in low- and middle-income countries (WHO, 2021).  M. tuberculosis, (15/19, 78.9%) of strains exhibited resistance to rifampicin, while maintaining susceptibility to isoniazid. In contrast,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and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africanum</w:t>
      </w:r>
      <w:proofErr w:type="spellEnd"/>
      <w:r>
        <w:rPr>
          <w:rFonts w:ascii="Times New Roman" w:eastAsia="DengXian" w:hAnsi="Times New Roman"/>
          <w:sz w:val="24"/>
          <w:szCs w:val="24"/>
        </w:rPr>
        <w:t xml:space="preserve"> showed considerably lower resistance percentages in these categories (5.3% and 15.8%, respectively), aligning with previous research showing that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tends to be less resistant to first-line drugs compared to </w:t>
      </w:r>
      <w:r>
        <w:rPr>
          <w:rFonts w:ascii="Times New Roman" w:eastAsia="DengXian" w:hAnsi="Times New Roman"/>
          <w:i/>
          <w:iCs/>
          <w:sz w:val="24"/>
          <w:szCs w:val="24"/>
        </w:rPr>
        <w:t>M. tuberculosis</w:t>
      </w:r>
      <w:r>
        <w:rPr>
          <w:rFonts w:ascii="Times New Roman" w:eastAsia="DengXian" w:hAnsi="Times New Roman"/>
          <w:sz w:val="24"/>
          <w:szCs w:val="24"/>
        </w:rPr>
        <w:t xml:space="preserve"> (</w:t>
      </w:r>
      <w:proofErr w:type="spellStart"/>
      <w:r>
        <w:rPr>
          <w:rFonts w:ascii="Times New Roman" w:eastAsia="DengXian" w:hAnsi="Times New Roman"/>
          <w:sz w:val="24"/>
          <w:szCs w:val="24"/>
        </w:rPr>
        <w:t>Goletti</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2020). In addition, the prevalence of resistance to second-line drugs, such as those to fluoroquinolones and kanamycin, could be influenced by several factors, including previous treatment with these drugs, as well as the circulation of resistant strains in the community. In regions like South Africa, there have been significant outbreaks of drug-resistant TB, particularly involving fluoroquinolones (</w:t>
      </w:r>
      <w:proofErr w:type="spellStart"/>
      <w:r>
        <w:rPr>
          <w:rFonts w:ascii="Times New Roman" w:eastAsia="DengXian" w:hAnsi="Times New Roman"/>
          <w:sz w:val="24"/>
          <w:szCs w:val="24"/>
        </w:rPr>
        <w:t>Furin</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xml:space="preserve">., 2020), which underscores the global significance of this resistance. The study also notes the presence of "Pre-XDR" and "XDR" tuberculosis in all species, though the incidence was low, with </w:t>
      </w:r>
      <w:r>
        <w:rPr>
          <w:rFonts w:ascii="Times New Roman" w:eastAsia="DengXian" w:hAnsi="Times New Roman"/>
          <w:i/>
          <w:iCs/>
          <w:sz w:val="24"/>
          <w:szCs w:val="24"/>
        </w:rPr>
        <w:t>M. tuberculosis</w:t>
      </w:r>
      <w:r>
        <w:rPr>
          <w:rFonts w:ascii="Times New Roman" w:eastAsia="DengXian" w:hAnsi="Times New Roman"/>
          <w:sz w:val="24"/>
          <w:szCs w:val="24"/>
        </w:rPr>
        <w:t xml:space="preserve"> exhibiting the most resistance. This finding agrees with other global research indicating a rising concern about XDR-TB in parts of Eastern Europe, Asia, and Sub-Saharan Africa (Shen </w:t>
      </w:r>
      <w:r>
        <w:rPr>
          <w:rFonts w:ascii="Times New Roman" w:eastAsia="DengXian" w:hAnsi="Times New Roman"/>
          <w:i/>
          <w:iCs/>
          <w:sz w:val="24"/>
          <w:szCs w:val="24"/>
        </w:rPr>
        <w:t>et al</w:t>
      </w:r>
      <w:r>
        <w:rPr>
          <w:rFonts w:ascii="Times New Roman" w:eastAsia="DengXian" w:hAnsi="Times New Roman"/>
          <w:sz w:val="24"/>
          <w:szCs w:val="24"/>
        </w:rPr>
        <w:t>., 2018).</w:t>
      </w:r>
    </w:p>
    <w:p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In the context of rifampicin resistance, the </w:t>
      </w:r>
      <w:proofErr w:type="spellStart"/>
      <w:r>
        <w:rPr>
          <w:rFonts w:ascii="Times New Roman" w:eastAsia="DengXian" w:hAnsi="Times New Roman"/>
          <w:i/>
          <w:iCs/>
          <w:sz w:val="24"/>
          <w:szCs w:val="24"/>
        </w:rPr>
        <w:t>rpoB</w:t>
      </w:r>
      <w:proofErr w:type="spellEnd"/>
      <w:r>
        <w:rPr>
          <w:rFonts w:ascii="Times New Roman" w:eastAsia="DengXian" w:hAnsi="Times New Roman"/>
          <w:sz w:val="24"/>
          <w:szCs w:val="24"/>
        </w:rPr>
        <w:t xml:space="preserve"> gene analysis indicates that a substantial proportion of the strains (63.3%) exhibited no mutations, suggesting that these strains may remain susceptible to </w:t>
      </w:r>
      <w:r>
        <w:rPr>
          <w:rFonts w:ascii="Times New Roman" w:eastAsia="DengXian" w:hAnsi="Times New Roman"/>
          <w:sz w:val="24"/>
          <w:szCs w:val="24"/>
        </w:rPr>
        <w:lastRenderedPageBreak/>
        <w:t xml:space="preserve">rifampicin. However, the presence of various mutation patterns, such as </w:t>
      </w:r>
      <w:r>
        <w:rPr>
          <w:rFonts w:ascii="Times New Roman" w:eastAsia="DengXian" w:hAnsi="Times New Roman"/>
          <w:i/>
          <w:iCs/>
          <w:sz w:val="24"/>
          <w:szCs w:val="24"/>
        </w:rPr>
        <w:t>MUT1</w:t>
      </w:r>
      <w:r>
        <w:rPr>
          <w:rFonts w:ascii="Times New Roman" w:eastAsia="DengXian" w:hAnsi="Times New Roman"/>
          <w:sz w:val="24"/>
          <w:szCs w:val="24"/>
        </w:rPr>
        <w:t xml:space="preserve"> (4.7%), </w:t>
      </w:r>
      <w:r>
        <w:rPr>
          <w:rFonts w:ascii="Times New Roman" w:eastAsia="DengXian" w:hAnsi="Times New Roman"/>
          <w:i/>
          <w:iCs/>
          <w:sz w:val="24"/>
          <w:szCs w:val="24"/>
        </w:rPr>
        <w:t>MUT2A</w:t>
      </w:r>
      <w:r>
        <w:rPr>
          <w:rFonts w:ascii="Times New Roman" w:eastAsia="DengXian" w:hAnsi="Times New Roman"/>
          <w:sz w:val="24"/>
          <w:szCs w:val="24"/>
        </w:rPr>
        <w:t xml:space="preserve"> (12.7%), and </w:t>
      </w:r>
      <w:r>
        <w:rPr>
          <w:rFonts w:ascii="Times New Roman" w:eastAsia="DengXian" w:hAnsi="Times New Roman"/>
          <w:i/>
          <w:iCs/>
          <w:sz w:val="24"/>
          <w:szCs w:val="24"/>
        </w:rPr>
        <w:t>MUT3</w:t>
      </w:r>
      <w:r>
        <w:rPr>
          <w:rFonts w:ascii="Times New Roman" w:eastAsia="DengXian" w:hAnsi="Times New Roman"/>
          <w:sz w:val="24"/>
          <w:szCs w:val="24"/>
        </w:rPr>
        <w:t xml:space="preserve"> (9.3%), highlights the genetic diversity of resistant strains. The findings are consistent with global research indicating that mutations in the </w:t>
      </w:r>
      <w:proofErr w:type="spellStart"/>
      <w:r>
        <w:rPr>
          <w:rFonts w:ascii="Times New Roman" w:eastAsia="DengXian" w:hAnsi="Times New Roman"/>
          <w:i/>
          <w:iCs/>
          <w:sz w:val="24"/>
          <w:szCs w:val="24"/>
        </w:rPr>
        <w:t>rpoB</w:t>
      </w:r>
      <w:proofErr w:type="spellEnd"/>
      <w:r>
        <w:rPr>
          <w:rFonts w:ascii="Times New Roman" w:eastAsia="DengXian" w:hAnsi="Times New Roman"/>
          <w:sz w:val="24"/>
          <w:szCs w:val="24"/>
        </w:rPr>
        <w:t xml:space="preserve"> gene are a primary mechanism of rifampicin resistance, with studies from countries such as India and South Africa reporting similar mutation frequencies (Sharma </w:t>
      </w:r>
      <w:r>
        <w:rPr>
          <w:rFonts w:ascii="Times New Roman" w:eastAsia="DengXian" w:hAnsi="Times New Roman"/>
          <w:i/>
          <w:iCs/>
          <w:sz w:val="24"/>
          <w:szCs w:val="24"/>
        </w:rPr>
        <w:t>et al</w:t>
      </w:r>
      <w:r>
        <w:rPr>
          <w:rFonts w:ascii="Times New Roman" w:eastAsia="DengXian" w:hAnsi="Times New Roman"/>
          <w:sz w:val="24"/>
          <w:szCs w:val="24"/>
        </w:rPr>
        <w:t xml:space="preserve">., 2016; </w:t>
      </w:r>
      <w:proofErr w:type="spellStart"/>
      <w:r>
        <w:rPr>
          <w:rFonts w:ascii="Times New Roman" w:eastAsia="DengXian" w:hAnsi="Times New Roman"/>
          <w:sz w:val="24"/>
          <w:szCs w:val="24"/>
        </w:rPr>
        <w:t>Khetrapal</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xml:space="preserve">., 2019). Moreover, the analysis of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reveals that 69.3% of the strains were wild-type, while 30.7% exhibited some form of mutation. The high prevalence of wild-type strains is encouraging, as it suggests that a significant portion of the population may still respond to isoniazid treatment. However, the presence of mutations, such as </w:t>
      </w:r>
      <w:r>
        <w:rPr>
          <w:rFonts w:ascii="Times New Roman" w:eastAsia="DengXian" w:hAnsi="Times New Roman"/>
          <w:i/>
          <w:iCs/>
          <w:sz w:val="24"/>
          <w:szCs w:val="24"/>
        </w:rPr>
        <w:t>MUT1</w:t>
      </w:r>
      <w:r>
        <w:rPr>
          <w:rFonts w:ascii="Times New Roman" w:eastAsia="DengXian" w:hAnsi="Times New Roman"/>
          <w:sz w:val="24"/>
          <w:szCs w:val="24"/>
        </w:rPr>
        <w:t xml:space="preserve"> (16.7%) and </w:t>
      </w:r>
      <w:r>
        <w:rPr>
          <w:rFonts w:ascii="Times New Roman" w:eastAsia="DengXian" w:hAnsi="Times New Roman"/>
          <w:i/>
          <w:iCs/>
          <w:sz w:val="24"/>
          <w:szCs w:val="24"/>
        </w:rPr>
        <w:t>MUT2</w:t>
      </w:r>
      <w:r>
        <w:rPr>
          <w:rFonts w:ascii="Times New Roman" w:eastAsia="DengXian" w:hAnsi="Times New Roman"/>
          <w:sz w:val="24"/>
          <w:szCs w:val="24"/>
        </w:rPr>
        <w:t xml:space="preserve"> (14.0%), raises concerns regarding the potential for treatment failure. This aligns with findings from Nigeria, where studies have shown a rising trend in isoniazid resistance due to mutations in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(Ogunleye </w:t>
      </w:r>
      <w:r>
        <w:rPr>
          <w:rFonts w:ascii="Times New Roman" w:eastAsia="DengXian" w:hAnsi="Times New Roman"/>
          <w:i/>
          <w:iCs/>
          <w:sz w:val="24"/>
          <w:szCs w:val="24"/>
        </w:rPr>
        <w:t>et al</w:t>
      </w:r>
      <w:r>
        <w:rPr>
          <w:rFonts w:ascii="Times New Roman" w:eastAsia="DengXian" w:hAnsi="Times New Roman"/>
          <w:sz w:val="24"/>
          <w:szCs w:val="24"/>
        </w:rPr>
        <w:t xml:space="preserve">., 2020., Adey. Another similar study by Gupta </w:t>
      </w:r>
      <w:r>
        <w:rPr>
          <w:rFonts w:ascii="Times New Roman" w:eastAsia="DengXian" w:hAnsi="Times New Roman"/>
          <w:i/>
          <w:iCs/>
          <w:sz w:val="24"/>
          <w:szCs w:val="24"/>
        </w:rPr>
        <w:t>et al</w:t>
      </w:r>
      <w:r>
        <w:rPr>
          <w:rFonts w:ascii="Times New Roman" w:eastAsia="DengXian" w:hAnsi="Times New Roman"/>
          <w:sz w:val="24"/>
          <w:szCs w:val="24"/>
        </w:rPr>
        <w:t xml:space="preserve">. (2019) found that 65% of strains had mutations in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with a notable prevalence of </w:t>
      </w:r>
      <w:r>
        <w:rPr>
          <w:rFonts w:ascii="Times New Roman" w:eastAsia="DengXian" w:hAnsi="Times New Roman"/>
          <w:i/>
          <w:iCs/>
          <w:sz w:val="24"/>
          <w:szCs w:val="24"/>
        </w:rPr>
        <w:t>MUT1</w:t>
      </w:r>
      <w:r>
        <w:rPr>
          <w:rFonts w:ascii="Times New Roman" w:eastAsia="DengXian" w:hAnsi="Times New Roman"/>
          <w:sz w:val="24"/>
          <w:szCs w:val="24"/>
        </w:rPr>
        <w:t xml:space="preserve"> mutations, which suggests that certain mutation types may be more common in specific geographic regions.</w:t>
      </w:r>
    </w:p>
    <w:p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Furthermore, our study also reveals significant insights into the prevalence of wild-type and mutated codons associated with low-level kanamycin and fluoroquinolone resistance. kanamycin resistance, the data indicates that a substantial majority (72.1%) of the strains analyzed retained wild-type status, with only a small proportion exhibiting mutations (27.9%). Our finding agrees with studies conducted in other regions, such as a study in India that reported a high prevalence of wild-type strains among tuberculosis patients, suggesting that low-level resistance may be more common than previously thought (Kumar </w:t>
      </w:r>
      <w:r>
        <w:rPr>
          <w:rFonts w:ascii="Times New Roman" w:eastAsia="DengXian" w:hAnsi="Times New Roman"/>
          <w:i/>
          <w:iCs/>
          <w:sz w:val="24"/>
          <w:szCs w:val="24"/>
        </w:rPr>
        <w:t>et al</w:t>
      </w:r>
      <w:r>
        <w:rPr>
          <w:rFonts w:ascii="Times New Roman" w:eastAsia="DengXian" w:hAnsi="Times New Roman"/>
          <w:sz w:val="24"/>
          <w:szCs w:val="24"/>
        </w:rPr>
        <w:t>., 2020). Conversely, research from South Africa indicated a higher mutation frequency, with a significant proportion of strains demonstrating mutations associated with resistance, highlighting regional variability in resistance patterns (</w:t>
      </w:r>
      <w:proofErr w:type="spellStart"/>
      <w:r>
        <w:rPr>
          <w:rFonts w:ascii="Times New Roman" w:eastAsia="DengXian" w:hAnsi="Times New Roman"/>
          <w:sz w:val="24"/>
          <w:szCs w:val="24"/>
        </w:rPr>
        <w:t>Mokhantso</w:t>
      </w:r>
      <w:proofErr w:type="spellEnd"/>
      <w:r>
        <w:rPr>
          <w:rFonts w:ascii="Times New Roman" w:eastAsia="DengXian" w:hAnsi="Times New Roman"/>
          <w:i/>
          <w:iCs/>
          <w:sz w:val="24"/>
          <w:szCs w:val="24"/>
        </w:rPr>
        <w:t xml:space="preserve"> et al</w:t>
      </w:r>
      <w:r>
        <w:rPr>
          <w:rFonts w:ascii="Times New Roman" w:eastAsia="DengXian" w:hAnsi="Times New Roman"/>
          <w:sz w:val="24"/>
          <w:szCs w:val="24"/>
        </w:rPr>
        <w:t xml:space="preserve">., 2021). When examining fluoroquinolone resistance, the results show that 67.6% of the strains retained wild-type codons, while 32.4% were missing wild-type codons. This is consistent with findings from a study in Europe, where a lower prevalence of fluoroquinolone resistance was observed, suggesting that fluoroquinolone use may be more judiciously managed in some regions (García de </w:t>
      </w:r>
      <w:proofErr w:type="spellStart"/>
      <w:r>
        <w:rPr>
          <w:rFonts w:ascii="Times New Roman" w:eastAsia="DengXian" w:hAnsi="Times New Roman"/>
          <w:sz w:val="24"/>
          <w:szCs w:val="24"/>
        </w:rPr>
        <w:t>Viedma</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2019). However, a contrasting study from Southeast Asia reported a higher mutation frequency, indicating a worrying trend of increasing fluoroquinolone resistance in that region (Cheng</w:t>
      </w:r>
      <w:r>
        <w:rPr>
          <w:rFonts w:ascii="Times New Roman" w:eastAsia="DengXian" w:hAnsi="Times New Roman"/>
          <w:i/>
          <w:iCs/>
          <w:sz w:val="24"/>
          <w:szCs w:val="24"/>
        </w:rPr>
        <w:t xml:space="preserve"> et al</w:t>
      </w:r>
      <w:r>
        <w:rPr>
          <w:rFonts w:ascii="Times New Roman" w:eastAsia="DengXian" w:hAnsi="Times New Roman"/>
          <w:sz w:val="24"/>
          <w:szCs w:val="24"/>
        </w:rPr>
        <w:t xml:space="preserve">., 2020). The mutation patterns observed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and </w:t>
      </w:r>
      <w:proofErr w:type="spellStart"/>
      <w:r>
        <w:rPr>
          <w:rFonts w:ascii="Times New Roman" w:eastAsia="DengXian" w:hAnsi="Times New Roman"/>
          <w:i/>
          <w:iCs/>
          <w:sz w:val="24"/>
          <w:szCs w:val="24"/>
        </w:rPr>
        <w:t>gyrB</w:t>
      </w:r>
      <w:proofErr w:type="spellEnd"/>
      <w:r>
        <w:rPr>
          <w:rFonts w:ascii="Times New Roman" w:eastAsia="DengXian" w:hAnsi="Times New Roman"/>
          <w:sz w:val="24"/>
          <w:szCs w:val="24"/>
        </w:rPr>
        <w:t xml:space="preserve"> genes also provides critical insights.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a significant percentage (66.2%) of strains showed no mutations, which is promising. However, the presence of various mutation types, particularly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suggests that while the overall resistance may be low, there are emerging mutations that could contribute to resistance if left unchecked. This finding is similar to studies in the Americas, where mutations in the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gene were linked to treatment failure and poor clinical outcomes (Pérez </w:t>
      </w:r>
      <w:r>
        <w:rPr>
          <w:rFonts w:ascii="Times New Roman" w:eastAsia="DengXian" w:hAnsi="Times New Roman"/>
          <w:i/>
          <w:iCs/>
          <w:sz w:val="24"/>
          <w:szCs w:val="24"/>
        </w:rPr>
        <w:t>et al</w:t>
      </w:r>
      <w:r>
        <w:rPr>
          <w:rFonts w:ascii="Times New Roman" w:eastAsia="DengXian" w:hAnsi="Times New Roman"/>
          <w:sz w:val="24"/>
          <w:szCs w:val="24"/>
        </w:rPr>
        <w:t>., 2020).</w:t>
      </w:r>
    </w:p>
    <w:p w:rsidR="0057282D" w:rsidRDefault="0057282D">
      <w:pPr>
        <w:spacing w:beforeAutospacing="1" w:afterAutospacing="1"/>
        <w:jc w:val="both"/>
        <w:rPr>
          <w:rFonts w:ascii="Times New Roman" w:eastAsia="DengXian" w:hAnsi="Times New Roman"/>
          <w:sz w:val="24"/>
          <w:szCs w:val="24"/>
        </w:rPr>
      </w:pPr>
    </w:p>
    <w:p w:rsidR="0057282D" w:rsidRDefault="00D42155">
      <w:pPr>
        <w:numPr>
          <w:ilvl w:val="0"/>
          <w:numId w:val="1"/>
        </w:numPr>
        <w:jc w:val="both"/>
        <w:rPr>
          <w:rFonts w:ascii="Times New Roman" w:eastAsia="DengXian" w:hAnsi="Times New Roman"/>
          <w:b/>
          <w:bCs/>
          <w:sz w:val="24"/>
          <w:szCs w:val="24"/>
        </w:rPr>
      </w:pPr>
      <w:r>
        <w:rPr>
          <w:rFonts w:ascii="Times New Roman" w:eastAsia="DengXian" w:hAnsi="Times New Roman"/>
          <w:b/>
          <w:bCs/>
          <w:sz w:val="24"/>
          <w:szCs w:val="24"/>
        </w:rPr>
        <w:t>CONCLUSION</w:t>
      </w:r>
    </w:p>
    <w:p w:rsidR="0057282D" w:rsidRDefault="00D42155">
      <w:pPr>
        <w:jc w:val="both"/>
        <w:rPr>
          <w:rFonts w:ascii="Times New Roman" w:eastAsia="DengXian" w:hAnsi="Times New Roman"/>
          <w:sz w:val="24"/>
          <w:szCs w:val="24"/>
        </w:rPr>
      </w:pPr>
      <w:r>
        <w:rPr>
          <w:rFonts w:ascii="Times New Roman" w:eastAsia="DengXian" w:hAnsi="Times New Roman"/>
          <w:sz w:val="24"/>
          <w:szCs w:val="24"/>
        </w:rPr>
        <w:t>This study assessed the molecular genetic assay and drug resistance profile of Mycobacterium tuberculosis complex (MTBC) isolates collected from tuberculosis patients in selected hospitals in Benue and Nasarawa States, Nigeria. By combining clinical sample analysis with molecular diagnostics, the research provides a detailed overview of the resistance landscape affecting both first-line and second-line anti-tuberculosis drugs in the region.</w:t>
      </w:r>
    </w:p>
    <w:p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The molecular characterization revealed a significant proportion of MTBC isolates harboring mutations associated with resistance to first-line anti-TB drugs, particularly rifampicin and isoniazid. Resistance to rifampicin was primarily linked to mutations in the </w:t>
      </w:r>
      <w:proofErr w:type="spellStart"/>
      <w:r>
        <w:rPr>
          <w:rFonts w:ascii="Times New Roman" w:eastAsia="DengXian" w:hAnsi="Times New Roman"/>
          <w:sz w:val="24"/>
          <w:szCs w:val="24"/>
        </w:rPr>
        <w:t>rpoB</w:t>
      </w:r>
      <w:proofErr w:type="spellEnd"/>
      <w:r>
        <w:rPr>
          <w:rFonts w:ascii="Times New Roman" w:eastAsia="DengXian" w:hAnsi="Times New Roman"/>
          <w:sz w:val="24"/>
          <w:szCs w:val="24"/>
        </w:rPr>
        <w:t xml:space="preserve"> gene, especially within the rifampicin resistance-determining region (RRDR), such as MUT3 and MUT2B. Isoniazid resistance </w:t>
      </w:r>
      <w:r>
        <w:rPr>
          <w:rFonts w:ascii="Times New Roman" w:eastAsia="DengXian" w:hAnsi="Times New Roman"/>
          <w:sz w:val="24"/>
          <w:szCs w:val="24"/>
        </w:rPr>
        <w:lastRenderedPageBreak/>
        <w:t xml:space="preserve">was mainly associated with mutations in the </w:t>
      </w:r>
      <w:proofErr w:type="spellStart"/>
      <w:r>
        <w:rPr>
          <w:rFonts w:ascii="Times New Roman" w:eastAsia="DengXian" w:hAnsi="Times New Roman"/>
          <w:sz w:val="24"/>
          <w:szCs w:val="24"/>
        </w:rPr>
        <w:t>katG</w:t>
      </w:r>
      <w:proofErr w:type="spellEnd"/>
      <w:r>
        <w:rPr>
          <w:rFonts w:ascii="Times New Roman" w:eastAsia="DengXian" w:hAnsi="Times New Roman"/>
          <w:sz w:val="24"/>
          <w:szCs w:val="24"/>
        </w:rPr>
        <w:t xml:space="preserve"> gene (at MUT 1) and, to a lesser extent, in the </w:t>
      </w:r>
      <w:proofErr w:type="spellStart"/>
      <w:r>
        <w:rPr>
          <w:rFonts w:ascii="Times New Roman" w:eastAsia="DengXian" w:hAnsi="Times New Roman"/>
          <w:sz w:val="24"/>
          <w:szCs w:val="24"/>
        </w:rPr>
        <w:t>inhA</w:t>
      </w:r>
      <w:proofErr w:type="spellEnd"/>
      <w:r>
        <w:rPr>
          <w:rFonts w:ascii="Times New Roman" w:eastAsia="DengXian" w:hAnsi="Times New Roman"/>
          <w:sz w:val="24"/>
          <w:szCs w:val="24"/>
        </w:rPr>
        <w:t xml:space="preserve"> promoter region, indicating high-level and low-level resistance mechanisms respectively.</w:t>
      </w:r>
    </w:p>
    <w:p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Concerning second-line anti-TB drugs, mutations were detected in </w:t>
      </w:r>
      <w:proofErr w:type="spellStart"/>
      <w:r>
        <w:rPr>
          <w:rFonts w:ascii="Times New Roman" w:eastAsia="DengXian" w:hAnsi="Times New Roman"/>
          <w:sz w:val="24"/>
          <w:szCs w:val="24"/>
        </w:rPr>
        <w:t>gyrA</w:t>
      </w:r>
      <w:proofErr w:type="spellEnd"/>
      <w:r>
        <w:rPr>
          <w:rFonts w:ascii="Times New Roman" w:eastAsia="DengXian" w:hAnsi="Times New Roman"/>
          <w:sz w:val="24"/>
          <w:szCs w:val="24"/>
        </w:rPr>
        <w:t xml:space="preserve"> and </w:t>
      </w:r>
      <w:proofErr w:type="spellStart"/>
      <w:r>
        <w:rPr>
          <w:rFonts w:ascii="Times New Roman" w:eastAsia="DengXian" w:hAnsi="Times New Roman"/>
          <w:sz w:val="24"/>
          <w:szCs w:val="24"/>
        </w:rPr>
        <w:t>gyrB</w:t>
      </w:r>
      <w:proofErr w:type="spellEnd"/>
      <w:r>
        <w:rPr>
          <w:rFonts w:ascii="Times New Roman" w:eastAsia="DengXian" w:hAnsi="Times New Roman"/>
          <w:sz w:val="24"/>
          <w:szCs w:val="24"/>
        </w:rPr>
        <w:t xml:space="preserve">, a gene linked to resistance against fluoroquinolones (such as ofloxacin and moxifloxacin), and in </w:t>
      </w:r>
      <w:proofErr w:type="spellStart"/>
      <w:r>
        <w:rPr>
          <w:rFonts w:ascii="Times New Roman" w:eastAsia="DengXian" w:hAnsi="Times New Roman"/>
          <w:sz w:val="24"/>
          <w:szCs w:val="24"/>
        </w:rPr>
        <w:t>rrs</w:t>
      </w:r>
      <w:proofErr w:type="spellEnd"/>
      <w:r>
        <w:rPr>
          <w:rFonts w:ascii="Times New Roman" w:eastAsia="DengXian" w:hAnsi="Times New Roman"/>
          <w:sz w:val="24"/>
          <w:szCs w:val="24"/>
        </w:rPr>
        <w:t>, which is associated with resistance to injectable aminoglycosides like amikacin, kanamycin, and capreomycin. The detection of such mutations is indicative of pre-XDR (pre-extensively drug-resistant) and XDR-TB (extensively drug-resistant TB) cases, raising serious concerns about treatment efficacy and containment of transmission in affected communities.</w:t>
      </w:r>
    </w:p>
    <w:p w:rsidR="0057282D" w:rsidRDefault="0057282D">
      <w:pPr>
        <w:spacing w:before="100" w:beforeAutospacing="1" w:after="100" w:afterAutospacing="1"/>
        <w:jc w:val="both"/>
        <w:rPr>
          <w:rFonts w:ascii="Times New Roman" w:eastAsia="Times New Roman" w:hAnsi="Times New Roman" w:cs="Times New Roman"/>
          <w:sz w:val="24"/>
          <w:szCs w:val="24"/>
          <w:lang w:eastAsia="en-US"/>
        </w:rPr>
      </w:pPr>
    </w:p>
    <w:p w:rsidR="0057282D" w:rsidRDefault="00D42155">
      <w:pPr>
        <w:spacing w:before="100" w:beforeAutospacing="1" w:after="100" w:afterAutospacing="1"/>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bCs/>
          <w:kern w:val="36"/>
          <w:sz w:val="24"/>
          <w:szCs w:val="24"/>
          <w:lang w:eastAsia="en-US"/>
        </w:rPr>
        <w:t>REFERENCES</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(2023). </w:t>
      </w:r>
      <w:r>
        <w:rPr>
          <w:rFonts w:ascii="Times New Roman" w:eastAsia="Times New Roman" w:hAnsi="Times New Roman" w:cs="Times New Roman"/>
          <w:bCs/>
          <w:sz w:val="24"/>
          <w:szCs w:val="24"/>
          <w:lang w:eastAsia="en-US"/>
        </w:rPr>
        <w:t>Global tuberculosis report 2023</w:t>
      </w:r>
      <w:r>
        <w:rPr>
          <w:rFonts w:ascii="Times New Roman" w:eastAsia="Times New Roman" w:hAnsi="Times New Roman" w:cs="Times New Roman"/>
          <w:sz w:val="24"/>
          <w:szCs w:val="24"/>
          <w:lang w:eastAsia="en-US"/>
        </w:rPr>
        <w:t>. Geneva, Switzerland: World Health Organization.</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Adeniyi, B. A., </w:t>
      </w:r>
      <w:proofErr w:type="spellStart"/>
      <w:r>
        <w:rPr>
          <w:rFonts w:ascii="Times New Roman" w:eastAsia="Times New Roman" w:hAnsi="Times New Roman" w:cs="Times New Roman"/>
          <w:sz w:val="24"/>
          <w:szCs w:val="24"/>
          <w:lang w:eastAsia="en-US"/>
        </w:rPr>
        <w:t>Olatunde</w:t>
      </w:r>
      <w:proofErr w:type="spellEnd"/>
      <w:r>
        <w:rPr>
          <w:rFonts w:ascii="Times New Roman" w:eastAsia="Times New Roman" w:hAnsi="Times New Roman" w:cs="Times New Roman"/>
          <w:sz w:val="24"/>
          <w:szCs w:val="24"/>
          <w:lang w:eastAsia="en-US"/>
        </w:rPr>
        <w:t xml:space="preserve">, O. O., &amp; </w:t>
      </w:r>
      <w:proofErr w:type="spellStart"/>
      <w:r>
        <w:rPr>
          <w:rFonts w:ascii="Times New Roman" w:eastAsia="Times New Roman" w:hAnsi="Times New Roman" w:cs="Times New Roman"/>
          <w:sz w:val="24"/>
          <w:szCs w:val="24"/>
          <w:lang w:eastAsia="en-US"/>
        </w:rPr>
        <w:t>Ojo</w:t>
      </w:r>
      <w:proofErr w:type="spellEnd"/>
      <w:r>
        <w:rPr>
          <w:rFonts w:ascii="Times New Roman" w:eastAsia="Times New Roman" w:hAnsi="Times New Roman" w:cs="Times New Roman"/>
          <w:sz w:val="24"/>
          <w:szCs w:val="24"/>
          <w:lang w:eastAsia="en-US"/>
        </w:rPr>
        <w:t xml:space="preserve">, O. A. (2015). </w:t>
      </w:r>
      <w:r>
        <w:rPr>
          <w:rFonts w:ascii="Times New Roman" w:eastAsia="Times New Roman" w:hAnsi="Times New Roman" w:cs="Times New Roman"/>
          <w:bCs/>
          <w:sz w:val="24"/>
          <w:szCs w:val="24"/>
          <w:lang w:eastAsia="en-US"/>
        </w:rPr>
        <w:t>Prevalence and risk factors associated with pulmonary tuberculosis in Ogun State, Nigeria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African Journal of Clinical and Experimental Microbiology</w:t>
      </w:r>
      <w:r>
        <w:rPr>
          <w:rFonts w:ascii="Times New Roman" w:eastAsia="Times New Roman" w:hAnsi="Times New Roman" w:cs="Times New Roman"/>
          <w:sz w:val="24"/>
          <w:szCs w:val="24"/>
          <w:lang w:eastAsia="en-US"/>
        </w:rPr>
        <w:t>, 16(3), 149–156.</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Adekanmi</w:t>
      </w:r>
      <w:proofErr w:type="spellEnd"/>
      <w:r>
        <w:rPr>
          <w:rFonts w:ascii="Times New Roman" w:eastAsia="Times New Roman" w:hAnsi="Times New Roman" w:cs="Times New Roman"/>
          <w:sz w:val="24"/>
          <w:szCs w:val="24"/>
          <w:lang w:eastAsia="en-US"/>
        </w:rPr>
        <w:t xml:space="preserve">, T. O., Olalekan, A. O., &amp; </w:t>
      </w:r>
      <w:proofErr w:type="spellStart"/>
      <w:r>
        <w:rPr>
          <w:rFonts w:ascii="Times New Roman" w:eastAsia="Times New Roman" w:hAnsi="Times New Roman" w:cs="Times New Roman"/>
          <w:sz w:val="24"/>
          <w:szCs w:val="24"/>
          <w:lang w:eastAsia="en-US"/>
        </w:rPr>
        <w:t>Ige</w:t>
      </w:r>
      <w:proofErr w:type="spellEnd"/>
      <w:r>
        <w:rPr>
          <w:rFonts w:ascii="Times New Roman" w:eastAsia="Times New Roman" w:hAnsi="Times New Roman" w:cs="Times New Roman"/>
          <w:sz w:val="24"/>
          <w:szCs w:val="24"/>
          <w:lang w:eastAsia="en-US"/>
        </w:rPr>
        <w:t xml:space="preserve">, O. M. (2021). </w:t>
      </w:r>
      <w:r>
        <w:rPr>
          <w:rFonts w:ascii="Times New Roman" w:eastAsia="Times New Roman" w:hAnsi="Times New Roman" w:cs="Times New Roman"/>
          <w:bCs/>
          <w:sz w:val="24"/>
          <w:szCs w:val="24"/>
          <w:lang w:eastAsia="en-US"/>
        </w:rPr>
        <w:t>Risk factors and prevalence of tuberculosis infection among patients attending tertiary hospitals in Nigeria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Journal of Public Health in Africa</w:t>
      </w:r>
      <w:r>
        <w:rPr>
          <w:rFonts w:ascii="Times New Roman" w:eastAsia="Times New Roman" w:hAnsi="Times New Roman" w:cs="Times New Roman"/>
          <w:sz w:val="24"/>
          <w:szCs w:val="24"/>
          <w:lang w:eastAsia="en-US"/>
        </w:rPr>
        <w:t>, 12(1), 88–95.</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Ahmadu, A. M., Abubakar, I. A., &amp; Bello, A. (2019). </w:t>
      </w:r>
      <w:r>
        <w:rPr>
          <w:rFonts w:ascii="Times New Roman" w:eastAsia="Times New Roman" w:hAnsi="Times New Roman" w:cs="Times New Roman"/>
          <w:bCs/>
          <w:sz w:val="24"/>
          <w:szCs w:val="24"/>
          <w:lang w:eastAsia="en-US"/>
        </w:rPr>
        <w:t>Alcohol consumption and tuberculosis infection among patients attending selected hospitals in Northern Nigeria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Nigerian Journal of Clinical Practice</w:t>
      </w:r>
      <w:r>
        <w:rPr>
          <w:rFonts w:ascii="Times New Roman" w:eastAsia="Times New Roman" w:hAnsi="Times New Roman" w:cs="Times New Roman"/>
          <w:sz w:val="24"/>
          <w:szCs w:val="24"/>
          <w:lang w:eastAsia="en-US"/>
        </w:rPr>
        <w:t>, 22(5), 684–690.</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Andréjak</w:t>
      </w:r>
      <w:proofErr w:type="spellEnd"/>
      <w:r>
        <w:rPr>
          <w:rFonts w:ascii="Times New Roman" w:eastAsia="Times New Roman" w:hAnsi="Times New Roman" w:cs="Times New Roman"/>
          <w:sz w:val="24"/>
          <w:szCs w:val="24"/>
          <w:lang w:eastAsia="en-US"/>
        </w:rPr>
        <w:t xml:space="preserve">, C., Nielsen, R., Thomsen, V. Ø., </w:t>
      </w:r>
      <w:proofErr w:type="spellStart"/>
      <w:r>
        <w:rPr>
          <w:rFonts w:ascii="Times New Roman" w:eastAsia="Times New Roman" w:hAnsi="Times New Roman" w:cs="Times New Roman"/>
          <w:sz w:val="24"/>
          <w:szCs w:val="24"/>
          <w:lang w:eastAsia="en-US"/>
        </w:rPr>
        <w:t>Duhaut</w:t>
      </w:r>
      <w:proofErr w:type="spellEnd"/>
      <w:r>
        <w:rPr>
          <w:rFonts w:ascii="Times New Roman" w:eastAsia="Times New Roman" w:hAnsi="Times New Roman" w:cs="Times New Roman"/>
          <w:sz w:val="24"/>
          <w:szCs w:val="24"/>
          <w:lang w:eastAsia="en-US"/>
        </w:rPr>
        <w:t xml:space="preserve">, P., </w:t>
      </w:r>
      <w:proofErr w:type="spellStart"/>
      <w:r>
        <w:rPr>
          <w:rFonts w:ascii="Times New Roman" w:eastAsia="Times New Roman" w:hAnsi="Times New Roman" w:cs="Times New Roman"/>
          <w:sz w:val="24"/>
          <w:szCs w:val="24"/>
          <w:lang w:eastAsia="en-US"/>
        </w:rPr>
        <w:t>Sørensen</w:t>
      </w:r>
      <w:proofErr w:type="spellEnd"/>
      <w:r>
        <w:rPr>
          <w:rFonts w:ascii="Times New Roman" w:eastAsia="Times New Roman" w:hAnsi="Times New Roman" w:cs="Times New Roman"/>
          <w:sz w:val="24"/>
          <w:szCs w:val="24"/>
          <w:lang w:eastAsia="en-US"/>
        </w:rPr>
        <w:t xml:space="preserve">, H. T., &amp; Thomsen, R. W. (2010). </w:t>
      </w:r>
      <w:r>
        <w:rPr>
          <w:rFonts w:ascii="Times New Roman" w:eastAsia="Times New Roman" w:hAnsi="Times New Roman" w:cs="Times New Roman"/>
          <w:bCs/>
          <w:sz w:val="24"/>
          <w:szCs w:val="24"/>
          <w:lang w:eastAsia="en-US"/>
        </w:rPr>
        <w:t xml:space="preserve">Chronic respiratory disease, inhaled corticosteroids and risk of non-tuberculous </w:t>
      </w:r>
      <w:proofErr w:type="spellStart"/>
      <w:r>
        <w:rPr>
          <w:rFonts w:ascii="Times New Roman" w:eastAsia="Times New Roman" w:hAnsi="Times New Roman" w:cs="Times New Roman"/>
          <w:bCs/>
          <w:sz w:val="24"/>
          <w:szCs w:val="24"/>
          <w:lang w:eastAsia="en-US"/>
        </w:rPr>
        <w:t>mycobacteriosis</w:t>
      </w:r>
      <w:proofErr w:type="spellEnd"/>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Thorax</w:t>
      </w:r>
      <w:r>
        <w:rPr>
          <w:rFonts w:ascii="Times New Roman" w:eastAsia="Times New Roman" w:hAnsi="Times New Roman" w:cs="Times New Roman"/>
          <w:sz w:val="24"/>
          <w:szCs w:val="24"/>
          <w:lang w:eastAsia="en-US"/>
        </w:rPr>
        <w:t>, 65(3), 256–262.</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Aseffa</w:t>
      </w:r>
      <w:proofErr w:type="spellEnd"/>
      <w:r>
        <w:rPr>
          <w:rFonts w:ascii="Times New Roman" w:eastAsia="Times New Roman" w:hAnsi="Times New Roman" w:cs="Times New Roman"/>
          <w:sz w:val="24"/>
          <w:szCs w:val="24"/>
          <w:lang w:eastAsia="en-US"/>
        </w:rPr>
        <w:t xml:space="preserve">, A., Tadesse, M., &amp; </w:t>
      </w:r>
      <w:proofErr w:type="spellStart"/>
      <w:r>
        <w:rPr>
          <w:rFonts w:ascii="Times New Roman" w:eastAsia="Times New Roman" w:hAnsi="Times New Roman" w:cs="Times New Roman"/>
          <w:sz w:val="24"/>
          <w:szCs w:val="24"/>
          <w:lang w:eastAsia="en-US"/>
        </w:rPr>
        <w:t>Deribew</w:t>
      </w:r>
      <w:proofErr w:type="spellEnd"/>
      <w:r>
        <w:rPr>
          <w:rFonts w:ascii="Times New Roman" w:eastAsia="Times New Roman" w:hAnsi="Times New Roman" w:cs="Times New Roman"/>
          <w:sz w:val="24"/>
          <w:szCs w:val="24"/>
          <w:lang w:eastAsia="en-US"/>
        </w:rPr>
        <w:t xml:space="preserve">, A. (2020). </w:t>
      </w:r>
      <w:r>
        <w:rPr>
          <w:rFonts w:ascii="Times New Roman" w:eastAsia="Times New Roman" w:hAnsi="Times New Roman" w:cs="Times New Roman"/>
          <w:bCs/>
          <w:sz w:val="24"/>
          <w:szCs w:val="24"/>
          <w:lang w:eastAsia="en-US"/>
        </w:rPr>
        <w:t>Knowledge, attitude and practices about tuberculosis among patients in Ethiopia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BMC Public Health</w:t>
      </w:r>
      <w:r>
        <w:rPr>
          <w:rFonts w:ascii="Times New Roman" w:eastAsia="Times New Roman" w:hAnsi="Times New Roman" w:cs="Times New Roman"/>
          <w:sz w:val="24"/>
          <w:szCs w:val="24"/>
          <w:lang w:eastAsia="en-US"/>
        </w:rPr>
        <w:t>, 20, 130.</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Ayele</w:t>
      </w:r>
      <w:proofErr w:type="spellEnd"/>
      <w:r>
        <w:rPr>
          <w:rFonts w:ascii="Times New Roman" w:eastAsia="Times New Roman" w:hAnsi="Times New Roman" w:cs="Times New Roman"/>
          <w:sz w:val="24"/>
          <w:szCs w:val="24"/>
          <w:lang w:eastAsia="en-US"/>
        </w:rPr>
        <w:t xml:space="preserve">, W. Y., Neill, S. D., </w:t>
      </w:r>
      <w:proofErr w:type="spellStart"/>
      <w:r>
        <w:rPr>
          <w:rFonts w:ascii="Times New Roman" w:eastAsia="Times New Roman" w:hAnsi="Times New Roman" w:cs="Times New Roman"/>
          <w:sz w:val="24"/>
          <w:szCs w:val="24"/>
          <w:lang w:eastAsia="en-US"/>
        </w:rPr>
        <w:t>Zinsstag</w:t>
      </w:r>
      <w:proofErr w:type="spellEnd"/>
      <w:r>
        <w:rPr>
          <w:rFonts w:ascii="Times New Roman" w:eastAsia="Times New Roman" w:hAnsi="Times New Roman" w:cs="Times New Roman"/>
          <w:sz w:val="24"/>
          <w:szCs w:val="24"/>
          <w:lang w:eastAsia="en-US"/>
        </w:rPr>
        <w:t xml:space="preserve">, J., Weiss, M. G., &amp; Pavlik, I. (2019). </w:t>
      </w:r>
      <w:r>
        <w:rPr>
          <w:rFonts w:ascii="Times New Roman" w:eastAsia="Times New Roman" w:hAnsi="Times New Roman" w:cs="Times New Roman"/>
          <w:bCs/>
          <w:sz w:val="24"/>
          <w:szCs w:val="24"/>
          <w:lang w:eastAsia="en-US"/>
        </w:rPr>
        <w:t>Bovine tuberculosis: An old disease but a new threat to Africa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International Journal of Tuberculosis and Lung Disease</w:t>
      </w:r>
      <w:r>
        <w:rPr>
          <w:rFonts w:ascii="Times New Roman" w:eastAsia="Times New Roman" w:hAnsi="Times New Roman" w:cs="Times New Roman"/>
          <w:sz w:val="24"/>
          <w:szCs w:val="24"/>
          <w:lang w:eastAsia="en-US"/>
        </w:rPr>
        <w:t>, 8(8), 924–937.</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Banerjee, R., &amp; Starke, J. R. (2016). </w:t>
      </w:r>
      <w:r>
        <w:rPr>
          <w:rFonts w:ascii="Times New Roman" w:eastAsia="Times New Roman" w:hAnsi="Times New Roman" w:cs="Times New Roman"/>
          <w:bCs/>
          <w:sz w:val="24"/>
          <w:szCs w:val="24"/>
          <w:lang w:eastAsia="en-US"/>
        </w:rPr>
        <w:t>Diagnosis and management of tuberculosis in children</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Pediatric Clinics of North America</w:t>
      </w:r>
      <w:r>
        <w:rPr>
          <w:rFonts w:ascii="Times New Roman" w:eastAsia="Times New Roman" w:hAnsi="Times New Roman" w:cs="Times New Roman"/>
          <w:sz w:val="24"/>
          <w:szCs w:val="24"/>
          <w:lang w:eastAsia="en-US"/>
        </w:rPr>
        <w:t>, 63(1), 121–138.</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Cox, H. S., Daniels, J. F., &amp; Muller, O. (2014). </w:t>
      </w:r>
      <w:r>
        <w:rPr>
          <w:rFonts w:ascii="Times New Roman" w:eastAsia="Times New Roman" w:hAnsi="Times New Roman" w:cs="Times New Roman"/>
          <w:bCs/>
          <w:sz w:val="24"/>
          <w:szCs w:val="24"/>
          <w:lang w:eastAsia="en-US"/>
        </w:rPr>
        <w:t>Gender differences in tuberculosis prevalence in South Africa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International Journal of Tuberculosis and Lung Disease</w:t>
      </w:r>
      <w:r>
        <w:rPr>
          <w:rFonts w:ascii="Times New Roman" w:eastAsia="Times New Roman" w:hAnsi="Times New Roman" w:cs="Times New Roman"/>
          <w:sz w:val="24"/>
          <w:szCs w:val="24"/>
          <w:lang w:eastAsia="en-US"/>
        </w:rPr>
        <w:t>, 18(1), 59–65.</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Esteban, J., García-Coca, M., &amp; Fernández-</w:t>
      </w:r>
      <w:proofErr w:type="spellStart"/>
      <w:r>
        <w:rPr>
          <w:rFonts w:ascii="Times New Roman" w:eastAsia="Times New Roman" w:hAnsi="Times New Roman" w:cs="Times New Roman"/>
          <w:sz w:val="24"/>
          <w:szCs w:val="24"/>
          <w:lang w:eastAsia="en-US"/>
        </w:rPr>
        <w:t>Roblas</w:t>
      </w:r>
      <w:proofErr w:type="spellEnd"/>
      <w:r>
        <w:rPr>
          <w:rFonts w:ascii="Times New Roman" w:eastAsia="Times New Roman" w:hAnsi="Times New Roman" w:cs="Times New Roman"/>
          <w:sz w:val="24"/>
          <w:szCs w:val="24"/>
          <w:lang w:eastAsia="en-US"/>
        </w:rPr>
        <w:t xml:space="preserve">, R. (2010). </w:t>
      </w:r>
      <w:r>
        <w:rPr>
          <w:rFonts w:ascii="Times New Roman" w:eastAsia="Times New Roman" w:hAnsi="Times New Roman" w:cs="Times New Roman"/>
          <w:bCs/>
          <w:sz w:val="24"/>
          <w:szCs w:val="24"/>
          <w:lang w:eastAsia="en-US"/>
        </w:rPr>
        <w:t>Non-tuberculous mycobacteria: Clinical significance and management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Journal of Infection</w:t>
      </w:r>
      <w:r>
        <w:rPr>
          <w:rFonts w:ascii="Times New Roman" w:eastAsia="Times New Roman" w:hAnsi="Times New Roman" w:cs="Times New Roman"/>
          <w:sz w:val="24"/>
          <w:szCs w:val="24"/>
          <w:lang w:eastAsia="en-US"/>
        </w:rPr>
        <w:t>, 60(6), 356–362.</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Garcia, B. A., Mendez, L. P., &amp; Alvarez, G. G. (2020). </w:t>
      </w:r>
      <w:r>
        <w:rPr>
          <w:rFonts w:ascii="Times New Roman" w:eastAsia="Times New Roman" w:hAnsi="Times New Roman" w:cs="Times New Roman"/>
          <w:bCs/>
          <w:sz w:val="24"/>
          <w:szCs w:val="24"/>
          <w:lang w:eastAsia="en-US"/>
        </w:rPr>
        <w:t>HIV and tuberculosis coinfection: Epidemiology and clinical impact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Clinical Infectious Diseases</w:t>
      </w:r>
      <w:r>
        <w:rPr>
          <w:rFonts w:ascii="Times New Roman" w:eastAsia="Times New Roman" w:hAnsi="Times New Roman" w:cs="Times New Roman"/>
          <w:sz w:val="24"/>
          <w:szCs w:val="24"/>
          <w:lang w:eastAsia="en-US"/>
        </w:rPr>
        <w:t>, 71(4), 115–121.</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Geng</w:t>
      </w:r>
      <w:proofErr w:type="spellEnd"/>
      <w:r>
        <w:rPr>
          <w:rFonts w:ascii="Times New Roman" w:eastAsia="Times New Roman" w:hAnsi="Times New Roman" w:cs="Times New Roman"/>
          <w:sz w:val="24"/>
          <w:szCs w:val="24"/>
          <w:lang w:eastAsia="en-US"/>
        </w:rPr>
        <w:t xml:space="preserve">, E., </w:t>
      </w:r>
      <w:proofErr w:type="spellStart"/>
      <w:r>
        <w:rPr>
          <w:rFonts w:ascii="Times New Roman" w:eastAsia="Times New Roman" w:hAnsi="Times New Roman" w:cs="Times New Roman"/>
          <w:sz w:val="24"/>
          <w:szCs w:val="24"/>
          <w:lang w:eastAsia="en-US"/>
        </w:rPr>
        <w:t>Kreiswirth</w:t>
      </w:r>
      <w:proofErr w:type="spellEnd"/>
      <w:r>
        <w:rPr>
          <w:rFonts w:ascii="Times New Roman" w:eastAsia="Times New Roman" w:hAnsi="Times New Roman" w:cs="Times New Roman"/>
          <w:sz w:val="24"/>
          <w:szCs w:val="24"/>
          <w:lang w:eastAsia="en-US"/>
        </w:rPr>
        <w:t xml:space="preserve">, B., &amp; Driver, C. (2021). </w:t>
      </w:r>
      <w:r>
        <w:rPr>
          <w:rFonts w:ascii="Times New Roman" w:eastAsia="Times New Roman" w:hAnsi="Times New Roman" w:cs="Times New Roman"/>
          <w:bCs/>
          <w:sz w:val="24"/>
          <w:szCs w:val="24"/>
          <w:lang w:eastAsia="en-US"/>
        </w:rPr>
        <w:t>Transmission dynamics of tuberculosis in occupational settings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Lancet Infectious Diseases</w:t>
      </w:r>
      <w:r>
        <w:rPr>
          <w:rFonts w:ascii="Times New Roman" w:eastAsia="Times New Roman" w:hAnsi="Times New Roman" w:cs="Times New Roman"/>
          <w:sz w:val="24"/>
          <w:szCs w:val="24"/>
          <w:lang w:eastAsia="en-US"/>
        </w:rPr>
        <w:t>, 21(5), e95–e102.</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Glaziou</w:t>
      </w:r>
      <w:proofErr w:type="spellEnd"/>
      <w:r>
        <w:rPr>
          <w:rFonts w:ascii="Times New Roman" w:eastAsia="Times New Roman" w:hAnsi="Times New Roman" w:cs="Times New Roman"/>
          <w:sz w:val="24"/>
          <w:szCs w:val="24"/>
          <w:lang w:eastAsia="en-US"/>
        </w:rPr>
        <w:t xml:space="preserve">, P., Floyd, K., &amp; </w:t>
      </w:r>
      <w:proofErr w:type="spellStart"/>
      <w:r>
        <w:rPr>
          <w:rFonts w:ascii="Times New Roman" w:eastAsia="Times New Roman" w:hAnsi="Times New Roman" w:cs="Times New Roman"/>
          <w:sz w:val="24"/>
          <w:szCs w:val="24"/>
          <w:lang w:eastAsia="en-US"/>
        </w:rPr>
        <w:t>Raviglione</w:t>
      </w:r>
      <w:proofErr w:type="spellEnd"/>
      <w:r>
        <w:rPr>
          <w:rFonts w:ascii="Times New Roman" w:eastAsia="Times New Roman" w:hAnsi="Times New Roman" w:cs="Times New Roman"/>
          <w:sz w:val="24"/>
          <w:szCs w:val="24"/>
          <w:lang w:eastAsia="en-US"/>
        </w:rPr>
        <w:t xml:space="preserve">, M. C. (2015). </w:t>
      </w:r>
      <w:r>
        <w:rPr>
          <w:rFonts w:ascii="Times New Roman" w:eastAsia="Times New Roman" w:hAnsi="Times New Roman" w:cs="Times New Roman"/>
          <w:bCs/>
          <w:sz w:val="24"/>
          <w:szCs w:val="24"/>
          <w:lang w:eastAsia="en-US"/>
        </w:rPr>
        <w:t>Global epidemiology of tuberculosis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Seminars in Respiratory and Critical Care Medicine</w:t>
      </w:r>
      <w:r>
        <w:rPr>
          <w:rFonts w:ascii="Times New Roman" w:eastAsia="Times New Roman" w:hAnsi="Times New Roman" w:cs="Times New Roman"/>
          <w:sz w:val="24"/>
          <w:szCs w:val="24"/>
          <w:lang w:eastAsia="en-US"/>
        </w:rPr>
        <w:t>, 36(3), 291–301.</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Gonzalo, X., &amp; </w:t>
      </w:r>
      <w:proofErr w:type="spellStart"/>
      <w:r>
        <w:rPr>
          <w:rFonts w:ascii="Times New Roman" w:eastAsia="Times New Roman" w:hAnsi="Times New Roman" w:cs="Times New Roman"/>
          <w:sz w:val="24"/>
          <w:szCs w:val="24"/>
          <w:lang w:eastAsia="en-US"/>
        </w:rPr>
        <w:t>Drobniewski</w:t>
      </w:r>
      <w:proofErr w:type="spellEnd"/>
      <w:r>
        <w:rPr>
          <w:rFonts w:ascii="Times New Roman" w:eastAsia="Times New Roman" w:hAnsi="Times New Roman" w:cs="Times New Roman"/>
          <w:sz w:val="24"/>
          <w:szCs w:val="24"/>
          <w:lang w:eastAsia="en-US"/>
        </w:rPr>
        <w:t xml:space="preserve">, F. (2017). </w:t>
      </w:r>
      <w:r>
        <w:rPr>
          <w:rFonts w:ascii="Times New Roman" w:eastAsia="Times New Roman" w:hAnsi="Times New Roman" w:cs="Times New Roman"/>
          <w:bCs/>
          <w:sz w:val="24"/>
          <w:szCs w:val="24"/>
          <w:lang w:eastAsia="en-US"/>
        </w:rPr>
        <w:t>Is there a place for non-tuberculous mycobacteria in global tuberculosis control?</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Journal of Clinical Tuberculosis and Other Mycobacterial Diseases</w:t>
      </w:r>
      <w:r>
        <w:rPr>
          <w:rFonts w:ascii="Times New Roman" w:eastAsia="Times New Roman" w:hAnsi="Times New Roman" w:cs="Times New Roman"/>
          <w:sz w:val="24"/>
          <w:szCs w:val="24"/>
          <w:lang w:eastAsia="en-US"/>
        </w:rPr>
        <w:t>, 8, 28–33.</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Grant, I. R., Ball, H. J., &amp; Rowe, M. T. (1996). </w:t>
      </w:r>
      <w:r>
        <w:rPr>
          <w:rFonts w:ascii="Times New Roman" w:eastAsia="Times New Roman" w:hAnsi="Times New Roman" w:cs="Times New Roman"/>
          <w:bCs/>
          <w:sz w:val="24"/>
          <w:szCs w:val="24"/>
          <w:lang w:eastAsia="en-US"/>
        </w:rPr>
        <w:t>Effect of pasteurization on Mycobacterium species in milk</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Applied and Environmental Microbiology</w:t>
      </w:r>
      <w:r>
        <w:rPr>
          <w:rFonts w:ascii="Times New Roman" w:eastAsia="Times New Roman" w:hAnsi="Times New Roman" w:cs="Times New Roman"/>
          <w:sz w:val="24"/>
          <w:szCs w:val="24"/>
          <w:lang w:eastAsia="en-US"/>
        </w:rPr>
        <w:t>, 62(2), 631–636.</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Ige</w:t>
      </w:r>
      <w:proofErr w:type="spellEnd"/>
      <w:r>
        <w:rPr>
          <w:rFonts w:ascii="Times New Roman" w:eastAsia="Times New Roman" w:hAnsi="Times New Roman" w:cs="Times New Roman"/>
          <w:sz w:val="24"/>
          <w:szCs w:val="24"/>
          <w:lang w:eastAsia="en-US"/>
        </w:rPr>
        <w:t xml:space="preserve">, O. M., </w:t>
      </w:r>
      <w:proofErr w:type="spellStart"/>
      <w:r>
        <w:rPr>
          <w:rFonts w:ascii="Times New Roman" w:eastAsia="Times New Roman" w:hAnsi="Times New Roman" w:cs="Times New Roman"/>
          <w:sz w:val="24"/>
          <w:szCs w:val="24"/>
          <w:lang w:eastAsia="en-US"/>
        </w:rPr>
        <w:t>Sogaolu</w:t>
      </w:r>
      <w:proofErr w:type="spellEnd"/>
      <w:r>
        <w:rPr>
          <w:rFonts w:ascii="Times New Roman" w:eastAsia="Times New Roman" w:hAnsi="Times New Roman" w:cs="Times New Roman"/>
          <w:sz w:val="24"/>
          <w:szCs w:val="24"/>
          <w:lang w:eastAsia="en-US"/>
        </w:rPr>
        <w:t xml:space="preserve">, O. M., &amp; </w:t>
      </w:r>
      <w:proofErr w:type="spellStart"/>
      <w:r>
        <w:rPr>
          <w:rFonts w:ascii="Times New Roman" w:eastAsia="Times New Roman" w:hAnsi="Times New Roman" w:cs="Times New Roman"/>
          <w:sz w:val="24"/>
          <w:szCs w:val="24"/>
          <w:lang w:eastAsia="en-US"/>
        </w:rPr>
        <w:t>Ogunlade</w:t>
      </w:r>
      <w:proofErr w:type="spellEnd"/>
      <w:r>
        <w:rPr>
          <w:rFonts w:ascii="Times New Roman" w:eastAsia="Times New Roman" w:hAnsi="Times New Roman" w:cs="Times New Roman"/>
          <w:sz w:val="24"/>
          <w:szCs w:val="24"/>
          <w:lang w:eastAsia="en-US"/>
        </w:rPr>
        <w:t xml:space="preserve">, O. A. (2019). </w:t>
      </w:r>
      <w:r>
        <w:rPr>
          <w:rFonts w:ascii="Times New Roman" w:eastAsia="Times New Roman" w:hAnsi="Times New Roman" w:cs="Times New Roman"/>
          <w:bCs/>
          <w:sz w:val="24"/>
          <w:szCs w:val="24"/>
          <w:lang w:eastAsia="en-US"/>
        </w:rPr>
        <w:t>Delay in diagnosis of tuberculosis in Zambia: A cross-sectional study</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BMC Public Health</w:t>
      </w:r>
      <w:r>
        <w:rPr>
          <w:rFonts w:ascii="Times New Roman" w:eastAsia="Times New Roman" w:hAnsi="Times New Roman" w:cs="Times New Roman"/>
          <w:sz w:val="24"/>
          <w:szCs w:val="24"/>
          <w:lang w:eastAsia="en-US"/>
        </w:rPr>
        <w:t>, 19, 342.</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Iwegbu</w:t>
      </w:r>
      <w:proofErr w:type="spellEnd"/>
      <w:r>
        <w:rPr>
          <w:rFonts w:ascii="Times New Roman" w:eastAsia="Times New Roman" w:hAnsi="Times New Roman" w:cs="Times New Roman"/>
          <w:sz w:val="24"/>
          <w:szCs w:val="24"/>
          <w:lang w:eastAsia="en-US"/>
        </w:rPr>
        <w:t xml:space="preserve">, C. G., Olowe, O. A., &amp; </w:t>
      </w:r>
      <w:proofErr w:type="spellStart"/>
      <w:r>
        <w:rPr>
          <w:rFonts w:ascii="Times New Roman" w:eastAsia="Times New Roman" w:hAnsi="Times New Roman" w:cs="Times New Roman"/>
          <w:sz w:val="24"/>
          <w:szCs w:val="24"/>
          <w:lang w:eastAsia="en-US"/>
        </w:rPr>
        <w:t>Ijaduola</w:t>
      </w:r>
      <w:proofErr w:type="spellEnd"/>
      <w:r>
        <w:rPr>
          <w:rFonts w:ascii="Times New Roman" w:eastAsia="Times New Roman" w:hAnsi="Times New Roman" w:cs="Times New Roman"/>
          <w:sz w:val="24"/>
          <w:szCs w:val="24"/>
          <w:lang w:eastAsia="en-US"/>
        </w:rPr>
        <w:t xml:space="preserve">, T. K. (2018). </w:t>
      </w:r>
      <w:r>
        <w:rPr>
          <w:rFonts w:ascii="Times New Roman" w:eastAsia="Times New Roman" w:hAnsi="Times New Roman" w:cs="Times New Roman"/>
          <w:bCs/>
          <w:sz w:val="24"/>
          <w:szCs w:val="24"/>
          <w:lang w:eastAsia="en-US"/>
        </w:rPr>
        <w:t>Tuberculosis prevalence among patients attending tertiary health facilities in Nigeria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African Journal of Clinical and Experimental Microbiology</w:t>
      </w:r>
      <w:r>
        <w:rPr>
          <w:rFonts w:ascii="Times New Roman" w:eastAsia="Times New Roman" w:hAnsi="Times New Roman" w:cs="Times New Roman"/>
          <w:sz w:val="24"/>
          <w:szCs w:val="24"/>
          <w:lang w:eastAsia="en-US"/>
        </w:rPr>
        <w:t>, 19(2), 98–104.</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Jean, R. (2003). </w:t>
      </w:r>
      <w:r>
        <w:rPr>
          <w:rFonts w:ascii="Times New Roman" w:eastAsia="Times New Roman" w:hAnsi="Times New Roman" w:cs="Times New Roman"/>
          <w:bCs/>
          <w:sz w:val="24"/>
          <w:szCs w:val="24"/>
          <w:lang w:eastAsia="en-US"/>
        </w:rPr>
        <w:t>History of tuberculosis and its treatment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Respiratory Medicine</w:t>
      </w:r>
      <w:r>
        <w:rPr>
          <w:rFonts w:ascii="Times New Roman" w:eastAsia="Times New Roman" w:hAnsi="Times New Roman" w:cs="Times New Roman"/>
          <w:sz w:val="24"/>
          <w:szCs w:val="24"/>
          <w:lang w:eastAsia="en-US"/>
        </w:rPr>
        <w:t>, 97(1), 1–7.</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Knut, L., Moller, H., &amp; Johansen, I. (2008). </w:t>
      </w:r>
      <w:r>
        <w:rPr>
          <w:rFonts w:ascii="Times New Roman" w:eastAsia="Times New Roman" w:hAnsi="Times New Roman" w:cs="Times New Roman"/>
          <w:bCs/>
          <w:sz w:val="24"/>
          <w:szCs w:val="24"/>
          <w:lang w:eastAsia="en-US"/>
        </w:rPr>
        <w:t>Alcohol consumption and risk of tuberculosis infection</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International Journal of Epidemiology</w:t>
      </w:r>
      <w:r>
        <w:rPr>
          <w:rFonts w:ascii="Times New Roman" w:eastAsia="Times New Roman" w:hAnsi="Times New Roman" w:cs="Times New Roman"/>
          <w:sz w:val="24"/>
          <w:szCs w:val="24"/>
          <w:lang w:eastAsia="en-US"/>
        </w:rPr>
        <w:t>, 37(3), 589–597.</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Koppaka</w:t>
      </w:r>
      <w:proofErr w:type="spellEnd"/>
      <w:r>
        <w:rPr>
          <w:rFonts w:ascii="Times New Roman" w:eastAsia="Times New Roman" w:hAnsi="Times New Roman" w:cs="Times New Roman"/>
          <w:sz w:val="24"/>
          <w:szCs w:val="24"/>
          <w:lang w:eastAsia="en-US"/>
        </w:rPr>
        <w:t xml:space="preserve">, V., Bock, N., &amp; Moulton, L. H. (2019). </w:t>
      </w:r>
      <w:r>
        <w:rPr>
          <w:rFonts w:ascii="Times New Roman" w:eastAsia="Times New Roman" w:hAnsi="Times New Roman" w:cs="Times New Roman"/>
          <w:bCs/>
          <w:sz w:val="24"/>
          <w:szCs w:val="24"/>
          <w:lang w:eastAsia="en-US"/>
        </w:rPr>
        <w:t>Risk factors for tuberculosis in HIV infected populations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Clinical Infectious Diseases</w:t>
      </w:r>
      <w:r>
        <w:rPr>
          <w:rFonts w:ascii="Times New Roman" w:eastAsia="Times New Roman" w:hAnsi="Times New Roman" w:cs="Times New Roman"/>
          <w:sz w:val="24"/>
          <w:szCs w:val="24"/>
          <w:lang w:eastAsia="en-US"/>
        </w:rPr>
        <w:t>, 48(6), 702–709.</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Kumar, A., Gupta, D., &amp; Agarwal, R. (2010). </w:t>
      </w:r>
      <w:r>
        <w:rPr>
          <w:rFonts w:ascii="Times New Roman" w:eastAsia="Times New Roman" w:hAnsi="Times New Roman" w:cs="Times New Roman"/>
          <w:bCs/>
          <w:sz w:val="24"/>
          <w:szCs w:val="24"/>
          <w:lang w:eastAsia="en-US"/>
        </w:rPr>
        <w:t>Socio-demographic factors associated with tuberculosis in India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Indian Journal of Medical Research</w:t>
      </w:r>
      <w:r>
        <w:rPr>
          <w:rFonts w:ascii="Times New Roman" w:eastAsia="Times New Roman" w:hAnsi="Times New Roman" w:cs="Times New Roman"/>
          <w:sz w:val="24"/>
          <w:szCs w:val="24"/>
          <w:lang w:eastAsia="en-US"/>
        </w:rPr>
        <w:t>, 131(1), 52–57.</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C. Q., Anno, I. S., </w:t>
      </w: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S. R., </w:t>
      </w:r>
      <w:proofErr w:type="spellStart"/>
      <w:r>
        <w:rPr>
          <w:rFonts w:ascii="Times New Roman" w:eastAsia="Times New Roman" w:hAnsi="Times New Roman" w:cs="Times New Roman"/>
          <w:sz w:val="24"/>
          <w:szCs w:val="24"/>
          <w:lang w:eastAsia="en-US"/>
        </w:rPr>
        <w:t>Roxo</w:t>
      </w:r>
      <w:proofErr w:type="spellEnd"/>
      <w:r>
        <w:rPr>
          <w:rFonts w:ascii="Times New Roman" w:eastAsia="Times New Roman" w:hAnsi="Times New Roman" w:cs="Times New Roman"/>
          <w:sz w:val="24"/>
          <w:szCs w:val="24"/>
          <w:lang w:eastAsia="en-US"/>
        </w:rPr>
        <w:t xml:space="preserve">, E., Morlock, G. P., Cooksey, R. C., &amp; </w:t>
      </w: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D. S. (2003). </w:t>
      </w:r>
      <w:r>
        <w:rPr>
          <w:rFonts w:ascii="Times New Roman" w:eastAsia="Times New Roman" w:hAnsi="Times New Roman" w:cs="Times New Roman"/>
          <w:bCs/>
          <w:sz w:val="24"/>
          <w:szCs w:val="24"/>
          <w:lang w:eastAsia="en-US"/>
        </w:rPr>
        <w:t>Isolation and identification of mycobacteria from pasteurized milk in Brazil</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Brazilian Journal of Microbiology</w:t>
      </w:r>
      <w:r>
        <w:rPr>
          <w:rFonts w:ascii="Times New Roman" w:eastAsia="Times New Roman" w:hAnsi="Times New Roman" w:cs="Times New Roman"/>
          <w:sz w:val="24"/>
          <w:szCs w:val="24"/>
          <w:lang w:eastAsia="en-US"/>
        </w:rPr>
        <w:t>, 34(3), 242–246.</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Migliori</w:t>
      </w:r>
      <w:proofErr w:type="spellEnd"/>
      <w:r>
        <w:rPr>
          <w:rFonts w:ascii="Times New Roman" w:eastAsia="Times New Roman" w:hAnsi="Times New Roman" w:cs="Times New Roman"/>
          <w:sz w:val="24"/>
          <w:szCs w:val="24"/>
          <w:lang w:eastAsia="en-US"/>
        </w:rPr>
        <w:t xml:space="preserve">, G. B., Thong, P. M., </w:t>
      </w:r>
      <w:proofErr w:type="spellStart"/>
      <w:r>
        <w:rPr>
          <w:rFonts w:ascii="Times New Roman" w:eastAsia="Times New Roman" w:hAnsi="Times New Roman" w:cs="Times New Roman"/>
          <w:sz w:val="24"/>
          <w:szCs w:val="24"/>
          <w:lang w:eastAsia="en-US"/>
        </w:rPr>
        <w:t>Akkerman</w:t>
      </w:r>
      <w:proofErr w:type="spellEnd"/>
      <w:r>
        <w:rPr>
          <w:rFonts w:ascii="Times New Roman" w:eastAsia="Times New Roman" w:hAnsi="Times New Roman" w:cs="Times New Roman"/>
          <w:sz w:val="24"/>
          <w:szCs w:val="24"/>
          <w:lang w:eastAsia="en-US"/>
        </w:rPr>
        <w:t xml:space="preserve">, O., et al. (2022). </w:t>
      </w:r>
      <w:r>
        <w:rPr>
          <w:rFonts w:ascii="Times New Roman" w:eastAsia="Times New Roman" w:hAnsi="Times New Roman" w:cs="Times New Roman"/>
          <w:bCs/>
          <w:sz w:val="24"/>
          <w:szCs w:val="24"/>
          <w:lang w:eastAsia="en-US"/>
        </w:rPr>
        <w:t>Worldwide epidemiology of multidrug-resistant tuberculosis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European Respiratory Journal</w:t>
      </w:r>
      <w:r>
        <w:rPr>
          <w:rFonts w:ascii="Times New Roman" w:eastAsia="Times New Roman" w:hAnsi="Times New Roman" w:cs="Times New Roman"/>
          <w:sz w:val="24"/>
          <w:szCs w:val="24"/>
          <w:lang w:eastAsia="en-US"/>
        </w:rPr>
        <w:t>, 59(3), 2100175.</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Mohan, A., Sharma, S. K., &amp; </w:t>
      </w:r>
      <w:proofErr w:type="spellStart"/>
      <w:r>
        <w:rPr>
          <w:rFonts w:ascii="Times New Roman" w:eastAsia="Times New Roman" w:hAnsi="Times New Roman" w:cs="Times New Roman"/>
          <w:sz w:val="24"/>
          <w:szCs w:val="24"/>
          <w:lang w:eastAsia="en-US"/>
        </w:rPr>
        <w:t>Pande</w:t>
      </w:r>
      <w:proofErr w:type="spellEnd"/>
      <w:r>
        <w:rPr>
          <w:rFonts w:ascii="Times New Roman" w:eastAsia="Times New Roman" w:hAnsi="Times New Roman" w:cs="Times New Roman"/>
          <w:sz w:val="24"/>
          <w:szCs w:val="24"/>
          <w:lang w:eastAsia="en-US"/>
        </w:rPr>
        <w:t xml:space="preserve">, J. N. (2007). </w:t>
      </w:r>
      <w:r>
        <w:rPr>
          <w:rFonts w:ascii="Times New Roman" w:eastAsia="Times New Roman" w:hAnsi="Times New Roman" w:cs="Times New Roman"/>
          <w:bCs/>
          <w:sz w:val="24"/>
          <w:szCs w:val="24"/>
          <w:lang w:eastAsia="en-US"/>
        </w:rPr>
        <w:t>Tuberculosis in India: Epidemiology and control strategies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Indian Journal of Medical Research</w:t>
      </w:r>
      <w:r>
        <w:rPr>
          <w:rFonts w:ascii="Times New Roman" w:eastAsia="Times New Roman" w:hAnsi="Times New Roman" w:cs="Times New Roman"/>
          <w:sz w:val="24"/>
          <w:szCs w:val="24"/>
          <w:lang w:eastAsia="en-US"/>
        </w:rPr>
        <w:t>, 120(4), 316–353.</w:t>
      </w:r>
    </w:p>
    <w:p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Moser, K., Marais, B. J., &amp; Van </w:t>
      </w:r>
      <w:proofErr w:type="spellStart"/>
      <w:r>
        <w:rPr>
          <w:rFonts w:ascii="Times New Roman" w:eastAsia="Times New Roman" w:hAnsi="Times New Roman" w:cs="Times New Roman"/>
          <w:sz w:val="24"/>
          <w:szCs w:val="24"/>
          <w:lang w:eastAsia="en-US"/>
        </w:rPr>
        <w:t>Helden</w:t>
      </w:r>
      <w:proofErr w:type="spellEnd"/>
      <w:r>
        <w:rPr>
          <w:rFonts w:ascii="Times New Roman" w:eastAsia="Times New Roman" w:hAnsi="Times New Roman" w:cs="Times New Roman"/>
          <w:sz w:val="24"/>
          <w:szCs w:val="24"/>
          <w:lang w:eastAsia="en-US"/>
        </w:rPr>
        <w:t xml:space="preserve">, P. (2018). </w:t>
      </w:r>
      <w:r>
        <w:rPr>
          <w:rFonts w:ascii="Times New Roman" w:eastAsia="Times New Roman" w:hAnsi="Times New Roman" w:cs="Times New Roman"/>
          <w:bCs/>
          <w:sz w:val="24"/>
          <w:szCs w:val="24"/>
          <w:lang w:eastAsia="en-US"/>
        </w:rPr>
        <w:t>Tuberculosis transmission and risk factors in urban populations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Lancet Global Health</w:t>
      </w:r>
      <w:r>
        <w:rPr>
          <w:rFonts w:ascii="Times New Roman" w:eastAsia="Times New Roman" w:hAnsi="Times New Roman" w:cs="Times New Roman"/>
          <w:sz w:val="24"/>
          <w:szCs w:val="24"/>
          <w:lang w:eastAsia="en-US"/>
        </w:rPr>
        <w:t>, 6(6), e644–e653.</w:t>
      </w:r>
    </w:p>
    <w:p w:rsidR="0057282D" w:rsidRDefault="0057282D">
      <w:pPr>
        <w:spacing w:beforeAutospacing="1" w:afterAutospacing="1"/>
        <w:jc w:val="both"/>
        <w:rPr>
          <w:rFonts w:ascii="Times New Roman" w:eastAsia="DengXian" w:hAnsi="Times New Roman"/>
          <w:sz w:val="24"/>
          <w:szCs w:val="24"/>
        </w:rPr>
      </w:pPr>
    </w:p>
    <w:p w:rsidR="0057282D" w:rsidRDefault="0057282D">
      <w:pPr>
        <w:spacing w:beforeAutospacing="1" w:afterAutospacing="1"/>
        <w:jc w:val="both"/>
        <w:rPr>
          <w:rFonts w:ascii="Times New Roman" w:eastAsia="DengXian" w:hAnsi="Times New Roman"/>
          <w:sz w:val="24"/>
          <w:szCs w:val="24"/>
        </w:rPr>
      </w:pPr>
    </w:p>
    <w:p w:rsidR="0057282D" w:rsidRDefault="0057282D">
      <w:pPr>
        <w:rPr>
          <w:rFonts w:eastAsia="DengXian"/>
        </w:rPr>
      </w:pPr>
    </w:p>
    <w:p w:rsidR="0057282D" w:rsidRDefault="00D42155">
      <w:pPr>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7282D" w:rsidRDefault="0057282D">
      <w:pPr>
        <w:jc w:val="both"/>
        <w:outlineLvl w:val="3"/>
        <w:rPr>
          <w:rFonts w:ascii="Times New Roman" w:eastAsia="Times New Roman" w:hAnsi="Times New Roman"/>
          <w:sz w:val="24"/>
          <w:szCs w:val="24"/>
        </w:rPr>
      </w:pPr>
    </w:p>
    <w:p w:rsidR="0057282D" w:rsidRDefault="0057282D">
      <w:pPr>
        <w:jc w:val="both"/>
        <w:outlineLvl w:val="3"/>
        <w:rPr>
          <w:rFonts w:ascii="Times New Roman" w:eastAsia="Times New Roman" w:hAnsi="Times New Roman"/>
          <w:sz w:val="24"/>
          <w:szCs w:val="24"/>
        </w:rPr>
      </w:pPr>
    </w:p>
    <w:p w:rsidR="0057282D" w:rsidRDefault="00D42155">
      <w:pPr>
        <w:spacing w:line="480" w:lineRule="auto"/>
        <w:jc w:val="both"/>
        <w:outlineLvl w:val="3"/>
        <w:rPr>
          <w:rFonts w:ascii="Times New Roman" w:eastAsia="Times New Roman" w:hAnsi="Times New Roman"/>
          <w:sz w:val="24"/>
          <w:szCs w:val="24"/>
        </w:rPr>
      </w:pPr>
      <w:r>
        <w:rPr>
          <w:rFonts w:ascii="Times New Roman" w:eastAsia="Times New Roman" w:hAnsi="Times New Roman"/>
          <w:sz w:val="24"/>
          <w:szCs w:val="24"/>
        </w:rPr>
        <w:t xml:space="preserve"> </w:t>
      </w:r>
    </w:p>
    <w:p w:rsidR="0057282D" w:rsidRDefault="0057282D">
      <w:pPr>
        <w:spacing w:line="480" w:lineRule="auto"/>
        <w:jc w:val="both"/>
        <w:outlineLvl w:val="3"/>
        <w:rPr>
          <w:rFonts w:ascii="Times New Roman" w:eastAsia="Times New Roman" w:hAnsi="Times New Roman"/>
          <w:sz w:val="24"/>
          <w:szCs w:val="24"/>
        </w:rPr>
      </w:pPr>
    </w:p>
    <w:p w:rsidR="0057282D" w:rsidRDefault="0057282D">
      <w:pPr>
        <w:spacing w:line="360" w:lineRule="auto"/>
        <w:ind w:firstLine="720"/>
        <w:jc w:val="both"/>
        <w:rPr>
          <w:rFonts w:ascii="Times New Roman" w:hAnsi="Times New Roman"/>
          <w:sz w:val="24"/>
          <w:szCs w:val="24"/>
        </w:rPr>
      </w:pPr>
    </w:p>
    <w:p w:rsidR="0057282D" w:rsidRDefault="0057282D">
      <w:pPr>
        <w:jc w:val="both"/>
      </w:pPr>
    </w:p>
    <w:p w:rsidR="0057282D" w:rsidRDefault="0057282D">
      <w:pPr>
        <w:ind w:firstLineChars="550" w:firstLine="1320"/>
        <w:rPr>
          <w:rFonts w:ascii="Times New Roman" w:hAnsi="Times New Roman" w:cs="Times New Roman"/>
          <w:sz w:val="24"/>
          <w:szCs w:val="24"/>
        </w:rPr>
      </w:pPr>
    </w:p>
    <w:p w:rsidR="0057282D" w:rsidRDefault="0057282D">
      <w:pPr>
        <w:ind w:left="480" w:hangingChars="200" w:hanging="480"/>
        <w:rPr>
          <w:rFonts w:ascii="Times New Roman" w:hAnsi="Times New Roman" w:cs="Times New Roman"/>
          <w:sz w:val="24"/>
          <w:szCs w:val="24"/>
        </w:rPr>
      </w:pPr>
    </w:p>
    <w:p w:rsidR="0057282D" w:rsidRDefault="0057282D">
      <w:pPr>
        <w:jc w:val="both"/>
        <w:rPr>
          <w:rFonts w:ascii="Times New Roman" w:eastAsia="Times New Roman" w:hAnsi="Times New Roman" w:cs="Times New Roman"/>
          <w:sz w:val="24"/>
          <w:szCs w:val="24"/>
          <w:lang w:bidi="ar"/>
        </w:rPr>
      </w:pPr>
    </w:p>
    <w:p w:rsidR="0057282D" w:rsidRDefault="0057282D">
      <w:pPr>
        <w:jc w:val="both"/>
        <w:rPr>
          <w:rFonts w:ascii="Times New Roman" w:eastAsia="DengXian" w:hAnsi="Times New Roman"/>
          <w:sz w:val="24"/>
          <w:szCs w:val="24"/>
        </w:rPr>
      </w:pPr>
    </w:p>
    <w:p w:rsidR="0057282D" w:rsidRDefault="0057282D">
      <w:pPr>
        <w:rPr>
          <w:rFonts w:ascii="Times New Roman" w:hAnsi="Times New Roman"/>
          <w:b/>
          <w:bCs/>
          <w:sz w:val="24"/>
          <w:szCs w:val="24"/>
        </w:rPr>
      </w:pPr>
    </w:p>
    <w:p w:rsidR="0057282D" w:rsidRDefault="0057282D">
      <w:pPr>
        <w:rPr>
          <w:rFonts w:ascii="Times New Roman" w:hAnsi="Times New Roman"/>
          <w:sz w:val="24"/>
          <w:szCs w:val="24"/>
        </w:rPr>
      </w:pPr>
    </w:p>
    <w:p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rsidR="0057282D" w:rsidRDefault="0057282D">
      <w:pPr>
        <w:tabs>
          <w:tab w:val="left" w:pos="360"/>
          <w:tab w:val="left" w:pos="1080"/>
        </w:tabs>
        <w:jc w:val="both"/>
        <w:rPr>
          <w:rFonts w:ascii="Times New Roman" w:hAnsi="Times New Roman" w:cs="Times New Roman"/>
          <w:sz w:val="24"/>
          <w:szCs w:val="24"/>
        </w:rPr>
      </w:pPr>
    </w:p>
    <w:p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rsidR="0057282D" w:rsidRDefault="0057282D">
      <w:pPr>
        <w:tabs>
          <w:tab w:val="left" w:pos="360"/>
          <w:tab w:val="left" w:pos="1080"/>
          <w:tab w:val="left" w:pos="1200"/>
          <w:tab w:val="left" w:pos="1440"/>
          <w:tab w:val="left" w:pos="2520"/>
        </w:tabs>
        <w:jc w:val="both"/>
        <w:rPr>
          <w:rFonts w:ascii="Times New Roman" w:hAnsi="Times New Roman" w:cs="Times New Roman"/>
          <w:sz w:val="24"/>
          <w:szCs w:val="24"/>
        </w:rPr>
      </w:pPr>
    </w:p>
    <w:p w:rsidR="0057282D" w:rsidRDefault="0057282D">
      <w:pPr>
        <w:widowControl w:val="0"/>
        <w:overflowPunct w:val="0"/>
        <w:autoSpaceDE w:val="0"/>
        <w:adjustRightInd w:val="0"/>
        <w:jc w:val="both"/>
        <w:rPr>
          <w:rFonts w:eastAsia="DengXian"/>
        </w:rPr>
      </w:pPr>
    </w:p>
    <w:p w:rsidR="0057282D" w:rsidRDefault="0057282D">
      <w:pPr>
        <w:widowControl w:val="0"/>
        <w:overflowPunct w:val="0"/>
        <w:autoSpaceDE w:val="0"/>
        <w:adjustRightInd w:val="0"/>
        <w:jc w:val="both"/>
        <w:rPr>
          <w:rFonts w:ascii="Times New Roman" w:eastAsia="Arial Unicode MS" w:hAnsi="Times New Roman"/>
          <w:kern w:val="28"/>
          <w:sz w:val="24"/>
          <w:szCs w:val="24"/>
        </w:rPr>
      </w:pPr>
    </w:p>
    <w:p w:rsidR="0057282D" w:rsidRDefault="0057282D">
      <w:pPr>
        <w:jc w:val="both"/>
        <w:rPr>
          <w:rFonts w:ascii="Times New Roman" w:hAnsi="Times New Roman"/>
          <w:sz w:val="24"/>
          <w:szCs w:val="24"/>
        </w:rPr>
      </w:pPr>
    </w:p>
    <w:p w:rsidR="0057282D" w:rsidRDefault="0057282D">
      <w:pPr>
        <w:jc w:val="both"/>
        <w:rPr>
          <w:rFonts w:ascii="Times New Roman" w:hAnsi="Times New Roman"/>
          <w:b/>
          <w:bCs/>
          <w:iCs/>
          <w:color w:val="222222"/>
          <w:sz w:val="24"/>
          <w:szCs w:val="24"/>
          <w:shd w:val="clear" w:color="auto" w:fill="FFFFFF"/>
        </w:rPr>
      </w:pPr>
    </w:p>
    <w:p w:rsidR="0057282D" w:rsidRDefault="0057282D">
      <w:pPr>
        <w:pStyle w:val="NoSpacing"/>
        <w:jc w:val="both"/>
        <w:rPr>
          <w:rFonts w:ascii="Times New Roman" w:hAnsi="Times New Roman" w:cs="Times New Roman"/>
          <w:sz w:val="24"/>
          <w:szCs w:val="24"/>
        </w:rPr>
      </w:pPr>
    </w:p>
    <w:p w:rsidR="0057282D" w:rsidRDefault="0057282D">
      <w:pPr>
        <w:pStyle w:val="NoSpacing"/>
        <w:jc w:val="both"/>
        <w:rPr>
          <w:rFonts w:ascii="Times New Roman" w:hAnsi="Times New Roman" w:cs="Times New Roman"/>
          <w:sz w:val="24"/>
          <w:szCs w:val="24"/>
        </w:rPr>
      </w:pPr>
    </w:p>
    <w:p w:rsidR="0057282D" w:rsidRDefault="0057282D">
      <w:pPr>
        <w:pStyle w:val="NoSpacing"/>
        <w:spacing w:line="480" w:lineRule="auto"/>
        <w:jc w:val="both"/>
        <w:rPr>
          <w:rFonts w:ascii="Times New Roman" w:hAnsi="Times New Roman" w:cs="Times New Roman"/>
          <w:sz w:val="24"/>
          <w:szCs w:val="24"/>
        </w:rPr>
      </w:pPr>
    </w:p>
    <w:p w:rsidR="0057282D" w:rsidRDefault="0057282D">
      <w:pPr>
        <w:pStyle w:val="NoSpacing"/>
        <w:spacing w:line="360" w:lineRule="auto"/>
        <w:jc w:val="both"/>
        <w:rPr>
          <w:rFonts w:ascii="Times New Roman" w:hAnsi="Times New Roman" w:cs="Times New Roman"/>
          <w:sz w:val="24"/>
          <w:szCs w:val="24"/>
          <w:lang w:val="en-GB"/>
        </w:rPr>
      </w:pPr>
    </w:p>
    <w:p w:rsidR="0057282D" w:rsidRDefault="0057282D">
      <w:pPr>
        <w:pStyle w:val="NormalWeb"/>
        <w:jc w:val="both"/>
      </w:pPr>
    </w:p>
    <w:p w:rsidR="0057282D" w:rsidRDefault="0057282D">
      <w:pPr>
        <w:spacing w:line="360" w:lineRule="auto"/>
        <w:jc w:val="both"/>
        <w:rPr>
          <w:rFonts w:ascii="Times New Roman" w:hAnsi="Times New Roman" w:cs="Times New Roman"/>
          <w:b/>
          <w:sz w:val="24"/>
          <w:szCs w:val="24"/>
        </w:rPr>
      </w:pPr>
    </w:p>
    <w:p w:rsidR="0057282D" w:rsidRDefault="0057282D"/>
    <w:sectPr w:rsidR="0057282D">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1C3" w:rsidRDefault="00D731C3" w:rsidP="000867CF">
      <w:r>
        <w:separator/>
      </w:r>
    </w:p>
  </w:endnote>
  <w:endnote w:type="continuationSeparator" w:id="0">
    <w:p w:rsidR="00D731C3" w:rsidRDefault="00D731C3" w:rsidP="0008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CF" w:rsidRDefault="00086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CF" w:rsidRDefault="00086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CF" w:rsidRDefault="0008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1C3" w:rsidRDefault="00D731C3" w:rsidP="000867CF">
      <w:r>
        <w:separator/>
      </w:r>
    </w:p>
  </w:footnote>
  <w:footnote w:type="continuationSeparator" w:id="0">
    <w:p w:rsidR="00D731C3" w:rsidRDefault="00D731C3" w:rsidP="0008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CF" w:rsidRDefault="00086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7969"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CF" w:rsidRDefault="00086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7970"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CF" w:rsidRDefault="00086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7968"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1C248A"/>
    <w:multiLevelType w:val="singleLevel"/>
    <w:tmpl w:val="BC1C248A"/>
    <w:lvl w:ilvl="0">
      <w:start w:val="1"/>
      <w:numFmt w:val="decimal"/>
      <w:suff w:val="space"/>
      <w:lvlText w:val="%1."/>
      <w:lvlJc w:val="left"/>
      <w:pPr>
        <w:ind w:left="42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3F730B"/>
    <w:rsid w:val="00035D57"/>
    <w:rsid w:val="000867CF"/>
    <w:rsid w:val="003E7069"/>
    <w:rsid w:val="004E0650"/>
    <w:rsid w:val="0057282D"/>
    <w:rsid w:val="00C729E5"/>
    <w:rsid w:val="00D42155"/>
    <w:rsid w:val="00D731C3"/>
    <w:rsid w:val="273F7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8F1C71"/>
  <w15:docId w15:val="{15DA9C49-FCAF-4E81-A88C-39A9EC02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basedOn w:val="Normal"/>
    <w:next w:val="Normal"/>
    <w:uiPriority w:val="9"/>
    <w:unhideWhenUsed/>
    <w:qFormat/>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unhideWhenUsed/>
    <w:pPr>
      <w:tabs>
        <w:tab w:val="center" w:pos="4680"/>
        <w:tab w:val="right" w:pos="9360"/>
      </w:tabs>
    </w:p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NoSpacing">
    <w:name w:val="No Spacing"/>
    <w:uiPriority w:val="1"/>
    <w:qFormat/>
    <w:rPr>
      <w:rFonts w:asciiTheme="minorHAnsi" w:eastAsiaTheme="minorHAnsi" w:hAnsiTheme="minorHAnsi" w:cstheme="minorBidi"/>
      <w:sz w:val="22"/>
      <w:szCs w:val="22"/>
    </w:rPr>
  </w:style>
  <w:style w:type="character" w:styleId="Hyperlink">
    <w:name w:val="Hyperlink"/>
    <w:basedOn w:val="DefaultParagraphFont"/>
    <w:rsid w:val="00035D57"/>
    <w:rPr>
      <w:color w:val="0563C1" w:themeColor="hyperlink"/>
      <w:u w:val="single"/>
    </w:rPr>
  </w:style>
  <w:style w:type="character" w:styleId="UnresolvedMention">
    <w:name w:val="Unresolved Mention"/>
    <w:basedOn w:val="DefaultParagraphFont"/>
    <w:uiPriority w:val="99"/>
    <w:semiHidden/>
    <w:unhideWhenUsed/>
    <w:rsid w:val="00035D57"/>
    <w:rPr>
      <w:color w:val="605E5C"/>
      <w:shd w:val="clear" w:color="auto" w:fill="E1DFDD"/>
    </w:rPr>
  </w:style>
  <w:style w:type="paragraph" w:styleId="Header">
    <w:name w:val="header"/>
    <w:basedOn w:val="Normal"/>
    <w:link w:val="HeaderChar"/>
    <w:rsid w:val="000867CF"/>
    <w:pPr>
      <w:tabs>
        <w:tab w:val="center" w:pos="4680"/>
        <w:tab w:val="right" w:pos="9360"/>
      </w:tabs>
    </w:pPr>
  </w:style>
  <w:style w:type="character" w:customStyle="1" w:styleId="HeaderChar">
    <w:name w:val="Header Char"/>
    <w:basedOn w:val="DefaultParagraphFont"/>
    <w:link w:val="Header"/>
    <w:rsid w:val="000867CF"/>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ndawi.com/journals/jp/2012/37927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No mutation</c:f>
              <c:strCache>
                <c:ptCount val="1"/>
                <c:pt idx="0">
                  <c:v>No mutation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400" b="0" i="0" u="none" strike="noStrike" kern="1200" baseline="3000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Sheet1!$D$2:$J$2</c:f>
              <c:strCache>
                <c:ptCount val="7"/>
                <c:pt idx="0">
                  <c:v>rpoB</c:v>
                </c:pt>
                <c:pt idx="1">
                  <c:v>katG</c:v>
                </c:pt>
                <c:pt idx="2">
                  <c:v>inhA</c:v>
                </c:pt>
                <c:pt idx="3">
                  <c:v>gyrA</c:v>
                </c:pt>
                <c:pt idx="4">
                  <c:v>gyrB</c:v>
                </c:pt>
                <c:pt idx="5">
                  <c:v>rrs</c:v>
                </c:pt>
                <c:pt idx="6">
                  <c:v>eis</c:v>
                </c:pt>
              </c:strCache>
            </c:strRef>
          </c:cat>
          <c:val>
            <c:numRef>
              <c:f>Sheet1!$D$3:$J$3</c:f>
              <c:numCache>
                <c:formatCode>General</c:formatCode>
                <c:ptCount val="7"/>
                <c:pt idx="0">
                  <c:v>63.3</c:v>
                </c:pt>
                <c:pt idx="1">
                  <c:v>69.3</c:v>
                </c:pt>
                <c:pt idx="2">
                  <c:v>70</c:v>
                </c:pt>
                <c:pt idx="3">
                  <c:v>66.2</c:v>
                </c:pt>
                <c:pt idx="4">
                  <c:v>67.599999999999994</c:v>
                </c:pt>
                <c:pt idx="5">
                  <c:v>72.099999999999994</c:v>
                </c:pt>
                <c:pt idx="6">
                  <c:v>72.099999999999994</c:v>
                </c:pt>
              </c:numCache>
            </c:numRef>
          </c:val>
          <c:extLst>
            <c:ext xmlns:c16="http://schemas.microsoft.com/office/drawing/2014/chart" uri="{C3380CC4-5D6E-409C-BE32-E72D297353CC}">
              <c16:uniqueId val="{00000000-C24F-48F4-A8A0-9AC7FB5EA765}"/>
            </c:ext>
          </c:extLst>
        </c:ser>
        <c:ser>
          <c:idx val="1"/>
          <c:order val="1"/>
          <c:tx>
            <c:strRef>
              <c:f>Mutation</c:f>
              <c:strCache>
                <c:ptCount val="1"/>
                <c:pt idx="0">
                  <c:v>Mutation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400" b="1" i="0" u="none" strike="noStrike" kern="1200" baseline="3000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Sheet1!$D$2:$J$2</c:f>
              <c:strCache>
                <c:ptCount val="7"/>
                <c:pt idx="0">
                  <c:v>rpoB</c:v>
                </c:pt>
                <c:pt idx="1">
                  <c:v>katG</c:v>
                </c:pt>
                <c:pt idx="2">
                  <c:v>inhA</c:v>
                </c:pt>
                <c:pt idx="3">
                  <c:v>gyrA</c:v>
                </c:pt>
                <c:pt idx="4">
                  <c:v>gyrB</c:v>
                </c:pt>
                <c:pt idx="5">
                  <c:v>rrs</c:v>
                </c:pt>
                <c:pt idx="6">
                  <c:v>eis</c:v>
                </c:pt>
              </c:strCache>
            </c:strRef>
          </c:cat>
          <c:val>
            <c:numRef>
              <c:f>Sheet1!$D$4:$J$4</c:f>
              <c:numCache>
                <c:formatCode>General</c:formatCode>
                <c:ptCount val="7"/>
                <c:pt idx="0">
                  <c:v>36.700000000000003</c:v>
                </c:pt>
                <c:pt idx="1">
                  <c:v>30.7</c:v>
                </c:pt>
                <c:pt idx="2">
                  <c:v>30</c:v>
                </c:pt>
                <c:pt idx="3">
                  <c:v>33.799999999999997</c:v>
                </c:pt>
                <c:pt idx="4">
                  <c:v>32.4</c:v>
                </c:pt>
                <c:pt idx="5">
                  <c:v>27.9</c:v>
                </c:pt>
                <c:pt idx="6">
                  <c:v>27.9</c:v>
                </c:pt>
              </c:numCache>
            </c:numRef>
          </c:val>
          <c:extLst>
            <c:ext xmlns:c16="http://schemas.microsoft.com/office/drawing/2014/chart" uri="{C3380CC4-5D6E-409C-BE32-E72D297353CC}">
              <c16:uniqueId val="{00000001-C24F-48F4-A8A0-9AC7FB5EA765}"/>
            </c:ext>
          </c:extLst>
        </c:ser>
        <c:dLbls>
          <c:showLegendKey val="0"/>
          <c:showVal val="1"/>
          <c:showCatName val="0"/>
          <c:showSerName val="0"/>
          <c:showPercent val="0"/>
          <c:showBubbleSize val="0"/>
        </c:dLbls>
        <c:gapWidth val="79"/>
        <c:overlap val="100"/>
        <c:axId val="432640912"/>
        <c:axId val="432642480"/>
      </c:barChart>
      <c:catAx>
        <c:axId val="432640912"/>
        <c:scaling>
          <c:orientation val="minMax"/>
        </c:scaling>
        <c:delete val="0"/>
        <c:axPos val="b"/>
        <c:title>
          <c:tx>
            <c:rich>
              <a:bodyPr rot="0" spcFirstLastPara="1" vertOverflow="ellipsis" vert="horz" wrap="square" anchor="ctr" anchorCtr="1"/>
              <a:lstStyle/>
              <a:p>
                <a:pPr>
                  <a:defRPr lang="en-US" sz="1200" b="0" i="0" u="none" strike="noStrike" kern="1200" cap="none" normalizeH="0" baseline="-25000">
                    <a:solidFill>
                      <a:schemeClr val="tx1">
                        <a:lumMod val="65000"/>
                        <a:lumOff val="35000"/>
                      </a:schemeClr>
                    </a:solidFill>
                    <a:latin typeface="Times New Roman" panose="02020603050405020304" charset="0"/>
                    <a:ea typeface="+mn-ea"/>
                    <a:cs typeface="+mn-cs"/>
                  </a:defRPr>
                </a:pPr>
                <a:r>
                  <a:rPr lang="en-US" sz="1600" b="1" strike="noStrike" cap="none" normalizeH="0" baseline="-25000">
                    <a:latin typeface="Times New Roman" panose="02020603050405020304" charset="0"/>
                  </a:rPr>
                  <a:t>Resistance genes</a:t>
                </a:r>
                <a:endParaRPr lang="en-US" sz="1600" b="1" strike="noStrike" cap="small" normalizeH="0" baseline="-25000">
                  <a:latin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none" normalizeH="0" baseline="-25000">
                  <a:solidFill>
                    <a:schemeClr val="tx1">
                      <a:lumMod val="65000"/>
                      <a:lumOff val="35000"/>
                    </a:schemeClr>
                  </a:solidFill>
                  <a:latin typeface="Times New Roman" panose="02020603050405020304" charset="0"/>
                  <a:ea typeface="+mn-ea"/>
                  <a:cs typeface="+mn-cs"/>
                </a:defRPr>
              </a:pPr>
              <a:endParaRPr lang="en-US"/>
            </a:p>
          </c:txPr>
        </c:title>
        <c:numFmt formatCode="General" sourceLinked="1"/>
        <c:majorTickMark val="none"/>
        <c:minorTickMark val="none"/>
        <c:tickLblPos val="nextTo"/>
        <c:spPr>
          <a:noFill/>
          <a:ln w="22225" cap="flat" cmpd="sng" algn="ctr">
            <a:solidFill>
              <a:schemeClr val="tx1"/>
            </a:solidFill>
            <a:round/>
          </a:ln>
          <a:effectLst/>
        </c:spPr>
        <c:txPr>
          <a:bodyPr rot="-60000000" spcFirstLastPara="1" vertOverflow="ellipsis" vert="horz" wrap="square" anchor="ctr" anchorCtr="1"/>
          <a:lstStyle/>
          <a:p>
            <a:pPr>
              <a:defRPr lang="en-US" sz="1440" b="1" i="1" u="none" strike="noStrike" kern="1200" cap="none" spc="120" normalizeH="0" baseline="30000">
                <a:solidFill>
                  <a:schemeClr val="tx1"/>
                </a:solidFill>
                <a:latin typeface="Calibri" panose="020F0502020204030204" pitchFamily="2" charset="0"/>
                <a:ea typeface="+mn-ea"/>
                <a:cs typeface="+mn-cs"/>
              </a:defRPr>
            </a:pPr>
            <a:endParaRPr lang="en-US"/>
          </a:p>
        </c:txPr>
        <c:crossAx val="432642480"/>
        <c:crosses val="autoZero"/>
        <c:auto val="1"/>
        <c:lblAlgn val="ctr"/>
        <c:lblOffset val="100"/>
        <c:noMultiLvlLbl val="0"/>
      </c:catAx>
      <c:valAx>
        <c:axId val="432642480"/>
        <c:scaling>
          <c:orientation val="minMax"/>
          <c:max val="100"/>
        </c:scaling>
        <c:delete val="0"/>
        <c:axPos val="l"/>
        <c:title>
          <c:tx>
            <c:rich>
              <a:bodyPr rot="-5400000" spcFirstLastPara="1" vertOverflow="ellipsis" vert="horz" wrap="square" anchor="ctr" anchorCtr="1"/>
              <a:lstStyle/>
              <a:p>
                <a:pPr>
                  <a:defRPr lang="en-US" sz="940" b="0" i="0" u="none" strike="noStrike" kern="1200" cap="none" baseline="30000">
                    <a:solidFill>
                      <a:schemeClr val="tx1">
                        <a:lumMod val="65000"/>
                        <a:lumOff val="35000"/>
                      </a:schemeClr>
                    </a:solidFill>
                    <a:latin typeface="+mn-lt"/>
                    <a:ea typeface="+mn-ea"/>
                    <a:cs typeface="+mn-cs"/>
                  </a:defRPr>
                </a:pPr>
                <a:r>
                  <a:rPr lang="en-US" sz="1800" b="1" cap="none" baseline="30000">
                    <a:latin typeface="Times New Roman" panose="02020603050405020304" charset="0"/>
                    <a:cs typeface="Times New Roman" panose="02020603050405020304" charset="0"/>
                  </a:rPr>
                  <a:t>Percentage </a:t>
                </a:r>
                <a:r>
                  <a:rPr lang="en-US" sz="1600" b="1" cap="none" baseline="0">
                    <a:latin typeface="Times New Roman" panose="02020603050405020304" charset="0"/>
                    <a:cs typeface="Times New Roman" panose="02020603050405020304" charset="0"/>
                  </a:rPr>
                  <a:t>(%)</a:t>
                </a:r>
                <a:endParaRPr lang="en-US" sz="1600" b="1" cap="none" baseline="30000">
                  <a:latin typeface="Times New Roman" panose="02020603050405020304" charset="0"/>
                  <a:cs typeface="Times New Roman" panose="02020603050405020304" charset="0"/>
                </a:endParaRPr>
              </a:p>
            </c:rich>
          </c:tx>
          <c:layout>
            <c:manualLayout>
              <c:xMode val="edge"/>
              <c:yMode val="edge"/>
              <c:x val="1.98072110395861E-2"/>
              <c:y val="0.33464378828581298"/>
            </c:manualLayout>
          </c:layout>
          <c:overlay val="0"/>
          <c:spPr>
            <a:noFill/>
            <a:ln>
              <a:noFill/>
            </a:ln>
            <a:effectLst/>
          </c:spPr>
          <c:txPr>
            <a:bodyPr rot="-5400000" spcFirstLastPara="1" vertOverflow="ellipsis" vert="horz" wrap="square" anchor="ctr" anchorCtr="1"/>
            <a:lstStyle/>
            <a:p>
              <a:pPr>
                <a:defRPr lang="en-US" sz="940" b="0" i="0" u="none" strike="noStrike" kern="1200" cap="none" baseline="3000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1350" b="0" i="0" u="none" strike="noStrike" kern="1200" baseline="30000">
                <a:solidFill>
                  <a:schemeClr val="tx1">
                    <a:lumMod val="65000"/>
                    <a:lumOff val="35000"/>
                  </a:schemeClr>
                </a:solidFill>
                <a:latin typeface="+mn-lt"/>
                <a:ea typeface="+mn-ea"/>
                <a:cs typeface="+mn-cs"/>
              </a:defRPr>
            </a:pPr>
            <a:endParaRPr lang="en-US"/>
          </a:p>
        </c:txPr>
        <c:crossAx val="432640912"/>
        <c:crosses val="autoZero"/>
        <c:crossBetween val="between"/>
        <c:majorUnit val="10"/>
        <c:min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4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5c85313-2175-4d04-8822-7b09c4c17708}"/>
      </c:ext>
    </c:extLst>
  </c:chart>
  <c:spPr>
    <a:noFill/>
    <a:ln w="9525" cap="flat" cmpd="sng" algn="ctr">
      <a:noFill/>
      <a:round/>
    </a:ln>
    <a:effectLst/>
  </c:spPr>
  <c:txPr>
    <a:bodyPr/>
    <a:lstStyle/>
    <a:p>
      <a:pPr>
        <a:defRPr lang="en-US" sz="940" baseline="300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Akwanga</c:f>
              <c:strCache>
                <c:ptCount val="1"/>
                <c:pt idx="0">
                  <c:v>Akwanga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Sheet2!$C$4:$I$4</c:f>
              <c:numCache>
                <c:formatCode>General</c:formatCode>
                <c:ptCount val="7"/>
                <c:pt idx="0">
                  <c:v>11.7</c:v>
                </c:pt>
                <c:pt idx="1">
                  <c:v>5.8</c:v>
                </c:pt>
                <c:pt idx="2">
                  <c:v>6.9</c:v>
                </c:pt>
                <c:pt idx="3">
                  <c:v>6.7</c:v>
                </c:pt>
                <c:pt idx="4">
                  <c:v>6.7</c:v>
                </c:pt>
                <c:pt idx="5">
                  <c:v>8.1999999999999993</c:v>
                </c:pt>
                <c:pt idx="6">
                  <c:v>8.1999999999999993</c:v>
                </c:pt>
              </c:numCache>
            </c:numRef>
          </c:val>
          <c:extLst>
            <c:ext xmlns:c16="http://schemas.microsoft.com/office/drawing/2014/chart" uri="{C3380CC4-5D6E-409C-BE32-E72D297353CC}">
              <c16:uniqueId val="{00000000-5A7A-47BA-95EE-CF2A86E90C0B}"/>
            </c:ext>
          </c:extLst>
        </c:ser>
        <c:ser>
          <c:idx val="1"/>
          <c:order val="1"/>
          <c:tx>
            <c:strRef>
              <c:f>Lafia</c:f>
              <c:strCache>
                <c:ptCount val="1"/>
                <c:pt idx="0">
                  <c:v>Lafia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2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Sheet2!$C$5:$I$5</c:f>
              <c:numCache>
                <c:formatCode>General</c:formatCode>
                <c:ptCount val="7"/>
                <c:pt idx="0">
                  <c:v>16</c:v>
                </c:pt>
                <c:pt idx="1">
                  <c:v>14.4</c:v>
                </c:pt>
                <c:pt idx="2">
                  <c:v>16.7</c:v>
                </c:pt>
                <c:pt idx="3">
                  <c:v>15.6</c:v>
                </c:pt>
                <c:pt idx="4">
                  <c:v>13</c:v>
                </c:pt>
                <c:pt idx="5">
                  <c:v>12.2</c:v>
                </c:pt>
                <c:pt idx="6">
                  <c:v>12.2</c:v>
                </c:pt>
              </c:numCache>
            </c:numRef>
          </c:val>
          <c:extLst>
            <c:ext xmlns:c16="http://schemas.microsoft.com/office/drawing/2014/chart" uri="{C3380CC4-5D6E-409C-BE32-E72D297353CC}">
              <c16:uniqueId val="{00000001-5A7A-47BA-95EE-CF2A86E90C0B}"/>
            </c:ext>
          </c:extLst>
        </c:ser>
        <c:ser>
          <c:idx val="2"/>
          <c:order val="2"/>
          <c:tx>
            <c:strRef>
              <c:f>St Vincent</c:f>
              <c:strCache>
                <c:ptCount val="1"/>
                <c:pt idx="0">
                  <c:v>St Vincent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9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Sheet2!$C$6:$I$6</c:f>
              <c:numCache>
                <c:formatCode>General</c:formatCode>
                <c:ptCount val="7"/>
                <c:pt idx="0">
                  <c:v>17</c:v>
                </c:pt>
                <c:pt idx="1">
                  <c:v>8.6</c:v>
                </c:pt>
                <c:pt idx="2">
                  <c:v>8.8000000000000007</c:v>
                </c:pt>
                <c:pt idx="3">
                  <c:v>11.1</c:v>
                </c:pt>
                <c:pt idx="4">
                  <c:v>10.9</c:v>
                </c:pt>
                <c:pt idx="5">
                  <c:v>10.199999999999999</c:v>
                </c:pt>
                <c:pt idx="6">
                  <c:v>10.199999999999999</c:v>
                </c:pt>
              </c:numCache>
            </c:numRef>
          </c:val>
          <c:extLst>
            <c:ext xmlns:c16="http://schemas.microsoft.com/office/drawing/2014/chart" uri="{C3380CC4-5D6E-409C-BE32-E72D297353CC}">
              <c16:uniqueId val="{00000002-5A7A-47BA-95EE-CF2A86E90C0B}"/>
            </c:ext>
          </c:extLst>
        </c:ser>
        <c:ser>
          <c:idx val="3"/>
          <c:order val="3"/>
          <c:tx>
            <c:strRef>
              <c:f>BSUTH</c:f>
              <c:strCache>
                <c:ptCount val="1"/>
                <c:pt idx="0">
                  <c:v>BSUTH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7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Sheet2!$C$7:$I$7</c:f>
              <c:numCache>
                <c:formatCode>General</c:formatCode>
                <c:ptCount val="7"/>
                <c:pt idx="0">
                  <c:v>13.8</c:v>
                </c:pt>
                <c:pt idx="1">
                  <c:v>15.4</c:v>
                </c:pt>
                <c:pt idx="2">
                  <c:v>15.7</c:v>
                </c:pt>
                <c:pt idx="3">
                  <c:v>17.8</c:v>
                </c:pt>
                <c:pt idx="4">
                  <c:v>17.399999999999999</c:v>
                </c:pt>
                <c:pt idx="5">
                  <c:v>8.1999999999999993</c:v>
                </c:pt>
                <c:pt idx="6">
                  <c:v>8.1999999999999993</c:v>
                </c:pt>
              </c:numCache>
            </c:numRef>
          </c:val>
          <c:extLst>
            <c:ext xmlns:c16="http://schemas.microsoft.com/office/drawing/2014/chart" uri="{C3380CC4-5D6E-409C-BE32-E72D297353CC}">
              <c16:uniqueId val="{00000003-5A7A-47BA-95EE-CF2A86E90C0B}"/>
            </c:ext>
          </c:extLst>
        </c:ser>
        <c:dLbls>
          <c:showLegendKey val="0"/>
          <c:showVal val="1"/>
          <c:showCatName val="0"/>
          <c:showSerName val="0"/>
          <c:showPercent val="0"/>
          <c:showBubbleSize val="0"/>
        </c:dLbls>
        <c:gapWidth val="219"/>
        <c:overlap val="100"/>
        <c:axId val="432641304"/>
        <c:axId val="432643264"/>
      </c:barChart>
      <c:catAx>
        <c:axId val="432641304"/>
        <c:scaling>
          <c:orientation val="minMax"/>
        </c:scaling>
        <c:delete val="0"/>
        <c:axPos val="b"/>
        <c:title>
          <c:tx>
            <c:rich>
              <a:bodyPr rot="0" spcFirstLastPara="1" vertOverflow="ellipsis" vert="horz" wrap="square" anchor="ctr" anchorCtr="1"/>
              <a:lstStyle/>
              <a:p>
                <a:pPr>
                  <a:defRPr lang="en-US" sz="1210" b="1" i="0" u="none" strike="noStrike" kern="1200" baseline="0">
                    <a:solidFill>
                      <a:schemeClr val="tx1">
                        <a:lumMod val="65000"/>
                        <a:lumOff val="35000"/>
                      </a:schemeClr>
                    </a:solidFill>
                    <a:latin typeface="+mn-lt"/>
                    <a:ea typeface="+mn-ea"/>
                    <a:cs typeface="+mn-cs"/>
                  </a:defRPr>
                </a:pPr>
                <a:r>
                  <a:rPr lang="en-US" sz="1210" b="1" i="0" baseline="0"/>
                  <a:t>Resistance genes</a:t>
                </a:r>
              </a:p>
            </c:rich>
          </c:tx>
          <c:overlay val="0"/>
          <c:spPr>
            <a:noFill/>
            <a:ln>
              <a:noFill/>
            </a:ln>
            <a:effectLst/>
          </c:spPr>
          <c:txPr>
            <a:bodyPr rot="0" spcFirstLastPara="1" vertOverflow="ellipsis" vert="horz" wrap="square" anchor="ctr" anchorCtr="1"/>
            <a:lstStyle/>
            <a:p>
              <a:pPr>
                <a:defRPr lang="en-US" sz="121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1120" b="1" i="1" u="none" strike="noStrike" kern="1200" baseline="0">
                <a:solidFill>
                  <a:schemeClr val="tx1"/>
                </a:solidFill>
                <a:latin typeface="+mn-lt"/>
                <a:ea typeface="+mn-ea"/>
                <a:cs typeface="+mn-cs"/>
              </a:defRPr>
            </a:pPr>
            <a:endParaRPr lang="en-US"/>
          </a:p>
        </c:txPr>
        <c:crossAx val="432643264"/>
        <c:crosses val="autoZero"/>
        <c:auto val="1"/>
        <c:lblAlgn val="ctr"/>
        <c:lblOffset val="100"/>
        <c:noMultiLvlLbl val="0"/>
      </c:catAx>
      <c:valAx>
        <c:axId val="432643264"/>
        <c:scaling>
          <c:orientation val="minMax"/>
        </c:scaling>
        <c:delete val="0"/>
        <c:axPos val="l"/>
        <c:title>
          <c:tx>
            <c:rich>
              <a:bodyPr rot="-5400000" spcFirstLastPara="1" vertOverflow="ellipsis" vert="horz" wrap="square" anchor="ctr" anchorCtr="1"/>
              <a:lstStyle/>
              <a:p>
                <a:pPr>
                  <a:defRPr lang="en-US" sz="1260" b="0" i="0" u="none" strike="noStrike" kern="1200" baseline="0">
                    <a:solidFill>
                      <a:schemeClr val="tx1">
                        <a:lumMod val="65000"/>
                        <a:lumOff val="35000"/>
                      </a:schemeClr>
                    </a:solidFill>
                    <a:latin typeface="+mn-lt"/>
                    <a:ea typeface="+mn-ea"/>
                    <a:cs typeface="+mn-cs"/>
                  </a:defRPr>
                </a:pPr>
                <a:r>
                  <a:rPr lang="en-US" sz="1260" b="1" baseline="0"/>
                  <a:t>Percentage (%)</a:t>
                </a:r>
              </a:p>
            </c:rich>
          </c:tx>
          <c:overlay val="0"/>
          <c:spPr>
            <a:noFill/>
            <a:ln>
              <a:noFill/>
            </a:ln>
            <a:effectLst/>
          </c:spPr>
          <c:txPr>
            <a:bodyPr rot="-5400000" spcFirstLastPara="1" vertOverflow="ellipsis" vert="horz" wrap="square" anchor="ctr" anchorCtr="1"/>
            <a:lstStyle/>
            <a:p>
              <a:pPr>
                <a:defRPr lang="en-US" sz="126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2225">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26413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5ff6f0c-2cff-4692-91b0-8f6dc6dd900f}"/>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rpoB</c:f>
              <c:strCache>
                <c:ptCount val="1"/>
                <c:pt idx="0">
                  <c:v>rpoB</c:v>
                </c:pt>
              </c:strCache>
            </c:strRef>
          </c:tx>
          <c:spPr>
            <a:solidFill>
              <a:schemeClr val="accent1"/>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Sheet5!$D$3:$D$11</c:f>
              <c:numCache>
                <c:formatCode>General</c:formatCode>
                <c:ptCount val="9"/>
                <c:pt idx="0">
                  <c:v>4.7</c:v>
                </c:pt>
                <c:pt idx="1">
                  <c:v>0</c:v>
                </c:pt>
                <c:pt idx="2">
                  <c:v>9.3000000000000007</c:v>
                </c:pt>
                <c:pt idx="3">
                  <c:v>12.7</c:v>
                </c:pt>
                <c:pt idx="4">
                  <c:v>7.3</c:v>
                </c:pt>
                <c:pt idx="5">
                  <c:v>0</c:v>
                </c:pt>
                <c:pt idx="6">
                  <c:v>0</c:v>
                </c:pt>
                <c:pt idx="7">
                  <c:v>0</c:v>
                </c:pt>
                <c:pt idx="8">
                  <c:v>0</c:v>
                </c:pt>
              </c:numCache>
            </c:numRef>
          </c:val>
          <c:extLst>
            <c:ext xmlns:c16="http://schemas.microsoft.com/office/drawing/2014/chart" uri="{C3380CC4-5D6E-409C-BE32-E72D297353CC}">
              <c16:uniqueId val="{00000000-6DD9-4C1A-AF66-85A9508976A8}"/>
            </c:ext>
          </c:extLst>
        </c:ser>
        <c:ser>
          <c:idx val="1"/>
          <c:order val="1"/>
          <c:tx>
            <c:strRef>
              <c:f>katG</c:f>
              <c:strCache>
                <c:ptCount val="1"/>
                <c:pt idx="0">
                  <c:v>katG</c:v>
                </c:pt>
              </c:strCache>
            </c:strRef>
          </c:tx>
          <c:spPr>
            <a:solidFill>
              <a:schemeClr val="accent2"/>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Sheet5!$E$3:$E$11</c:f>
              <c:numCache>
                <c:formatCode>General</c:formatCode>
                <c:ptCount val="9"/>
                <c:pt idx="0">
                  <c:v>16.7</c:v>
                </c:pt>
                <c:pt idx="1">
                  <c:v>14</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1-6DD9-4C1A-AF66-85A9508976A8}"/>
            </c:ext>
          </c:extLst>
        </c:ser>
        <c:ser>
          <c:idx val="2"/>
          <c:order val="2"/>
          <c:tx>
            <c:strRef>
              <c:f>inhA</c:f>
              <c:strCache>
                <c:ptCount val="1"/>
                <c:pt idx="0">
                  <c:v>inhA</c:v>
                </c:pt>
              </c:strCache>
            </c:strRef>
          </c:tx>
          <c:spPr>
            <a:solidFill>
              <a:srgbClr val="00B050"/>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Sheet5!$F$3:$F$11</c:f>
              <c:numCache>
                <c:formatCode>General</c:formatCode>
                <c:ptCount val="9"/>
                <c:pt idx="0">
                  <c:v>10</c:v>
                </c:pt>
                <c:pt idx="1">
                  <c:v>6.7</c:v>
                </c:pt>
                <c:pt idx="2">
                  <c:v>0</c:v>
                </c:pt>
                <c:pt idx="3">
                  <c:v>0</c:v>
                </c:pt>
                <c:pt idx="4">
                  <c:v>0</c:v>
                </c:pt>
                <c:pt idx="5">
                  <c:v>6</c:v>
                </c:pt>
                <c:pt idx="6">
                  <c:v>7.3</c:v>
                </c:pt>
                <c:pt idx="7">
                  <c:v>0</c:v>
                </c:pt>
                <c:pt idx="8">
                  <c:v>0</c:v>
                </c:pt>
              </c:numCache>
            </c:numRef>
          </c:val>
          <c:extLst>
            <c:ext xmlns:c16="http://schemas.microsoft.com/office/drawing/2014/chart" uri="{C3380CC4-5D6E-409C-BE32-E72D297353CC}">
              <c16:uniqueId val="{00000002-6DD9-4C1A-AF66-85A9508976A8}"/>
            </c:ext>
          </c:extLst>
        </c:ser>
        <c:ser>
          <c:idx val="3"/>
          <c:order val="3"/>
          <c:tx>
            <c:strRef>
              <c:f>gyrA</c:f>
              <c:strCache>
                <c:ptCount val="1"/>
                <c:pt idx="0">
                  <c:v>gyrA</c:v>
                </c:pt>
              </c:strCache>
            </c:strRef>
          </c:tx>
          <c:spPr>
            <a:solidFill>
              <a:schemeClr val="accent4"/>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Sheet5!$G$3:$G$11</c:f>
              <c:numCache>
                <c:formatCode>General</c:formatCode>
                <c:ptCount val="9"/>
                <c:pt idx="0">
                  <c:v>8.8000000000000007</c:v>
                </c:pt>
                <c:pt idx="1">
                  <c:v>2.9</c:v>
                </c:pt>
                <c:pt idx="2">
                  <c:v>0</c:v>
                </c:pt>
                <c:pt idx="3">
                  <c:v>0</c:v>
                </c:pt>
                <c:pt idx="4">
                  <c:v>0</c:v>
                </c:pt>
                <c:pt idx="5">
                  <c:v>2.9</c:v>
                </c:pt>
                <c:pt idx="6">
                  <c:v>1.5</c:v>
                </c:pt>
                <c:pt idx="7">
                  <c:v>10.5</c:v>
                </c:pt>
                <c:pt idx="8">
                  <c:v>7.4</c:v>
                </c:pt>
              </c:numCache>
            </c:numRef>
          </c:val>
          <c:extLst>
            <c:ext xmlns:c16="http://schemas.microsoft.com/office/drawing/2014/chart" uri="{C3380CC4-5D6E-409C-BE32-E72D297353CC}">
              <c16:uniqueId val="{00000003-6DD9-4C1A-AF66-85A9508976A8}"/>
            </c:ext>
          </c:extLst>
        </c:ser>
        <c:ser>
          <c:idx val="4"/>
          <c:order val="4"/>
          <c:tx>
            <c:strRef>
              <c:f>gyrB</c:f>
              <c:strCache>
                <c:ptCount val="1"/>
                <c:pt idx="0">
                  <c:v>gyrB</c:v>
                </c:pt>
              </c:strCache>
            </c:strRef>
          </c:tx>
          <c:spPr>
            <a:solidFill>
              <a:schemeClr val="accent5"/>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Sheet5!$H$3:$H$11</c:f>
              <c:numCache>
                <c:formatCode>General</c:formatCode>
                <c:ptCount val="9"/>
                <c:pt idx="0">
                  <c:v>16.2</c:v>
                </c:pt>
                <c:pt idx="1">
                  <c:v>17.600000000000001</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4-6DD9-4C1A-AF66-85A9508976A8}"/>
            </c:ext>
          </c:extLst>
        </c:ser>
        <c:ser>
          <c:idx val="5"/>
          <c:order val="5"/>
          <c:tx>
            <c:strRef>
              <c:f>rrs</c:f>
              <c:strCache>
                <c:ptCount val="1"/>
                <c:pt idx="0">
                  <c:v>rrs</c:v>
                </c:pt>
              </c:strCache>
            </c:strRef>
          </c:tx>
          <c:spPr>
            <a:solidFill>
              <a:schemeClr val="accent6"/>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Sheet5!$I$3:$I$11</c:f>
              <c:numCache>
                <c:formatCode>General</c:formatCode>
                <c:ptCount val="9"/>
                <c:pt idx="0">
                  <c:v>14.7</c:v>
                </c:pt>
                <c:pt idx="1">
                  <c:v>13.2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5-6DD9-4C1A-AF66-85A9508976A8}"/>
            </c:ext>
          </c:extLst>
        </c:ser>
        <c:ser>
          <c:idx val="6"/>
          <c:order val="6"/>
          <c:tx>
            <c:strRef>
              <c:f>eis</c:f>
              <c:strCache>
                <c:ptCount val="1"/>
                <c:pt idx="0">
                  <c:v>eis</c:v>
                </c:pt>
              </c:strCache>
            </c:strRef>
          </c:tx>
          <c:spPr>
            <a:solidFill>
              <a:schemeClr val="accent1">
                <a:lumMod val="60000"/>
              </a:schemeClr>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Sheet5!$J$3:$J$11</c:f>
              <c:numCache>
                <c:formatCode>General</c:formatCode>
                <c:ptCount val="9"/>
                <c:pt idx="0">
                  <c:v>27.9</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6-6DD9-4C1A-AF66-85A9508976A8}"/>
            </c:ext>
          </c:extLst>
        </c:ser>
        <c:dLbls>
          <c:showLegendKey val="0"/>
          <c:showVal val="0"/>
          <c:showCatName val="0"/>
          <c:showSerName val="0"/>
          <c:showPercent val="0"/>
          <c:showBubbleSize val="0"/>
        </c:dLbls>
        <c:gapWidth val="150"/>
        <c:overlap val="100"/>
        <c:axId val="432637776"/>
        <c:axId val="432638168"/>
      </c:barChart>
      <c:catAx>
        <c:axId val="432637776"/>
        <c:scaling>
          <c:orientation val="minMax"/>
        </c:scaling>
        <c:delete val="0"/>
        <c:axPos val="b"/>
        <c:title>
          <c:tx>
            <c:rich>
              <a:bodyPr rot="0" spcFirstLastPara="1" vertOverflow="ellipsis" vert="horz" wrap="square" anchor="ctr" anchorCtr="1"/>
              <a:lstStyle/>
              <a:p>
                <a:pPr>
                  <a:defRPr lang="en-US" sz="1190" b="1" i="0" u="none" strike="noStrike" kern="1200" baseline="0">
                    <a:solidFill>
                      <a:sysClr val="windowText" lastClr="000000"/>
                    </a:solidFill>
                    <a:latin typeface="+mn-lt"/>
                    <a:ea typeface="+mn-ea"/>
                    <a:cs typeface="+mn-cs"/>
                  </a:defRPr>
                </a:pPr>
                <a:r>
                  <a:rPr lang="en-US" sz="1190" b="1" i="0" baseline="0">
                    <a:solidFill>
                      <a:sysClr val="windowText" lastClr="000000"/>
                    </a:solidFill>
                  </a:rPr>
                  <a:t>Mutation type</a:t>
                </a:r>
              </a:p>
            </c:rich>
          </c:tx>
          <c:overlay val="0"/>
          <c:spPr>
            <a:noFill/>
            <a:ln>
              <a:noFill/>
            </a:ln>
            <a:effectLst/>
          </c:spPr>
          <c:txPr>
            <a:bodyPr rot="0" spcFirstLastPara="1" vertOverflow="ellipsis" vert="horz" wrap="square" anchor="ctr" anchorCtr="1"/>
            <a:lstStyle/>
            <a:p>
              <a:pPr>
                <a:defRPr lang="en-US" sz="119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2638168"/>
        <c:crosses val="autoZero"/>
        <c:auto val="1"/>
        <c:lblAlgn val="ctr"/>
        <c:lblOffset val="100"/>
        <c:noMultiLvlLbl val="0"/>
      </c:catAx>
      <c:valAx>
        <c:axId val="432638168"/>
        <c:scaling>
          <c:orientation val="minMax"/>
          <c:max val="80"/>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20" b="1" i="0" baseline="0">
                    <a:solidFill>
                      <a:schemeClr val="tx1"/>
                    </a:solidFill>
                  </a:rPr>
                  <a:t>Percentage (%)</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2637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30" b="1"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2f79953-15f9-4d89-9c06-16f889ef0f63}"/>
      </c:ext>
    </c:extLst>
  </c:chart>
  <c:spPr>
    <a:noFill/>
    <a:ln w="9525"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5788</Words>
  <Characters>32993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Fadayomi</dc:creator>
  <cp:lastModifiedBy>SDI 1084</cp:lastModifiedBy>
  <cp:revision>6</cp:revision>
  <dcterms:created xsi:type="dcterms:W3CDTF">2026-03-15T05:53:00Z</dcterms:created>
  <dcterms:modified xsi:type="dcterms:W3CDTF">2026-03-16T13:36:00Z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D0E6653A70634DD0AC9A70677027EC6F_11</vt:lpwstr>
  </property>
</Properties>
</file>