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08CE" w14:textId="6FF02628" w:rsidR="00F50819" w:rsidRPr="00DB5453" w:rsidRDefault="00F50819" w:rsidP="001F2D9D">
      <w:pPr>
        <w:spacing w:after="0" w:line="240" w:lineRule="auto"/>
        <w:jc w:val="right"/>
        <w:rPr>
          <w:rFonts w:ascii="Arial" w:hAnsi="Arial" w:cs="Arial"/>
          <w:b/>
          <w:sz w:val="24"/>
          <w:szCs w:val="24"/>
        </w:rPr>
      </w:pPr>
      <w:r w:rsidRPr="00DB5453">
        <w:rPr>
          <w:rFonts w:ascii="Arial" w:hAnsi="Arial" w:cs="Arial"/>
          <w:b/>
          <w:sz w:val="24"/>
          <w:szCs w:val="24"/>
        </w:rPr>
        <w:t>Public Health Interventions on the Incidence of Diarrhoeal Disease among Under-Five Children in Abuja, Nigeria: A Controlled Community-Based Study</w:t>
      </w:r>
    </w:p>
    <w:p w14:paraId="3C54CE28" w14:textId="77777777" w:rsidR="00163249" w:rsidRPr="00DB5453" w:rsidRDefault="00163249" w:rsidP="001F2D9D">
      <w:pPr>
        <w:spacing w:after="0" w:line="240" w:lineRule="auto"/>
        <w:jc w:val="right"/>
        <w:rPr>
          <w:rFonts w:ascii="Arial" w:hAnsi="Arial" w:cs="Arial"/>
          <w:b/>
          <w:sz w:val="24"/>
          <w:szCs w:val="24"/>
        </w:rPr>
      </w:pPr>
    </w:p>
    <w:p w14:paraId="1C75B02C" w14:textId="77777777" w:rsidR="00163249" w:rsidRPr="00DB5453" w:rsidRDefault="00163249" w:rsidP="001F2D9D">
      <w:pPr>
        <w:spacing w:after="0" w:line="240" w:lineRule="auto"/>
        <w:jc w:val="right"/>
        <w:rPr>
          <w:rFonts w:ascii="Arial" w:hAnsi="Arial" w:cs="Arial"/>
          <w:b/>
          <w:sz w:val="24"/>
          <w:szCs w:val="24"/>
        </w:rPr>
      </w:pPr>
    </w:p>
    <w:p w14:paraId="40BBB067" w14:textId="77777777" w:rsidR="006B1729" w:rsidRPr="00DB5453" w:rsidRDefault="006B1729" w:rsidP="006B1729">
      <w:pPr>
        <w:pStyle w:val="NormalWeb"/>
        <w:spacing w:before="0" w:beforeAutospacing="0" w:after="0" w:afterAutospacing="0"/>
        <w:rPr>
          <w:rFonts w:ascii="Arial" w:hAnsi="Arial" w:cs="Arial"/>
        </w:rPr>
      </w:pPr>
      <w:bookmarkStart w:id="0" w:name="_GoBack"/>
      <w:bookmarkEnd w:id="0"/>
    </w:p>
    <w:p w14:paraId="7B6B423F" w14:textId="77777777" w:rsidR="006B1729" w:rsidRPr="00DB5453" w:rsidRDefault="006B1729" w:rsidP="006B1729">
      <w:pPr>
        <w:pStyle w:val="NormalWeb"/>
        <w:spacing w:before="0" w:beforeAutospacing="0" w:after="0" w:afterAutospacing="0"/>
        <w:rPr>
          <w:rFonts w:ascii="Arial" w:hAnsi="Arial" w:cs="Arial"/>
        </w:rPr>
      </w:pPr>
    </w:p>
    <w:p w14:paraId="5CD95B21" w14:textId="77777777" w:rsidR="00F50819" w:rsidRPr="00DB5453" w:rsidRDefault="006B1729" w:rsidP="006B1729">
      <w:pPr>
        <w:pStyle w:val="NormalWeb"/>
        <w:spacing w:before="0" w:beforeAutospacing="0" w:after="0" w:afterAutospacing="0"/>
        <w:rPr>
          <w:rFonts w:ascii="Arial" w:hAnsi="Arial" w:cs="Arial"/>
        </w:rPr>
      </w:pPr>
      <w:r w:rsidRPr="00DB5453">
        <w:rPr>
          <w:rFonts w:ascii="Arial" w:hAnsi="Arial" w:cs="Arial"/>
        </w:rPr>
        <w:t>ABSTRACT</w:t>
      </w:r>
    </w:p>
    <w:p w14:paraId="1989DEBA" w14:textId="0C2A0692" w:rsidR="00F50819" w:rsidRPr="00DB5453" w:rsidRDefault="00F50819" w:rsidP="006B1729">
      <w:pPr>
        <w:pStyle w:val="NormalWeb"/>
        <w:spacing w:before="0" w:beforeAutospacing="0" w:after="0" w:afterAutospacing="0"/>
        <w:jc w:val="both"/>
        <w:rPr>
          <w:rFonts w:ascii="Arial" w:hAnsi="Arial" w:cs="Arial"/>
        </w:rPr>
      </w:pPr>
      <w:r w:rsidRPr="00DB5453">
        <w:rPr>
          <w:rFonts w:ascii="Arial" w:hAnsi="Arial" w:cs="Arial"/>
        </w:rPr>
        <w:t xml:space="preserve">Diarrhoeal disease remains a major public health challenge and a leading cause of morbidity and mortality among </w:t>
      </w:r>
      <w:r w:rsidR="00853F40" w:rsidRPr="00DB5453">
        <w:rPr>
          <w:rFonts w:ascii="Arial" w:hAnsi="Arial" w:cs="Arial"/>
        </w:rPr>
        <w:t>children under five</w:t>
      </w:r>
      <w:r w:rsidRPr="00DB5453">
        <w:rPr>
          <w:rFonts w:ascii="Arial" w:hAnsi="Arial" w:cs="Arial"/>
        </w:rPr>
        <w:t xml:space="preserve"> in Nigeria. Despite global efforts by organizations such as the </w:t>
      </w:r>
      <w:r w:rsidRPr="00DB5453">
        <w:rPr>
          <w:rStyle w:val="whitespace-normal"/>
          <w:rFonts w:ascii="Arial" w:hAnsi="Arial" w:cs="Arial"/>
        </w:rPr>
        <w:t>World Health Organization</w:t>
      </w:r>
      <w:r w:rsidRPr="00DB5453">
        <w:rPr>
          <w:rFonts w:ascii="Arial" w:hAnsi="Arial" w:cs="Arial"/>
        </w:rPr>
        <w:t xml:space="preserve"> and </w:t>
      </w:r>
      <w:r w:rsidRPr="00DB5453">
        <w:rPr>
          <w:rStyle w:val="whitespace-normal"/>
          <w:rFonts w:ascii="Arial" w:hAnsi="Arial" w:cs="Arial"/>
        </w:rPr>
        <w:t>UNICEF</w:t>
      </w:r>
      <w:r w:rsidRPr="00DB5453">
        <w:rPr>
          <w:rFonts w:ascii="Arial" w:hAnsi="Arial" w:cs="Arial"/>
        </w:rPr>
        <w:t xml:space="preserve"> to reduce its burden through integrated Water, Sanitation, and Hygiene (WASH) strategies and oral rehydration therapy (ORT), the disease persists, particularly in low-resource settings. This study assessed the effectiveness of public health interventions in reducing the incidence of diarrhoeal disease among households in Gwagwalada Area Council, Abuja, Nigeria. A cross-sectional controlled study design was adopted involving 106 households with young children, divided equally into intervention (n = 53) and control (n = 53) groups using purposive sampling. Data were collected through semi-structured questionnaires and analyzed using descriptive statistics and Chi-square tests. Baseline findings showed diarrhoea prevalence of 39% in the intervention group and 41.5% in the control group. Following the implementation of hygiene education, improved water treatment practices, and distribution of oral rehydration salts (ORS), post-intervention prevalence significantly declined to 10% in the intervention group, while the control group showed no statistically significant change (39.6%). The reduction observed in the intervention group was statistically significant (p &lt; 0.05).</w:t>
      </w:r>
      <w:r w:rsidR="00673C48" w:rsidRPr="00DB5453">
        <w:rPr>
          <w:rFonts w:ascii="Arial" w:hAnsi="Arial" w:cs="Arial"/>
        </w:rPr>
        <w:t xml:space="preserve"> </w:t>
      </w:r>
      <w:r w:rsidRPr="00DB5453">
        <w:rPr>
          <w:rFonts w:ascii="Arial" w:hAnsi="Arial" w:cs="Arial"/>
        </w:rPr>
        <w:t>The findings demonstrate that targeted public health interventions, particularly those focused on hygiene promotion and ORS utilization, are effective in significantly reducing diarrhoeal incidence. Scaling up such integrated community-based strategies could substantially decrease childhood morbidity and mortality associated with diarrhoeal diseases in Nigeria and similar settings.</w:t>
      </w:r>
    </w:p>
    <w:p w14:paraId="593241F6" w14:textId="77777777" w:rsidR="00F50819" w:rsidRPr="00DB5453" w:rsidRDefault="00F50819" w:rsidP="006B1729">
      <w:pPr>
        <w:spacing w:after="0"/>
        <w:ind w:firstLine="720"/>
        <w:jc w:val="both"/>
        <w:rPr>
          <w:rFonts w:ascii="Arial" w:hAnsi="Arial" w:cs="Arial"/>
        </w:rPr>
      </w:pPr>
    </w:p>
    <w:p w14:paraId="01106C4A" w14:textId="2D7DB236" w:rsidR="00F50819" w:rsidRPr="00DB5453" w:rsidRDefault="00F50819" w:rsidP="00F50819">
      <w:pPr>
        <w:pStyle w:val="NormalWeb"/>
        <w:spacing w:before="0" w:beforeAutospacing="0" w:after="0" w:afterAutospacing="0"/>
        <w:jc w:val="both"/>
        <w:rPr>
          <w:rFonts w:ascii="Arial" w:hAnsi="Arial" w:cs="Arial"/>
        </w:rPr>
      </w:pPr>
      <w:r w:rsidRPr="00DB5453">
        <w:rPr>
          <w:rFonts w:ascii="Arial" w:hAnsi="Arial" w:cs="Arial"/>
        </w:rPr>
        <w:t xml:space="preserve">Keywords: Diarrhoeal disease, Public health intervention, Under-five children, Oral </w:t>
      </w:r>
      <w:r w:rsidR="00D70088" w:rsidRPr="00DB5453">
        <w:rPr>
          <w:rFonts w:ascii="Arial" w:hAnsi="Arial" w:cs="Arial"/>
        </w:rPr>
        <w:t>rehydration</w:t>
      </w:r>
      <w:r w:rsidRPr="00DB5453">
        <w:rPr>
          <w:rFonts w:ascii="Arial" w:hAnsi="Arial" w:cs="Arial"/>
        </w:rPr>
        <w:t xml:space="preserve"> therapy</w:t>
      </w:r>
      <w:r w:rsidR="00DB5453">
        <w:rPr>
          <w:rFonts w:ascii="Arial" w:hAnsi="Arial" w:cs="Arial"/>
        </w:rPr>
        <w:t xml:space="preserve"> </w:t>
      </w:r>
      <w:r w:rsidRPr="00DB5453">
        <w:rPr>
          <w:rFonts w:ascii="Arial" w:hAnsi="Arial" w:cs="Arial"/>
        </w:rPr>
        <w:t xml:space="preserve">(ORT), </w:t>
      </w:r>
      <w:r w:rsidR="00D70088" w:rsidRPr="00DB5453">
        <w:rPr>
          <w:rFonts w:ascii="Arial" w:hAnsi="Arial" w:cs="Arial"/>
        </w:rPr>
        <w:t>Water</w:t>
      </w:r>
      <w:r w:rsidR="00853F40" w:rsidRPr="00DB5453">
        <w:rPr>
          <w:rFonts w:ascii="Arial" w:hAnsi="Arial" w:cs="Arial"/>
        </w:rPr>
        <w:t>,</w:t>
      </w:r>
      <w:r w:rsidR="00D70088" w:rsidRPr="00DB5453">
        <w:rPr>
          <w:rFonts w:ascii="Arial" w:hAnsi="Arial" w:cs="Arial"/>
        </w:rPr>
        <w:t xml:space="preserve"> sanitation</w:t>
      </w:r>
      <w:r w:rsidR="00853F40" w:rsidRPr="00DB5453">
        <w:rPr>
          <w:rFonts w:ascii="Arial" w:hAnsi="Arial" w:cs="Arial"/>
        </w:rPr>
        <w:t>,</w:t>
      </w:r>
      <w:r w:rsidR="00D70088" w:rsidRPr="00DB5453">
        <w:rPr>
          <w:rFonts w:ascii="Arial" w:hAnsi="Arial" w:cs="Arial"/>
        </w:rPr>
        <w:t xml:space="preserve"> and h</w:t>
      </w:r>
      <w:r w:rsidRPr="00DB5453">
        <w:rPr>
          <w:rFonts w:ascii="Arial" w:hAnsi="Arial" w:cs="Arial"/>
        </w:rPr>
        <w:t>ygiene (WASH)</w:t>
      </w:r>
      <w:r w:rsidR="00DB5453">
        <w:rPr>
          <w:rFonts w:ascii="Arial" w:hAnsi="Arial" w:cs="Arial"/>
        </w:rPr>
        <w:t>.</w:t>
      </w:r>
    </w:p>
    <w:p w14:paraId="6E1700F6" w14:textId="77777777" w:rsidR="00F50819" w:rsidRPr="00DB5453" w:rsidRDefault="00F50819" w:rsidP="00F50819">
      <w:pPr>
        <w:spacing w:after="0"/>
        <w:rPr>
          <w:rFonts w:ascii="Arial" w:hAnsi="Arial" w:cs="Arial"/>
        </w:rPr>
      </w:pPr>
    </w:p>
    <w:p w14:paraId="038CD269" w14:textId="77777777" w:rsidR="00673C48" w:rsidRPr="00DB5453" w:rsidRDefault="00673C48" w:rsidP="00F50819">
      <w:pPr>
        <w:spacing w:after="0"/>
        <w:rPr>
          <w:rFonts w:ascii="Arial" w:hAnsi="Arial" w:cs="Arial"/>
        </w:rPr>
      </w:pPr>
    </w:p>
    <w:p w14:paraId="4C70BA85" w14:textId="77777777" w:rsidR="00673C48" w:rsidRPr="00DB5453" w:rsidRDefault="00673C48" w:rsidP="00F50819">
      <w:pPr>
        <w:spacing w:after="0"/>
        <w:rPr>
          <w:rFonts w:ascii="Arial" w:hAnsi="Arial" w:cs="Arial"/>
        </w:rPr>
      </w:pPr>
    </w:p>
    <w:p w14:paraId="1BB058E2" w14:textId="77777777" w:rsidR="00673C48" w:rsidRPr="00DB5453" w:rsidRDefault="00673C48" w:rsidP="00F50819">
      <w:pPr>
        <w:spacing w:after="0"/>
        <w:rPr>
          <w:rFonts w:ascii="Arial" w:hAnsi="Arial" w:cs="Arial"/>
        </w:rPr>
      </w:pPr>
    </w:p>
    <w:p w14:paraId="574EA467" w14:textId="77777777" w:rsidR="00673C48" w:rsidRPr="00DB5453" w:rsidRDefault="00673C48" w:rsidP="00F50819">
      <w:pPr>
        <w:spacing w:after="0"/>
        <w:rPr>
          <w:rFonts w:ascii="Arial" w:hAnsi="Arial" w:cs="Arial"/>
        </w:rPr>
      </w:pPr>
    </w:p>
    <w:p w14:paraId="7F05D623" w14:textId="77777777" w:rsidR="00673C48" w:rsidRPr="00DB5453" w:rsidRDefault="00673C48" w:rsidP="00F50819">
      <w:pPr>
        <w:spacing w:after="0"/>
        <w:rPr>
          <w:rFonts w:ascii="Arial" w:hAnsi="Arial" w:cs="Arial"/>
        </w:rPr>
      </w:pPr>
    </w:p>
    <w:p w14:paraId="1DF4EAF0" w14:textId="77777777" w:rsidR="00673C48" w:rsidRPr="00DB5453" w:rsidRDefault="00802A8F" w:rsidP="00673C48">
      <w:pPr>
        <w:spacing w:before="100" w:beforeAutospacing="1" w:after="100" w:afterAutospacing="1"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INTRODUCTION</w:t>
      </w:r>
    </w:p>
    <w:p w14:paraId="57E5B428" w14:textId="77777777" w:rsidR="00673C48" w:rsidRPr="00DB5453" w:rsidRDefault="00673C48" w:rsidP="00802A8F">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Diarrhoeal disease remains a significant global public health challenge, especially among children under five years old in low- and middle-income countries (LMICs), where it contributes to high morbidity and mortality (WHO, 2023). Globally, there are an estimated 1.5–1.7 billion episodes of diarrhoea annually, with approximately 480,000–500,000 deaths in young children (GBD Diarrhoeal Diseases Collaborators, 2024; WHO, 2023). Repeated episodes are strongly associated with </w:t>
      </w:r>
      <w:r w:rsidR="00802A8F" w:rsidRPr="00DB5453">
        <w:rPr>
          <w:rFonts w:ascii="Arial" w:eastAsia="Times New Roman" w:hAnsi="Arial" w:cs="Arial"/>
          <w:sz w:val="24"/>
          <w:szCs w:val="24"/>
          <w:lang w:eastAsia="en-GB"/>
        </w:rPr>
        <w:t>under nutrition</w:t>
      </w:r>
      <w:r w:rsidRPr="00DB5453">
        <w:rPr>
          <w:rFonts w:ascii="Arial" w:eastAsia="Times New Roman" w:hAnsi="Arial" w:cs="Arial"/>
          <w:sz w:val="24"/>
          <w:szCs w:val="24"/>
          <w:lang w:eastAsia="en-GB"/>
        </w:rPr>
        <w:t xml:space="preserve">, stunting, and impaired cognitive development (Troeger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2022).</w:t>
      </w:r>
    </w:p>
    <w:p w14:paraId="223D3A80" w14:textId="77777777" w:rsidR="00673C48" w:rsidRPr="00DB5453" w:rsidRDefault="00673C48" w:rsidP="00802A8F">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lastRenderedPageBreak/>
        <w:t>In sub-Saharan Africa and Nigeria specifically, diarrhoeal disease persists at high prevalence rates due to limited access to safe water, poor sanitation, and ina</w:t>
      </w:r>
      <w:r w:rsidR="00D97BB3" w:rsidRPr="00DB5453">
        <w:rPr>
          <w:rFonts w:ascii="Arial" w:eastAsia="Times New Roman" w:hAnsi="Arial" w:cs="Arial"/>
          <w:sz w:val="24"/>
          <w:szCs w:val="24"/>
          <w:lang w:eastAsia="en-GB"/>
        </w:rPr>
        <w:t>dequate hygiene practices (NBS and</w:t>
      </w:r>
      <w:r w:rsidRPr="00DB5453">
        <w:rPr>
          <w:rFonts w:ascii="Arial" w:eastAsia="Times New Roman" w:hAnsi="Arial" w:cs="Arial"/>
          <w:sz w:val="24"/>
          <w:szCs w:val="24"/>
          <w:lang w:eastAsia="en-GB"/>
        </w:rPr>
        <w:t xml:space="preserve"> UNICEF, 2022; UNICEF, 2023). The disease is caused by a range of pathogens including viruses, bacteria, and protozoa, and is primarily transmitted through contaminate</w:t>
      </w:r>
      <w:r w:rsidR="00802A8F" w:rsidRPr="00DB5453">
        <w:rPr>
          <w:rFonts w:ascii="Arial" w:eastAsia="Times New Roman" w:hAnsi="Arial" w:cs="Arial"/>
          <w:sz w:val="24"/>
          <w:szCs w:val="24"/>
          <w:lang w:eastAsia="en-GB"/>
        </w:rPr>
        <w:t xml:space="preserve">d water and food via the faecal </w:t>
      </w:r>
      <w:r w:rsidRPr="00DB5453">
        <w:rPr>
          <w:rFonts w:ascii="Arial" w:eastAsia="Times New Roman" w:hAnsi="Arial" w:cs="Arial"/>
          <w:sz w:val="24"/>
          <w:szCs w:val="24"/>
          <w:lang w:eastAsia="en-GB"/>
        </w:rPr>
        <w:t>oral route (WHO, 2023).</w:t>
      </w:r>
    </w:p>
    <w:p w14:paraId="21F9FD6B" w14:textId="77777777" w:rsidR="00673C48" w:rsidRPr="00DB5453" w:rsidRDefault="00802A8F" w:rsidP="00802A8F">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Public health interventions </w:t>
      </w:r>
      <w:r w:rsidR="00673C48" w:rsidRPr="00DB5453">
        <w:rPr>
          <w:rFonts w:ascii="Arial" w:eastAsia="Times New Roman" w:hAnsi="Arial" w:cs="Arial"/>
          <w:sz w:val="24"/>
          <w:szCs w:val="24"/>
          <w:lang w:eastAsia="en-GB"/>
        </w:rPr>
        <w:t>such as Oral Rehydration Therapy (ORT), zinc supplementation, rotavirus vaccination, and WASH (Water, Sani</w:t>
      </w:r>
      <w:r w:rsidRPr="00DB5453">
        <w:rPr>
          <w:rFonts w:ascii="Arial" w:eastAsia="Times New Roman" w:hAnsi="Arial" w:cs="Arial"/>
          <w:sz w:val="24"/>
          <w:szCs w:val="24"/>
          <w:lang w:eastAsia="en-GB"/>
        </w:rPr>
        <w:t xml:space="preserve">tation, and Hygiene) strategies </w:t>
      </w:r>
      <w:r w:rsidR="00673C48" w:rsidRPr="00DB5453">
        <w:rPr>
          <w:rFonts w:ascii="Arial" w:eastAsia="Times New Roman" w:hAnsi="Arial" w:cs="Arial"/>
          <w:sz w:val="24"/>
          <w:szCs w:val="24"/>
          <w:lang w:eastAsia="en-GB"/>
        </w:rPr>
        <w:t xml:space="preserve">have significantly reduced diarrhoeal mortality where implemented effectively (Bhutta </w:t>
      </w:r>
      <w:r w:rsidR="00673C48" w:rsidRPr="00DB5453">
        <w:rPr>
          <w:rFonts w:ascii="Arial" w:eastAsia="Times New Roman" w:hAnsi="Arial" w:cs="Arial"/>
          <w:i/>
          <w:sz w:val="24"/>
          <w:szCs w:val="24"/>
          <w:lang w:eastAsia="en-GB"/>
        </w:rPr>
        <w:t>et al</w:t>
      </w:r>
      <w:r w:rsidR="00673C48" w:rsidRPr="00DB5453">
        <w:rPr>
          <w:rFonts w:ascii="Arial" w:eastAsia="Times New Roman" w:hAnsi="Arial" w:cs="Arial"/>
          <w:sz w:val="24"/>
          <w:szCs w:val="24"/>
          <w:lang w:eastAsia="en-GB"/>
        </w:rPr>
        <w:t xml:space="preserve">., 2023; Burnett </w:t>
      </w:r>
      <w:r w:rsidR="00673C48" w:rsidRPr="00DB5453">
        <w:rPr>
          <w:rFonts w:ascii="Arial" w:eastAsia="Times New Roman" w:hAnsi="Arial" w:cs="Arial"/>
          <w:i/>
          <w:sz w:val="24"/>
          <w:szCs w:val="24"/>
          <w:lang w:eastAsia="en-GB"/>
        </w:rPr>
        <w:t>et al</w:t>
      </w:r>
      <w:r w:rsidR="00673C48" w:rsidRPr="00DB5453">
        <w:rPr>
          <w:rFonts w:ascii="Arial" w:eastAsia="Times New Roman" w:hAnsi="Arial" w:cs="Arial"/>
          <w:sz w:val="24"/>
          <w:szCs w:val="24"/>
          <w:lang w:eastAsia="en-GB"/>
        </w:rPr>
        <w:t xml:space="preserve">., 2023; Clasen </w:t>
      </w:r>
      <w:r w:rsidR="00673C48" w:rsidRPr="00DB5453">
        <w:rPr>
          <w:rFonts w:ascii="Arial" w:eastAsia="Times New Roman" w:hAnsi="Arial" w:cs="Arial"/>
          <w:i/>
          <w:sz w:val="24"/>
          <w:szCs w:val="24"/>
          <w:lang w:eastAsia="en-GB"/>
        </w:rPr>
        <w:t>et al.</w:t>
      </w:r>
      <w:r w:rsidR="00673C48" w:rsidRPr="00DB5453">
        <w:rPr>
          <w:rFonts w:ascii="Arial" w:eastAsia="Times New Roman" w:hAnsi="Arial" w:cs="Arial"/>
          <w:sz w:val="24"/>
          <w:szCs w:val="24"/>
          <w:lang w:eastAsia="en-GB"/>
        </w:rPr>
        <w:t>, 2021). Nonetheless, gaps in education, infrastructure, and program implementation continue to limit progress in Nigeria. Strengthening health education and community-based WASH programs remains vital for sustained diarrhoeal disease control.</w:t>
      </w:r>
    </w:p>
    <w:p w14:paraId="0E7BBF33" w14:textId="77777777" w:rsidR="00673C48" w:rsidRPr="00DB5453" w:rsidRDefault="00673C48" w:rsidP="00673C48">
      <w:pPr>
        <w:spacing w:after="0" w:line="240" w:lineRule="auto"/>
        <w:rPr>
          <w:rFonts w:ascii="Arial" w:eastAsia="Times New Roman" w:hAnsi="Arial" w:cs="Arial"/>
          <w:color w:val="FF0000"/>
          <w:sz w:val="24"/>
          <w:szCs w:val="24"/>
          <w:lang w:eastAsia="en-GB"/>
        </w:rPr>
      </w:pPr>
    </w:p>
    <w:p w14:paraId="3C62CC63" w14:textId="77777777" w:rsidR="00802A8F" w:rsidRPr="00DB5453" w:rsidRDefault="00A018B4" w:rsidP="00802A8F">
      <w:pPr>
        <w:spacing w:before="100" w:beforeAutospacing="1" w:after="100" w:afterAutospacing="1"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MATERIALS AND METHODS</w:t>
      </w:r>
    </w:p>
    <w:p w14:paraId="3547C908"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Study Area</w:t>
      </w:r>
    </w:p>
    <w:p w14:paraId="1DF8144C" w14:textId="44977971"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study was </w:t>
      </w:r>
      <w:r w:rsidR="00853F40" w:rsidRPr="00DB5453">
        <w:rPr>
          <w:rFonts w:ascii="Arial" w:eastAsia="Times New Roman" w:hAnsi="Arial" w:cs="Arial"/>
          <w:sz w:val="24"/>
          <w:szCs w:val="24"/>
          <w:lang w:eastAsia="en-GB"/>
        </w:rPr>
        <w:t>conducted in Abuja, the Federal Capital Territory (FCT) of Nigeria, in the country's central region</w:t>
      </w:r>
      <w:r w:rsidRPr="00DB5453">
        <w:rPr>
          <w:rFonts w:ascii="Arial" w:eastAsia="Times New Roman" w:hAnsi="Arial" w:cs="Arial"/>
          <w:sz w:val="24"/>
          <w:szCs w:val="24"/>
          <w:lang w:eastAsia="en-GB"/>
        </w:rPr>
        <w:t xml:space="preserve">. Abuja was established in 1976 and lies north of the confluence of the River Niger and </w:t>
      </w:r>
      <w:r w:rsidR="00853F40" w:rsidRPr="00DB5453">
        <w:rPr>
          <w:rFonts w:ascii="Arial" w:eastAsia="Times New Roman" w:hAnsi="Arial" w:cs="Arial"/>
          <w:sz w:val="24"/>
          <w:szCs w:val="24"/>
          <w:lang w:eastAsia="en-GB"/>
        </w:rPr>
        <w:t xml:space="preserve">the </w:t>
      </w:r>
      <w:r w:rsidRPr="00DB5453">
        <w:rPr>
          <w:rFonts w:ascii="Arial" w:eastAsia="Times New Roman" w:hAnsi="Arial" w:cs="Arial"/>
          <w:sz w:val="24"/>
          <w:szCs w:val="24"/>
          <w:lang w:eastAsia="en-GB"/>
        </w:rPr>
        <w:t xml:space="preserve">River Benue. It shares boundaries with Niger State (west and northwest), Kaduna State (northeast), Nasarawa State (east and south), and Kogi State (southwest). The territory covers approximately 7,315 km² and has a population exceeding 3.5 million people. The vegetation is predominantly savannah, and the inhabitants are largely engaged in agriculture, </w:t>
      </w:r>
      <w:r w:rsidR="00853F40" w:rsidRPr="00DB5453">
        <w:rPr>
          <w:rFonts w:ascii="Arial" w:eastAsia="Times New Roman" w:hAnsi="Arial" w:cs="Arial"/>
          <w:sz w:val="24"/>
          <w:szCs w:val="24"/>
          <w:lang w:eastAsia="en-GB"/>
        </w:rPr>
        <w:t>trade, and civil service</w:t>
      </w:r>
      <w:r w:rsidRPr="00DB5453">
        <w:rPr>
          <w:rFonts w:ascii="Arial" w:eastAsia="Times New Roman" w:hAnsi="Arial" w:cs="Arial"/>
          <w:sz w:val="24"/>
          <w:szCs w:val="24"/>
          <w:lang w:eastAsia="en-GB"/>
        </w:rPr>
        <w:t>.</w:t>
      </w:r>
    </w:p>
    <w:p w14:paraId="512F59A9"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selection of Abuja, particularly Gwagwalada Area Council, was informed by documented concerns regarding diarrhoeal disease burden in Nigeria and other low- and middle-income countries (Kosek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2013; UNICEF, 2013).</w:t>
      </w:r>
    </w:p>
    <w:p w14:paraId="208F8F20"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Research Design</w:t>
      </w:r>
    </w:p>
    <w:p w14:paraId="3E72733A"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A community-based cross-sectional study design was adopted to evaluate public health knowledge, preventive practices, and the effectiveness of interventions aimed at reducing diarrhoeal disease incidence. Cross-sectional designs are widely used in epidemiological studies to assess prevalence and associated risk factors within a defined population at a specific point in time (Bbaale, 2011; Oloruntoba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7E514B94" w14:textId="77777777" w:rsidR="001F2D9D" w:rsidRPr="00DB5453" w:rsidRDefault="001F2D9D" w:rsidP="00D97BB3">
      <w:pPr>
        <w:spacing w:before="100" w:beforeAutospacing="1" w:after="100" w:afterAutospacing="1" w:line="240" w:lineRule="auto"/>
        <w:jc w:val="both"/>
        <w:rPr>
          <w:rFonts w:ascii="Arial" w:eastAsia="Times New Roman" w:hAnsi="Arial" w:cs="Arial"/>
          <w:sz w:val="24"/>
          <w:szCs w:val="24"/>
          <w:lang w:eastAsia="en-GB"/>
        </w:rPr>
      </w:pPr>
    </w:p>
    <w:p w14:paraId="47BB3F2D"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Study Population</w:t>
      </w:r>
    </w:p>
    <w:p w14:paraId="757389A5"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study population comprised residents of Gwagwalada Area Council, Abuja, specifically households with children and their caregivers. Caregivers included mothers, fathers, or other adult relatives with adequate knowledge of the child’s health status and household </w:t>
      </w:r>
      <w:r w:rsidRPr="00DB5453">
        <w:rPr>
          <w:rFonts w:ascii="Arial" w:eastAsia="Times New Roman" w:hAnsi="Arial" w:cs="Arial"/>
          <w:sz w:val="24"/>
          <w:szCs w:val="24"/>
          <w:lang w:eastAsia="en-GB"/>
        </w:rPr>
        <w:lastRenderedPageBreak/>
        <w:t xml:space="preserve">characteristics. Previous studies have emphasized the importance of caregiver knowledge and hygiene practices in determining childhood diarrhoeal outcomes (Bbaale, 2011; Ugboko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2021).</w:t>
      </w:r>
    </w:p>
    <w:p w14:paraId="6C747926"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Sample Size and Sampling Technique</w:t>
      </w:r>
    </w:p>
    <w:p w14:paraId="4B588A89"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A total of 106 households with young children were included in the study. Participants were selected using a purposive sampling technique to ensure inclusion of households relevant to the research objectives. Purposive sampling is appropriate in public health intervention studies where specific characteristics of interest are required (Oloruntoba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r w:rsidR="00D97BB3" w:rsidRPr="00DB5453">
        <w:rPr>
          <w:rFonts w:ascii="Arial" w:eastAsia="Times New Roman" w:hAnsi="Arial" w:cs="Arial"/>
          <w:sz w:val="24"/>
          <w:szCs w:val="24"/>
          <w:lang w:eastAsia="en-GB"/>
        </w:rPr>
        <w:t xml:space="preserve"> </w:t>
      </w:r>
      <w:r w:rsidRPr="00DB5453">
        <w:rPr>
          <w:rFonts w:ascii="Arial" w:eastAsia="Times New Roman" w:hAnsi="Arial" w:cs="Arial"/>
          <w:sz w:val="24"/>
          <w:szCs w:val="24"/>
          <w:lang w:eastAsia="en-GB"/>
        </w:rPr>
        <w:t>The sample consisted of 53 participants in the intervention group and 53 in the control group, allowing for comparative analysis of diarrhoeal prevalence before and after intervention.</w:t>
      </w:r>
    </w:p>
    <w:p w14:paraId="1EC77A9F"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Collection</w:t>
      </w:r>
    </w:p>
    <w:p w14:paraId="65B7D8DC"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Data were obtained from both primary and secondary sources. Secondary data were sourced from scholarly articles, reports, and global health publications on diarrhoeal diseases (WHO, 2009; UNICEF, 2013).</w:t>
      </w:r>
    </w:p>
    <w:p w14:paraId="59076B7A"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Primary data were collected through direct observation and administration of a semi-structured questionnaire. The questionnaire captured demographic characteristics, knowledge of diarrhoeal risk factors, preventive practices, and management strategies, including the use of oral rehydration therapy (ORT). Structured questionnaires are recognized as reliable tools for assessing health behaviours and disease determinants in community-based studies (Etiler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2004; Oloruntoba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0CB31552"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Research Instrument</w:t>
      </w:r>
    </w:p>
    <w:p w14:paraId="4D4590C7"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A semi-structured questionnaire was used as the primary data collection instrument. It consisted of three sections:</w:t>
      </w:r>
    </w:p>
    <w:p w14:paraId="00CFFFA8"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Socio-demographic characteristics (age, gender, educational level).</w:t>
      </w:r>
    </w:p>
    <w:p w14:paraId="468F8FF2"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Knowledge and awareness of diarrhoeal disease and preventive interventions.</w:t>
      </w:r>
    </w:p>
    <w:p w14:paraId="0C920E6F"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Household practices and management strategies for diarrhoea control.</w:t>
      </w:r>
    </w:p>
    <w:p w14:paraId="5A407D42"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Semi-structured tools allow flexibility while maintaining consistency in data collection, particularly in public health research (Bbaale, 2011).</w:t>
      </w:r>
    </w:p>
    <w:p w14:paraId="77122B02" w14:textId="03D4A376"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 xml:space="preserve">Pre-testing of </w:t>
      </w:r>
      <w:r w:rsidR="001F2D9D" w:rsidRPr="00DB5453">
        <w:rPr>
          <w:rFonts w:ascii="Arial" w:eastAsia="Times New Roman" w:hAnsi="Arial" w:cs="Arial"/>
          <w:b/>
          <w:bCs/>
          <w:sz w:val="24"/>
          <w:szCs w:val="24"/>
          <w:lang w:eastAsia="en-GB"/>
        </w:rPr>
        <w:t xml:space="preserve">the </w:t>
      </w:r>
      <w:r w:rsidRPr="00DB5453">
        <w:rPr>
          <w:rFonts w:ascii="Arial" w:eastAsia="Times New Roman" w:hAnsi="Arial" w:cs="Arial"/>
          <w:b/>
          <w:bCs/>
          <w:sz w:val="24"/>
          <w:szCs w:val="24"/>
          <w:lang w:eastAsia="en-GB"/>
        </w:rPr>
        <w:t>Instrument</w:t>
      </w:r>
    </w:p>
    <w:p w14:paraId="0F08EA5C" w14:textId="1BF012D3" w:rsidR="00802A8F" w:rsidRPr="00DB5453" w:rsidRDefault="00802A8F" w:rsidP="00D2675B">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questionnaire was pre-tested at the Department of Biological Sciences, University of Abuja, to assess clarity, reliability, and validity. Necessary modifications were made based on feedback </w:t>
      </w:r>
      <w:r w:rsidR="001F2D9D" w:rsidRPr="00DB5453">
        <w:rPr>
          <w:rFonts w:ascii="Arial" w:eastAsia="Times New Roman" w:hAnsi="Arial" w:cs="Arial"/>
          <w:sz w:val="24"/>
          <w:szCs w:val="24"/>
          <w:lang w:eastAsia="en-GB"/>
        </w:rPr>
        <w:t>before</w:t>
      </w:r>
      <w:r w:rsidRPr="00DB5453">
        <w:rPr>
          <w:rFonts w:ascii="Arial" w:eastAsia="Times New Roman" w:hAnsi="Arial" w:cs="Arial"/>
          <w:sz w:val="24"/>
          <w:szCs w:val="24"/>
          <w:lang w:eastAsia="en-GB"/>
        </w:rPr>
        <w:t xml:space="preserve"> full-scale data collection. Pre-testing enhances instrument validity and minimizes systematic errors in field surveys (Oloruntoba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667078BC" w14:textId="77777777" w:rsidR="001F2D9D" w:rsidRPr="00DB5453" w:rsidRDefault="001F2D9D" w:rsidP="00D2675B">
      <w:pPr>
        <w:spacing w:before="100" w:beforeAutospacing="1" w:after="100" w:afterAutospacing="1" w:line="240" w:lineRule="auto"/>
        <w:jc w:val="both"/>
        <w:rPr>
          <w:rFonts w:ascii="Arial" w:eastAsia="Times New Roman" w:hAnsi="Arial" w:cs="Arial"/>
          <w:sz w:val="24"/>
          <w:szCs w:val="24"/>
          <w:lang w:eastAsia="en-GB"/>
        </w:rPr>
      </w:pPr>
    </w:p>
    <w:p w14:paraId="5AD590C7"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Management</w:t>
      </w:r>
    </w:p>
    <w:p w14:paraId="4E2006C5" w14:textId="77777777" w:rsidR="00802A8F" w:rsidRPr="00DB5453" w:rsidRDefault="00802A8F" w:rsidP="00802A8F">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lastRenderedPageBreak/>
        <w:t>Completed questionnaires were reviewed daily for completeness and consistency. Data were handled confidentially and stored securely to prevent unauthorized access. Proper data management procedures are essential in epidemiological research to ensure accuracy and integrity of findings (WHO, 2009).</w:t>
      </w:r>
    </w:p>
    <w:p w14:paraId="3DB0A3A9"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Analysis</w:t>
      </w:r>
    </w:p>
    <w:p w14:paraId="3C835A0B" w14:textId="77777777" w:rsidR="00802A8F" w:rsidRPr="00DB5453" w:rsidRDefault="00802A8F" w:rsidP="00802A8F">
      <w:pPr>
        <w:spacing w:before="100" w:beforeAutospacing="1" w:after="100" w:afterAutospacing="1" w:line="240" w:lineRule="auto"/>
        <w:rPr>
          <w:rFonts w:ascii="Arial" w:eastAsia="Times New Roman" w:hAnsi="Arial" w:cs="Arial"/>
          <w:color w:val="000000" w:themeColor="text1"/>
          <w:sz w:val="24"/>
          <w:szCs w:val="24"/>
          <w:lang w:eastAsia="en-GB"/>
        </w:rPr>
      </w:pPr>
      <w:r w:rsidRPr="00DB5453">
        <w:rPr>
          <w:rFonts w:ascii="Arial" w:eastAsia="Times New Roman" w:hAnsi="Arial" w:cs="Arial"/>
          <w:sz w:val="24"/>
          <w:szCs w:val="24"/>
          <w:lang w:eastAsia="en-GB"/>
        </w:rPr>
        <w:t xml:space="preserve">Data were entered and analyzed using the Statistical Package for Social Sciences (SPSS). Descriptive statistics such as frequencies, percentages, </w:t>
      </w:r>
      <w:r w:rsidR="00D2675B" w:rsidRPr="00DB5453">
        <w:rPr>
          <w:rFonts w:ascii="Arial" w:eastAsia="Times New Roman" w:hAnsi="Arial" w:cs="Arial"/>
          <w:sz w:val="24"/>
          <w:szCs w:val="24"/>
          <w:lang w:eastAsia="en-GB"/>
        </w:rPr>
        <w:t>and tables</w:t>
      </w:r>
      <w:r w:rsidRPr="00DB5453">
        <w:rPr>
          <w:rFonts w:ascii="Arial" w:eastAsia="Times New Roman" w:hAnsi="Arial" w:cs="Arial"/>
          <w:sz w:val="24"/>
          <w:szCs w:val="24"/>
          <w:lang w:eastAsia="en-GB"/>
        </w:rPr>
        <w:t xml:space="preserve"> were generated. The Chi-square test was employed to determine statistical differences in diarrhoeal prevalence between intervention and control groups. A p-value &lt; 0.05 was considered statistically significant. </w:t>
      </w:r>
      <w:r w:rsidRPr="00DB5453">
        <w:rPr>
          <w:rFonts w:ascii="Arial" w:eastAsia="Times New Roman" w:hAnsi="Arial" w:cs="Arial"/>
          <w:color w:val="000000" w:themeColor="text1"/>
          <w:sz w:val="24"/>
          <w:szCs w:val="24"/>
          <w:lang w:eastAsia="en-GB"/>
        </w:rPr>
        <w:t xml:space="preserve">Similar analytical approaches have been applied in diarrhoeal disease research in Nigeria and other LMICs (Walker </w:t>
      </w:r>
      <w:r w:rsidRPr="00DB5453">
        <w:rPr>
          <w:rFonts w:ascii="Arial" w:eastAsia="Times New Roman" w:hAnsi="Arial" w:cs="Arial"/>
          <w:i/>
          <w:color w:val="000000" w:themeColor="text1"/>
          <w:sz w:val="24"/>
          <w:szCs w:val="24"/>
          <w:lang w:eastAsia="en-GB"/>
        </w:rPr>
        <w:t>et al</w:t>
      </w:r>
      <w:r w:rsidRPr="00DB5453">
        <w:rPr>
          <w:rFonts w:ascii="Arial" w:eastAsia="Times New Roman" w:hAnsi="Arial" w:cs="Arial"/>
          <w:color w:val="000000" w:themeColor="text1"/>
          <w:sz w:val="24"/>
          <w:szCs w:val="24"/>
          <w:lang w:eastAsia="en-GB"/>
        </w:rPr>
        <w:t xml:space="preserve">., 2013; Ugboko </w:t>
      </w:r>
      <w:r w:rsidRPr="00DB5453">
        <w:rPr>
          <w:rFonts w:ascii="Arial" w:eastAsia="Times New Roman" w:hAnsi="Arial" w:cs="Arial"/>
          <w:i/>
          <w:color w:val="000000" w:themeColor="text1"/>
          <w:sz w:val="24"/>
          <w:szCs w:val="24"/>
          <w:lang w:eastAsia="en-GB"/>
        </w:rPr>
        <w:t>et al.,</w:t>
      </w:r>
      <w:r w:rsidRPr="00DB5453">
        <w:rPr>
          <w:rFonts w:ascii="Arial" w:eastAsia="Times New Roman" w:hAnsi="Arial" w:cs="Arial"/>
          <w:color w:val="000000" w:themeColor="text1"/>
          <w:sz w:val="24"/>
          <w:szCs w:val="24"/>
          <w:lang w:eastAsia="en-GB"/>
        </w:rPr>
        <w:t xml:space="preserve"> 2021).</w:t>
      </w:r>
    </w:p>
    <w:p w14:paraId="1622350F"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Ethical Considerations</w:t>
      </w:r>
    </w:p>
    <w:p w14:paraId="395A4ADB" w14:textId="09A52259" w:rsidR="00802A8F" w:rsidRPr="00DB5453" w:rsidRDefault="00802A8F" w:rsidP="00D2675B">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Ethical approval was obtained from the Department of Biological Sciences, University of Abuja, </w:t>
      </w:r>
      <w:r w:rsidR="001F2D9D" w:rsidRPr="00DB5453">
        <w:rPr>
          <w:rFonts w:ascii="Arial" w:eastAsia="Times New Roman" w:hAnsi="Arial" w:cs="Arial"/>
          <w:sz w:val="24"/>
          <w:szCs w:val="24"/>
          <w:lang w:eastAsia="en-GB"/>
        </w:rPr>
        <w:t>before</w:t>
      </w:r>
      <w:r w:rsidRPr="00DB5453">
        <w:rPr>
          <w:rFonts w:ascii="Arial" w:eastAsia="Times New Roman" w:hAnsi="Arial" w:cs="Arial"/>
          <w:sz w:val="24"/>
          <w:szCs w:val="24"/>
          <w:lang w:eastAsia="en-GB"/>
        </w:rPr>
        <w:t xml:space="preserve"> commencement of the study. Informed consent was obtained from all participants or guardians before interviews were conducted. Participants were assured of confidentiality and their right to withdraw at any stage of the study. These procedures align with international ethical standards for public health research involving human participants (WHO, 2009).</w:t>
      </w:r>
    </w:p>
    <w:p w14:paraId="57F67532" w14:textId="77777777" w:rsidR="00E96F56" w:rsidRPr="00DB5453" w:rsidRDefault="0064242D" w:rsidP="00E96F56">
      <w:pPr>
        <w:pStyle w:val="Heading1"/>
        <w:spacing w:before="0"/>
        <w:ind w:left="0" w:right="3319"/>
        <w:jc w:val="left"/>
        <w:rPr>
          <w:rFonts w:ascii="Arial" w:hAnsi="Arial" w:cs="Arial"/>
          <w:spacing w:val="-2"/>
        </w:rPr>
      </w:pPr>
      <w:r w:rsidRPr="00DB5453">
        <w:rPr>
          <w:rFonts w:ascii="Arial" w:hAnsi="Arial" w:cs="Arial"/>
          <w:spacing w:val="-2"/>
        </w:rPr>
        <w:t>RESULTS</w:t>
      </w:r>
    </w:p>
    <w:p w14:paraId="24FADD80" w14:textId="77777777" w:rsidR="00E96F56" w:rsidRPr="00DB5453" w:rsidRDefault="00E96F56" w:rsidP="00E96F56">
      <w:pPr>
        <w:pStyle w:val="BodyText"/>
        <w:ind w:left="0"/>
        <w:rPr>
          <w:rFonts w:ascii="Arial" w:hAnsi="Arial" w:cs="Arial"/>
          <w:sz w:val="24"/>
          <w:szCs w:val="24"/>
        </w:rPr>
      </w:pPr>
      <w:r w:rsidRPr="00DB5453">
        <w:rPr>
          <w:rFonts w:ascii="Arial" w:hAnsi="Arial" w:cs="Arial"/>
        </w:rPr>
        <w:t>Table 1 presents the socio-demographic profile of the 106 participants included in the study, divided equally between the intervention group (n = 53) and the control group (n = 53). The demographic variables assessed include gender, age group, and educational level.</w:t>
      </w:r>
    </w:p>
    <w:p w14:paraId="47104547"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Gender Distribution:</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The distribution of participants by gender was relatively balanced in both groups. In the intervention group, males constituted 28 (52.8%) while females accounted for 25 (47.2%). Similarly, in the control group, 29 (54.7%) were males and 24 (45.3%) were females. This near-equal gender representation suggests that both groups were comparable in terms of sex distribution, thereby reducing gender-related bias in assessing the effectiveness of the intervention.</w:t>
      </w:r>
    </w:p>
    <w:p w14:paraId="563E7D19"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Age Distribution</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 xml:space="preserve">Participants were categorized into four age groups: 0–5 years, 6–15 years, 16–30 years, and 31 years and above. In both groups, the largest proportion fell within the 0–5 years category (37.7% in the intervention group and 35.8% in the control group). This is particularly relevant, as children under five are the most vulnerable to diarrhoeal diseases. The 6–15 years age group represented 28.3% and 30.2% in the intervention and control groups respectively. Smaller proportions were observed among participants aged 16–30 years (18.9% intervention; 17% control) and 31 years and above (15.1% intervention; 17% control). The similarity in age </w:t>
      </w:r>
      <w:r w:rsidRPr="00DB5453">
        <w:rPr>
          <w:rFonts w:ascii="Arial" w:eastAsia="Times New Roman" w:hAnsi="Arial" w:cs="Arial"/>
          <w:sz w:val="24"/>
          <w:szCs w:val="24"/>
          <w:lang w:eastAsia="en-GB"/>
        </w:rPr>
        <w:lastRenderedPageBreak/>
        <w:t>distribution across both groups enhances comparability and strengthens the internal validity of the study.</w:t>
      </w:r>
    </w:p>
    <w:p w14:paraId="36520CC9"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Educational Level</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Regarding educational attainment, the majority of participants in both groups had secondary education (43.4% intervention; 41.5% control), followed by primary education (34% intervention; 32.1% control). A smaller proportion had higher education (13.2% intervention; 15.1% control), while the least proportion had no formal education (9.4% intervention; 11.3% control). The relatively moderate level of education among most participants may positively influence health awareness and responsiveness to public health interventions. Importantly, the similar distribution of educational levels between groups ensures that differences in outcomes are less likely to be influenced by disparities in educational background.</w:t>
      </w:r>
    </w:p>
    <w:p w14:paraId="04C159A8" w14:textId="77777777" w:rsidR="00E96F56" w:rsidRPr="00DB5453" w:rsidRDefault="00E96F56" w:rsidP="00E96F56">
      <w:pPr>
        <w:pStyle w:val="BodyText"/>
        <w:spacing w:line="480" w:lineRule="auto"/>
        <w:ind w:left="0"/>
        <w:rPr>
          <w:rFonts w:ascii="Arial" w:hAnsi="Arial" w:cs="Arial"/>
          <w:sz w:val="24"/>
          <w:szCs w:val="24"/>
        </w:rPr>
        <w:sectPr w:rsidR="00E96F56" w:rsidRPr="00DB5453">
          <w:headerReference w:type="even" r:id="rId7"/>
          <w:headerReference w:type="default" r:id="rId8"/>
          <w:footerReference w:type="even" r:id="rId9"/>
          <w:footerReference w:type="default" r:id="rId10"/>
          <w:headerReference w:type="first" r:id="rId11"/>
          <w:footerReference w:type="first" r:id="rId12"/>
          <w:pgSz w:w="12240" w:h="15840"/>
          <w:pgMar w:top="1380" w:right="1080" w:bottom="1200" w:left="1080" w:header="0" w:footer="1012" w:gutter="0"/>
          <w:cols w:space="720"/>
        </w:sectPr>
      </w:pPr>
    </w:p>
    <w:p w14:paraId="08994552" w14:textId="1B9FAC97" w:rsidR="0064242D" w:rsidRPr="00DB5453" w:rsidRDefault="0064242D" w:rsidP="00FA58BC">
      <w:pPr>
        <w:pStyle w:val="Heading2"/>
        <w:tabs>
          <w:tab w:val="left" w:pos="1800"/>
        </w:tabs>
        <w:spacing w:before="0" w:line="276" w:lineRule="auto"/>
        <w:ind w:left="360" w:firstLine="0"/>
        <w:jc w:val="left"/>
        <w:rPr>
          <w:rFonts w:ascii="Arial" w:hAnsi="Arial" w:cs="Arial"/>
          <w:sz w:val="24"/>
          <w:szCs w:val="24"/>
        </w:rPr>
      </w:pPr>
      <w:r w:rsidRPr="00DB5453">
        <w:rPr>
          <w:rFonts w:ascii="Arial" w:hAnsi="Arial" w:cs="Arial"/>
          <w:spacing w:val="-4"/>
          <w:sz w:val="24"/>
          <w:szCs w:val="24"/>
        </w:rPr>
        <w:lastRenderedPageBreak/>
        <w:t>Table</w:t>
      </w:r>
      <w:r w:rsidRPr="00DB5453">
        <w:rPr>
          <w:rFonts w:ascii="Arial" w:hAnsi="Arial" w:cs="Arial"/>
          <w:spacing w:val="-10"/>
          <w:sz w:val="24"/>
          <w:szCs w:val="24"/>
        </w:rPr>
        <w:t xml:space="preserve"> </w:t>
      </w:r>
      <w:r w:rsidRPr="00DB5453">
        <w:rPr>
          <w:rFonts w:ascii="Arial" w:hAnsi="Arial" w:cs="Arial"/>
          <w:spacing w:val="-5"/>
          <w:sz w:val="24"/>
          <w:szCs w:val="24"/>
        </w:rPr>
        <w:t>1</w:t>
      </w:r>
      <w:r w:rsidR="001F2D9D" w:rsidRPr="00DB5453">
        <w:rPr>
          <w:rFonts w:ascii="Arial" w:hAnsi="Arial" w:cs="Arial"/>
          <w:spacing w:val="-5"/>
          <w:sz w:val="24"/>
          <w:szCs w:val="24"/>
        </w:rPr>
        <w:t>:</w:t>
      </w:r>
      <w:r w:rsidR="00D2675B" w:rsidRPr="00DB5453">
        <w:rPr>
          <w:rFonts w:ascii="Arial" w:hAnsi="Arial" w:cs="Arial"/>
          <w:sz w:val="24"/>
          <w:szCs w:val="24"/>
        </w:rPr>
        <w:t xml:space="preserve"> </w:t>
      </w:r>
      <w:r w:rsidRPr="00DB5453">
        <w:rPr>
          <w:rFonts w:ascii="Arial" w:hAnsi="Arial" w:cs="Arial"/>
          <w:sz w:val="24"/>
          <w:szCs w:val="24"/>
        </w:rPr>
        <w:t>Demographic</w:t>
      </w:r>
      <w:r w:rsidRPr="00DB5453">
        <w:rPr>
          <w:rFonts w:ascii="Arial" w:hAnsi="Arial" w:cs="Arial"/>
          <w:spacing w:val="-8"/>
          <w:sz w:val="24"/>
          <w:szCs w:val="24"/>
        </w:rPr>
        <w:t xml:space="preserve"> </w:t>
      </w:r>
      <w:r w:rsidRPr="00DB5453">
        <w:rPr>
          <w:rFonts w:ascii="Arial" w:hAnsi="Arial" w:cs="Arial"/>
          <w:sz w:val="24"/>
          <w:szCs w:val="24"/>
        </w:rPr>
        <w:t>Characteristics</w:t>
      </w:r>
      <w:r w:rsidRPr="00DB5453">
        <w:rPr>
          <w:rFonts w:ascii="Arial" w:hAnsi="Arial" w:cs="Arial"/>
          <w:spacing w:val="-5"/>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Study</w:t>
      </w:r>
      <w:r w:rsidRPr="00DB5453">
        <w:rPr>
          <w:rFonts w:ascii="Arial" w:hAnsi="Arial" w:cs="Arial"/>
          <w:spacing w:val="-4"/>
          <w:sz w:val="24"/>
          <w:szCs w:val="24"/>
        </w:rPr>
        <w:t xml:space="preserve"> </w:t>
      </w:r>
      <w:r w:rsidRPr="00DB5453">
        <w:rPr>
          <w:rFonts w:ascii="Arial" w:hAnsi="Arial" w:cs="Arial"/>
          <w:spacing w:val="-2"/>
          <w:sz w:val="24"/>
          <w:szCs w:val="24"/>
        </w:rPr>
        <w:t>Population</w:t>
      </w:r>
    </w:p>
    <w:p w14:paraId="7B05129B" w14:textId="77777777" w:rsidR="0064242D" w:rsidRPr="00DB5453" w:rsidRDefault="0064242D" w:rsidP="00FA58BC">
      <w:pPr>
        <w:pStyle w:val="BodyText"/>
        <w:spacing w:line="276" w:lineRule="auto"/>
        <w:ind w:left="0"/>
        <w:jc w:val="left"/>
        <w:rPr>
          <w:rFonts w:ascii="Arial" w:hAnsi="Arial" w:cs="Arial"/>
          <w:b/>
          <w:sz w:val="24"/>
          <w:szCs w:val="24"/>
        </w:rPr>
      </w:pPr>
    </w:p>
    <w:p w14:paraId="0CA7D0E1" w14:textId="77777777" w:rsidR="0064242D" w:rsidRPr="00DB5453" w:rsidRDefault="0064242D" w:rsidP="00FA58BC">
      <w:pPr>
        <w:pStyle w:val="BodyText"/>
        <w:spacing w:line="276" w:lineRule="auto"/>
        <w:ind w:left="0"/>
        <w:jc w:val="left"/>
        <w:rPr>
          <w:rFonts w:ascii="Arial" w:hAnsi="Arial" w:cs="Arial"/>
          <w:b/>
          <w:sz w:val="24"/>
          <w:szCs w:val="24"/>
        </w:rPr>
      </w:pP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59"/>
        <w:gridCol w:w="3271"/>
        <w:gridCol w:w="2451"/>
      </w:tblGrid>
      <w:tr w:rsidR="0064242D" w:rsidRPr="00DB5453" w14:paraId="084E8287" w14:textId="77777777" w:rsidTr="004E6045">
        <w:trPr>
          <w:trHeight w:val="569"/>
        </w:trPr>
        <w:tc>
          <w:tcPr>
            <w:tcW w:w="3159" w:type="dxa"/>
            <w:tcBorders>
              <w:top w:val="single" w:sz="4" w:space="0" w:color="auto"/>
              <w:bottom w:val="single" w:sz="4" w:space="0" w:color="auto"/>
            </w:tcBorders>
          </w:tcPr>
          <w:p w14:paraId="1D04F1ED" w14:textId="77777777" w:rsidR="0064242D" w:rsidRPr="00DB5453" w:rsidRDefault="0064242D" w:rsidP="00FA58BC">
            <w:pPr>
              <w:pStyle w:val="TableParagraph"/>
              <w:spacing w:line="276" w:lineRule="auto"/>
              <w:ind w:left="108"/>
              <w:jc w:val="left"/>
              <w:rPr>
                <w:rFonts w:ascii="Arial" w:hAnsi="Arial" w:cs="Arial"/>
                <w:b/>
                <w:sz w:val="24"/>
                <w:szCs w:val="24"/>
              </w:rPr>
            </w:pPr>
            <w:r w:rsidRPr="00DB5453">
              <w:rPr>
                <w:rFonts w:ascii="Arial" w:hAnsi="Arial" w:cs="Arial"/>
                <w:b/>
                <w:spacing w:val="-2"/>
                <w:sz w:val="24"/>
                <w:szCs w:val="24"/>
              </w:rPr>
              <w:t>Characteristic</w:t>
            </w:r>
          </w:p>
        </w:tc>
        <w:tc>
          <w:tcPr>
            <w:tcW w:w="3271" w:type="dxa"/>
            <w:tcBorders>
              <w:top w:val="single" w:sz="4" w:space="0" w:color="auto"/>
              <w:bottom w:val="single" w:sz="4" w:space="0" w:color="auto"/>
            </w:tcBorders>
          </w:tcPr>
          <w:p w14:paraId="61C1CEB0" w14:textId="77777777" w:rsidR="0064242D" w:rsidRPr="00DB5453" w:rsidRDefault="0064242D" w:rsidP="00FA58BC">
            <w:pPr>
              <w:pStyle w:val="TableParagraph"/>
              <w:spacing w:line="276" w:lineRule="auto"/>
              <w:ind w:left="194" w:right="3"/>
              <w:rPr>
                <w:rFonts w:ascii="Arial" w:hAnsi="Arial" w:cs="Arial"/>
                <w:b/>
                <w:spacing w:val="-4"/>
                <w:sz w:val="24"/>
                <w:szCs w:val="24"/>
              </w:rPr>
            </w:pPr>
            <w:r w:rsidRPr="00DB5453">
              <w:rPr>
                <w:rFonts w:ascii="Arial" w:hAnsi="Arial" w:cs="Arial"/>
                <w:b/>
                <w:sz w:val="24"/>
                <w:szCs w:val="24"/>
              </w:rPr>
              <w:t>Intervention</w:t>
            </w:r>
            <w:r w:rsidRPr="00DB5453">
              <w:rPr>
                <w:rFonts w:ascii="Arial" w:hAnsi="Arial" w:cs="Arial"/>
                <w:b/>
                <w:spacing w:val="-10"/>
                <w:sz w:val="24"/>
                <w:szCs w:val="24"/>
              </w:rPr>
              <w:t xml:space="preserve"> </w:t>
            </w:r>
            <w:r w:rsidRPr="00DB5453">
              <w:rPr>
                <w:rFonts w:ascii="Arial" w:hAnsi="Arial" w:cs="Arial"/>
                <w:b/>
                <w:spacing w:val="-4"/>
                <w:sz w:val="24"/>
                <w:szCs w:val="24"/>
              </w:rPr>
              <w:t>Group</w:t>
            </w:r>
          </w:p>
          <w:p w14:paraId="63231B9D" w14:textId="77777777" w:rsidR="005B5D34" w:rsidRPr="00DB5453" w:rsidRDefault="005B5D34" w:rsidP="00FA58BC">
            <w:pPr>
              <w:pStyle w:val="TableParagraph"/>
              <w:spacing w:line="276" w:lineRule="auto"/>
              <w:ind w:left="194" w:right="3"/>
              <w:rPr>
                <w:rFonts w:ascii="Arial" w:hAnsi="Arial" w:cs="Arial"/>
                <w:b/>
                <w:sz w:val="24"/>
                <w:szCs w:val="24"/>
              </w:rPr>
            </w:pPr>
            <w:r w:rsidRPr="00DB5453">
              <w:rPr>
                <w:rFonts w:ascii="Arial" w:hAnsi="Arial" w:cs="Arial"/>
                <w:b/>
                <w:spacing w:val="-2"/>
                <w:sz w:val="24"/>
                <w:szCs w:val="24"/>
              </w:rPr>
              <w:t>(n=53)</w:t>
            </w:r>
          </w:p>
        </w:tc>
        <w:tc>
          <w:tcPr>
            <w:tcW w:w="2451" w:type="dxa"/>
            <w:tcBorders>
              <w:top w:val="single" w:sz="4" w:space="0" w:color="auto"/>
              <w:bottom w:val="single" w:sz="4" w:space="0" w:color="auto"/>
            </w:tcBorders>
          </w:tcPr>
          <w:p w14:paraId="54E74288" w14:textId="77777777" w:rsidR="0064242D" w:rsidRPr="00DB5453" w:rsidRDefault="0064242D" w:rsidP="00FA58BC">
            <w:pPr>
              <w:pStyle w:val="TableParagraph"/>
              <w:spacing w:line="276" w:lineRule="auto"/>
              <w:ind w:left="68" w:right="6"/>
              <w:rPr>
                <w:rFonts w:ascii="Arial" w:hAnsi="Arial" w:cs="Arial"/>
                <w:b/>
                <w:spacing w:val="-4"/>
                <w:sz w:val="24"/>
                <w:szCs w:val="24"/>
              </w:rPr>
            </w:pPr>
            <w:r w:rsidRPr="00DB5453">
              <w:rPr>
                <w:rFonts w:ascii="Arial" w:hAnsi="Arial" w:cs="Arial"/>
                <w:b/>
                <w:sz w:val="24"/>
                <w:szCs w:val="24"/>
              </w:rPr>
              <w:t>Control</w:t>
            </w:r>
            <w:r w:rsidRPr="00DB5453">
              <w:rPr>
                <w:rFonts w:ascii="Arial" w:hAnsi="Arial" w:cs="Arial"/>
                <w:b/>
                <w:spacing w:val="-10"/>
                <w:sz w:val="24"/>
                <w:szCs w:val="24"/>
              </w:rPr>
              <w:t xml:space="preserve"> </w:t>
            </w:r>
            <w:r w:rsidRPr="00DB5453">
              <w:rPr>
                <w:rFonts w:ascii="Arial" w:hAnsi="Arial" w:cs="Arial"/>
                <w:b/>
                <w:spacing w:val="-4"/>
                <w:sz w:val="24"/>
                <w:szCs w:val="24"/>
              </w:rPr>
              <w:t>Group</w:t>
            </w:r>
          </w:p>
          <w:p w14:paraId="46F035D8" w14:textId="77777777" w:rsidR="005B5D34" w:rsidRPr="00DB5453" w:rsidRDefault="004E6045" w:rsidP="00FA58BC">
            <w:pPr>
              <w:pStyle w:val="TableParagraph"/>
              <w:spacing w:line="276" w:lineRule="auto"/>
              <w:ind w:left="68" w:right="6"/>
              <w:rPr>
                <w:rFonts w:ascii="Arial" w:hAnsi="Arial" w:cs="Arial"/>
                <w:b/>
                <w:sz w:val="24"/>
                <w:szCs w:val="24"/>
              </w:rPr>
            </w:pPr>
            <w:r w:rsidRPr="00DB5453">
              <w:rPr>
                <w:rFonts w:ascii="Arial" w:hAnsi="Arial" w:cs="Arial"/>
                <w:b/>
                <w:spacing w:val="-2"/>
                <w:sz w:val="24"/>
                <w:szCs w:val="24"/>
              </w:rPr>
              <w:t>(n=53)</w:t>
            </w:r>
          </w:p>
        </w:tc>
      </w:tr>
      <w:tr w:rsidR="0064242D" w:rsidRPr="00DB5453" w14:paraId="0FA11ACC" w14:textId="77777777" w:rsidTr="004E6045">
        <w:trPr>
          <w:trHeight w:val="952"/>
        </w:trPr>
        <w:tc>
          <w:tcPr>
            <w:tcW w:w="3159" w:type="dxa"/>
            <w:tcBorders>
              <w:top w:val="single" w:sz="4" w:space="0" w:color="auto"/>
            </w:tcBorders>
          </w:tcPr>
          <w:p w14:paraId="46F22D77" w14:textId="77777777" w:rsidR="004E6045" w:rsidRPr="00DB5453" w:rsidRDefault="004E6045" w:rsidP="00962AB3">
            <w:pPr>
              <w:pStyle w:val="TableParagraph"/>
              <w:ind w:left="108"/>
              <w:jc w:val="left"/>
              <w:rPr>
                <w:rFonts w:ascii="Arial" w:hAnsi="Arial" w:cs="Arial"/>
                <w:b/>
                <w:spacing w:val="-2"/>
                <w:sz w:val="24"/>
                <w:szCs w:val="24"/>
              </w:rPr>
            </w:pPr>
          </w:p>
          <w:p w14:paraId="53C6FF74" w14:textId="77777777" w:rsidR="0064242D" w:rsidRPr="00DB5453" w:rsidRDefault="0064242D" w:rsidP="00962AB3">
            <w:pPr>
              <w:pStyle w:val="TableParagraph"/>
              <w:jc w:val="left"/>
              <w:rPr>
                <w:rFonts w:ascii="Arial" w:hAnsi="Arial" w:cs="Arial"/>
                <w:b/>
                <w:sz w:val="24"/>
                <w:szCs w:val="24"/>
              </w:rPr>
            </w:pPr>
            <w:r w:rsidRPr="00DB5453">
              <w:rPr>
                <w:rFonts w:ascii="Arial" w:hAnsi="Arial" w:cs="Arial"/>
                <w:b/>
                <w:spacing w:val="-2"/>
                <w:sz w:val="24"/>
                <w:szCs w:val="24"/>
              </w:rPr>
              <w:t>Gender</w:t>
            </w:r>
          </w:p>
          <w:p w14:paraId="1442DB16" w14:textId="77777777" w:rsidR="0064242D" w:rsidRPr="00DB5453" w:rsidRDefault="0064242D" w:rsidP="00962AB3">
            <w:pPr>
              <w:pStyle w:val="TableParagraph"/>
              <w:tabs>
                <w:tab w:val="center" w:pos="1628"/>
              </w:tabs>
              <w:ind w:left="108"/>
              <w:jc w:val="left"/>
              <w:rPr>
                <w:rFonts w:ascii="Arial" w:hAnsi="Arial" w:cs="Arial"/>
                <w:sz w:val="24"/>
                <w:szCs w:val="24"/>
              </w:rPr>
            </w:pPr>
            <w:r w:rsidRPr="00DB5453">
              <w:rPr>
                <w:rFonts w:ascii="Arial" w:hAnsi="Arial" w:cs="Arial"/>
                <w:spacing w:val="-4"/>
                <w:sz w:val="24"/>
                <w:szCs w:val="24"/>
              </w:rPr>
              <w:t>Male</w:t>
            </w:r>
            <w:r w:rsidR="004E6045" w:rsidRPr="00DB5453">
              <w:rPr>
                <w:rFonts w:ascii="Arial" w:hAnsi="Arial" w:cs="Arial"/>
                <w:spacing w:val="-4"/>
                <w:sz w:val="24"/>
                <w:szCs w:val="24"/>
              </w:rPr>
              <w:tab/>
            </w:r>
          </w:p>
        </w:tc>
        <w:tc>
          <w:tcPr>
            <w:tcW w:w="3271" w:type="dxa"/>
            <w:tcBorders>
              <w:top w:val="single" w:sz="4" w:space="0" w:color="auto"/>
            </w:tcBorders>
          </w:tcPr>
          <w:p w14:paraId="63DB9B94" w14:textId="77777777" w:rsidR="0064242D" w:rsidRPr="00DB5453" w:rsidRDefault="0064242D" w:rsidP="00962AB3">
            <w:pPr>
              <w:pStyle w:val="TableParagraph"/>
              <w:jc w:val="left"/>
              <w:rPr>
                <w:rFonts w:ascii="Arial" w:hAnsi="Arial" w:cs="Arial"/>
                <w:b/>
                <w:sz w:val="24"/>
                <w:szCs w:val="24"/>
              </w:rPr>
            </w:pPr>
          </w:p>
          <w:p w14:paraId="7AEC6CA1" w14:textId="77777777" w:rsidR="0064242D" w:rsidRPr="00DB5453" w:rsidRDefault="0064242D" w:rsidP="00962AB3">
            <w:pPr>
              <w:pStyle w:val="TableParagraph"/>
              <w:jc w:val="left"/>
              <w:rPr>
                <w:rFonts w:ascii="Arial" w:hAnsi="Arial" w:cs="Arial"/>
                <w:b/>
                <w:sz w:val="24"/>
                <w:szCs w:val="24"/>
              </w:rPr>
            </w:pPr>
          </w:p>
          <w:p w14:paraId="5B1063F5" w14:textId="77777777" w:rsidR="0064242D" w:rsidRPr="00DB5453" w:rsidRDefault="00962AB3" w:rsidP="00962AB3">
            <w:pPr>
              <w:pStyle w:val="TableParagraph"/>
              <w:ind w:right="1"/>
              <w:jc w:val="left"/>
              <w:rPr>
                <w:rFonts w:ascii="Arial" w:hAnsi="Arial" w:cs="Arial"/>
                <w:sz w:val="24"/>
                <w:szCs w:val="24"/>
              </w:rPr>
            </w:pPr>
            <w:r w:rsidRPr="00DB5453">
              <w:rPr>
                <w:rFonts w:ascii="Arial" w:hAnsi="Arial" w:cs="Arial"/>
                <w:sz w:val="24"/>
                <w:szCs w:val="24"/>
              </w:rPr>
              <w:t xml:space="preserve">                  </w:t>
            </w:r>
            <w:r w:rsidR="0064242D" w:rsidRPr="00DB5453">
              <w:rPr>
                <w:rFonts w:ascii="Arial" w:hAnsi="Arial" w:cs="Arial"/>
                <w:sz w:val="24"/>
                <w:szCs w:val="24"/>
              </w:rPr>
              <w:t>28</w:t>
            </w:r>
            <w:r w:rsidR="0064242D" w:rsidRPr="00DB5453">
              <w:rPr>
                <w:rFonts w:ascii="Arial" w:hAnsi="Arial" w:cs="Arial"/>
                <w:spacing w:val="1"/>
                <w:sz w:val="24"/>
                <w:szCs w:val="24"/>
              </w:rPr>
              <w:t xml:space="preserve"> </w:t>
            </w:r>
            <w:r w:rsidR="0064242D" w:rsidRPr="00DB5453">
              <w:rPr>
                <w:rFonts w:ascii="Arial" w:hAnsi="Arial" w:cs="Arial"/>
                <w:spacing w:val="-2"/>
                <w:sz w:val="24"/>
                <w:szCs w:val="24"/>
              </w:rPr>
              <w:t>(52.8%)</w:t>
            </w:r>
          </w:p>
        </w:tc>
        <w:tc>
          <w:tcPr>
            <w:tcW w:w="2451" w:type="dxa"/>
            <w:tcBorders>
              <w:top w:val="single" w:sz="4" w:space="0" w:color="auto"/>
            </w:tcBorders>
          </w:tcPr>
          <w:p w14:paraId="1ED7976E" w14:textId="77777777" w:rsidR="0064242D" w:rsidRPr="00DB5453" w:rsidRDefault="0064242D" w:rsidP="00962AB3">
            <w:pPr>
              <w:pStyle w:val="TableParagraph"/>
              <w:jc w:val="left"/>
              <w:rPr>
                <w:rFonts w:ascii="Arial" w:hAnsi="Arial" w:cs="Arial"/>
                <w:b/>
                <w:sz w:val="24"/>
                <w:szCs w:val="24"/>
              </w:rPr>
            </w:pPr>
          </w:p>
          <w:p w14:paraId="4FD9203D" w14:textId="77777777" w:rsidR="0064242D" w:rsidRPr="00DB5453" w:rsidRDefault="0064242D" w:rsidP="00962AB3">
            <w:pPr>
              <w:pStyle w:val="TableParagraph"/>
              <w:jc w:val="left"/>
              <w:rPr>
                <w:rFonts w:ascii="Arial" w:hAnsi="Arial" w:cs="Arial"/>
                <w:b/>
                <w:sz w:val="24"/>
                <w:szCs w:val="24"/>
              </w:rPr>
            </w:pPr>
          </w:p>
          <w:p w14:paraId="57B6B6B9" w14:textId="77777777" w:rsidR="004E6045" w:rsidRPr="00DB5453" w:rsidRDefault="004E6045" w:rsidP="00962AB3">
            <w:pPr>
              <w:pStyle w:val="TableParagraph"/>
              <w:ind w:right="3"/>
              <w:jc w:val="left"/>
              <w:rPr>
                <w:rFonts w:ascii="Arial" w:hAnsi="Arial" w:cs="Arial"/>
                <w:sz w:val="24"/>
                <w:szCs w:val="24"/>
              </w:rPr>
            </w:pPr>
            <w:r w:rsidRPr="00DB5453">
              <w:rPr>
                <w:rFonts w:ascii="Arial" w:hAnsi="Arial" w:cs="Arial"/>
                <w:sz w:val="24"/>
                <w:szCs w:val="24"/>
              </w:rPr>
              <w:t xml:space="preserve">    </w:t>
            </w:r>
            <w:r w:rsidR="00962AB3" w:rsidRPr="00DB5453">
              <w:rPr>
                <w:rFonts w:ascii="Arial" w:hAnsi="Arial" w:cs="Arial"/>
                <w:sz w:val="24"/>
                <w:szCs w:val="24"/>
              </w:rPr>
              <w:t xml:space="preserve">        </w:t>
            </w:r>
            <w:r w:rsidRPr="00DB5453">
              <w:rPr>
                <w:rFonts w:ascii="Arial" w:hAnsi="Arial" w:cs="Arial"/>
                <w:sz w:val="24"/>
                <w:szCs w:val="24"/>
              </w:rPr>
              <w:t>29</w:t>
            </w:r>
            <w:r w:rsidRPr="00DB5453">
              <w:rPr>
                <w:rFonts w:ascii="Arial" w:hAnsi="Arial" w:cs="Arial"/>
                <w:spacing w:val="1"/>
                <w:sz w:val="24"/>
                <w:szCs w:val="24"/>
              </w:rPr>
              <w:t xml:space="preserve"> </w:t>
            </w:r>
            <w:r w:rsidRPr="00DB5453">
              <w:rPr>
                <w:rFonts w:ascii="Arial" w:hAnsi="Arial" w:cs="Arial"/>
                <w:spacing w:val="-2"/>
                <w:sz w:val="24"/>
                <w:szCs w:val="24"/>
              </w:rPr>
              <w:t>(54.7%)</w:t>
            </w:r>
          </w:p>
          <w:p w14:paraId="178CCCFF" w14:textId="77777777" w:rsidR="004E6045" w:rsidRPr="00DB5453" w:rsidRDefault="004E6045" w:rsidP="00962AB3">
            <w:pPr>
              <w:pStyle w:val="TableParagraph"/>
              <w:ind w:right="3"/>
              <w:jc w:val="left"/>
              <w:rPr>
                <w:rFonts w:ascii="Arial" w:hAnsi="Arial" w:cs="Arial"/>
                <w:sz w:val="24"/>
                <w:szCs w:val="24"/>
              </w:rPr>
            </w:pPr>
            <w:r w:rsidRPr="00DB5453">
              <w:rPr>
                <w:rFonts w:ascii="Arial" w:hAnsi="Arial" w:cs="Arial"/>
                <w:sz w:val="24"/>
                <w:szCs w:val="24"/>
              </w:rPr>
              <w:t xml:space="preserve">     </w:t>
            </w:r>
          </w:p>
        </w:tc>
      </w:tr>
      <w:tr w:rsidR="004E6045" w:rsidRPr="00DB5453" w14:paraId="5BC82937" w14:textId="77777777" w:rsidTr="004E6045">
        <w:trPr>
          <w:trHeight w:val="404"/>
        </w:trPr>
        <w:tc>
          <w:tcPr>
            <w:tcW w:w="3159" w:type="dxa"/>
          </w:tcPr>
          <w:p w14:paraId="328DB484" w14:textId="77777777" w:rsidR="004E6045" w:rsidRPr="00DB5453" w:rsidRDefault="004E6045" w:rsidP="00962AB3">
            <w:pPr>
              <w:pStyle w:val="TableParagraph"/>
              <w:ind w:left="108"/>
              <w:jc w:val="left"/>
              <w:rPr>
                <w:rFonts w:ascii="Arial" w:hAnsi="Arial" w:cs="Arial"/>
                <w:sz w:val="24"/>
                <w:szCs w:val="24"/>
              </w:rPr>
            </w:pPr>
            <w:r w:rsidRPr="00DB5453">
              <w:rPr>
                <w:rFonts w:ascii="Arial" w:hAnsi="Arial" w:cs="Arial"/>
                <w:spacing w:val="-2"/>
                <w:sz w:val="24"/>
                <w:szCs w:val="24"/>
              </w:rPr>
              <w:t>Female</w:t>
            </w:r>
          </w:p>
        </w:tc>
        <w:tc>
          <w:tcPr>
            <w:tcW w:w="3271" w:type="dxa"/>
          </w:tcPr>
          <w:p w14:paraId="0152EC78" w14:textId="77777777" w:rsidR="004E6045" w:rsidRPr="00DB5453" w:rsidRDefault="00962AB3" w:rsidP="00962AB3">
            <w:pPr>
              <w:pStyle w:val="TableParagraph"/>
              <w:ind w:right="1"/>
              <w:jc w:val="left"/>
              <w:rPr>
                <w:rFonts w:ascii="Arial" w:hAnsi="Arial" w:cs="Arial"/>
                <w:sz w:val="24"/>
                <w:szCs w:val="24"/>
              </w:rPr>
            </w:pPr>
            <w:r w:rsidRPr="00DB5453">
              <w:rPr>
                <w:rFonts w:ascii="Arial" w:hAnsi="Arial" w:cs="Arial"/>
                <w:sz w:val="24"/>
                <w:szCs w:val="24"/>
              </w:rPr>
              <w:t xml:space="preserve">                 </w:t>
            </w:r>
            <w:r w:rsidR="004E6045" w:rsidRPr="00DB5453">
              <w:rPr>
                <w:rFonts w:ascii="Arial" w:hAnsi="Arial" w:cs="Arial"/>
                <w:sz w:val="24"/>
                <w:szCs w:val="24"/>
              </w:rPr>
              <w:t>25</w:t>
            </w:r>
            <w:r w:rsidR="004E6045" w:rsidRPr="00DB5453">
              <w:rPr>
                <w:rFonts w:ascii="Arial" w:hAnsi="Arial" w:cs="Arial"/>
                <w:spacing w:val="1"/>
                <w:sz w:val="24"/>
                <w:szCs w:val="24"/>
              </w:rPr>
              <w:t xml:space="preserve"> </w:t>
            </w:r>
            <w:r w:rsidR="004E6045" w:rsidRPr="00DB5453">
              <w:rPr>
                <w:rFonts w:ascii="Arial" w:hAnsi="Arial" w:cs="Arial"/>
                <w:spacing w:val="-2"/>
                <w:sz w:val="24"/>
                <w:szCs w:val="24"/>
              </w:rPr>
              <w:t>(47.2%)</w:t>
            </w:r>
          </w:p>
        </w:tc>
        <w:tc>
          <w:tcPr>
            <w:tcW w:w="2451" w:type="dxa"/>
          </w:tcPr>
          <w:p w14:paraId="65467A21" w14:textId="77777777" w:rsidR="004E6045" w:rsidRPr="00DB5453" w:rsidRDefault="004E6045" w:rsidP="00962AB3">
            <w:pPr>
              <w:pStyle w:val="TableParagraph"/>
              <w:ind w:left="68" w:right="3"/>
              <w:rPr>
                <w:rFonts w:ascii="Arial" w:hAnsi="Arial" w:cs="Arial"/>
                <w:sz w:val="24"/>
                <w:szCs w:val="24"/>
              </w:rPr>
            </w:pPr>
            <w:r w:rsidRPr="00DB5453">
              <w:rPr>
                <w:rFonts w:ascii="Arial" w:hAnsi="Arial" w:cs="Arial"/>
                <w:sz w:val="24"/>
                <w:szCs w:val="24"/>
              </w:rPr>
              <w:t>24</w:t>
            </w:r>
            <w:r w:rsidRPr="00DB5453">
              <w:rPr>
                <w:rFonts w:ascii="Arial" w:hAnsi="Arial" w:cs="Arial"/>
                <w:spacing w:val="1"/>
                <w:sz w:val="24"/>
                <w:szCs w:val="24"/>
              </w:rPr>
              <w:t xml:space="preserve"> </w:t>
            </w:r>
            <w:r w:rsidRPr="00DB5453">
              <w:rPr>
                <w:rFonts w:ascii="Arial" w:hAnsi="Arial" w:cs="Arial"/>
                <w:spacing w:val="-2"/>
                <w:sz w:val="24"/>
                <w:szCs w:val="24"/>
              </w:rPr>
              <w:t>(45.3%)</w:t>
            </w:r>
          </w:p>
        </w:tc>
      </w:tr>
      <w:tr w:rsidR="004E6045" w:rsidRPr="00DB5453" w14:paraId="5877B381" w14:textId="77777777" w:rsidTr="004E6045">
        <w:trPr>
          <w:trHeight w:val="612"/>
        </w:trPr>
        <w:tc>
          <w:tcPr>
            <w:tcW w:w="3159" w:type="dxa"/>
          </w:tcPr>
          <w:p w14:paraId="28E2177F" w14:textId="77777777" w:rsidR="004E6045" w:rsidRPr="00DB5453" w:rsidRDefault="004E6045" w:rsidP="004E6045">
            <w:pPr>
              <w:pStyle w:val="TableParagraph"/>
              <w:spacing w:line="276" w:lineRule="auto"/>
              <w:jc w:val="left"/>
              <w:rPr>
                <w:rFonts w:ascii="Arial" w:hAnsi="Arial" w:cs="Arial"/>
                <w:b/>
                <w:sz w:val="24"/>
                <w:szCs w:val="24"/>
              </w:rPr>
            </w:pPr>
          </w:p>
          <w:p w14:paraId="04AC27ED" w14:textId="77777777" w:rsidR="004E6045" w:rsidRPr="00DB5453" w:rsidRDefault="004E6045" w:rsidP="00FA58BC">
            <w:pPr>
              <w:pStyle w:val="TableParagraph"/>
              <w:spacing w:line="276" w:lineRule="auto"/>
              <w:ind w:left="108"/>
              <w:jc w:val="left"/>
              <w:rPr>
                <w:rFonts w:ascii="Arial" w:hAnsi="Arial" w:cs="Arial"/>
                <w:b/>
                <w:sz w:val="24"/>
                <w:szCs w:val="24"/>
              </w:rPr>
            </w:pPr>
            <w:r w:rsidRPr="00DB5453">
              <w:rPr>
                <w:rFonts w:ascii="Arial" w:hAnsi="Arial" w:cs="Arial"/>
                <w:b/>
                <w:sz w:val="24"/>
                <w:szCs w:val="24"/>
              </w:rPr>
              <w:t>Age</w:t>
            </w:r>
            <w:r w:rsidRPr="00DB5453">
              <w:rPr>
                <w:rFonts w:ascii="Arial" w:hAnsi="Arial" w:cs="Arial"/>
                <w:b/>
                <w:spacing w:val="-2"/>
                <w:sz w:val="24"/>
                <w:szCs w:val="24"/>
              </w:rPr>
              <w:t xml:space="preserve"> Group</w:t>
            </w:r>
          </w:p>
        </w:tc>
        <w:tc>
          <w:tcPr>
            <w:tcW w:w="3271" w:type="dxa"/>
          </w:tcPr>
          <w:p w14:paraId="5B8458D5" w14:textId="77777777" w:rsidR="004E6045" w:rsidRPr="00DB5453" w:rsidRDefault="004E6045" w:rsidP="00FA58BC">
            <w:pPr>
              <w:pStyle w:val="TableParagraph"/>
              <w:spacing w:line="276" w:lineRule="auto"/>
              <w:ind w:left="194" w:right="1"/>
              <w:rPr>
                <w:rFonts w:ascii="Arial" w:hAnsi="Arial" w:cs="Arial"/>
                <w:sz w:val="24"/>
                <w:szCs w:val="24"/>
              </w:rPr>
            </w:pPr>
          </w:p>
        </w:tc>
        <w:tc>
          <w:tcPr>
            <w:tcW w:w="2451" w:type="dxa"/>
          </w:tcPr>
          <w:p w14:paraId="7F50C3E2" w14:textId="77777777" w:rsidR="004E6045" w:rsidRPr="00DB5453" w:rsidRDefault="004E6045" w:rsidP="00FA58BC">
            <w:pPr>
              <w:pStyle w:val="TableParagraph"/>
              <w:spacing w:line="276" w:lineRule="auto"/>
              <w:ind w:left="68" w:right="3"/>
              <w:rPr>
                <w:rFonts w:ascii="Arial" w:hAnsi="Arial" w:cs="Arial"/>
                <w:sz w:val="24"/>
                <w:szCs w:val="24"/>
              </w:rPr>
            </w:pPr>
          </w:p>
        </w:tc>
      </w:tr>
      <w:tr w:rsidR="004E6045" w:rsidRPr="00DB5453" w14:paraId="08F9EBBB" w14:textId="77777777" w:rsidTr="004E6045">
        <w:trPr>
          <w:trHeight w:val="357"/>
        </w:trPr>
        <w:tc>
          <w:tcPr>
            <w:tcW w:w="3159" w:type="dxa"/>
          </w:tcPr>
          <w:p w14:paraId="032E4631"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0-5</w:t>
            </w:r>
            <w:r w:rsidRPr="00DB5453">
              <w:rPr>
                <w:rFonts w:ascii="Arial" w:hAnsi="Arial" w:cs="Arial"/>
                <w:spacing w:val="-4"/>
                <w:sz w:val="24"/>
                <w:szCs w:val="24"/>
              </w:rPr>
              <w:t xml:space="preserve"> </w:t>
            </w:r>
            <w:r w:rsidRPr="00DB5453">
              <w:rPr>
                <w:rFonts w:ascii="Arial" w:hAnsi="Arial" w:cs="Arial"/>
                <w:spacing w:val="-2"/>
                <w:sz w:val="24"/>
                <w:szCs w:val="24"/>
              </w:rPr>
              <w:t>years</w:t>
            </w:r>
          </w:p>
        </w:tc>
        <w:tc>
          <w:tcPr>
            <w:tcW w:w="3271" w:type="dxa"/>
          </w:tcPr>
          <w:p w14:paraId="21476F9D"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20</w:t>
            </w:r>
            <w:r w:rsidRPr="00DB5453">
              <w:rPr>
                <w:rFonts w:ascii="Arial" w:hAnsi="Arial" w:cs="Arial"/>
                <w:spacing w:val="1"/>
                <w:sz w:val="24"/>
                <w:szCs w:val="24"/>
              </w:rPr>
              <w:t xml:space="preserve"> </w:t>
            </w:r>
            <w:r w:rsidRPr="00DB5453">
              <w:rPr>
                <w:rFonts w:ascii="Arial" w:hAnsi="Arial" w:cs="Arial"/>
                <w:spacing w:val="-2"/>
                <w:sz w:val="24"/>
                <w:szCs w:val="24"/>
              </w:rPr>
              <w:t>(37.7%)</w:t>
            </w:r>
          </w:p>
        </w:tc>
        <w:tc>
          <w:tcPr>
            <w:tcW w:w="2451" w:type="dxa"/>
          </w:tcPr>
          <w:p w14:paraId="4C919B26"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19</w:t>
            </w:r>
            <w:r w:rsidRPr="00DB5453">
              <w:rPr>
                <w:rFonts w:ascii="Arial" w:hAnsi="Arial" w:cs="Arial"/>
                <w:spacing w:val="1"/>
                <w:sz w:val="24"/>
                <w:szCs w:val="24"/>
              </w:rPr>
              <w:t xml:space="preserve"> </w:t>
            </w:r>
            <w:r w:rsidRPr="00DB5453">
              <w:rPr>
                <w:rFonts w:ascii="Arial" w:hAnsi="Arial" w:cs="Arial"/>
                <w:spacing w:val="-2"/>
                <w:sz w:val="24"/>
                <w:szCs w:val="24"/>
              </w:rPr>
              <w:t>(35.8%)</w:t>
            </w:r>
          </w:p>
        </w:tc>
      </w:tr>
      <w:tr w:rsidR="004E6045" w:rsidRPr="00DB5453" w14:paraId="01AAE269" w14:textId="77777777" w:rsidTr="004E6045">
        <w:trPr>
          <w:trHeight w:val="291"/>
        </w:trPr>
        <w:tc>
          <w:tcPr>
            <w:tcW w:w="3159" w:type="dxa"/>
          </w:tcPr>
          <w:p w14:paraId="76D52020"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6-15</w:t>
            </w:r>
            <w:r w:rsidRPr="00DB5453">
              <w:rPr>
                <w:rFonts w:ascii="Arial" w:hAnsi="Arial" w:cs="Arial"/>
                <w:spacing w:val="-4"/>
                <w:sz w:val="24"/>
                <w:szCs w:val="24"/>
              </w:rPr>
              <w:t xml:space="preserve"> </w:t>
            </w:r>
            <w:r w:rsidRPr="00DB5453">
              <w:rPr>
                <w:rFonts w:ascii="Arial" w:hAnsi="Arial" w:cs="Arial"/>
                <w:spacing w:val="-2"/>
                <w:sz w:val="24"/>
                <w:szCs w:val="24"/>
              </w:rPr>
              <w:t>years</w:t>
            </w:r>
          </w:p>
        </w:tc>
        <w:tc>
          <w:tcPr>
            <w:tcW w:w="3271" w:type="dxa"/>
          </w:tcPr>
          <w:p w14:paraId="693E587E"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15</w:t>
            </w:r>
            <w:r w:rsidRPr="00DB5453">
              <w:rPr>
                <w:rFonts w:ascii="Arial" w:hAnsi="Arial" w:cs="Arial"/>
                <w:spacing w:val="1"/>
                <w:sz w:val="24"/>
                <w:szCs w:val="24"/>
              </w:rPr>
              <w:t xml:space="preserve"> </w:t>
            </w:r>
            <w:r w:rsidRPr="00DB5453">
              <w:rPr>
                <w:rFonts w:ascii="Arial" w:hAnsi="Arial" w:cs="Arial"/>
                <w:spacing w:val="-2"/>
                <w:sz w:val="24"/>
                <w:szCs w:val="24"/>
              </w:rPr>
              <w:t>(28.3%)</w:t>
            </w:r>
          </w:p>
        </w:tc>
        <w:tc>
          <w:tcPr>
            <w:tcW w:w="2451" w:type="dxa"/>
          </w:tcPr>
          <w:p w14:paraId="17D5D722"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16</w:t>
            </w:r>
            <w:r w:rsidRPr="00DB5453">
              <w:rPr>
                <w:rFonts w:ascii="Arial" w:hAnsi="Arial" w:cs="Arial"/>
                <w:spacing w:val="1"/>
                <w:sz w:val="24"/>
                <w:szCs w:val="24"/>
              </w:rPr>
              <w:t xml:space="preserve"> </w:t>
            </w:r>
            <w:r w:rsidRPr="00DB5453">
              <w:rPr>
                <w:rFonts w:ascii="Arial" w:hAnsi="Arial" w:cs="Arial"/>
                <w:spacing w:val="-2"/>
                <w:sz w:val="24"/>
                <w:szCs w:val="24"/>
              </w:rPr>
              <w:t>(30.2%)</w:t>
            </w:r>
          </w:p>
        </w:tc>
      </w:tr>
      <w:tr w:rsidR="004E6045" w:rsidRPr="00DB5453" w14:paraId="609AE34D" w14:textId="77777777" w:rsidTr="004E6045">
        <w:trPr>
          <w:trHeight w:val="239"/>
        </w:trPr>
        <w:tc>
          <w:tcPr>
            <w:tcW w:w="3159" w:type="dxa"/>
          </w:tcPr>
          <w:p w14:paraId="13BC8C52"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16-30</w:t>
            </w:r>
            <w:r w:rsidRPr="00DB5453">
              <w:rPr>
                <w:rFonts w:ascii="Arial" w:hAnsi="Arial" w:cs="Arial"/>
                <w:spacing w:val="-4"/>
                <w:sz w:val="24"/>
                <w:szCs w:val="24"/>
              </w:rPr>
              <w:t xml:space="preserve"> years</w:t>
            </w:r>
          </w:p>
        </w:tc>
        <w:tc>
          <w:tcPr>
            <w:tcW w:w="3271" w:type="dxa"/>
          </w:tcPr>
          <w:p w14:paraId="435FE5C8"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10</w:t>
            </w:r>
            <w:r w:rsidRPr="00DB5453">
              <w:rPr>
                <w:rFonts w:ascii="Arial" w:hAnsi="Arial" w:cs="Arial"/>
                <w:spacing w:val="1"/>
                <w:sz w:val="24"/>
                <w:szCs w:val="24"/>
              </w:rPr>
              <w:t xml:space="preserve"> </w:t>
            </w:r>
            <w:r w:rsidRPr="00DB5453">
              <w:rPr>
                <w:rFonts w:ascii="Arial" w:hAnsi="Arial" w:cs="Arial"/>
                <w:spacing w:val="-2"/>
                <w:sz w:val="24"/>
                <w:szCs w:val="24"/>
              </w:rPr>
              <w:t>(18.9%)</w:t>
            </w:r>
          </w:p>
        </w:tc>
        <w:tc>
          <w:tcPr>
            <w:tcW w:w="2451" w:type="dxa"/>
          </w:tcPr>
          <w:p w14:paraId="50FEF8C8"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9</w:t>
            </w:r>
            <w:r w:rsidRPr="00DB5453">
              <w:rPr>
                <w:rFonts w:ascii="Arial" w:hAnsi="Arial" w:cs="Arial"/>
                <w:spacing w:val="1"/>
                <w:sz w:val="24"/>
                <w:szCs w:val="24"/>
              </w:rPr>
              <w:t xml:space="preserve"> </w:t>
            </w:r>
            <w:r w:rsidRPr="00DB5453">
              <w:rPr>
                <w:rFonts w:ascii="Arial" w:hAnsi="Arial" w:cs="Arial"/>
                <w:spacing w:val="-2"/>
                <w:sz w:val="24"/>
                <w:szCs w:val="24"/>
              </w:rPr>
              <w:t>(17%)</w:t>
            </w:r>
          </w:p>
        </w:tc>
      </w:tr>
      <w:tr w:rsidR="004E6045" w:rsidRPr="00DB5453" w14:paraId="4E3615F5" w14:textId="77777777" w:rsidTr="004E6045">
        <w:trPr>
          <w:trHeight w:val="888"/>
        </w:trPr>
        <w:tc>
          <w:tcPr>
            <w:tcW w:w="3159" w:type="dxa"/>
          </w:tcPr>
          <w:p w14:paraId="310EE83A" w14:textId="77777777" w:rsidR="004E6045" w:rsidRPr="00DB5453" w:rsidRDefault="004E6045" w:rsidP="004E6045">
            <w:pPr>
              <w:pStyle w:val="TableParagraph"/>
              <w:spacing w:line="276" w:lineRule="auto"/>
              <w:ind w:left="108"/>
              <w:jc w:val="left"/>
              <w:rPr>
                <w:rFonts w:ascii="Arial" w:hAnsi="Arial" w:cs="Arial"/>
                <w:sz w:val="24"/>
                <w:szCs w:val="24"/>
              </w:rPr>
            </w:pPr>
            <w:r w:rsidRPr="00DB5453">
              <w:rPr>
                <w:rFonts w:ascii="Arial" w:hAnsi="Arial" w:cs="Arial"/>
                <w:sz w:val="24"/>
                <w:szCs w:val="24"/>
              </w:rPr>
              <w:t>31</w:t>
            </w:r>
            <w:r w:rsidRPr="00DB5453">
              <w:rPr>
                <w:rFonts w:ascii="Arial" w:hAnsi="Arial" w:cs="Arial"/>
                <w:spacing w:val="-6"/>
                <w:sz w:val="24"/>
                <w:szCs w:val="24"/>
              </w:rPr>
              <w:t xml:space="preserve"> </w:t>
            </w:r>
            <w:r w:rsidRPr="00DB5453">
              <w:rPr>
                <w:rFonts w:ascii="Arial" w:hAnsi="Arial" w:cs="Arial"/>
                <w:sz w:val="24"/>
                <w:szCs w:val="24"/>
              </w:rPr>
              <w:t>years</w:t>
            </w:r>
            <w:r w:rsidRPr="00DB5453">
              <w:rPr>
                <w:rFonts w:ascii="Arial" w:hAnsi="Arial" w:cs="Arial"/>
                <w:spacing w:val="-2"/>
                <w:sz w:val="24"/>
                <w:szCs w:val="24"/>
              </w:rPr>
              <w:t xml:space="preserve"> </w:t>
            </w:r>
            <w:r w:rsidRPr="00DB5453">
              <w:rPr>
                <w:rFonts w:ascii="Arial" w:hAnsi="Arial" w:cs="Arial"/>
                <w:sz w:val="24"/>
                <w:szCs w:val="24"/>
              </w:rPr>
              <w:t>and</w:t>
            </w:r>
            <w:r w:rsidRPr="00DB5453">
              <w:rPr>
                <w:rFonts w:ascii="Arial" w:hAnsi="Arial" w:cs="Arial"/>
                <w:spacing w:val="-5"/>
                <w:sz w:val="24"/>
                <w:szCs w:val="24"/>
              </w:rPr>
              <w:t xml:space="preserve"> </w:t>
            </w:r>
            <w:r w:rsidRPr="00DB5453">
              <w:rPr>
                <w:rFonts w:ascii="Arial" w:hAnsi="Arial" w:cs="Arial"/>
                <w:spacing w:val="-2"/>
                <w:sz w:val="24"/>
                <w:szCs w:val="24"/>
              </w:rPr>
              <w:t>above</w:t>
            </w:r>
          </w:p>
        </w:tc>
        <w:tc>
          <w:tcPr>
            <w:tcW w:w="3271" w:type="dxa"/>
          </w:tcPr>
          <w:p w14:paraId="23EFB816" w14:textId="77777777" w:rsidR="004E6045" w:rsidRPr="00DB5453" w:rsidRDefault="004E6045" w:rsidP="00FA58BC">
            <w:pPr>
              <w:pStyle w:val="TableParagraph"/>
              <w:spacing w:line="276" w:lineRule="auto"/>
              <w:ind w:left="194"/>
              <w:rPr>
                <w:rFonts w:ascii="Arial" w:hAnsi="Arial" w:cs="Arial"/>
                <w:sz w:val="24"/>
                <w:szCs w:val="24"/>
              </w:rPr>
            </w:pPr>
            <w:r w:rsidRPr="00DB5453">
              <w:rPr>
                <w:rFonts w:ascii="Arial" w:hAnsi="Arial" w:cs="Arial"/>
                <w:sz w:val="24"/>
                <w:szCs w:val="24"/>
              </w:rPr>
              <w:t>8</w:t>
            </w:r>
            <w:r w:rsidRPr="00DB5453">
              <w:rPr>
                <w:rFonts w:ascii="Arial" w:hAnsi="Arial" w:cs="Arial"/>
                <w:spacing w:val="1"/>
                <w:sz w:val="24"/>
                <w:szCs w:val="24"/>
              </w:rPr>
              <w:t xml:space="preserve"> </w:t>
            </w:r>
            <w:r w:rsidRPr="00DB5453">
              <w:rPr>
                <w:rFonts w:ascii="Arial" w:hAnsi="Arial" w:cs="Arial"/>
                <w:spacing w:val="-2"/>
                <w:sz w:val="24"/>
                <w:szCs w:val="24"/>
              </w:rPr>
              <w:t>(15.1%)</w:t>
            </w:r>
          </w:p>
        </w:tc>
        <w:tc>
          <w:tcPr>
            <w:tcW w:w="2451" w:type="dxa"/>
          </w:tcPr>
          <w:p w14:paraId="3E75F49E"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9</w:t>
            </w:r>
            <w:r w:rsidRPr="00DB5453">
              <w:rPr>
                <w:rFonts w:ascii="Arial" w:hAnsi="Arial" w:cs="Arial"/>
                <w:spacing w:val="1"/>
                <w:sz w:val="24"/>
                <w:szCs w:val="24"/>
              </w:rPr>
              <w:t xml:space="preserve"> </w:t>
            </w:r>
            <w:r w:rsidRPr="00DB5453">
              <w:rPr>
                <w:rFonts w:ascii="Arial" w:hAnsi="Arial" w:cs="Arial"/>
                <w:spacing w:val="-2"/>
                <w:sz w:val="24"/>
                <w:szCs w:val="24"/>
              </w:rPr>
              <w:t>(17%)</w:t>
            </w:r>
          </w:p>
        </w:tc>
      </w:tr>
      <w:tr w:rsidR="004E6045" w:rsidRPr="00DB5453" w14:paraId="29A439B5" w14:textId="77777777" w:rsidTr="004E6045">
        <w:trPr>
          <w:trHeight w:val="542"/>
        </w:trPr>
        <w:tc>
          <w:tcPr>
            <w:tcW w:w="3159" w:type="dxa"/>
          </w:tcPr>
          <w:p w14:paraId="0BF53990" w14:textId="77777777" w:rsidR="004E6045" w:rsidRPr="00DB5453" w:rsidRDefault="004E6045" w:rsidP="00FA58BC">
            <w:pPr>
              <w:pStyle w:val="TableParagraph"/>
              <w:spacing w:line="276" w:lineRule="auto"/>
              <w:ind w:left="108"/>
              <w:jc w:val="left"/>
              <w:rPr>
                <w:rFonts w:ascii="Arial" w:hAnsi="Arial" w:cs="Arial"/>
                <w:b/>
                <w:sz w:val="24"/>
                <w:szCs w:val="24"/>
              </w:rPr>
            </w:pPr>
            <w:r w:rsidRPr="00DB5453">
              <w:rPr>
                <w:rFonts w:ascii="Arial" w:hAnsi="Arial" w:cs="Arial"/>
                <w:b/>
                <w:sz w:val="24"/>
                <w:szCs w:val="24"/>
              </w:rPr>
              <w:t>Education</w:t>
            </w:r>
            <w:r w:rsidRPr="00DB5453">
              <w:rPr>
                <w:rFonts w:ascii="Arial" w:hAnsi="Arial" w:cs="Arial"/>
                <w:b/>
                <w:spacing w:val="-5"/>
                <w:sz w:val="24"/>
                <w:szCs w:val="24"/>
              </w:rPr>
              <w:t xml:space="preserve"> </w:t>
            </w:r>
            <w:r w:rsidRPr="00DB5453">
              <w:rPr>
                <w:rFonts w:ascii="Arial" w:hAnsi="Arial" w:cs="Arial"/>
                <w:b/>
                <w:spacing w:val="-4"/>
                <w:sz w:val="24"/>
                <w:szCs w:val="24"/>
              </w:rPr>
              <w:t>Level</w:t>
            </w:r>
          </w:p>
        </w:tc>
        <w:tc>
          <w:tcPr>
            <w:tcW w:w="3271" w:type="dxa"/>
          </w:tcPr>
          <w:p w14:paraId="59AE0FD2" w14:textId="77777777" w:rsidR="004E6045" w:rsidRPr="00DB5453" w:rsidRDefault="004E6045" w:rsidP="00FA58BC">
            <w:pPr>
              <w:pStyle w:val="TableParagraph"/>
              <w:spacing w:line="276" w:lineRule="auto"/>
              <w:ind w:left="194"/>
              <w:rPr>
                <w:rFonts w:ascii="Arial" w:hAnsi="Arial" w:cs="Arial"/>
                <w:sz w:val="24"/>
                <w:szCs w:val="24"/>
              </w:rPr>
            </w:pPr>
          </w:p>
        </w:tc>
        <w:tc>
          <w:tcPr>
            <w:tcW w:w="2451" w:type="dxa"/>
          </w:tcPr>
          <w:p w14:paraId="05A1C236" w14:textId="77777777" w:rsidR="004E6045" w:rsidRPr="00DB5453" w:rsidRDefault="004E6045" w:rsidP="00FA58BC">
            <w:pPr>
              <w:pStyle w:val="TableParagraph"/>
              <w:spacing w:line="276" w:lineRule="auto"/>
              <w:ind w:left="68" w:right="3"/>
              <w:rPr>
                <w:rFonts w:ascii="Arial" w:hAnsi="Arial" w:cs="Arial"/>
                <w:sz w:val="24"/>
                <w:szCs w:val="24"/>
              </w:rPr>
            </w:pPr>
          </w:p>
        </w:tc>
      </w:tr>
      <w:tr w:rsidR="004E6045" w:rsidRPr="00DB5453" w14:paraId="36BD7F35" w14:textId="77777777" w:rsidTr="004E6045">
        <w:trPr>
          <w:trHeight w:val="475"/>
        </w:trPr>
        <w:tc>
          <w:tcPr>
            <w:tcW w:w="3159" w:type="dxa"/>
          </w:tcPr>
          <w:p w14:paraId="1C468F0D"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No</w:t>
            </w:r>
            <w:r w:rsidRPr="00DB5453">
              <w:rPr>
                <w:rFonts w:ascii="Arial" w:hAnsi="Arial" w:cs="Arial"/>
                <w:spacing w:val="-2"/>
                <w:sz w:val="24"/>
                <w:szCs w:val="24"/>
              </w:rPr>
              <w:t xml:space="preserve"> </w:t>
            </w:r>
            <w:r w:rsidRPr="00DB5453">
              <w:rPr>
                <w:rFonts w:ascii="Arial" w:hAnsi="Arial" w:cs="Arial"/>
                <w:sz w:val="24"/>
                <w:szCs w:val="24"/>
              </w:rPr>
              <w:t>formal</w:t>
            </w:r>
            <w:r w:rsidRPr="00DB5453">
              <w:rPr>
                <w:rFonts w:ascii="Arial" w:hAnsi="Arial" w:cs="Arial"/>
                <w:spacing w:val="-1"/>
                <w:sz w:val="24"/>
                <w:szCs w:val="24"/>
              </w:rPr>
              <w:t xml:space="preserve"> </w:t>
            </w:r>
            <w:r w:rsidRPr="00DB5453">
              <w:rPr>
                <w:rFonts w:ascii="Arial" w:hAnsi="Arial" w:cs="Arial"/>
                <w:spacing w:val="-2"/>
                <w:sz w:val="24"/>
                <w:szCs w:val="24"/>
              </w:rPr>
              <w:t>education</w:t>
            </w:r>
          </w:p>
        </w:tc>
        <w:tc>
          <w:tcPr>
            <w:tcW w:w="3271" w:type="dxa"/>
          </w:tcPr>
          <w:p w14:paraId="59EAA556" w14:textId="77777777" w:rsidR="004E6045" w:rsidRPr="00DB5453" w:rsidRDefault="004E6045" w:rsidP="004E6045">
            <w:pPr>
              <w:pStyle w:val="TableParagraph"/>
              <w:ind w:left="194" w:right="2"/>
              <w:rPr>
                <w:rFonts w:ascii="Arial" w:hAnsi="Arial" w:cs="Arial"/>
                <w:sz w:val="24"/>
                <w:szCs w:val="24"/>
              </w:rPr>
            </w:pPr>
            <w:r w:rsidRPr="00DB5453">
              <w:rPr>
                <w:rFonts w:ascii="Arial" w:hAnsi="Arial" w:cs="Arial"/>
                <w:sz w:val="24"/>
                <w:szCs w:val="24"/>
              </w:rPr>
              <w:t>5</w:t>
            </w:r>
            <w:r w:rsidRPr="00DB5453">
              <w:rPr>
                <w:rFonts w:ascii="Arial" w:hAnsi="Arial" w:cs="Arial"/>
                <w:spacing w:val="1"/>
                <w:sz w:val="24"/>
                <w:szCs w:val="24"/>
              </w:rPr>
              <w:t xml:space="preserve"> </w:t>
            </w:r>
            <w:r w:rsidRPr="00DB5453">
              <w:rPr>
                <w:rFonts w:ascii="Arial" w:hAnsi="Arial" w:cs="Arial"/>
                <w:spacing w:val="-2"/>
                <w:sz w:val="24"/>
                <w:szCs w:val="24"/>
              </w:rPr>
              <w:t>(9.4%)</w:t>
            </w:r>
          </w:p>
        </w:tc>
        <w:tc>
          <w:tcPr>
            <w:tcW w:w="2451" w:type="dxa"/>
          </w:tcPr>
          <w:p w14:paraId="19D5B640" w14:textId="77777777" w:rsidR="004E6045" w:rsidRPr="00DB5453" w:rsidRDefault="004E6045" w:rsidP="004E6045">
            <w:pPr>
              <w:pStyle w:val="TableParagraph"/>
              <w:ind w:left="68" w:right="1"/>
              <w:rPr>
                <w:rFonts w:ascii="Arial" w:hAnsi="Arial" w:cs="Arial"/>
                <w:sz w:val="24"/>
                <w:szCs w:val="24"/>
              </w:rPr>
            </w:pPr>
            <w:r w:rsidRPr="00DB5453">
              <w:rPr>
                <w:rFonts w:ascii="Arial" w:hAnsi="Arial" w:cs="Arial"/>
                <w:sz w:val="24"/>
                <w:szCs w:val="24"/>
              </w:rPr>
              <w:t>6</w:t>
            </w:r>
            <w:r w:rsidRPr="00DB5453">
              <w:rPr>
                <w:rFonts w:ascii="Arial" w:hAnsi="Arial" w:cs="Arial"/>
                <w:spacing w:val="1"/>
                <w:sz w:val="24"/>
                <w:szCs w:val="24"/>
              </w:rPr>
              <w:t xml:space="preserve"> </w:t>
            </w:r>
            <w:r w:rsidRPr="00DB5453">
              <w:rPr>
                <w:rFonts w:ascii="Arial" w:hAnsi="Arial" w:cs="Arial"/>
                <w:spacing w:val="-2"/>
                <w:sz w:val="24"/>
                <w:szCs w:val="24"/>
              </w:rPr>
              <w:t>(11.3%)</w:t>
            </w:r>
          </w:p>
        </w:tc>
      </w:tr>
      <w:tr w:rsidR="004E6045" w:rsidRPr="00DB5453" w14:paraId="2ED60740" w14:textId="77777777" w:rsidTr="004E6045">
        <w:trPr>
          <w:trHeight w:val="425"/>
        </w:trPr>
        <w:tc>
          <w:tcPr>
            <w:tcW w:w="3159" w:type="dxa"/>
          </w:tcPr>
          <w:p w14:paraId="1EC5D272"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Primary</w:t>
            </w:r>
            <w:r w:rsidRPr="00DB5453">
              <w:rPr>
                <w:rFonts w:ascii="Arial" w:hAnsi="Arial" w:cs="Arial"/>
                <w:spacing w:val="-6"/>
                <w:sz w:val="24"/>
                <w:szCs w:val="24"/>
              </w:rPr>
              <w:t xml:space="preserve"> </w:t>
            </w:r>
            <w:r w:rsidRPr="00DB5453">
              <w:rPr>
                <w:rFonts w:ascii="Arial" w:hAnsi="Arial" w:cs="Arial"/>
                <w:spacing w:val="-2"/>
                <w:sz w:val="24"/>
                <w:szCs w:val="24"/>
              </w:rPr>
              <w:t>education</w:t>
            </w:r>
          </w:p>
        </w:tc>
        <w:tc>
          <w:tcPr>
            <w:tcW w:w="3271" w:type="dxa"/>
          </w:tcPr>
          <w:p w14:paraId="2627301D" w14:textId="77777777" w:rsidR="004E6045" w:rsidRPr="00DB5453" w:rsidRDefault="004E6045" w:rsidP="004E6045">
            <w:pPr>
              <w:pStyle w:val="TableParagraph"/>
              <w:ind w:left="194"/>
              <w:rPr>
                <w:rFonts w:ascii="Arial" w:hAnsi="Arial" w:cs="Arial"/>
                <w:sz w:val="24"/>
                <w:szCs w:val="24"/>
              </w:rPr>
            </w:pPr>
            <w:r w:rsidRPr="00DB5453">
              <w:rPr>
                <w:rFonts w:ascii="Arial" w:hAnsi="Arial" w:cs="Arial"/>
                <w:sz w:val="24"/>
                <w:szCs w:val="24"/>
              </w:rPr>
              <w:t>18</w:t>
            </w:r>
            <w:r w:rsidRPr="00DB5453">
              <w:rPr>
                <w:rFonts w:ascii="Arial" w:hAnsi="Arial" w:cs="Arial"/>
                <w:spacing w:val="1"/>
                <w:sz w:val="24"/>
                <w:szCs w:val="24"/>
              </w:rPr>
              <w:t xml:space="preserve"> </w:t>
            </w:r>
            <w:r w:rsidRPr="00DB5453">
              <w:rPr>
                <w:rFonts w:ascii="Arial" w:hAnsi="Arial" w:cs="Arial"/>
                <w:spacing w:val="-2"/>
                <w:sz w:val="24"/>
                <w:szCs w:val="24"/>
              </w:rPr>
              <w:t>(34%)</w:t>
            </w:r>
          </w:p>
        </w:tc>
        <w:tc>
          <w:tcPr>
            <w:tcW w:w="2451" w:type="dxa"/>
          </w:tcPr>
          <w:p w14:paraId="486D9410" w14:textId="77777777" w:rsidR="004E6045" w:rsidRPr="00DB5453" w:rsidRDefault="004E6045" w:rsidP="004E6045">
            <w:pPr>
              <w:pStyle w:val="TableParagraph"/>
              <w:ind w:left="68" w:right="3"/>
              <w:rPr>
                <w:rFonts w:ascii="Arial" w:hAnsi="Arial" w:cs="Arial"/>
                <w:sz w:val="24"/>
                <w:szCs w:val="24"/>
              </w:rPr>
            </w:pPr>
            <w:r w:rsidRPr="00DB5453">
              <w:rPr>
                <w:rFonts w:ascii="Arial" w:hAnsi="Arial" w:cs="Arial"/>
                <w:sz w:val="24"/>
                <w:szCs w:val="24"/>
              </w:rPr>
              <w:t>17</w:t>
            </w:r>
            <w:r w:rsidRPr="00DB5453">
              <w:rPr>
                <w:rFonts w:ascii="Arial" w:hAnsi="Arial" w:cs="Arial"/>
                <w:spacing w:val="1"/>
                <w:sz w:val="24"/>
                <w:szCs w:val="24"/>
              </w:rPr>
              <w:t xml:space="preserve"> </w:t>
            </w:r>
            <w:r w:rsidRPr="00DB5453">
              <w:rPr>
                <w:rFonts w:ascii="Arial" w:hAnsi="Arial" w:cs="Arial"/>
                <w:spacing w:val="-2"/>
                <w:sz w:val="24"/>
                <w:szCs w:val="24"/>
              </w:rPr>
              <w:t>(32.1%)</w:t>
            </w:r>
          </w:p>
        </w:tc>
      </w:tr>
      <w:tr w:rsidR="004E6045" w:rsidRPr="00DB5453" w14:paraId="270DDCC0" w14:textId="77777777" w:rsidTr="004E6045">
        <w:trPr>
          <w:trHeight w:val="416"/>
        </w:trPr>
        <w:tc>
          <w:tcPr>
            <w:tcW w:w="3159" w:type="dxa"/>
          </w:tcPr>
          <w:p w14:paraId="63E0E921"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Secondary</w:t>
            </w:r>
            <w:r w:rsidRPr="00DB5453">
              <w:rPr>
                <w:rFonts w:ascii="Arial" w:hAnsi="Arial" w:cs="Arial"/>
                <w:spacing w:val="-5"/>
                <w:sz w:val="24"/>
                <w:szCs w:val="24"/>
              </w:rPr>
              <w:t xml:space="preserve"> </w:t>
            </w:r>
            <w:r w:rsidRPr="00DB5453">
              <w:rPr>
                <w:rFonts w:ascii="Arial" w:hAnsi="Arial" w:cs="Arial"/>
                <w:spacing w:val="-2"/>
                <w:sz w:val="24"/>
                <w:szCs w:val="24"/>
              </w:rPr>
              <w:t>education</w:t>
            </w:r>
          </w:p>
        </w:tc>
        <w:tc>
          <w:tcPr>
            <w:tcW w:w="3271" w:type="dxa"/>
          </w:tcPr>
          <w:p w14:paraId="465C90BF" w14:textId="77777777" w:rsidR="004E6045" w:rsidRPr="00DB5453" w:rsidRDefault="004E6045" w:rsidP="004E6045">
            <w:pPr>
              <w:pStyle w:val="TableParagraph"/>
              <w:ind w:left="194" w:right="1"/>
              <w:rPr>
                <w:rFonts w:ascii="Arial" w:hAnsi="Arial" w:cs="Arial"/>
                <w:sz w:val="24"/>
                <w:szCs w:val="24"/>
              </w:rPr>
            </w:pPr>
            <w:r w:rsidRPr="00DB5453">
              <w:rPr>
                <w:rFonts w:ascii="Arial" w:hAnsi="Arial" w:cs="Arial"/>
                <w:sz w:val="24"/>
                <w:szCs w:val="24"/>
              </w:rPr>
              <w:t>23</w:t>
            </w:r>
            <w:r w:rsidRPr="00DB5453">
              <w:rPr>
                <w:rFonts w:ascii="Arial" w:hAnsi="Arial" w:cs="Arial"/>
                <w:spacing w:val="1"/>
                <w:sz w:val="24"/>
                <w:szCs w:val="24"/>
              </w:rPr>
              <w:t xml:space="preserve"> </w:t>
            </w:r>
            <w:r w:rsidRPr="00DB5453">
              <w:rPr>
                <w:rFonts w:ascii="Arial" w:hAnsi="Arial" w:cs="Arial"/>
                <w:spacing w:val="-2"/>
                <w:sz w:val="24"/>
                <w:szCs w:val="24"/>
              </w:rPr>
              <w:t>(43.4%)</w:t>
            </w:r>
          </w:p>
        </w:tc>
        <w:tc>
          <w:tcPr>
            <w:tcW w:w="2451" w:type="dxa"/>
          </w:tcPr>
          <w:p w14:paraId="6829CF98" w14:textId="77777777" w:rsidR="004E6045" w:rsidRPr="00DB5453" w:rsidRDefault="004E6045" w:rsidP="004E6045">
            <w:pPr>
              <w:pStyle w:val="TableParagraph"/>
              <w:ind w:left="68" w:right="3"/>
              <w:rPr>
                <w:rFonts w:ascii="Arial" w:hAnsi="Arial" w:cs="Arial"/>
                <w:sz w:val="24"/>
                <w:szCs w:val="24"/>
              </w:rPr>
            </w:pPr>
            <w:r w:rsidRPr="00DB5453">
              <w:rPr>
                <w:rFonts w:ascii="Arial" w:hAnsi="Arial" w:cs="Arial"/>
                <w:sz w:val="24"/>
                <w:szCs w:val="24"/>
              </w:rPr>
              <w:t>22</w:t>
            </w:r>
            <w:r w:rsidRPr="00DB5453">
              <w:rPr>
                <w:rFonts w:ascii="Arial" w:hAnsi="Arial" w:cs="Arial"/>
                <w:spacing w:val="1"/>
                <w:sz w:val="24"/>
                <w:szCs w:val="24"/>
              </w:rPr>
              <w:t xml:space="preserve"> </w:t>
            </w:r>
            <w:r w:rsidRPr="00DB5453">
              <w:rPr>
                <w:rFonts w:ascii="Arial" w:hAnsi="Arial" w:cs="Arial"/>
                <w:spacing w:val="-2"/>
                <w:sz w:val="24"/>
                <w:szCs w:val="24"/>
              </w:rPr>
              <w:t>(41.5%)</w:t>
            </w:r>
          </w:p>
        </w:tc>
      </w:tr>
      <w:tr w:rsidR="004E6045" w:rsidRPr="00DB5453" w14:paraId="05320EC0" w14:textId="77777777" w:rsidTr="004E6045">
        <w:trPr>
          <w:trHeight w:val="558"/>
        </w:trPr>
        <w:tc>
          <w:tcPr>
            <w:tcW w:w="3159" w:type="dxa"/>
          </w:tcPr>
          <w:p w14:paraId="59DA861E"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Higher</w:t>
            </w:r>
            <w:r w:rsidRPr="00DB5453">
              <w:rPr>
                <w:rFonts w:ascii="Arial" w:hAnsi="Arial" w:cs="Arial"/>
                <w:spacing w:val="-7"/>
                <w:sz w:val="24"/>
                <w:szCs w:val="24"/>
              </w:rPr>
              <w:t xml:space="preserve"> </w:t>
            </w:r>
            <w:r w:rsidRPr="00DB5453">
              <w:rPr>
                <w:rFonts w:ascii="Arial" w:hAnsi="Arial" w:cs="Arial"/>
                <w:spacing w:val="-2"/>
                <w:sz w:val="24"/>
                <w:szCs w:val="24"/>
              </w:rPr>
              <w:t>education</w:t>
            </w:r>
          </w:p>
        </w:tc>
        <w:tc>
          <w:tcPr>
            <w:tcW w:w="3271" w:type="dxa"/>
          </w:tcPr>
          <w:p w14:paraId="2F581AF8" w14:textId="77777777" w:rsidR="004E6045" w:rsidRPr="00DB5453" w:rsidRDefault="004E6045" w:rsidP="004E6045">
            <w:pPr>
              <w:pStyle w:val="TableParagraph"/>
              <w:ind w:left="194"/>
              <w:rPr>
                <w:rFonts w:ascii="Arial" w:hAnsi="Arial" w:cs="Arial"/>
                <w:sz w:val="24"/>
                <w:szCs w:val="24"/>
              </w:rPr>
            </w:pPr>
            <w:r w:rsidRPr="00DB5453">
              <w:rPr>
                <w:rFonts w:ascii="Arial" w:hAnsi="Arial" w:cs="Arial"/>
                <w:sz w:val="24"/>
                <w:szCs w:val="24"/>
              </w:rPr>
              <w:t>7</w:t>
            </w:r>
            <w:r w:rsidRPr="00DB5453">
              <w:rPr>
                <w:rFonts w:ascii="Arial" w:hAnsi="Arial" w:cs="Arial"/>
                <w:spacing w:val="1"/>
                <w:sz w:val="24"/>
                <w:szCs w:val="24"/>
              </w:rPr>
              <w:t xml:space="preserve"> </w:t>
            </w:r>
            <w:r w:rsidRPr="00DB5453">
              <w:rPr>
                <w:rFonts w:ascii="Arial" w:hAnsi="Arial" w:cs="Arial"/>
                <w:spacing w:val="-2"/>
                <w:sz w:val="24"/>
                <w:szCs w:val="24"/>
              </w:rPr>
              <w:t>(13.2%)</w:t>
            </w:r>
          </w:p>
        </w:tc>
        <w:tc>
          <w:tcPr>
            <w:tcW w:w="2451" w:type="dxa"/>
          </w:tcPr>
          <w:p w14:paraId="620F6F6A" w14:textId="77777777" w:rsidR="004E6045" w:rsidRPr="00DB5453" w:rsidRDefault="004E6045" w:rsidP="004E6045">
            <w:pPr>
              <w:pStyle w:val="TableParagraph"/>
              <w:ind w:left="68" w:right="2"/>
              <w:rPr>
                <w:rFonts w:ascii="Arial" w:hAnsi="Arial" w:cs="Arial"/>
                <w:sz w:val="24"/>
                <w:szCs w:val="24"/>
              </w:rPr>
            </w:pPr>
            <w:r w:rsidRPr="00DB5453">
              <w:rPr>
                <w:rFonts w:ascii="Arial" w:hAnsi="Arial" w:cs="Arial"/>
                <w:sz w:val="24"/>
                <w:szCs w:val="24"/>
              </w:rPr>
              <w:t>8</w:t>
            </w:r>
            <w:r w:rsidRPr="00DB5453">
              <w:rPr>
                <w:rFonts w:ascii="Arial" w:hAnsi="Arial" w:cs="Arial"/>
                <w:spacing w:val="1"/>
                <w:sz w:val="24"/>
                <w:szCs w:val="24"/>
              </w:rPr>
              <w:t xml:space="preserve"> </w:t>
            </w:r>
            <w:r w:rsidRPr="00DB5453">
              <w:rPr>
                <w:rFonts w:ascii="Arial" w:hAnsi="Arial" w:cs="Arial"/>
                <w:spacing w:val="-2"/>
                <w:sz w:val="24"/>
                <w:szCs w:val="24"/>
              </w:rPr>
              <w:t>(15.1%)</w:t>
            </w:r>
          </w:p>
        </w:tc>
      </w:tr>
    </w:tbl>
    <w:p w14:paraId="6C6C9C09" w14:textId="77777777" w:rsidR="0064242D" w:rsidRPr="00DB5453" w:rsidRDefault="0064242D" w:rsidP="00FA58BC">
      <w:pPr>
        <w:pStyle w:val="BodyText"/>
        <w:spacing w:line="276" w:lineRule="auto"/>
        <w:ind w:left="0"/>
        <w:jc w:val="left"/>
        <w:rPr>
          <w:rFonts w:ascii="Arial" w:hAnsi="Arial" w:cs="Arial"/>
          <w:b/>
          <w:sz w:val="24"/>
          <w:szCs w:val="24"/>
        </w:rPr>
      </w:pPr>
    </w:p>
    <w:p w14:paraId="1DAAFFA1" w14:textId="77777777" w:rsidR="0064242D" w:rsidRPr="00DB5453" w:rsidRDefault="0064242D" w:rsidP="0064242D">
      <w:pPr>
        <w:pStyle w:val="BodyText"/>
        <w:jc w:val="left"/>
        <w:rPr>
          <w:rFonts w:ascii="Arial" w:hAnsi="Arial" w:cs="Arial"/>
          <w:b/>
          <w:sz w:val="24"/>
          <w:szCs w:val="24"/>
        </w:rPr>
        <w:sectPr w:rsidR="0064242D" w:rsidRPr="00DB5453">
          <w:pgSz w:w="12240" w:h="15840"/>
          <w:pgMar w:top="1380" w:right="1080" w:bottom="1200" w:left="1080" w:header="0" w:footer="1012" w:gutter="0"/>
          <w:cols w:space="720"/>
        </w:sectPr>
      </w:pPr>
    </w:p>
    <w:p w14:paraId="441D8ECB" w14:textId="11287267" w:rsidR="0064242D" w:rsidRPr="00DB5453" w:rsidRDefault="0064242D" w:rsidP="00BB1BB1">
      <w:pPr>
        <w:tabs>
          <w:tab w:val="left" w:pos="1080"/>
        </w:tabs>
        <w:spacing w:after="0" w:line="240" w:lineRule="auto"/>
        <w:rPr>
          <w:rFonts w:ascii="Arial" w:hAnsi="Arial" w:cs="Arial"/>
          <w:b/>
          <w:sz w:val="24"/>
          <w:szCs w:val="24"/>
        </w:rPr>
      </w:pPr>
      <w:r w:rsidRPr="00DB5453">
        <w:rPr>
          <w:rFonts w:ascii="Arial" w:hAnsi="Arial" w:cs="Arial"/>
          <w:b/>
          <w:sz w:val="24"/>
          <w:szCs w:val="24"/>
        </w:rPr>
        <w:lastRenderedPageBreak/>
        <w:t>Prevalence</w:t>
      </w:r>
      <w:r w:rsidRPr="00DB5453">
        <w:rPr>
          <w:rFonts w:ascii="Arial" w:hAnsi="Arial" w:cs="Arial"/>
          <w:b/>
          <w:spacing w:val="-8"/>
          <w:sz w:val="24"/>
          <w:szCs w:val="24"/>
        </w:rPr>
        <w:t xml:space="preserve"> </w:t>
      </w:r>
      <w:r w:rsidRPr="00DB5453">
        <w:rPr>
          <w:rFonts w:ascii="Arial" w:hAnsi="Arial" w:cs="Arial"/>
          <w:b/>
          <w:sz w:val="24"/>
          <w:szCs w:val="24"/>
        </w:rPr>
        <w:t>of</w:t>
      </w:r>
      <w:r w:rsidRPr="00DB5453">
        <w:rPr>
          <w:rFonts w:ascii="Arial" w:hAnsi="Arial" w:cs="Arial"/>
          <w:b/>
          <w:spacing w:val="-7"/>
          <w:sz w:val="24"/>
          <w:szCs w:val="24"/>
        </w:rPr>
        <w:t xml:space="preserve"> </w:t>
      </w:r>
      <w:r w:rsidR="001F2D9D" w:rsidRPr="00DB5453">
        <w:rPr>
          <w:rFonts w:ascii="Arial" w:hAnsi="Arial" w:cs="Arial"/>
          <w:b/>
          <w:sz w:val="24"/>
          <w:szCs w:val="24"/>
        </w:rPr>
        <w:t>Diarrhoea</w:t>
      </w:r>
      <w:r w:rsidRPr="00DB5453">
        <w:rPr>
          <w:rFonts w:ascii="Arial" w:hAnsi="Arial" w:cs="Arial"/>
          <w:b/>
          <w:spacing w:val="-6"/>
          <w:sz w:val="24"/>
          <w:szCs w:val="24"/>
        </w:rPr>
        <w:t xml:space="preserve"> </w:t>
      </w:r>
      <w:r w:rsidRPr="00DB5453">
        <w:rPr>
          <w:rFonts w:ascii="Arial" w:hAnsi="Arial" w:cs="Arial"/>
          <w:b/>
          <w:spacing w:val="-2"/>
          <w:sz w:val="24"/>
          <w:szCs w:val="24"/>
        </w:rPr>
        <w:t>Disease</w:t>
      </w:r>
    </w:p>
    <w:p w14:paraId="3CFBCA47" w14:textId="77777777" w:rsidR="0064242D" w:rsidRPr="00DB5453" w:rsidRDefault="0064242D" w:rsidP="00BB1BB1">
      <w:pPr>
        <w:pStyle w:val="BodyText"/>
        <w:ind w:left="0" w:right="362"/>
        <w:rPr>
          <w:rFonts w:ascii="Arial" w:hAnsi="Arial" w:cs="Arial"/>
          <w:sz w:val="24"/>
          <w:szCs w:val="24"/>
        </w:rPr>
      </w:pPr>
      <w:r w:rsidRPr="00DB5453">
        <w:rPr>
          <w:rFonts w:ascii="Arial" w:hAnsi="Arial" w:cs="Arial"/>
          <w:sz w:val="24"/>
          <w:szCs w:val="24"/>
        </w:rPr>
        <w:t>Before the intervention, diarrhea prevalence was recorded for both groups. In the intervention</w:t>
      </w:r>
      <w:r w:rsidRPr="00DB5453">
        <w:rPr>
          <w:rFonts w:ascii="Arial" w:hAnsi="Arial" w:cs="Arial"/>
          <w:spacing w:val="-18"/>
          <w:sz w:val="24"/>
          <w:szCs w:val="24"/>
        </w:rPr>
        <w:t xml:space="preserve"> </w:t>
      </w:r>
      <w:r w:rsidRPr="00DB5453">
        <w:rPr>
          <w:rFonts w:ascii="Arial" w:hAnsi="Arial" w:cs="Arial"/>
          <w:sz w:val="24"/>
          <w:szCs w:val="24"/>
        </w:rPr>
        <w:t>group,</w:t>
      </w:r>
      <w:r w:rsidRPr="00DB5453">
        <w:rPr>
          <w:rFonts w:ascii="Arial" w:hAnsi="Arial" w:cs="Arial"/>
          <w:spacing w:val="-17"/>
          <w:sz w:val="24"/>
          <w:szCs w:val="24"/>
        </w:rPr>
        <w:t xml:space="preserve"> </w:t>
      </w:r>
      <w:r w:rsidRPr="00DB5453">
        <w:rPr>
          <w:rFonts w:ascii="Arial" w:hAnsi="Arial" w:cs="Arial"/>
          <w:sz w:val="24"/>
          <w:szCs w:val="24"/>
        </w:rPr>
        <w:t>39%</w:t>
      </w:r>
      <w:r w:rsidRPr="00DB5453">
        <w:rPr>
          <w:rFonts w:ascii="Arial" w:hAnsi="Arial" w:cs="Arial"/>
          <w:spacing w:val="-18"/>
          <w:sz w:val="24"/>
          <w:szCs w:val="24"/>
        </w:rPr>
        <w:t xml:space="preserve"> </w:t>
      </w:r>
      <w:r w:rsidRPr="00DB5453">
        <w:rPr>
          <w:rFonts w:ascii="Arial" w:hAnsi="Arial" w:cs="Arial"/>
          <w:sz w:val="24"/>
          <w:szCs w:val="24"/>
        </w:rPr>
        <w:t>of</w:t>
      </w:r>
      <w:r w:rsidRPr="00DB5453">
        <w:rPr>
          <w:rFonts w:ascii="Arial" w:hAnsi="Arial" w:cs="Arial"/>
          <w:spacing w:val="-17"/>
          <w:sz w:val="24"/>
          <w:szCs w:val="24"/>
        </w:rPr>
        <w:t xml:space="preserve"> </w:t>
      </w:r>
      <w:r w:rsidRPr="00DB5453">
        <w:rPr>
          <w:rFonts w:ascii="Arial" w:hAnsi="Arial" w:cs="Arial"/>
          <w:sz w:val="24"/>
          <w:szCs w:val="24"/>
        </w:rPr>
        <w:t>participants</w:t>
      </w:r>
      <w:r w:rsidRPr="00DB5453">
        <w:rPr>
          <w:rFonts w:ascii="Arial" w:hAnsi="Arial" w:cs="Arial"/>
          <w:spacing w:val="-18"/>
          <w:sz w:val="24"/>
          <w:szCs w:val="24"/>
        </w:rPr>
        <w:t xml:space="preserve"> </w:t>
      </w:r>
      <w:r w:rsidRPr="00DB5453">
        <w:rPr>
          <w:rFonts w:ascii="Arial" w:hAnsi="Arial" w:cs="Arial"/>
          <w:sz w:val="24"/>
          <w:szCs w:val="24"/>
        </w:rPr>
        <w:t>(n=21)</w:t>
      </w:r>
      <w:r w:rsidRPr="00DB5453">
        <w:rPr>
          <w:rFonts w:ascii="Arial" w:hAnsi="Arial" w:cs="Arial"/>
          <w:spacing w:val="-17"/>
          <w:sz w:val="24"/>
          <w:szCs w:val="24"/>
        </w:rPr>
        <w:t xml:space="preserve"> </w:t>
      </w:r>
      <w:r w:rsidRPr="00DB5453">
        <w:rPr>
          <w:rFonts w:ascii="Arial" w:hAnsi="Arial" w:cs="Arial"/>
          <w:sz w:val="24"/>
          <w:szCs w:val="24"/>
        </w:rPr>
        <w:t>reported</w:t>
      </w:r>
      <w:r w:rsidRPr="00DB5453">
        <w:rPr>
          <w:rFonts w:ascii="Arial" w:hAnsi="Arial" w:cs="Arial"/>
          <w:spacing w:val="-18"/>
          <w:sz w:val="24"/>
          <w:szCs w:val="24"/>
        </w:rPr>
        <w:t xml:space="preserve"> </w:t>
      </w:r>
      <w:r w:rsidRPr="00DB5453">
        <w:rPr>
          <w:rFonts w:ascii="Arial" w:hAnsi="Arial" w:cs="Arial"/>
          <w:sz w:val="24"/>
          <w:szCs w:val="24"/>
        </w:rPr>
        <w:t>having</w:t>
      </w:r>
      <w:r w:rsidRPr="00DB5453">
        <w:rPr>
          <w:rFonts w:ascii="Arial" w:hAnsi="Arial" w:cs="Arial"/>
          <w:spacing w:val="-17"/>
          <w:sz w:val="24"/>
          <w:szCs w:val="24"/>
        </w:rPr>
        <w:t xml:space="preserve"> </w:t>
      </w:r>
      <w:r w:rsidRPr="00DB5453">
        <w:rPr>
          <w:rFonts w:ascii="Arial" w:hAnsi="Arial" w:cs="Arial"/>
          <w:sz w:val="24"/>
          <w:szCs w:val="24"/>
        </w:rPr>
        <w:t>experienced</w:t>
      </w:r>
      <w:r w:rsidRPr="00DB5453">
        <w:rPr>
          <w:rFonts w:ascii="Arial" w:hAnsi="Arial" w:cs="Arial"/>
          <w:spacing w:val="-18"/>
          <w:sz w:val="24"/>
          <w:szCs w:val="24"/>
        </w:rPr>
        <w:t xml:space="preserve"> </w:t>
      </w:r>
      <w:r w:rsidRPr="00DB5453">
        <w:rPr>
          <w:rFonts w:ascii="Arial" w:hAnsi="Arial" w:cs="Arial"/>
          <w:sz w:val="24"/>
          <w:szCs w:val="24"/>
        </w:rPr>
        <w:t>diarrhea in the</w:t>
      </w:r>
      <w:r w:rsidRPr="00DB5453">
        <w:rPr>
          <w:rFonts w:ascii="Arial" w:hAnsi="Arial" w:cs="Arial"/>
          <w:spacing w:val="-1"/>
          <w:sz w:val="24"/>
          <w:szCs w:val="24"/>
        </w:rPr>
        <w:t xml:space="preserve"> </w:t>
      </w:r>
      <w:r w:rsidRPr="00DB5453">
        <w:rPr>
          <w:rFonts w:ascii="Arial" w:hAnsi="Arial" w:cs="Arial"/>
          <w:sz w:val="24"/>
          <w:szCs w:val="24"/>
        </w:rPr>
        <w:t>past month, while</w:t>
      </w:r>
      <w:r w:rsidRPr="00DB5453">
        <w:rPr>
          <w:rFonts w:ascii="Arial" w:hAnsi="Arial" w:cs="Arial"/>
          <w:spacing w:val="-1"/>
          <w:sz w:val="24"/>
          <w:szCs w:val="24"/>
        </w:rPr>
        <w:t xml:space="preserve"> </w:t>
      </w:r>
      <w:r w:rsidRPr="00DB5453">
        <w:rPr>
          <w:rFonts w:ascii="Arial" w:hAnsi="Arial" w:cs="Arial"/>
          <w:sz w:val="24"/>
          <w:szCs w:val="24"/>
        </w:rPr>
        <w:t>41.5% of participants in the control group (n=22) reported the same.</w:t>
      </w:r>
    </w:p>
    <w:p w14:paraId="228BD90A" w14:textId="1E075039" w:rsidR="0064242D" w:rsidRPr="00DB5453" w:rsidRDefault="0064242D" w:rsidP="0064242D">
      <w:pPr>
        <w:pStyle w:val="Heading2"/>
        <w:spacing w:before="161"/>
        <w:ind w:left="360" w:firstLine="0"/>
        <w:rPr>
          <w:rFonts w:ascii="Arial" w:hAnsi="Arial" w:cs="Arial"/>
          <w:sz w:val="24"/>
          <w:szCs w:val="24"/>
        </w:rPr>
      </w:pPr>
      <w:r w:rsidRPr="00DB5453">
        <w:rPr>
          <w:rFonts w:ascii="Arial" w:hAnsi="Arial" w:cs="Arial"/>
          <w:sz w:val="24"/>
          <w:szCs w:val="24"/>
        </w:rPr>
        <w:t>Table</w:t>
      </w:r>
      <w:r w:rsidRPr="00DB5453">
        <w:rPr>
          <w:rFonts w:ascii="Arial" w:hAnsi="Arial" w:cs="Arial"/>
          <w:spacing w:val="-9"/>
          <w:sz w:val="24"/>
          <w:szCs w:val="24"/>
        </w:rPr>
        <w:t xml:space="preserve"> </w:t>
      </w:r>
      <w:r w:rsidRPr="00DB5453">
        <w:rPr>
          <w:rFonts w:ascii="Arial" w:hAnsi="Arial" w:cs="Arial"/>
          <w:sz w:val="24"/>
          <w:szCs w:val="24"/>
        </w:rPr>
        <w:t>2</w:t>
      </w:r>
      <w:r w:rsidR="001F2D9D" w:rsidRPr="00DB5453">
        <w:rPr>
          <w:rFonts w:ascii="Arial" w:hAnsi="Arial" w:cs="Arial"/>
          <w:sz w:val="24"/>
          <w:szCs w:val="24"/>
        </w:rPr>
        <w:t>:</w:t>
      </w:r>
      <w:r w:rsidR="00BB1BB1" w:rsidRPr="00DB5453">
        <w:rPr>
          <w:rFonts w:ascii="Arial" w:hAnsi="Arial" w:cs="Arial"/>
          <w:spacing w:val="60"/>
          <w:w w:val="150"/>
          <w:sz w:val="24"/>
          <w:szCs w:val="24"/>
        </w:rPr>
        <w:t xml:space="preserve"> </w:t>
      </w:r>
      <w:r w:rsidRPr="00DB5453">
        <w:rPr>
          <w:rFonts w:ascii="Arial" w:hAnsi="Arial" w:cs="Arial"/>
          <w:sz w:val="24"/>
          <w:szCs w:val="24"/>
        </w:rPr>
        <w:t>Prevalence</w:t>
      </w:r>
      <w:r w:rsidRPr="00DB5453">
        <w:rPr>
          <w:rFonts w:ascii="Arial" w:hAnsi="Arial" w:cs="Arial"/>
          <w:spacing w:val="-5"/>
          <w:sz w:val="24"/>
          <w:szCs w:val="24"/>
        </w:rPr>
        <w:t xml:space="preserve"> </w:t>
      </w:r>
      <w:r w:rsidRPr="00DB5453">
        <w:rPr>
          <w:rFonts w:ascii="Arial" w:hAnsi="Arial" w:cs="Arial"/>
          <w:sz w:val="24"/>
          <w:szCs w:val="24"/>
        </w:rPr>
        <w:t>of</w:t>
      </w:r>
      <w:r w:rsidRPr="00DB5453">
        <w:rPr>
          <w:rFonts w:ascii="Arial" w:hAnsi="Arial" w:cs="Arial"/>
          <w:spacing w:val="-5"/>
          <w:sz w:val="24"/>
          <w:szCs w:val="24"/>
        </w:rPr>
        <w:t xml:space="preserve"> </w:t>
      </w:r>
      <w:r w:rsidRPr="00DB5453">
        <w:rPr>
          <w:rFonts w:ascii="Arial" w:hAnsi="Arial" w:cs="Arial"/>
          <w:sz w:val="24"/>
          <w:szCs w:val="24"/>
        </w:rPr>
        <w:t>Diarrhea</w:t>
      </w:r>
      <w:r w:rsidRPr="00DB5453">
        <w:rPr>
          <w:rFonts w:ascii="Arial" w:hAnsi="Arial" w:cs="Arial"/>
          <w:spacing w:val="-4"/>
          <w:sz w:val="24"/>
          <w:szCs w:val="24"/>
        </w:rPr>
        <w:t xml:space="preserve"> </w:t>
      </w:r>
      <w:r w:rsidRPr="00DB5453">
        <w:rPr>
          <w:rFonts w:ascii="Arial" w:hAnsi="Arial" w:cs="Arial"/>
          <w:spacing w:val="-2"/>
          <w:sz w:val="24"/>
          <w:szCs w:val="24"/>
        </w:rPr>
        <w:t>Disease</w:t>
      </w:r>
    </w:p>
    <w:p w14:paraId="6A1226E7" w14:textId="77777777" w:rsidR="0064242D" w:rsidRPr="00DB5453" w:rsidRDefault="0064242D" w:rsidP="0064242D">
      <w:pPr>
        <w:pStyle w:val="BodyText"/>
        <w:ind w:left="0"/>
        <w:jc w:val="left"/>
        <w:rPr>
          <w:rFonts w:ascii="Arial" w:hAnsi="Arial" w:cs="Arial"/>
          <w:b/>
          <w:sz w:val="24"/>
          <w:szCs w:val="24"/>
        </w:rPr>
      </w:pPr>
    </w:p>
    <w:p w14:paraId="556B56B1" w14:textId="77777777" w:rsidR="0064242D" w:rsidRPr="00DB5453" w:rsidRDefault="0064242D" w:rsidP="0064242D">
      <w:pPr>
        <w:pStyle w:val="BodyText"/>
        <w:spacing w:before="27"/>
        <w:ind w:left="0"/>
        <w:jc w:val="left"/>
        <w:rPr>
          <w:rFonts w:ascii="Arial" w:hAnsi="Arial" w:cs="Arial"/>
          <w:b/>
          <w:sz w:val="24"/>
          <w:szCs w:val="24"/>
        </w:rPr>
      </w:pP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37"/>
        <w:gridCol w:w="3411"/>
        <w:gridCol w:w="2123"/>
        <w:gridCol w:w="2082"/>
      </w:tblGrid>
      <w:tr w:rsidR="0064242D" w:rsidRPr="00DB5453" w14:paraId="69D231BD" w14:textId="77777777" w:rsidTr="00A470B0">
        <w:trPr>
          <w:trHeight w:val="974"/>
        </w:trPr>
        <w:tc>
          <w:tcPr>
            <w:tcW w:w="1837" w:type="dxa"/>
            <w:tcBorders>
              <w:top w:val="single" w:sz="4" w:space="0" w:color="auto"/>
              <w:bottom w:val="single" w:sz="4" w:space="0" w:color="auto"/>
            </w:tcBorders>
          </w:tcPr>
          <w:p w14:paraId="11E997ED" w14:textId="77777777" w:rsidR="0064242D" w:rsidRPr="00DB5453" w:rsidRDefault="0064242D" w:rsidP="00C06C36">
            <w:pPr>
              <w:pStyle w:val="TableParagraph"/>
              <w:ind w:left="108"/>
              <w:jc w:val="left"/>
              <w:rPr>
                <w:rFonts w:ascii="Arial" w:hAnsi="Arial" w:cs="Arial"/>
                <w:b/>
                <w:sz w:val="24"/>
                <w:szCs w:val="24"/>
              </w:rPr>
            </w:pPr>
            <w:r w:rsidRPr="00DB5453">
              <w:rPr>
                <w:rFonts w:ascii="Arial" w:hAnsi="Arial" w:cs="Arial"/>
                <w:b/>
                <w:spacing w:val="-2"/>
                <w:sz w:val="24"/>
                <w:szCs w:val="24"/>
              </w:rPr>
              <w:t>Group</w:t>
            </w:r>
          </w:p>
        </w:tc>
        <w:tc>
          <w:tcPr>
            <w:tcW w:w="3411" w:type="dxa"/>
            <w:tcBorders>
              <w:top w:val="single" w:sz="4" w:space="0" w:color="auto"/>
              <w:bottom w:val="single" w:sz="4" w:space="0" w:color="auto"/>
            </w:tcBorders>
          </w:tcPr>
          <w:p w14:paraId="4976077C" w14:textId="77777777" w:rsidR="0064242D" w:rsidRPr="00DB5453" w:rsidRDefault="0064242D" w:rsidP="00C06C36">
            <w:pPr>
              <w:pStyle w:val="TableParagraph"/>
              <w:ind w:right="177"/>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8"/>
                <w:sz w:val="24"/>
                <w:szCs w:val="24"/>
              </w:rPr>
              <w:t xml:space="preserve"> </w:t>
            </w:r>
            <w:r w:rsidRPr="00DB5453">
              <w:rPr>
                <w:rFonts w:ascii="Arial" w:hAnsi="Arial" w:cs="Arial"/>
                <w:b/>
                <w:sz w:val="24"/>
                <w:szCs w:val="24"/>
              </w:rPr>
              <w:t>of</w:t>
            </w:r>
            <w:r w:rsidRPr="00DB5453">
              <w:rPr>
                <w:rFonts w:ascii="Arial" w:hAnsi="Arial" w:cs="Arial"/>
                <w:b/>
                <w:spacing w:val="-7"/>
                <w:sz w:val="24"/>
                <w:szCs w:val="24"/>
              </w:rPr>
              <w:t xml:space="preserve"> </w:t>
            </w:r>
            <w:r w:rsidRPr="00DB5453">
              <w:rPr>
                <w:rFonts w:ascii="Arial" w:hAnsi="Arial" w:cs="Arial"/>
                <w:b/>
                <w:spacing w:val="-2"/>
                <w:sz w:val="24"/>
                <w:szCs w:val="24"/>
              </w:rPr>
              <w:t>Diarrhea</w:t>
            </w:r>
          </w:p>
          <w:p w14:paraId="5009F637" w14:textId="77777777" w:rsidR="0064242D" w:rsidRPr="00DB5453" w:rsidRDefault="0064242D" w:rsidP="00C06C36">
            <w:pPr>
              <w:pStyle w:val="TableParagraph"/>
              <w:ind w:left="5" w:right="177"/>
              <w:rPr>
                <w:rFonts w:ascii="Arial" w:hAnsi="Arial" w:cs="Arial"/>
                <w:b/>
                <w:sz w:val="24"/>
                <w:szCs w:val="24"/>
              </w:rPr>
            </w:pPr>
            <w:r w:rsidRPr="00DB5453">
              <w:rPr>
                <w:rFonts w:ascii="Arial" w:hAnsi="Arial" w:cs="Arial"/>
                <w:b/>
                <w:spacing w:val="-5"/>
                <w:sz w:val="24"/>
                <w:szCs w:val="24"/>
              </w:rPr>
              <w:t>(%)</w:t>
            </w:r>
          </w:p>
        </w:tc>
        <w:tc>
          <w:tcPr>
            <w:tcW w:w="2123" w:type="dxa"/>
            <w:tcBorders>
              <w:top w:val="single" w:sz="4" w:space="0" w:color="auto"/>
              <w:bottom w:val="single" w:sz="4" w:space="0" w:color="auto"/>
            </w:tcBorders>
          </w:tcPr>
          <w:p w14:paraId="2937717A" w14:textId="77777777" w:rsidR="0064242D" w:rsidRPr="00DB5453" w:rsidRDefault="0064242D" w:rsidP="00C06C36">
            <w:pPr>
              <w:pStyle w:val="TableParagraph"/>
              <w:ind w:left="6" w:right="5"/>
              <w:rPr>
                <w:rFonts w:ascii="Arial" w:hAnsi="Arial" w:cs="Arial"/>
                <w:b/>
                <w:sz w:val="24"/>
                <w:szCs w:val="24"/>
              </w:rPr>
            </w:pPr>
            <w:r w:rsidRPr="00DB5453">
              <w:rPr>
                <w:rFonts w:ascii="Arial" w:hAnsi="Arial" w:cs="Arial"/>
                <w:b/>
                <w:sz w:val="24"/>
                <w:szCs w:val="24"/>
              </w:rPr>
              <w:t>Number</w:t>
            </w:r>
            <w:r w:rsidRPr="00DB5453">
              <w:rPr>
                <w:rFonts w:ascii="Arial" w:hAnsi="Arial" w:cs="Arial"/>
                <w:b/>
                <w:spacing w:val="-9"/>
                <w:sz w:val="24"/>
                <w:szCs w:val="24"/>
              </w:rPr>
              <w:t xml:space="preserve"> </w:t>
            </w:r>
            <w:r w:rsidRPr="00DB5453">
              <w:rPr>
                <w:rFonts w:ascii="Arial" w:hAnsi="Arial" w:cs="Arial"/>
                <w:b/>
                <w:spacing w:val="-5"/>
                <w:sz w:val="24"/>
                <w:szCs w:val="24"/>
              </w:rPr>
              <w:t>of</w:t>
            </w:r>
          </w:p>
          <w:p w14:paraId="4F091276" w14:textId="77777777" w:rsidR="0064242D" w:rsidRPr="00DB5453" w:rsidRDefault="0064242D" w:rsidP="00C06C36">
            <w:pPr>
              <w:pStyle w:val="TableParagraph"/>
              <w:ind w:left="6" w:right="1"/>
              <w:rPr>
                <w:rFonts w:ascii="Arial" w:hAnsi="Arial" w:cs="Arial"/>
                <w:b/>
                <w:sz w:val="24"/>
                <w:szCs w:val="24"/>
              </w:rPr>
            </w:pPr>
            <w:r w:rsidRPr="00DB5453">
              <w:rPr>
                <w:rFonts w:ascii="Arial" w:hAnsi="Arial" w:cs="Arial"/>
                <w:b/>
                <w:spacing w:val="-2"/>
                <w:sz w:val="24"/>
                <w:szCs w:val="24"/>
              </w:rPr>
              <w:t>Cases</w:t>
            </w:r>
          </w:p>
        </w:tc>
        <w:tc>
          <w:tcPr>
            <w:tcW w:w="2082" w:type="dxa"/>
            <w:tcBorders>
              <w:top w:val="single" w:sz="4" w:space="0" w:color="auto"/>
              <w:bottom w:val="single" w:sz="4" w:space="0" w:color="auto"/>
            </w:tcBorders>
          </w:tcPr>
          <w:p w14:paraId="2A161B1A" w14:textId="77777777" w:rsidR="0064242D" w:rsidRPr="00DB5453" w:rsidRDefault="0064242D" w:rsidP="00C06C36">
            <w:pPr>
              <w:pStyle w:val="TableParagraph"/>
              <w:ind w:left="55" w:right="6"/>
              <w:rPr>
                <w:rFonts w:ascii="Arial" w:hAnsi="Arial" w:cs="Arial"/>
                <w:b/>
                <w:sz w:val="24"/>
                <w:szCs w:val="24"/>
              </w:rPr>
            </w:pPr>
            <w:r w:rsidRPr="00DB5453">
              <w:rPr>
                <w:rFonts w:ascii="Arial" w:hAnsi="Arial" w:cs="Arial"/>
                <w:b/>
                <w:spacing w:val="-2"/>
                <w:sz w:val="24"/>
                <w:szCs w:val="24"/>
              </w:rPr>
              <w:t>Total</w:t>
            </w:r>
          </w:p>
          <w:p w14:paraId="2D1A6CF1" w14:textId="77777777" w:rsidR="0064242D" w:rsidRPr="00DB5453" w:rsidRDefault="0064242D" w:rsidP="00C06C36">
            <w:pPr>
              <w:pStyle w:val="TableParagraph"/>
              <w:ind w:left="55"/>
              <w:rPr>
                <w:rFonts w:ascii="Arial" w:hAnsi="Arial" w:cs="Arial"/>
                <w:b/>
                <w:sz w:val="24"/>
                <w:szCs w:val="24"/>
              </w:rPr>
            </w:pPr>
            <w:r w:rsidRPr="00DB5453">
              <w:rPr>
                <w:rFonts w:ascii="Arial" w:hAnsi="Arial" w:cs="Arial"/>
                <w:b/>
                <w:spacing w:val="-2"/>
                <w:sz w:val="24"/>
                <w:szCs w:val="24"/>
              </w:rPr>
              <w:t>Population</w:t>
            </w:r>
          </w:p>
        </w:tc>
      </w:tr>
      <w:tr w:rsidR="0064242D" w:rsidRPr="00DB5453" w14:paraId="4BE6F862" w14:textId="77777777" w:rsidTr="00A470B0">
        <w:trPr>
          <w:trHeight w:val="407"/>
        </w:trPr>
        <w:tc>
          <w:tcPr>
            <w:tcW w:w="1837" w:type="dxa"/>
            <w:tcBorders>
              <w:top w:val="single" w:sz="4" w:space="0" w:color="auto"/>
            </w:tcBorders>
          </w:tcPr>
          <w:p w14:paraId="3FCB17D8" w14:textId="77777777" w:rsidR="0064242D" w:rsidRPr="00DB5453" w:rsidRDefault="0064242D" w:rsidP="00C06C36">
            <w:pPr>
              <w:pStyle w:val="TableParagraph"/>
              <w:ind w:left="108"/>
              <w:jc w:val="left"/>
              <w:rPr>
                <w:rFonts w:ascii="Arial" w:hAnsi="Arial" w:cs="Arial"/>
                <w:b/>
                <w:sz w:val="24"/>
                <w:szCs w:val="24"/>
              </w:rPr>
            </w:pPr>
            <w:r w:rsidRPr="00DB5453">
              <w:rPr>
                <w:rFonts w:ascii="Arial" w:hAnsi="Arial" w:cs="Arial"/>
                <w:b/>
                <w:spacing w:val="-2"/>
                <w:sz w:val="24"/>
                <w:szCs w:val="24"/>
              </w:rPr>
              <w:t>Intervention</w:t>
            </w:r>
          </w:p>
        </w:tc>
        <w:tc>
          <w:tcPr>
            <w:tcW w:w="3411" w:type="dxa"/>
            <w:tcBorders>
              <w:top w:val="single" w:sz="4" w:space="0" w:color="auto"/>
            </w:tcBorders>
          </w:tcPr>
          <w:p w14:paraId="6D5EA0CB" w14:textId="77777777" w:rsidR="0064242D" w:rsidRPr="00DB5453" w:rsidRDefault="0064242D" w:rsidP="00C06C36">
            <w:pPr>
              <w:pStyle w:val="TableParagraph"/>
              <w:ind w:left="7" w:right="177"/>
              <w:rPr>
                <w:rFonts w:ascii="Arial" w:hAnsi="Arial" w:cs="Arial"/>
                <w:sz w:val="24"/>
                <w:szCs w:val="24"/>
              </w:rPr>
            </w:pPr>
            <w:r w:rsidRPr="00DB5453">
              <w:rPr>
                <w:rFonts w:ascii="Arial" w:hAnsi="Arial" w:cs="Arial"/>
                <w:spacing w:val="-5"/>
                <w:sz w:val="24"/>
                <w:szCs w:val="24"/>
              </w:rPr>
              <w:t>39%</w:t>
            </w:r>
          </w:p>
        </w:tc>
        <w:tc>
          <w:tcPr>
            <w:tcW w:w="2123" w:type="dxa"/>
            <w:tcBorders>
              <w:top w:val="single" w:sz="4" w:space="0" w:color="auto"/>
            </w:tcBorders>
          </w:tcPr>
          <w:p w14:paraId="624B7817" w14:textId="77777777" w:rsidR="0064242D" w:rsidRPr="00DB5453" w:rsidRDefault="0064242D" w:rsidP="00C06C36">
            <w:pPr>
              <w:pStyle w:val="TableParagraph"/>
              <w:ind w:left="6"/>
              <w:rPr>
                <w:rFonts w:ascii="Arial" w:hAnsi="Arial" w:cs="Arial"/>
                <w:sz w:val="24"/>
                <w:szCs w:val="24"/>
              </w:rPr>
            </w:pPr>
            <w:r w:rsidRPr="00DB5453">
              <w:rPr>
                <w:rFonts w:ascii="Arial" w:hAnsi="Arial" w:cs="Arial"/>
                <w:spacing w:val="-5"/>
                <w:sz w:val="24"/>
                <w:szCs w:val="24"/>
              </w:rPr>
              <w:t>21</w:t>
            </w:r>
          </w:p>
        </w:tc>
        <w:tc>
          <w:tcPr>
            <w:tcW w:w="2082" w:type="dxa"/>
            <w:tcBorders>
              <w:top w:val="single" w:sz="4" w:space="0" w:color="auto"/>
            </w:tcBorders>
          </w:tcPr>
          <w:p w14:paraId="044AFD60" w14:textId="77777777" w:rsidR="0064242D" w:rsidRPr="00DB5453" w:rsidRDefault="0064242D" w:rsidP="00C06C36">
            <w:pPr>
              <w:pStyle w:val="TableParagraph"/>
              <w:ind w:left="55"/>
              <w:rPr>
                <w:rFonts w:ascii="Arial" w:hAnsi="Arial" w:cs="Arial"/>
                <w:sz w:val="24"/>
                <w:szCs w:val="24"/>
              </w:rPr>
            </w:pPr>
            <w:r w:rsidRPr="00DB5453">
              <w:rPr>
                <w:rFonts w:ascii="Arial" w:hAnsi="Arial" w:cs="Arial"/>
                <w:spacing w:val="-5"/>
                <w:sz w:val="24"/>
                <w:szCs w:val="24"/>
              </w:rPr>
              <w:t>53</w:t>
            </w:r>
          </w:p>
        </w:tc>
      </w:tr>
      <w:tr w:rsidR="0064242D" w:rsidRPr="00DB5453" w14:paraId="61C22506" w14:textId="77777777" w:rsidTr="00A470B0">
        <w:trPr>
          <w:trHeight w:val="557"/>
        </w:trPr>
        <w:tc>
          <w:tcPr>
            <w:tcW w:w="1837" w:type="dxa"/>
          </w:tcPr>
          <w:p w14:paraId="76D39D64" w14:textId="77777777" w:rsidR="0064242D" w:rsidRPr="00DB5453" w:rsidRDefault="0064242D" w:rsidP="00C06C36">
            <w:pPr>
              <w:pStyle w:val="TableParagraph"/>
              <w:spacing w:before="235" w:line="302" w:lineRule="exact"/>
              <w:ind w:left="108"/>
              <w:jc w:val="left"/>
              <w:rPr>
                <w:rFonts w:ascii="Arial" w:hAnsi="Arial" w:cs="Arial"/>
                <w:b/>
                <w:sz w:val="24"/>
                <w:szCs w:val="24"/>
              </w:rPr>
            </w:pPr>
            <w:r w:rsidRPr="00DB5453">
              <w:rPr>
                <w:rFonts w:ascii="Arial" w:hAnsi="Arial" w:cs="Arial"/>
                <w:b/>
                <w:spacing w:val="-2"/>
                <w:sz w:val="24"/>
                <w:szCs w:val="24"/>
              </w:rPr>
              <w:t>Control</w:t>
            </w:r>
          </w:p>
        </w:tc>
        <w:tc>
          <w:tcPr>
            <w:tcW w:w="3411" w:type="dxa"/>
          </w:tcPr>
          <w:p w14:paraId="2F4A04B5" w14:textId="77777777" w:rsidR="0064242D" w:rsidRPr="00DB5453" w:rsidRDefault="0064242D" w:rsidP="00C06C36">
            <w:pPr>
              <w:pStyle w:val="TableParagraph"/>
              <w:spacing w:before="235" w:line="302" w:lineRule="exact"/>
              <w:ind w:left="7" w:right="177"/>
              <w:rPr>
                <w:rFonts w:ascii="Arial" w:hAnsi="Arial" w:cs="Arial"/>
                <w:sz w:val="24"/>
                <w:szCs w:val="24"/>
              </w:rPr>
            </w:pPr>
            <w:r w:rsidRPr="00DB5453">
              <w:rPr>
                <w:rFonts w:ascii="Arial" w:hAnsi="Arial" w:cs="Arial"/>
                <w:spacing w:val="-2"/>
                <w:sz w:val="24"/>
                <w:szCs w:val="24"/>
              </w:rPr>
              <w:t>41.5%</w:t>
            </w:r>
          </w:p>
        </w:tc>
        <w:tc>
          <w:tcPr>
            <w:tcW w:w="2123" w:type="dxa"/>
          </w:tcPr>
          <w:p w14:paraId="45A36580" w14:textId="77777777" w:rsidR="0064242D" w:rsidRPr="00DB5453" w:rsidRDefault="0064242D" w:rsidP="00C06C36">
            <w:pPr>
              <w:pStyle w:val="TableParagraph"/>
              <w:spacing w:before="235" w:line="302" w:lineRule="exact"/>
              <w:ind w:left="6"/>
              <w:rPr>
                <w:rFonts w:ascii="Arial" w:hAnsi="Arial" w:cs="Arial"/>
                <w:sz w:val="24"/>
                <w:szCs w:val="24"/>
              </w:rPr>
            </w:pPr>
            <w:r w:rsidRPr="00DB5453">
              <w:rPr>
                <w:rFonts w:ascii="Arial" w:hAnsi="Arial" w:cs="Arial"/>
                <w:spacing w:val="-5"/>
                <w:sz w:val="24"/>
                <w:szCs w:val="24"/>
              </w:rPr>
              <w:t>22</w:t>
            </w:r>
          </w:p>
        </w:tc>
        <w:tc>
          <w:tcPr>
            <w:tcW w:w="2082" w:type="dxa"/>
          </w:tcPr>
          <w:p w14:paraId="2879BFDC" w14:textId="77777777" w:rsidR="0064242D" w:rsidRPr="00DB5453" w:rsidRDefault="0064242D" w:rsidP="00C06C36">
            <w:pPr>
              <w:pStyle w:val="TableParagraph"/>
              <w:spacing w:before="235" w:line="302" w:lineRule="exact"/>
              <w:ind w:left="55"/>
              <w:rPr>
                <w:rFonts w:ascii="Arial" w:hAnsi="Arial" w:cs="Arial"/>
                <w:sz w:val="24"/>
                <w:szCs w:val="24"/>
              </w:rPr>
            </w:pPr>
            <w:r w:rsidRPr="00DB5453">
              <w:rPr>
                <w:rFonts w:ascii="Arial" w:hAnsi="Arial" w:cs="Arial"/>
                <w:spacing w:val="-5"/>
                <w:sz w:val="24"/>
                <w:szCs w:val="24"/>
              </w:rPr>
              <w:t>53</w:t>
            </w:r>
          </w:p>
        </w:tc>
      </w:tr>
    </w:tbl>
    <w:p w14:paraId="701349AB" w14:textId="77777777" w:rsidR="0064242D" w:rsidRPr="00DB5453" w:rsidRDefault="0064242D" w:rsidP="0064242D">
      <w:pPr>
        <w:pStyle w:val="BodyText"/>
        <w:spacing w:before="226"/>
        <w:ind w:left="0"/>
        <w:jc w:val="left"/>
        <w:rPr>
          <w:rFonts w:ascii="Arial" w:hAnsi="Arial" w:cs="Arial"/>
          <w:b/>
          <w:sz w:val="24"/>
          <w:szCs w:val="24"/>
        </w:rPr>
      </w:pPr>
    </w:p>
    <w:p w14:paraId="2EFE13F1" w14:textId="77777777" w:rsidR="0064242D" w:rsidRPr="00DB5453" w:rsidRDefault="0064242D" w:rsidP="0064242D">
      <w:pPr>
        <w:pStyle w:val="BodyText"/>
        <w:jc w:val="left"/>
        <w:rPr>
          <w:rFonts w:ascii="Arial" w:hAnsi="Arial" w:cs="Arial"/>
          <w:b/>
          <w:sz w:val="24"/>
          <w:szCs w:val="24"/>
        </w:rPr>
        <w:sectPr w:rsidR="0064242D" w:rsidRPr="00DB5453">
          <w:pgSz w:w="12240" w:h="15840"/>
          <w:pgMar w:top="1380" w:right="1080" w:bottom="1200" w:left="1080" w:header="0" w:footer="1012" w:gutter="0"/>
          <w:cols w:space="720"/>
        </w:sectPr>
      </w:pPr>
    </w:p>
    <w:p w14:paraId="644FD0E7" w14:textId="77777777" w:rsidR="0064242D" w:rsidRPr="00DB5453" w:rsidRDefault="0064242D" w:rsidP="00BB1BB1">
      <w:pPr>
        <w:tabs>
          <w:tab w:val="left" w:pos="1080"/>
        </w:tabs>
        <w:spacing w:after="0" w:line="240" w:lineRule="auto"/>
        <w:rPr>
          <w:rFonts w:ascii="Arial" w:hAnsi="Arial" w:cs="Arial"/>
          <w:b/>
          <w:sz w:val="24"/>
          <w:szCs w:val="24"/>
        </w:rPr>
      </w:pPr>
      <w:r w:rsidRPr="00DB5453">
        <w:rPr>
          <w:rFonts w:ascii="Arial" w:hAnsi="Arial" w:cs="Arial"/>
          <w:b/>
          <w:sz w:val="24"/>
          <w:szCs w:val="24"/>
        </w:rPr>
        <w:lastRenderedPageBreak/>
        <w:t>Impact</w:t>
      </w:r>
      <w:r w:rsidRPr="00DB5453">
        <w:rPr>
          <w:rFonts w:ascii="Arial" w:hAnsi="Arial" w:cs="Arial"/>
          <w:b/>
          <w:spacing w:val="-5"/>
          <w:sz w:val="24"/>
          <w:szCs w:val="24"/>
        </w:rPr>
        <w:t xml:space="preserve"> </w:t>
      </w:r>
      <w:r w:rsidRPr="00DB5453">
        <w:rPr>
          <w:rFonts w:ascii="Arial" w:hAnsi="Arial" w:cs="Arial"/>
          <w:b/>
          <w:sz w:val="24"/>
          <w:szCs w:val="24"/>
        </w:rPr>
        <w:t>of</w:t>
      </w:r>
      <w:r w:rsidRPr="00DB5453">
        <w:rPr>
          <w:rFonts w:ascii="Arial" w:hAnsi="Arial" w:cs="Arial"/>
          <w:b/>
          <w:spacing w:val="-5"/>
          <w:sz w:val="24"/>
          <w:szCs w:val="24"/>
        </w:rPr>
        <w:t xml:space="preserve"> </w:t>
      </w:r>
      <w:r w:rsidRPr="00DB5453">
        <w:rPr>
          <w:rFonts w:ascii="Arial" w:hAnsi="Arial" w:cs="Arial"/>
          <w:b/>
          <w:sz w:val="24"/>
          <w:szCs w:val="24"/>
        </w:rPr>
        <w:t>Public</w:t>
      </w:r>
      <w:r w:rsidRPr="00DB5453">
        <w:rPr>
          <w:rFonts w:ascii="Arial" w:hAnsi="Arial" w:cs="Arial"/>
          <w:b/>
          <w:spacing w:val="-5"/>
          <w:sz w:val="24"/>
          <w:szCs w:val="24"/>
        </w:rPr>
        <w:t xml:space="preserve"> </w:t>
      </w:r>
      <w:r w:rsidRPr="00DB5453">
        <w:rPr>
          <w:rFonts w:ascii="Arial" w:hAnsi="Arial" w:cs="Arial"/>
          <w:b/>
          <w:sz w:val="24"/>
          <w:szCs w:val="24"/>
        </w:rPr>
        <w:t>Health</w:t>
      </w:r>
      <w:r w:rsidRPr="00DB5453">
        <w:rPr>
          <w:rFonts w:ascii="Arial" w:hAnsi="Arial" w:cs="Arial"/>
          <w:b/>
          <w:spacing w:val="-4"/>
          <w:sz w:val="24"/>
          <w:szCs w:val="24"/>
        </w:rPr>
        <w:t xml:space="preserve"> </w:t>
      </w:r>
      <w:r w:rsidRPr="00DB5453">
        <w:rPr>
          <w:rFonts w:ascii="Arial" w:hAnsi="Arial" w:cs="Arial"/>
          <w:b/>
          <w:spacing w:val="-2"/>
          <w:sz w:val="24"/>
          <w:szCs w:val="24"/>
        </w:rPr>
        <w:t>Intervention</w:t>
      </w:r>
    </w:p>
    <w:p w14:paraId="650E0B47" w14:textId="77777777" w:rsidR="0064242D" w:rsidRPr="00DB5453" w:rsidRDefault="0064242D" w:rsidP="00BB1BB1">
      <w:pPr>
        <w:pStyle w:val="BodyText"/>
        <w:ind w:left="0" w:right="358"/>
        <w:rPr>
          <w:rFonts w:ascii="Arial" w:hAnsi="Arial" w:cs="Arial"/>
          <w:sz w:val="24"/>
          <w:szCs w:val="24"/>
        </w:rPr>
      </w:pPr>
      <w:r w:rsidRPr="00DB5453">
        <w:rPr>
          <w:rFonts w:ascii="Arial" w:hAnsi="Arial" w:cs="Arial"/>
          <w:sz w:val="24"/>
          <w:szCs w:val="24"/>
        </w:rPr>
        <w:t xml:space="preserve">Post-intervention data revealed a significant reduction in the incidence of diarrhea in the intervention group. The prevalence dropped to 10% (n=5) within this group, while the control group continued to show a prevalence of 39.6% (n=21). This indicates a substantial decrease in diarrhea incidents following the public health </w:t>
      </w:r>
      <w:r w:rsidRPr="00DB5453">
        <w:rPr>
          <w:rFonts w:ascii="Arial" w:hAnsi="Arial" w:cs="Arial"/>
          <w:spacing w:val="-2"/>
          <w:sz w:val="24"/>
          <w:szCs w:val="24"/>
        </w:rPr>
        <w:t>intervention.</w:t>
      </w:r>
    </w:p>
    <w:p w14:paraId="66D38911" w14:textId="77777777" w:rsidR="0064242D" w:rsidRPr="00DB5453" w:rsidRDefault="0064242D" w:rsidP="0064242D">
      <w:pPr>
        <w:spacing w:before="160"/>
        <w:ind w:left="360"/>
        <w:jc w:val="both"/>
        <w:rPr>
          <w:rFonts w:ascii="Arial" w:hAnsi="Arial" w:cs="Arial"/>
          <w:b/>
          <w:sz w:val="24"/>
          <w:szCs w:val="24"/>
        </w:rPr>
      </w:pPr>
      <w:r w:rsidRPr="00DB5453">
        <w:rPr>
          <w:rFonts w:ascii="Arial" w:hAnsi="Arial" w:cs="Arial"/>
          <w:b/>
          <w:sz w:val="24"/>
          <w:szCs w:val="24"/>
        </w:rPr>
        <w:t>Table</w:t>
      </w:r>
      <w:r w:rsidRPr="00DB5453">
        <w:rPr>
          <w:rFonts w:ascii="Arial" w:hAnsi="Arial" w:cs="Arial"/>
          <w:b/>
          <w:spacing w:val="-8"/>
          <w:sz w:val="24"/>
          <w:szCs w:val="24"/>
        </w:rPr>
        <w:t xml:space="preserve"> </w:t>
      </w:r>
      <w:r w:rsidRPr="00DB5453">
        <w:rPr>
          <w:rFonts w:ascii="Arial" w:hAnsi="Arial" w:cs="Arial"/>
          <w:b/>
          <w:sz w:val="24"/>
          <w:szCs w:val="24"/>
        </w:rPr>
        <w:t>3</w:t>
      </w:r>
      <w:r w:rsidR="00BB1BB1" w:rsidRPr="00DB5453">
        <w:rPr>
          <w:rFonts w:ascii="Arial" w:hAnsi="Arial" w:cs="Arial"/>
          <w:b/>
          <w:spacing w:val="62"/>
          <w:w w:val="150"/>
          <w:sz w:val="24"/>
          <w:szCs w:val="24"/>
        </w:rPr>
        <w:t xml:space="preserve"> </w:t>
      </w:r>
      <w:r w:rsidRPr="00DB5453">
        <w:rPr>
          <w:rFonts w:ascii="Arial" w:hAnsi="Arial" w:cs="Arial"/>
          <w:b/>
          <w:sz w:val="24"/>
          <w:szCs w:val="24"/>
        </w:rPr>
        <w:t>Impact</w:t>
      </w:r>
      <w:r w:rsidRPr="00DB5453">
        <w:rPr>
          <w:rFonts w:ascii="Arial" w:hAnsi="Arial" w:cs="Arial"/>
          <w:b/>
          <w:spacing w:val="-4"/>
          <w:sz w:val="24"/>
          <w:szCs w:val="24"/>
        </w:rPr>
        <w:t xml:space="preserve"> </w:t>
      </w:r>
      <w:r w:rsidRPr="00DB5453">
        <w:rPr>
          <w:rFonts w:ascii="Arial" w:hAnsi="Arial" w:cs="Arial"/>
          <w:b/>
          <w:sz w:val="24"/>
          <w:szCs w:val="24"/>
        </w:rPr>
        <w:t>of</w:t>
      </w:r>
      <w:r w:rsidRPr="00DB5453">
        <w:rPr>
          <w:rFonts w:ascii="Arial" w:hAnsi="Arial" w:cs="Arial"/>
          <w:b/>
          <w:spacing w:val="-4"/>
          <w:sz w:val="24"/>
          <w:szCs w:val="24"/>
        </w:rPr>
        <w:t xml:space="preserve"> </w:t>
      </w:r>
      <w:r w:rsidRPr="00DB5453">
        <w:rPr>
          <w:rFonts w:ascii="Arial" w:hAnsi="Arial" w:cs="Arial"/>
          <w:b/>
          <w:sz w:val="24"/>
          <w:szCs w:val="24"/>
        </w:rPr>
        <w:t>Public</w:t>
      </w:r>
      <w:r w:rsidRPr="00DB5453">
        <w:rPr>
          <w:rFonts w:ascii="Arial" w:hAnsi="Arial" w:cs="Arial"/>
          <w:b/>
          <w:spacing w:val="-5"/>
          <w:sz w:val="24"/>
          <w:szCs w:val="24"/>
        </w:rPr>
        <w:t xml:space="preserve"> </w:t>
      </w:r>
      <w:r w:rsidRPr="00DB5453">
        <w:rPr>
          <w:rFonts w:ascii="Arial" w:hAnsi="Arial" w:cs="Arial"/>
          <w:b/>
          <w:sz w:val="24"/>
          <w:szCs w:val="24"/>
        </w:rPr>
        <w:t>Health</w:t>
      </w:r>
      <w:r w:rsidRPr="00DB5453">
        <w:rPr>
          <w:rFonts w:ascii="Arial" w:hAnsi="Arial" w:cs="Arial"/>
          <w:b/>
          <w:spacing w:val="-4"/>
          <w:sz w:val="24"/>
          <w:szCs w:val="24"/>
        </w:rPr>
        <w:t xml:space="preserve"> </w:t>
      </w:r>
      <w:r w:rsidRPr="00DB5453">
        <w:rPr>
          <w:rFonts w:ascii="Arial" w:hAnsi="Arial" w:cs="Arial"/>
          <w:b/>
          <w:spacing w:val="-2"/>
          <w:sz w:val="24"/>
          <w:szCs w:val="24"/>
        </w:rPr>
        <w:t>Intervention</w:t>
      </w:r>
    </w:p>
    <w:p w14:paraId="5C3E4F0E" w14:textId="77777777" w:rsidR="0064242D" w:rsidRPr="00DB5453" w:rsidRDefault="0064242D" w:rsidP="0064242D">
      <w:pPr>
        <w:pStyle w:val="BodyText"/>
        <w:spacing w:line="20" w:lineRule="exact"/>
        <w:jc w:val="left"/>
        <w:rPr>
          <w:rFonts w:ascii="Arial" w:hAnsi="Arial" w:cs="Arial"/>
          <w:sz w:val="24"/>
          <w:szCs w:val="24"/>
        </w:rPr>
      </w:pPr>
    </w:p>
    <w:p w14:paraId="5D6BABEB" w14:textId="77777777" w:rsidR="0064242D" w:rsidRPr="00DB5453" w:rsidRDefault="0064242D" w:rsidP="0064242D">
      <w:pPr>
        <w:pStyle w:val="BodyText"/>
        <w:spacing w:line="20" w:lineRule="exact"/>
        <w:jc w:val="left"/>
        <w:rPr>
          <w:rFonts w:ascii="Arial" w:hAnsi="Arial" w:cs="Arial"/>
          <w:sz w:val="24"/>
          <w:szCs w:val="24"/>
        </w:rPr>
        <w:sectPr w:rsidR="0064242D" w:rsidRPr="00DB5453">
          <w:headerReference w:type="even" r:id="rId13"/>
          <w:headerReference w:type="default" r:id="rId14"/>
          <w:footerReference w:type="default" r:id="rId15"/>
          <w:headerReference w:type="first" r:id="rId16"/>
          <w:pgSz w:w="12240" w:h="15840"/>
          <w:pgMar w:top="1380" w:right="1080" w:bottom="1200" w:left="1080" w:header="0" w:footer="1012" w:gutter="0"/>
          <w:cols w:space="720"/>
        </w:sectPr>
      </w:pPr>
    </w:p>
    <w:tbl>
      <w:tblPr>
        <w:tblStyle w:val="TableGrid"/>
        <w:tblW w:w="98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2"/>
        <w:gridCol w:w="2268"/>
        <w:gridCol w:w="2410"/>
      </w:tblGrid>
      <w:tr w:rsidR="00D7096D" w:rsidRPr="00DB5453" w14:paraId="7BE985ED" w14:textId="77777777" w:rsidTr="001C68E8">
        <w:tc>
          <w:tcPr>
            <w:tcW w:w="1809" w:type="dxa"/>
            <w:tcBorders>
              <w:top w:val="single" w:sz="4" w:space="0" w:color="auto"/>
              <w:bottom w:val="single" w:sz="4" w:space="0" w:color="auto"/>
            </w:tcBorders>
          </w:tcPr>
          <w:p w14:paraId="06AF3C6D"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Group</w:t>
            </w:r>
          </w:p>
        </w:tc>
        <w:tc>
          <w:tcPr>
            <w:tcW w:w="3402" w:type="dxa"/>
            <w:tcBorders>
              <w:top w:val="single" w:sz="4" w:space="0" w:color="auto"/>
              <w:bottom w:val="single" w:sz="4" w:space="0" w:color="auto"/>
            </w:tcBorders>
          </w:tcPr>
          <w:p w14:paraId="0BADE436" w14:textId="77777777" w:rsidR="00D7096D" w:rsidRPr="00DB5453" w:rsidRDefault="00D7096D" w:rsidP="001C68E8">
            <w:pPr>
              <w:jc w:val="both"/>
              <w:rPr>
                <w:rFonts w:ascii="Arial" w:hAnsi="Arial" w:cs="Arial"/>
                <w:b/>
                <w:sz w:val="24"/>
                <w:szCs w:val="24"/>
              </w:rPr>
            </w:pPr>
            <w:r w:rsidRPr="00DB5453">
              <w:rPr>
                <w:rFonts w:ascii="Arial" w:hAnsi="Arial" w:cs="Arial"/>
                <w:b/>
                <w:sz w:val="24"/>
                <w:szCs w:val="24"/>
              </w:rPr>
              <w:t xml:space="preserve">Post-Intervention </w:t>
            </w:r>
            <w:r w:rsidR="001C68E8" w:rsidRPr="00DB5453">
              <w:rPr>
                <w:rFonts w:ascii="Arial" w:hAnsi="Arial" w:cs="Arial"/>
                <w:b/>
                <w:sz w:val="24"/>
                <w:szCs w:val="24"/>
              </w:rPr>
              <w:t xml:space="preserve">    </w:t>
            </w:r>
            <w:r w:rsidRPr="00DB5453">
              <w:rPr>
                <w:rFonts w:ascii="Arial" w:hAnsi="Arial" w:cs="Arial"/>
                <w:b/>
                <w:sz w:val="24"/>
                <w:szCs w:val="24"/>
              </w:rPr>
              <w:t>prevalence (%)</w:t>
            </w:r>
          </w:p>
        </w:tc>
        <w:tc>
          <w:tcPr>
            <w:tcW w:w="2268" w:type="dxa"/>
            <w:tcBorders>
              <w:top w:val="single" w:sz="4" w:space="0" w:color="auto"/>
              <w:bottom w:val="single" w:sz="4" w:space="0" w:color="auto"/>
            </w:tcBorders>
          </w:tcPr>
          <w:p w14:paraId="2918B174"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Number of Cases</w:t>
            </w:r>
          </w:p>
        </w:tc>
        <w:tc>
          <w:tcPr>
            <w:tcW w:w="2410" w:type="dxa"/>
            <w:tcBorders>
              <w:top w:val="single" w:sz="4" w:space="0" w:color="auto"/>
              <w:bottom w:val="single" w:sz="4" w:space="0" w:color="auto"/>
            </w:tcBorders>
          </w:tcPr>
          <w:p w14:paraId="335C6DB5"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Total Population</w:t>
            </w:r>
          </w:p>
        </w:tc>
      </w:tr>
      <w:tr w:rsidR="00D7096D" w:rsidRPr="00DB5453" w14:paraId="0F5A70BE" w14:textId="77777777" w:rsidTr="001C68E8">
        <w:tc>
          <w:tcPr>
            <w:tcW w:w="1809" w:type="dxa"/>
            <w:tcBorders>
              <w:top w:val="single" w:sz="4" w:space="0" w:color="auto"/>
            </w:tcBorders>
          </w:tcPr>
          <w:p w14:paraId="48C3D8BF"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Intervention</w:t>
            </w:r>
          </w:p>
        </w:tc>
        <w:tc>
          <w:tcPr>
            <w:tcW w:w="3402" w:type="dxa"/>
            <w:tcBorders>
              <w:top w:val="single" w:sz="4" w:space="0" w:color="auto"/>
            </w:tcBorders>
          </w:tcPr>
          <w:p w14:paraId="1C5EF6C6"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10%</w:t>
            </w:r>
          </w:p>
        </w:tc>
        <w:tc>
          <w:tcPr>
            <w:tcW w:w="2268" w:type="dxa"/>
            <w:tcBorders>
              <w:top w:val="single" w:sz="4" w:space="0" w:color="auto"/>
            </w:tcBorders>
          </w:tcPr>
          <w:p w14:paraId="022DC62D"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w:t>
            </w:r>
          </w:p>
        </w:tc>
        <w:tc>
          <w:tcPr>
            <w:tcW w:w="2410" w:type="dxa"/>
            <w:tcBorders>
              <w:top w:val="single" w:sz="4" w:space="0" w:color="auto"/>
            </w:tcBorders>
          </w:tcPr>
          <w:p w14:paraId="31186153"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53</w:t>
            </w:r>
          </w:p>
        </w:tc>
      </w:tr>
      <w:tr w:rsidR="00D7096D" w:rsidRPr="00DB5453" w14:paraId="4235DD0A" w14:textId="77777777" w:rsidTr="001C68E8">
        <w:tc>
          <w:tcPr>
            <w:tcW w:w="1809" w:type="dxa"/>
          </w:tcPr>
          <w:p w14:paraId="1BA3ED5C"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Control</w:t>
            </w:r>
          </w:p>
        </w:tc>
        <w:tc>
          <w:tcPr>
            <w:tcW w:w="3402" w:type="dxa"/>
          </w:tcPr>
          <w:p w14:paraId="7AD5AF12"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39.6%</w:t>
            </w:r>
          </w:p>
        </w:tc>
        <w:tc>
          <w:tcPr>
            <w:tcW w:w="2268" w:type="dxa"/>
          </w:tcPr>
          <w:p w14:paraId="72AA3EC5"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21</w:t>
            </w:r>
          </w:p>
        </w:tc>
        <w:tc>
          <w:tcPr>
            <w:tcW w:w="2410" w:type="dxa"/>
          </w:tcPr>
          <w:p w14:paraId="083707E0"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53</w:t>
            </w:r>
          </w:p>
        </w:tc>
      </w:tr>
    </w:tbl>
    <w:p w14:paraId="276D991C" w14:textId="77777777" w:rsidR="00D7096D" w:rsidRPr="00DB5453" w:rsidRDefault="00D7096D" w:rsidP="00D7096D">
      <w:pPr>
        <w:rPr>
          <w:rFonts w:ascii="Arial" w:hAnsi="Arial" w:cs="Arial"/>
          <w:sz w:val="24"/>
          <w:szCs w:val="24"/>
        </w:rPr>
        <w:sectPr w:rsidR="00D7096D" w:rsidRPr="00DB5453" w:rsidSect="00D7096D">
          <w:type w:val="continuous"/>
          <w:pgSz w:w="12240" w:h="15840"/>
          <w:pgMar w:top="1380" w:right="1892" w:bottom="1200" w:left="1080" w:header="0" w:footer="1012" w:gutter="0"/>
          <w:cols w:space="720"/>
        </w:sectPr>
      </w:pPr>
    </w:p>
    <w:p w14:paraId="32977DCC" w14:textId="77777777" w:rsidR="0064242D" w:rsidRPr="00DB5453" w:rsidRDefault="0064242D" w:rsidP="00F30099">
      <w:pPr>
        <w:pStyle w:val="Heading2"/>
        <w:tabs>
          <w:tab w:val="left" w:pos="1080"/>
        </w:tabs>
        <w:spacing w:before="0"/>
        <w:jc w:val="left"/>
        <w:rPr>
          <w:rFonts w:ascii="Arial" w:hAnsi="Arial" w:cs="Arial"/>
          <w:sz w:val="24"/>
          <w:szCs w:val="24"/>
        </w:rPr>
      </w:pPr>
      <w:r w:rsidRPr="00DB5453">
        <w:rPr>
          <w:rFonts w:ascii="Arial" w:hAnsi="Arial" w:cs="Arial"/>
          <w:sz w:val="24"/>
          <w:szCs w:val="24"/>
        </w:rPr>
        <w:lastRenderedPageBreak/>
        <w:t>Statistical</w:t>
      </w:r>
      <w:r w:rsidRPr="00DB5453">
        <w:rPr>
          <w:rFonts w:ascii="Arial" w:hAnsi="Arial" w:cs="Arial"/>
          <w:spacing w:val="-18"/>
          <w:sz w:val="24"/>
          <w:szCs w:val="24"/>
        </w:rPr>
        <w:t xml:space="preserve"> </w:t>
      </w:r>
      <w:r w:rsidRPr="00DB5453">
        <w:rPr>
          <w:rFonts w:ascii="Arial" w:hAnsi="Arial" w:cs="Arial"/>
          <w:sz w:val="24"/>
          <w:szCs w:val="24"/>
        </w:rPr>
        <w:t>Analysis</w:t>
      </w:r>
      <w:r w:rsidRPr="00DB5453">
        <w:rPr>
          <w:rFonts w:ascii="Arial" w:hAnsi="Arial" w:cs="Arial"/>
          <w:spacing w:val="-12"/>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pacing w:val="-2"/>
          <w:sz w:val="24"/>
          <w:szCs w:val="24"/>
        </w:rPr>
        <w:t>Effectiveness</w:t>
      </w:r>
    </w:p>
    <w:p w14:paraId="78C1BE8B" w14:textId="77777777" w:rsidR="0064242D" w:rsidRPr="00DB5453" w:rsidRDefault="0064242D" w:rsidP="00F30099">
      <w:pPr>
        <w:pStyle w:val="BodyText"/>
        <w:ind w:left="0"/>
        <w:jc w:val="left"/>
        <w:rPr>
          <w:rFonts w:ascii="Arial" w:hAnsi="Arial" w:cs="Arial"/>
          <w:b/>
          <w:sz w:val="24"/>
          <w:szCs w:val="24"/>
        </w:rPr>
      </w:pPr>
    </w:p>
    <w:p w14:paraId="3BB7C69E" w14:textId="77777777" w:rsidR="0064242D" w:rsidRPr="00DB5453" w:rsidRDefault="0064242D" w:rsidP="00F30099">
      <w:pPr>
        <w:pStyle w:val="BodyText"/>
        <w:ind w:right="358"/>
        <w:rPr>
          <w:rFonts w:ascii="Arial" w:hAnsi="Arial" w:cs="Arial"/>
          <w:sz w:val="24"/>
          <w:szCs w:val="24"/>
        </w:rPr>
      </w:pPr>
      <w:r w:rsidRPr="00DB5453">
        <w:rPr>
          <w:rFonts w:ascii="Arial" w:hAnsi="Arial" w:cs="Arial"/>
          <w:sz w:val="24"/>
          <w:szCs w:val="24"/>
        </w:rPr>
        <w:t>A</w:t>
      </w:r>
      <w:r w:rsidRPr="00DB5453">
        <w:rPr>
          <w:rFonts w:ascii="Arial" w:hAnsi="Arial" w:cs="Arial"/>
          <w:spacing w:val="-18"/>
          <w:sz w:val="24"/>
          <w:szCs w:val="24"/>
        </w:rPr>
        <w:t xml:space="preserve"> </w:t>
      </w:r>
      <w:r w:rsidRPr="00DB5453">
        <w:rPr>
          <w:rFonts w:ascii="Arial" w:hAnsi="Arial" w:cs="Arial"/>
          <w:sz w:val="24"/>
          <w:szCs w:val="24"/>
        </w:rPr>
        <w:t>statistical</w:t>
      </w:r>
      <w:r w:rsidRPr="00DB5453">
        <w:rPr>
          <w:rFonts w:ascii="Arial" w:hAnsi="Arial" w:cs="Arial"/>
          <w:spacing w:val="-17"/>
          <w:sz w:val="24"/>
          <w:szCs w:val="24"/>
        </w:rPr>
        <w:t xml:space="preserve"> </w:t>
      </w:r>
      <w:r w:rsidRPr="00DB5453">
        <w:rPr>
          <w:rFonts w:ascii="Arial" w:hAnsi="Arial" w:cs="Arial"/>
          <w:sz w:val="24"/>
          <w:szCs w:val="24"/>
        </w:rPr>
        <w:t>analysis</w:t>
      </w:r>
      <w:r w:rsidRPr="00DB5453">
        <w:rPr>
          <w:rFonts w:ascii="Arial" w:hAnsi="Arial" w:cs="Arial"/>
          <w:spacing w:val="-18"/>
          <w:sz w:val="24"/>
          <w:szCs w:val="24"/>
        </w:rPr>
        <w:t xml:space="preserve"> </w:t>
      </w:r>
      <w:r w:rsidRPr="00DB5453">
        <w:rPr>
          <w:rFonts w:ascii="Arial" w:hAnsi="Arial" w:cs="Arial"/>
          <w:sz w:val="24"/>
          <w:szCs w:val="24"/>
        </w:rPr>
        <w:t>using</w:t>
      </w:r>
      <w:r w:rsidRPr="00DB5453">
        <w:rPr>
          <w:rFonts w:ascii="Arial" w:hAnsi="Arial" w:cs="Arial"/>
          <w:spacing w:val="-17"/>
          <w:sz w:val="24"/>
          <w:szCs w:val="24"/>
        </w:rPr>
        <w:t xml:space="preserve"> </w:t>
      </w:r>
      <w:r w:rsidRPr="00DB5453">
        <w:rPr>
          <w:rFonts w:ascii="Arial" w:hAnsi="Arial" w:cs="Arial"/>
          <w:sz w:val="24"/>
          <w:szCs w:val="24"/>
        </w:rPr>
        <w:t>the</w:t>
      </w:r>
      <w:r w:rsidRPr="00DB5453">
        <w:rPr>
          <w:rFonts w:ascii="Arial" w:hAnsi="Arial" w:cs="Arial"/>
          <w:spacing w:val="-18"/>
          <w:sz w:val="24"/>
          <w:szCs w:val="24"/>
        </w:rPr>
        <w:t xml:space="preserve"> </w:t>
      </w:r>
      <w:r w:rsidRPr="00DB5453">
        <w:rPr>
          <w:rFonts w:ascii="Arial" w:hAnsi="Arial" w:cs="Arial"/>
          <w:sz w:val="24"/>
          <w:szCs w:val="24"/>
        </w:rPr>
        <w:t>Chi-square</w:t>
      </w:r>
      <w:r w:rsidRPr="00DB5453">
        <w:rPr>
          <w:rFonts w:ascii="Arial" w:hAnsi="Arial" w:cs="Arial"/>
          <w:spacing w:val="-17"/>
          <w:sz w:val="24"/>
          <w:szCs w:val="24"/>
        </w:rPr>
        <w:t xml:space="preserve"> </w:t>
      </w:r>
      <w:r w:rsidRPr="00DB5453">
        <w:rPr>
          <w:rFonts w:ascii="Arial" w:hAnsi="Arial" w:cs="Arial"/>
          <w:sz w:val="24"/>
          <w:szCs w:val="24"/>
        </w:rPr>
        <w:t>test</w:t>
      </w:r>
      <w:r w:rsidRPr="00DB5453">
        <w:rPr>
          <w:rFonts w:ascii="Arial" w:hAnsi="Arial" w:cs="Arial"/>
          <w:spacing w:val="-18"/>
          <w:sz w:val="24"/>
          <w:szCs w:val="24"/>
        </w:rPr>
        <w:t xml:space="preserve"> </w:t>
      </w:r>
      <w:r w:rsidRPr="00DB5453">
        <w:rPr>
          <w:rFonts w:ascii="Arial" w:hAnsi="Arial" w:cs="Arial"/>
          <w:sz w:val="24"/>
          <w:szCs w:val="24"/>
        </w:rPr>
        <w:t>was</w:t>
      </w:r>
      <w:r w:rsidRPr="00DB5453">
        <w:rPr>
          <w:rFonts w:ascii="Arial" w:hAnsi="Arial" w:cs="Arial"/>
          <w:spacing w:val="-17"/>
          <w:sz w:val="24"/>
          <w:szCs w:val="24"/>
        </w:rPr>
        <w:t xml:space="preserve"> </w:t>
      </w:r>
      <w:r w:rsidRPr="00DB5453">
        <w:rPr>
          <w:rFonts w:ascii="Arial" w:hAnsi="Arial" w:cs="Arial"/>
          <w:sz w:val="24"/>
          <w:szCs w:val="24"/>
        </w:rPr>
        <w:t>performed</w:t>
      </w:r>
      <w:r w:rsidRPr="00DB5453">
        <w:rPr>
          <w:rFonts w:ascii="Arial" w:hAnsi="Arial" w:cs="Arial"/>
          <w:spacing w:val="-18"/>
          <w:sz w:val="24"/>
          <w:szCs w:val="24"/>
        </w:rPr>
        <w:t xml:space="preserve"> </w:t>
      </w:r>
      <w:r w:rsidRPr="00DB5453">
        <w:rPr>
          <w:rFonts w:ascii="Arial" w:hAnsi="Arial" w:cs="Arial"/>
          <w:sz w:val="24"/>
          <w:szCs w:val="24"/>
        </w:rPr>
        <w:t>to</w:t>
      </w:r>
      <w:r w:rsidRPr="00DB5453">
        <w:rPr>
          <w:rFonts w:ascii="Arial" w:hAnsi="Arial" w:cs="Arial"/>
          <w:spacing w:val="-17"/>
          <w:sz w:val="24"/>
          <w:szCs w:val="24"/>
        </w:rPr>
        <w:t xml:space="preserve"> </w:t>
      </w:r>
      <w:r w:rsidRPr="00DB5453">
        <w:rPr>
          <w:rFonts w:ascii="Arial" w:hAnsi="Arial" w:cs="Arial"/>
          <w:sz w:val="24"/>
          <w:szCs w:val="24"/>
        </w:rPr>
        <w:t>assess</w:t>
      </w:r>
      <w:r w:rsidRPr="00DB5453">
        <w:rPr>
          <w:rFonts w:ascii="Arial" w:hAnsi="Arial" w:cs="Arial"/>
          <w:spacing w:val="-18"/>
          <w:sz w:val="24"/>
          <w:szCs w:val="24"/>
        </w:rPr>
        <w:t xml:space="preserve"> </w:t>
      </w:r>
      <w:r w:rsidRPr="00DB5453">
        <w:rPr>
          <w:rFonts w:ascii="Arial" w:hAnsi="Arial" w:cs="Arial"/>
          <w:sz w:val="24"/>
          <w:szCs w:val="24"/>
        </w:rPr>
        <w:t>the</w:t>
      </w:r>
      <w:r w:rsidRPr="00DB5453">
        <w:rPr>
          <w:rFonts w:ascii="Arial" w:hAnsi="Arial" w:cs="Arial"/>
          <w:spacing w:val="-17"/>
          <w:sz w:val="24"/>
          <w:szCs w:val="24"/>
        </w:rPr>
        <w:t xml:space="preserve"> </w:t>
      </w:r>
      <w:r w:rsidRPr="00DB5453">
        <w:rPr>
          <w:rFonts w:ascii="Arial" w:hAnsi="Arial" w:cs="Arial"/>
          <w:sz w:val="24"/>
          <w:szCs w:val="24"/>
        </w:rPr>
        <w:t>difference in</w:t>
      </w:r>
      <w:r w:rsidRPr="00DB5453">
        <w:rPr>
          <w:rFonts w:ascii="Arial" w:hAnsi="Arial" w:cs="Arial"/>
          <w:spacing w:val="-2"/>
          <w:sz w:val="24"/>
          <w:szCs w:val="24"/>
        </w:rPr>
        <w:t xml:space="preserve"> </w:t>
      </w:r>
      <w:r w:rsidRPr="00DB5453">
        <w:rPr>
          <w:rFonts w:ascii="Arial" w:hAnsi="Arial" w:cs="Arial"/>
          <w:sz w:val="24"/>
          <w:szCs w:val="24"/>
        </w:rPr>
        <w:t>diarrhea</w:t>
      </w:r>
      <w:r w:rsidRPr="00DB5453">
        <w:rPr>
          <w:rFonts w:ascii="Arial" w:hAnsi="Arial" w:cs="Arial"/>
          <w:spacing w:val="-3"/>
          <w:sz w:val="24"/>
          <w:szCs w:val="24"/>
        </w:rPr>
        <w:t xml:space="preserve"> </w:t>
      </w:r>
      <w:r w:rsidRPr="00DB5453">
        <w:rPr>
          <w:rFonts w:ascii="Arial" w:hAnsi="Arial" w:cs="Arial"/>
          <w:sz w:val="24"/>
          <w:szCs w:val="24"/>
        </w:rPr>
        <w:t>prevalence</w:t>
      </w:r>
      <w:r w:rsidRPr="00DB5453">
        <w:rPr>
          <w:rFonts w:ascii="Arial" w:hAnsi="Arial" w:cs="Arial"/>
          <w:spacing w:val="-2"/>
          <w:sz w:val="24"/>
          <w:szCs w:val="24"/>
        </w:rPr>
        <w:t xml:space="preserve"> </w:t>
      </w:r>
      <w:r w:rsidRPr="00DB5453">
        <w:rPr>
          <w:rFonts w:ascii="Arial" w:hAnsi="Arial" w:cs="Arial"/>
          <w:sz w:val="24"/>
          <w:szCs w:val="24"/>
        </w:rPr>
        <w:t>between</w:t>
      </w:r>
      <w:r w:rsidRPr="00DB5453">
        <w:rPr>
          <w:rFonts w:ascii="Arial" w:hAnsi="Arial" w:cs="Arial"/>
          <w:spacing w:val="-2"/>
          <w:sz w:val="24"/>
          <w:szCs w:val="24"/>
        </w:rPr>
        <w:t xml:space="preserve"> </w:t>
      </w:r>
      <w:r w:rsidRPr="00DB5453">
        <w:rPr>
          <w:rFonts w:ascii="Arial" w:hAnsi="Arial" w:cs="Arial"/>
          <w:sz w:val="24"/>
          <w:szCs w:val="24"/>
        </w:rPr>
        <w:t>the</w:t>
      </w:r>
      <w:r w:rsidRPr="00DB5453">
        <w:rPr>
          <w:rFonts w:ascii="Arial" w:hAnsi="Arial" w:cs="Arial"/>
          <w:spacing w:val="-2"/>
          <w:sz w:val="24"/>
          <w:szCs w:val="24"/>
        </w:rPr>
        <w:t xml:space="preserve"> </w:t>
      </w:r>
      <w:r w:rsidRPr="00DB5453">
        <w:rPr>
          <w:rFonts w:ascii="Arial" w:hAnsi="Arial" w:cs="Arial"/>
          <w:sz w:val="24"/>
          <w:szCs w:val="24"/>
        </w:rPr>
        <w:t>intervention</w:t>
      </w:r>
      <w:r w:rsidRPr="00DB5453">
        <w:rPr>
          <w:rFonts w:ascii="Arial" w:hAnsi="Arial" w:cs="Arial"/>
          <w:spacing w:val="-1"/>
          <w:sz w:val="24"/>
          <w:szCs w:val="24"/>
        </w:rPr>
        <w:t xml:space="preserve"> </w:t>
      </w:r>
      <w:r w:rsidRPr="00DB5453">
        <w:rPr>
          <w:rFonts w:ascii="Arial" w:hAnsi="Arial" w:cs="Arial"/>
          <w:sz w:val="24"/>
          <w:szCs w:val="24"/>
        </w:rPr>
        <w:t>and</w:t>
      </w:r>
      <w:r w:rsidRPr="00DB5453">
        <w:rPr>
          <w:rFonts w:ascii="Arial" w:hAnsi="Arial" w:cs="Arial"/>
          <w:spacing w:val="-1"/>
          <w:sz w:val="24"/>
          <w:szCs w:val="24"/>
        </w:rPr>
        <w:t xml:space="preserve"> </w:t>
      </w:r>
      <w:r w:rsidRPr="00DB5453">
        <w:rPr>
          <w:rFonts w:ascii="Arial" w:hAnsi="Arial" w:cs="Arial"/>
          <w:sz w:val="24"/>
          <w:szCs w:val="24"/>
        </w:rPr>
        <w:t>control</w:t>
      </w:r>
      <w:r w:rsidRPr="00DB5453">
        <w:rPr>
          <w:rFonts w:ascii="Arial" w:hAnsi="Arial" w:cs="Arial"/>
          <w:spacing w:val="-2"/>
          <w:sz w:val="24"/>
          <w:szCs w:val="24"/>
        </w:rPr>
        <w:t xml:space="preserve"> </w:t>
      </w:r>
      <w:r w:rsidRPr="00DB5453">
        <w:rPr>
          <w:rFonts w:ascii="Arial" w:hAnsi="Arial" w:cs="Arial"/>
          <w:sz w:val="24"/>
          <w:szCs w:val="24"/>
        </w:rPr>
        <w:t>groups</w:t>
      </w:r>
      <w:r w:rsidRPr="00DB5453">
        <w:rPr>
          <w:rFonts w:ascii="Arial" w:hAnsi="Arial" w:cs="Arial"/>
          <w:spacing w:val="-2"/>
          <w:sz w:val="24"/>
          <w:szCs w:val="24"/>
        </w:rPr>
        <w:t xml:space="preserve"> </w:t>
      </w:r>
      <w:r w:rsidRPr="00DB5453">
        <w:rPr>
          <w:rFonts w:ascii="Arial" w:hAnsi="Arial" w:cs="Arial"/>
          <w:sz w:val="24"/>
          <w:szCs w:val="24"/>
        </w:rPr>
        <w:t>before</w:t>
      </w:r>
      <w:r w:rsidRPr="00DB5453">
        <w:rPr>
          <w:rFonts w:ascii="Arial" w:hAnsi="Arial" w:cs="Arial"/>
          <w:spacing w:val="-2"/>
          <w:sz w:val="24"/>
          <w:szCs w:val="24"/>
        </w:rPr>
        <w:t xml:space="preserve"> </w:t>
      </w:r>
      <w:r w:rsidRPr="00DB5453">
        <w:rPr>
          <w:rFonts w:ascii="Arial" w:hAnsi="Arial" w:cs="Arial"/>
          <w:sz w:val="24"/>
          <w:szCs w:val="24"/>
        </w:rPr>
        <w:t>and</w:t>
      </w:r>
      <w:r w:rsidRPr="00DB5453">
        <w:rPr>
          <w:rFonts w:ascii="Arial" w:hAnsi="Arial" w:cs="Arial"/>
          <w:spacing w:val="-2"/>
          <w:sz w:val="24"/>
          <w:szCs w:val="24"/>
        </w:rPr>
        <w:t xml:space="preserve"> </w:t>
      </w:r>
      <w:r w:rsidRPr="00DB5453">
        <w:rPr>
          <w:rFonts w:ascii="Arial" w:hAnsi="Arial" w:cs="Arial"/>
          <w:sz w:val="24"/>
          <w:szCs w:val="24"/>
        </w:rPr>
        <w:t>after the</w:t>
      </w:r>
      <w:r w:rsidRPr="00DB5453">
        <w:rPr>
          <w:rFonts w:ascii="Arial" w:hAnsi="Arial" w:cs="Arial"/>
          <w:spacing w:val="-5"/>
          <w:sz w:val="24"/>
          <w:szCs w:val="24"/>
        </w:rPr>
        <w:t xml:space="preserve"> </w:t>
      </w:r>
      <w:r w:rsidRPr="00DB5453">
        <w:rPr>
          <w:rFonts w:ascii="Arial" w:hAnsi="Arial" w:cs="Arial"/>
          <w:sz w:val="24"/>
          <w:szCs w:val="24"/>
        </w:rPr>
        <w:t>intervention.</w:t>
      </w:r>
      <w:r w:rsidRPr="00DB5453">
        <w:rPr>
          <w:rFonts w:ascii="Arial" w:hAnsi="Arial" w:cs="Arial"/>
          <w:spacing w:val="-9"/>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results</w:t>
      </w:r>
      <w:r w:rsidRPr="00DB5453">
        <w:rPr>
          <w:rFonts w:ascii="Arial" w:hAnsi="Arial" w:cs="Arial"/>
          <w:spacing w:val="-4"/>
          <w:sz w:val="24"/>
          <w:szCs w:val="24"/>
        </w:rPr>
        <w:t xml:space="preserve"> </w:t>
      </w:r>
      <w:r w:rsidRPr="00DB5453">
        <w:rPr>
          <w:rFonts w:ascii="Arial" w:hAnsi="Arial" w:cs="Arial"/>
          <w:sz w:val="24"/>
          <w:szCs w:val="24"/>
        </w:rPr>
        <w:t>indicate</w:t>
      </w:r>
      <w:r w:rsidRPr="00DB5453">
        <w:rPr>
          <w:rFonts w:ascii="Arial" w:hAnsi="Arial" w:cs="Arial"/>
          <w:spacing w:val="-5"/>
          <w:sz w:val="24"/>
          <w:szCs w:val="24"/>
        </w:rPr>
        <w:t xml:space="preserve"> </w:t>
      </w:r>
      <w:r w:rsidRPr="00DB5453">
        <w:rPr>
          <w:rFonts w:ascii="Arial" w:hAnsi="Arial" w:cs="Arial"/>
          <w:sz w:val="24"/>
          <w:szCs w:val="24"/>
        </w:rPr>
        <w:t>a</w:t>
      </w:r>
      <w:r w:rsidRPr="00DB5453">
        <w:rPr>
          <w:rFonts w:ascii="Arial" w:hAnsi="Arial" w:cs="Arial"/>
          <w:spacing w:val="-7"/>
          <w:sz w:val="24"/>
          <w:szCs w:val="24"/>
        </w:rPr>
        <w:t xml:space="preserve"> </w:t>
      </w:r>
      <w:r w:rsidRPr="00DB5453">
        <w:rPr>
          <w:rFonts w:ascii="Arial" w:hAnsi="Arial" w:cs="Arial"/>
          <w:sz w:val="24"/>
          <w:szCs w:val="24"/>
        </w:rPr>
        <w:t>significant</w:t>
      </w:r>
      <w:r w:rsidRPr="00DB5453">
        <w:rPr>
          <w:rFonts w:ascii="Arial" w:hAnsi="Arial" w:cs="Arial"/>
          <w:spacing w:val="-2"/>
          <w:sz w:val="24"/>
          <w:szCs w:val="24"/>
        </w:rPr>
        <w:t xml:space="preserve"> </w:t>
      </w:r>
      <w:r w:rsidRPr="00DB5453">
        <w:rPr>
          <w:rFonts w:ascii="Arial" w:hAnsi="Arial" w:cs="Arial"/>
          <w:sz w:val="24"/>
          <w:szCs w:val="24"/>
        </w:rPr>
        <w:t>reduction</w:t>
      </w:r>
      <w:r w:rsidRPr="00DB5453">
        <w:rPr>
          <w:rFonts w:ascii="Arial" w:hAnsi="Arial" w:cs="Arial"/>
          <w:spacing w:val="-6"/>
          <w:sz w:val="24"/>
          <w:szCs w:val="24"/>
        </w:rPr>
        <w:t xml:space="preserve"> </w:t>
      </w:r>
      <w:r w:rsidRPr="00DB5453">
        <w:rPr>
          <w:rFonts w:ascii="Arial" w:hAnsi="Arial" w:cs="Arial"/>
          <w:sz w:val="24"/>
          <w:szCs w:val="24"/>
        </w:rPr>
        <w:t>in</w:t>
      </w:r>
      <w:r w:rsidRPr="00DB5453">
        <w:rPr>
          <w:rFonts w:ascii="Arial" w:hAnsi="Arial" w:cs="Arial"/>
          <w:spacing w:val="-6"/>
          <w:sz w:val="24"/>
          <w:szCs w:val="24"/>
        </w:rPr>
        <w:t xml:space="preserve"> </w:t>
      </w:r>
      <w:r w:rsidRPr="00DB5453">
        <w:rPr>
          <w:rFonts w:ascii="Arial" w:hAnsi="Arial" w:cs="Arial"/>
          <w:sz w:val="24"/>
          <w:szCs w:val="24"/>
        </w:rPr>
        <w:t>diarrhea</w:t>
      </w:r>
      <w:r w:rsidRPr="00DB5453">
        <w:rPr>
          <w:rFonts w:ascii="Arial" w:hAnsi="Arial" w:cs="Arial"/>
          <w:spacing w:val="-3"/>
          <w:sz w:val="24"/>
          <w:szCs w:val="24"/>
        </w:rPr>
        <w:t xml:space="preserve"> </w:t>
      </w:r>
      <w:r w:rsidRPr="00DB5453">
        <w:rPr>
          <w:rFonts w:ascii="Arial" w:hAnsi="Arial" w:cs="Arial"/>
          <w:sz w:val="24"/>
          <w:szCs w:val="24"/>
        </w:rPr>
        <w:t>incidence</w:t>
      </w:r>
      <w:r w:rsidRPr="00DB5453">
        <w:rPr>
          <w:rFonts w:ascii="Arial" w:hAnsi="Arial" w:cs="Arial"/>
          <w:spacing w:val="-6"/>
          <w:sz w:val="24"/>
          <w:szCs w:val="24"/>
        </w:rPr>
        <w:t xml:space="preserve"> </w:t>
      </w:r>
      <w:r w:rsidRPr="00DB5453">
        <w:rPr>
          <w:rFonts w:ascii="Arial" w:hAnsi="Arial" w:cs="Arial"/>
          <w:sz w:val="24"/>
          <w:szCs w:val="24"/>
        </w:rPr>
        <w:t>in the intervention group compared to the control group (p &lt; 0.05).</w:t>
      </w:r>
    </w:p>
    <w:p w14:paraId="144B7970" w14:textId="77777777" w:rsidR="00D7096D" w:rsidRPr="00DB5453" w:rsidRDefault="00D7096D" w:rsidP="00F30099">
      <w:pPr>
        <w:pStyle w:val="BodyText"/>
        <w:ind w:right="358"/>
        <w:rPr>
          <w:rFonts w:ascii="Arial" w:hAnsi="Arial" w:cs="Arial"/>
          <w:sz w:val="24"/>
          <w:szCs w:val="24"/>
        </w:rPr>
      </w:pPr>
    </w:p>
    <w:p w14:paraId="2E7E6F97" w14:textId="77777777" w:rsidR="0064242D" w:rsidRPr="00DB5453" w:rsidRDefault="0064242D" w:rsidP="00D7096D">
      <w:pPr>
        <w:spacing w:after="0"/>
        <w:ind w:left="360"/>
        <w:jc w:val="both"/>
        <w:rPr>
          <w:rFonts w:ascii="Arial" w:hAnsi="Arial" w:cs="Arial"/>
          <w:b/>
          <w:sz w:val="24"/>
          <w:szCs w:val="24"/>
        </w:rPr>
      </w:pPr>
      <w:r w:rsidRPr="00DB5453">
        <w:rPr>
          <w:rFonts w:ascii="Arial" w:hAnsi="Arial" w:cs="Arial"/>
          <w:sz w:val="24"/>
          <w:szCs w:val="24"/>
        </w:rPr>
        <w:t>Table</w:t>
      </w:r>
      <w:r w:rsidRPr="00DB5453">
        <w:rPr>
          <w:rFonts w:ascii="Arial" w:hAnsi="Arial" w:cs="Arial"/>
          <w:spacing w:val="-9"/>
          <w:sz w:val="24"/>
          <w:szCs w:val="24"/>
        </w:rPr>
        <w:t xml:space="preserve"> </w:t>
      </w:r>
      <w:r w:rsidRPr="00DB5453">
        <w:rPr>
          <w:rFonts w:ascii="Arial" w:hAnsi="Arial" w:cs="Arial"/>
          <w:sz w:val="24"/>
          <w:szCs w:val="24"/>
        </w:rPr>
        <w:t>4</w:t>
      </w:r>
      <w:r w:rsidRPr="00DB5453">
        <w:rPr>
          <w:rFonts w:ascii="Arial" w:hAnsi="Arial" w:cs="Arial"/>
          <w:spacing w:val="55"/>
          <w:sz w:val="24"/>
          <w:szCs w:val="24"/>
        </w:rPr>
        <w:t xml:space="preserve">   </w:t>
      </w:r>
      <w:r w:rsidRPr="00DB5453">
        <w:rPr>
          <w:rFonts w:ascii="Arial" w:hAnsi="Arial" w:cs="Arial"/>
          <w:b/>
          <w:sz w:val="24"/>
          <w:szCs w:val="24"/>
        </w:rPr>
        <w:t>Statistical</w:t>
      </w:r>
      <w:r w:rsidRPr="00DB5453">
        <w:rPr>
          <w:rFonts w:ascii="Arial" w:hAnsi="Arial" w:cs="Arial"/>
          <w:b/>
          <w:spacing w:val="-17"/>
          <w:sz w:val="24"/>
          <w:szCs w:val="24"/>
        </w:rPr>
        <w:t xml:space="preserve"> </w:t>
      </w:r>
      <w:r w:rsidRPr="00DB5453">
        <w:rPr>
          <w:rFonts w:ascii="Arial" w:hAnsi="Arial" w:cs="Arial"/>
          <w:b/>
          <w:sz w:val="24"/>
          <w:szCs w:val="24"/>
        </w:rPr>
        <w:t>Analysis</w:t>
      </w:r>
      <w:r w:rsidRPr="00DB5453">
        <w:rPr>
          <w:rFonts w:ascii="Arial" w:hAnsi="Arial" w:cs="Arial"/>
          <w:b/>
          <w:spacing w:val="-7"/>
          <w:sz w:val="24"/>
          <w:szCs w:val="24"/>
        </w:rPr>
        <w:t xml:space="preserve"> </w:t>
      </w:r>
      <w:r w:rsidRPr="00DB5453">
        <w:rPr>
          <w:rFonts w:ascii="Arial" w:hAnsi="Arial" w:cs="Arial"/>
          <w:b/>
          <w:sz w:val="24"/>
          <w:szCs w:val="24"/>
        </w:rPr>
        <w:t>of</w:t>
      </w:r>
      <w:r w:rsidRPr="00DB5453">
        <w:rPr>
          <w:rFonts w:ascii="Arial" w:hAnsi="Arial" w:cs="Arial"/>
          <w:b/>
          <w:spacing w:val="-4"/>
          <w:sz w:val="24"/>
          <w:szCs w:val="24"/>
        </w:rPr>
        <w:t xml:space="preserve"> </w:t>
      </w:r>
      <w:r w:rsidRPr="00DB5453">
        <w:rPr>
          <w:rFonts w:ascii="Arial" w:hAnsi="Arial" w:cs="Arial"/>
          <w:b/>
          <w:spacing w:val="-2"/>
          <w:sz w:val="24"/>
          <w:szCs w:val="24"/>
        </w:rPr>
        <w:t>Effectiveness</w:t>
      </w:r>
    </w:p>
    <w:p w14:paraId="438BCCA5" w14:textId="77777777" w:rsidR="0064242D" w:rsidRPr="00DB5453" w:rsidRDefault="0064242D" w:rsidP="00D7096D">
      <w:pPr>
        <w:pStyle w:val="BodyText"/>
        <w:ind w:left="0"/>
        <w:jc w:val="left"/>
        <w:rPr>
          <w:rFonts w:ascii="Arial" w:hAnsi="Arial" w:cs="Arial"/>
          <w:b/>
          <w:sz w:val="24"/>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1608"/>
        <w:gridCol w:w="2351"/>
        <w:gridCol w:w="3073"/>
        <w:gridCol w:w="1653"/>
      </w:tblGrid>
      <w:tr w:rsidR="0064242D" w:rsidRPr="00DB5453" w14:paraId="327F1040" w14:textId="77777777" w:rsidTr="00D7096D">
        <w:trPr>
          <w:trHeight w:val="979"/>
        </w:trPr>
        <w:tc>
          <w:tcPr>
            <w:tcW w:w="1608" w:type="dxa"/>
            <w:tcBorders>
              <w:top w:val="single" w:sz="4" w:space="0" w:color="7E7E7E"/>
              <w:bottom w:val="single" w:sz="4" w:space="0" w:color="7E7E7E"/>
            </w:tcBorders>
          </w:tcPr>
          <w:p w14:paraId="6536B925"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Group</w:t>
            </w:r>
          </w:p>
        </w:tc>
        <w:tc>
          <w:tcPr>
            <w:tcW w:w="2351" w:type="dxa"/>
            <w:tcBorders>
              <w:top w:val="single" w:sz="4" w:space="0" w:color="7E7E7E"/>
              <w:bottom w:val="single" w:sz="4" w:space="0" w:color="7E7E7E"/>
            </w:tcBorders>
          </w:tcPr>
          <w:p w14:paraId="7F69AD29" w14:textId="77777777" w:rsidR="0064242D" w:rsidRPr="00DB5453" w:rsidRDefault="0064242D" w:rsidP="00D7096D">
            <w:pPr>
              <w:pStyle w:val="TableParagraph"/>
              <w:ind w:right="447"/>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13"/>
                <w:sz w:val="24"/>
                <w:szCs w:val="24"/>
              </w:rPr>
              <w:t xml:space="preserve"> </w:t>
            </w:r>
            <w:r w:rsidRPr="00DB5453">
              <w:rPr>
                <w:rFonts w:ascii="Arial" w:hAnsi="Arial" w:cs="Arial"/>
                <w:b/>
                <w:spacing w:val="-5"/>
                <w:sz w:val="24"/>
                <w:szCs w:val="24"/>
              </w:rPr>
              <w:t>(%)</w:t>
            </w:r>
          </w:p>
        </w:tc>
        <w:tc>
          <w:tcPr>
            <w:tcW w:w="3073" w:type="dxa"/>
            <w:tcBorders>
              <w:top w:val="single" w:sz="4" w:space="0" w:color="7E7E7E"/>
              <w:bottom w:val="single" w:sz="4" w:space="0" w:color="7E7E7E"/>
            </w:tcBorders>
          </w:tcPr>
          <w:p w14:paraId="1424ED3E" w14:textId="77777777" w:rsidR="0064242D" w:rsidRPr="00DB5453" w:rsidRDefault="0064242D" w:rsidP="00D7096D">
            <w:pPr>
              <w:pStyle w:val="TableParagraph"/>
              <w:ind w:left="566"/>
              <w:jc w:val="left"/>
              <w:rPr>
                <w:rFonts w:ascii="Arial" w:hAnsi="Arial" w:cs="Arial"/>
                <w:b/>
                <w:sz w:val="24"/>
                <w:szCs w:val="24"/>
              </w:rPr>
            </w:pPr>
            <w:r w:rsidRPr="00DB5453">
              <w:rPr>
                <w:rFonts w:ascii="Arial" w:hAnsi="Arial" w:cs="Arial"/>
                <w:b/>
                <w:spacing w:val="-2"/>
                <w:sz w:val="24"/>
                <w:szCs w:val="24"/>
              </w:rPr>
              <w:t>Post-Intervention</w:t>
            </w:r>
          </w:p>
          <w:p w14:paraId="67AE1400" w14:textId="77777777" w:rsidR="0064242D" w:rsidRPr="00DB5453" w:rsidRDefault="0064242D" w:rsidP="00D7096D">
            <w:pPr>
              <w:pStyle w:val="TableParagraph"/>
              <w:ind w:left="698"/>
              <w:jc w:val="left"/>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13"/>
                <w:sz w:val="24"/>
                <w:szCs w:val="24"/>
              </w:rPr>
              <w:t xml:space="preserve"> </w:t>
            </w:r>
            <w:r w:rsidRPr="00DB5453">
              <w:rPr>
                <w:rFonts w:ascii="Arial" w:hAnsi="Arial" w:cs="Arial"/>
                <w:b/>
                <w:spacing w:val="-5"/>
                <w:sz w:val="24"/>
                <w:szCs w:val="24"/>
              </w:rPr>
              <w:t>(%)</w:t>
            </w:r>
          </w:p>
        </w:tc>
        <w:tc>
          <w:tcPr>
            <w:tcW w:w="1653" w:type="dxa"/>
            <w:tcBorders>
              <w:top w:val="single" w:sz="4" w:space="0" w:color="7E7E7E"/>
              <w:bottom w:val="single" w:sz="4" w:space="0" w:color="7E7E7E"/>
            </w:tcBorders>
          </w:tcPr>
          <w:p w14:paraId="1C4231D9" w14:textId="77777777" w:rsidR="0064242D" w:rsidRPr="00DB5453" w:rsidRDefault="0064242D" w:rsidP="00D7096D">
            <w:pPr>
              <w:pStyle w:val="TableParagraph"/>
              <w:ind w:right="251"/>
              <w:jc w:val="right"/>
              <w:rPr>
                <w:rFonts w:ascii="Arial" w:hAnsi="Arial" w:cs="Arial"/>
                <w:b/>
                <w:sz w:val="24"/>
                <w:szCs w:val="24"/>
              </w:rPr>
            </w:pPr>
            <w:r w:rsidRPr="00DB5453">
              <w:rPr>
                <w:rFonts w:ascii="Arial" w:hAnsi="Arial" w:cs="Arial"/>
                <w:b/>
                <w:spacing w:val="-2"/>
                <w:sz w:val="24"/>
                <w:szCs w:val="24"/>
              </w:rPr>
              <w:t>p-value</w:t>
            </w:r>
          </w:p>
        </w:tc>
      </w:tr>
      <w:tr w:rsidR="0064242D" w:rsidRPr="00DB5453" w14:paraId="59DE0B7B" w14:textId="77777777" w:rsidTr="00D7096D">
        <w:trPr>
          <w:trHeight w:val="416"/>
        </w:trPr>
        <w:tc>
          <w:tcPr>
            <w:tcW w:w="1608" w:type="dxa"/>
            <w:tcBorders>
              <w:top w:val="single" w:sz="4" w:space="0" w:color="7E7E7E"/>
            </w:tcBorders>
          </w:tcPr>
          <w:p w14:paraId="4F9F267D"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Intervention</w:t>
            </w:r>
          </w:p>
        </w:tc>
        <w:tc>
          <w:tcPr>
            <w:tcW w:w="2351" w:type="dxa"/>
            <w:tcBorders>
              <w:top w:val="single" w:sz="4" w:space="0" w:color="7E7E7E"/>
            </w:tcBorders>
          </w:tcPr>
          <w:p w14:paraId="27946EF1" w14:textId="77777777" w:rsidR="0064242D" w:rsidRPr="00DB5453" w:rsidRDefault="0064242D" w:rsidP="00D7096D">
            <w:pPr>
              <w:pStyle w:val="TableParagraph"/>
              <w:ind w:right="443"/>
              <w:rPr>
                <w:rFonts w:ascii="Arial" w:hAnsi="Arial" w:cs="Arial"/>
                <w:sz w:val="24"/>
                <w:szCs w:val="24"/>
              </w:rPr>
            </w:pPr>
            <w:r w:rsidRPr="00DB5453">
              <w:rPr>
                <w:rFonts w:ascii="Arial" w:hAnsi="Arial" w:cs="Arial"/>
                <w:spacing w:val="-5"/>
                <w:sz w:val="24"/>
                <w:szCs w:val="24"/>
              </w:rPr>
              <w:t>39%</w:t>
            </w:r>
          </w:p>
        </w:tc>
        <w:tc>
          <w:tcPr>
            <w:tcW w:w="3073" w:type="dxa"/>
            <w:tcBorders>
              <w:top w:val="single" w:sz="4" w:space="0" w:color="7E7E7E"/>
            </w:tcBorders>
          </w:tcPr>
          <w:p w14:paraId="0470CBC0" w14:textId="77777777" w:rsidR="0064242D" w:rsidRPr="00DB5453" w:rsidRDefault="0064242D" w:rsidP="00D7096D">
            <w:pPr>
              <w:pStyle w:val="TableParagraph"/>
              <w:ind w:left="4" w:right="57"/>
              <w:rPr>
                <w:rFonts w:ascii="Arial" w:hAnsi="Arial" w:cs="Arial"/>
                <w:sz w:val="24"/>
                <w:szCs w:val="24"/>
              </w:rPr>
            </w:pPr>
            <w:r w:rsidRPr="00DB5453">
              <w:rPr>
                <w:rFonts w:ascii="Arial" w:hAnsi="Arial" w:cs="Arial"/>
                <w:spacing w:val="-5"/>
                <w:sz w:val="24"/>
                <w:szCs w:val="24"/>
              </w:rPr>
              <w:t>10%</w:t>
            </w:r>
          </w:p>
        </w:tc>
        <w:tc>
          <w:tcPr>
            <w:tcW w:w="1653" w:type="dxa"/>
            <w:tcBorders>
              <w:top w:val="single" w:sz="4" w:space="0" w:color="7E7E7E"/>
            </w:tcBorders>
          </w:tcPr>
          <w:p w14:paraId="76454110" w14:textId="77777777" w:rsidR="0064242D" w:rsidRPr="00DB5453" w:rsidRDefault="0064242D" w:rsidP="00D7096D">
            <w:pPr>
              <w:pStyle w:val="TableParagraph"/>
              <w:ind w:right="303"/>
              <w:jc w:val="right"/>
              <w:rPr>
                <w:rFonts w:ascii="Arial" w:hAnsi="Arial" w:cs="Arial"/>
                <w:sz w:val="24"/>
                <w:szCs w:val="24"/>
              </w:rPr>
            </w:pPr>
            <w:r w:rsidRPr="00DB5453">
              <w:rPr>
                <w:rFonts w:ascii="Arial" w:hAnsi="Arial" w:cs="Arial"/>
                <w:spacing w:val="-2"/>
                <w:sz w:val="24"/>
                <w:szCs w:val="24"/>
              </w:rPr>
              <w:t>&lt;0.001</w:t>
            </w:r>
          </w:p>
        </w:tc>
      </w:tr>
      <w:tr w:rsidR="0064242D" w:rsidRPr="00DB5453" w14:paraId="1FF73823" w14:textId="77777777" w:rsidTr="00D7096D">
        <w:trPr>
          <w:trHeight w:val="565"/>
        </w:trPr>
        <w:tc>
          <w:tcPr>
            <w:tcW w:w="1608" w:type="dxa"/>
            <w:tcBorders>
              <w:bottom w:val="single" w:sz="4" w:space="0" w:color="7E7E7E"/>
            </w:tcBorders>
          </w:tcPr>
          <w:p w14:paraId="366B5383"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Control</w:t>
            </w:r>
          </w:p>
        </w:tc>
        <w:tc>
          <w:tcPr>
            <w:tcW w:w="2351" w:type="dxa"/>
            <w:tcBorders>
              <w:bottom w:val="single" w:sz="4" w:space="0" w:color="7E7E7E"/>
            </w:tcBorders>
          </w:tcPr>
          <w:p w14:paraId="4E6F9CA9" w14:textId="77777777" w:rsidR="0064242D" w:rsidRPr="00DB5453" w:rsidRDefault="0064242D" w:rsidP="00D7096D">
            <w:pPr>
              <w:pStyle w:val="TableParagraph"/>
              <w:ind w:right="443"/>
              <w:rPr>
                <w:rFonts w:ascii="Arial" w:hAnsi="Arial" w:cs="Arial"/>
                <w:sz w:val="24"/>
                <w:szCs w:val="24"/>
              </w:rPr>
            </w:pPr>
            <w:r w:rsidRPr="00DB5453">
              <w:rPr>
                <w:rFonts w:ascii="Arial" w:hAnsi="Arial" w:cs="Arial"/>
                <w:spacing w:val="-2"/>
                <w:sz w:val="24"/>
                <w:szCs w:val="24"/>
              </w:rPr>
              <w:t>41.5%</w:t>
            </w:r>
          </w:p>
        </w:tc>
        <w:tc>
          <w:tcPr>
            <w:tcW w:w="3073" w:type="dxa"/>
            <w:tcBorders>
              <w:bottom w:val="single" w:sz="4" w:space="0" w:color="7E7E7E"/>
            </w:tcBorders>
          </w:tcPr>
          <w:p w14:paraId="2AD9D198" w14:textId="77777777" w:rsidR="0064242D" w:rsidRPr="00DB5453" w:rsidRDefault="0064242D" w:rsidP="00D7096D">
            <w:pPr>
              <w:pStyle w:val="TableParagraph"/>
              <w:ind w:right="57"/>
              <w:rPr>
                <w:rFonts w:ascii="Arial" w:hAnsi="Arial" w:cs="Arial"/>
                <w:sz w:val="24"/>
                <w:szCs w:val="24"/>
              </w:rPr>
            </w:pPr>
            <w:r w:rsidRPr="00DB5453">
              <w:rPr>
                <w:rFonts w:ascii="Arial" w:hAnsi="Arial" w:cs="Arial"/>
                <w:spacing w:val="-2"/>
                <w:sz w:val="24"/>
                <w:szCs w:val="24"/>
              </w:rPr>
              <w:t>39.6%</w:t>
            </w:r>
          </w:p>
        </w:tc>
        <w:tc>
          <w:tcPr>
            <w:tcW w:w="1653" w:type="dxa"/>
            <w:tcBorders>
              <w:bottom w:val="single" w:sz="4" w:space="0" w:color="7E7E7E"/>
            </w:tcBorders>
          </w:tcPr>
          <w:p w14:paraId="014A71AA" w14:textId="77777777" w:rsidR="0064242D" w:rsidRPr="00DB5453" w:rsidRDefault="0064242D" w:rsidP="00D7096D">
            <w:pPr>
              <w:pStyle w:val="TableParagraph"/>
              <w:ind w:right="380"/>
              <w:jc w:val="right"/>
              <w:rPr>
                <w:rFonts w:ascii="Arial" w:hAnsi="Arial" w:cs="Arial"/>
                <w:sz w:val="24"/>
                <w:szCs w:val="24"/>
              </w:rPr>
            </w:pPr>
            <w:r w:rsidRPr="00DB5453">
              <w:rPr>
                <w:rFonts w:ascii="Arial" w:hAnsi="Arial" w:cs="Arial"/>
                <w:spacing w:val="-4"/>
                <w:sz w:val="24"/>
                <w:szCs w:val="24"/>
              </w:rPr>
              <w:t>0.612</w:t>
            </w:r>
          </w:p>
        </w:tc>
      </w:tr>
    </w:tbl>
    <w:p w14:paraId="6A316517" w14:textId="77777777" w:rsidR="0064242D" w:rsidRPr="00DB5453" w:rsidRDefault="0064242D" w:rsidP="00F30099">
      <w:pPr>
        <w:pStyle w:val="BodyText"/>
        <w:ind w:right="363"/>
        <w:rPr>
          <w:rFonts w:ascii="Arial" w:hAnsi="Arial" w:cs="Arial"/>
          <w:sz w:val="24"/>
          <w:szCs w:val="24"/>
        </w:rPr>
      </w:pP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p-value</w:t>
      </w:r>
      <w:r w:rsidRPr="00DB5453">
        <w:rPr>
          <w:rFonts w:ascii="Arial" w:hAnsi="Arial" w:cs="Arial"/>
          <w:spacing w:val="-9"/>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z w:val="24"/>
          <w:szCs w:val="24"/>
        </w:rPr>
        <w:t>0.001</w:t>
      </w:r>
      <w:r w:rsidRPr="00DB5453">
        <w:rPr>
          <w:rFonts w:ascii="Arial" w:hAnsi="Arial" w:cs="Arial"/>
          <w:spacing w:val="-8"/>
          <w:sz w:val="24"/>
          <w:szCs w:val="24"/>
        </w:rPr>
        <w:t xml:space="preserve"> </w:t>
      </w:r>
      <w:r w:rsidRPr="00DB5453">
        <w:rPr>
          <w:rFonts w:ascii="Arial" w:hAnsi="Arial" w:cs="Arial"/>
          <w:sz w:val="24"/>
          <w:szCs w:val="24"/>
        </w:rPr>
        <w:t>indicates</w:t>
      </w:r>
      <w:r w:rsidRPr="00DB5453">
        <w:rPr>
          <w:rFonts w:ascii="Arial" w:hAnsi="Arial" w:cs="Arial"/>
          <w:spacing w:val="-5"/>
          <w:sz w:val="24"/>
          <w:szCs w:val="24"/>
        </w:rPr>
        <w:t xml:space="preserve"> </w:t>
      </w:r>
      <w:r w:rsidRPr="00DB5453">
        <w:rPr>
          <w:rFonts w:ascii="Arial" w:hAnsi="Arial" w:cs="Arial"/>
          <w:sz w:val="24"/>
          <w:szCs w:val="24"/>
        </w:rPr>
        <w:t>a</w:t>
      </w:r>
      <w:r w:rsidRPr="00DB5453">
        <w:rPr>
          <w:rFonts w:ascii="Arial" w:hAnsi="Arial" w:cs="Arial"/>
          <w:spacing w:val="-6"/>
          <w:sz w:val="24"/>
          <w:szCs w:val="24"/>
        </w:rPr>
        <w:t xml:space="preserve"> </w:t>
      </w:r>
      <w:r w:rsidRPr="00DB5453">
        <w:rPr>
          <w:rFonts w:ascii="Arial" w:hAnsi="Arial" w:cs="Arial"/>
          <w:sz w:val="24"/>
          <w:szCs w:val="24"/>
        </w:rPr>
        <w:t>statistically</w:t>
      </w:r>
      <w:r w:rsidRPr="00DB5453">
        <w:rPr>
          <w:rFonts w:ascii="Arial" w:hAnsi="Arial" w:cs="Arial"/>
          <w:spacing w:val="-6"/>
          <w:sz w:val="24"/>
          <w:szCs w:val="24"/>
        </w:rPr>
        <w:t xml:space="preserve"> </w:t>
      </w:r>
      <w:r w:rsidRPr="00DB5453">
        <w:rPr>
          <w:rFonts w:ascii="Arial" w:hAnsi="Arial" w:cs="Arial"/>
          <w:sz w:val="24"/>
          <w:szCs w:val="24"/>
        </w:rPr>
        <w:t>significant</w:t>
      </w:r>
      <w:r w:rsidRPr="00DB5453">
        <w:rPr>
          <w:rFonts w:ascii="Arial" w:hAnsi="Arial" w:cs="Arial"/>
          <w:spacing w:val="-5"/>
          <w:sz w:val="24"/>
          <w:szCs w:val="24"/>
        </w:rPr>
        <w:t xml:space="preserve"> </w:t>
      </w:r>
      <w:r w:rsidRPr="00DB5453">
        <w:rPr>
          <w:rFonts w:ascii="Arial" w:hAnsi="Arial" w:cs="Arial"/>
          <w:sz w:val="24"/>
          <w:szCs w:val="24"/>
        </w:rPr>
        <w:t>decrease</w:t>
      </w:r>
      <w:r w:rsidRPr="00DB5453">
        <w:rPr>
          <w:rFonts w:ascii="Arial" w:hAnsi="Arial" w:cs="Arial"/>
          <w:spacing w:val="-9"/>
          <w:sz w:val="24"/>
          <w:szCs w:val="24"/>
        </w:rPr>
        <w:t xml:space="preserve"> </w:t>
      </w:r>
      <w:r w:rsidRPr="00DB5453">
        <w:rPr>
          <w:rFonts w:ascii="Arial" w:hAnsi="Arial" w:cs="Arial"/>
          <w:sz w:val="24"/>
          <w:szCs w:val="24"/>
        </w:rPr>
        <w:t>in</w:t>
      </w:r>
      <w:r w:rsidRPr="00DB5453">
        <w:rPr>
          <w:rFonts w:ascii="Arial" w:hAnsi="Arial" w:cs="Arial"/>
          <w:spacing w:val="-6"/>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incidence</w:t>
      </w:r>
      <w:r w:rsidRPr="00DB5453">
        <w:rPr>
          <w:rFonts w:ascii="Arial" w:hAnsi="Arial" w:cs="Arial"/>
          <w:spacing w:val="-6"/>
          <w:sz w:val="24"/>
          <w:szCs w:val="24"/>
        </w:rPr>
        <w:t xml:space="preserve"> </w:t>
      </w:r>
      <w:r w:rsidRPr="00DB5453">
        <w:rPr>
          <w:rFonts w:ascii="Arial" w:hAnsi="Arial" w:cs="Arial"/>
          <w:sz w:val="24"/>
          <w:szCs w:val="24"/>
        </w:rPr>
        <w:t>of diarrhea in the intervention group, demonstrating the effectiveness of the public health intervention.</w:t>
      </w:r>
    </w:p>
    <w:p w14:paraId="0400088D" w14:textId="77777777" w:rsidR="00026D04" w:rsidRPr="00DB5453" w:rsidRDefault="0064242D" w:rsidP="00F30099">
      <w:pPr>
        <w:pStyle w:val="BodyText"/>
        <w:spacing w:before="157"/>
        <w:ind w:right="364"/>
        <w:rPr>
          <w:rFonts w:ascii="Arial" w:hAnsi="Arial" w:cs="Arial"/>
          <w:sz w:val="24"/>
          <w:szCs w:val="24"/>
        </w:rPr>
      </w:pPr>
      <w:r w:rsidRPr="00DB5453">
        <w:rPr>
          <w:rFonts w:ascii="Arial" w:hAnsi="Arial" w:cs="Arial"/>
          <w:sz w:val="24"/>
          <w:szCs w:val="24"/>
        </w:rPr>
        <w:t>The intervention led to a clear reduction in the incidence of diarrhea disease in the study</w:t>
      </w:r>
      <w:r w:rsidRPr="00DB5453">
        <w:rPr>
          <w:rFonts w:ascii="Arial" w:hAnsi="Arial" w:cs="Arial"/>
          <w:spacing w:val="-14"/>
          <w:sz w:val="24"/>
          <w:szCs w:val="24"/>
        </w:rPr>
        <w:t xml:space="preserve"> </w:t>
      </w:r>
      <w:r w:rsidRPr="00DB5453">
        <w:rPr>
          <w:rFonts w:ascii="Arial" w:hAnsi="Arial" w:cs="Arial"/>
          <w:sz w:val="24"/>
          <w:szCs w:val="24"/>
        </w:rPr>
        <w:t>population,</w:t>
      </w:r>
      <w:r w:rsidRPr="00DB5453">
        <w:rPr>
          <w:rFonts w:ascii="Arial" w:hAnsi="Arial" w:cs="Arial"/>
          <w:spacing w:val="-15"/>
          <w:sz w:val="24"/>
          <w:szCs w:val="24"/>
        </w:rPr>
        <w:t xml:space="preserve"> </w:t>
      </w:r>
      <w:r w:rsidRPr="00DB5453">
        <w:rPr>
          <w:rFonts w:ascii="Arial" w:hAnsi="Arial" w:cs="Arial"/>
          <w:sz w:val="24"/>
          <w:szCs w:val="24"/>
        </w:rPr>
        <w:t>with</w:t>
      </w:r>
      <w:r w:rsidRPr="00DB5453">
        <w:rPr>
          <w:rFonts w:ascii="Arial" w:hAnsi="Arial" w:cs="Arial"/>
          <w:spacing w:val="-14"/>
          <w:sz w:val="24"/>
          <w:szCs w:val="24"/>
        </w:rPr>
        <w:t xml:space="preserve"> </w:t>
      </w:r>
      <w:r w:rsidRPr="00DB5453">
        <w:rPr>
          <w:rFonts w:ascii="Arial" w:hAnsi="Arial" w:cs="Arial"/>
          <w:sz w:val="24"/>
          <w:szCs w:val="24"/>
        </w:rPr>
        <w:t>a</w:t>
      </w:r>
      <w:r w:rsidRPr="00DB5453">
        <w:rPr>
          <w:rFonts w:ascii="Arial" w:hAnsi="Arial" w:cs="Arial"/>
          <w:spacing w:val="-15"/>
          <w:sz w:val="24"/>
          <w:szCs w:val="24"/>
        </w:rPr>
        <w:t xml:space="preserve"> </w:t>
      </w:r>
      <w:r w:rsidRPr="00DB5453">
        <w:rPr>
          <w:rFonts w:ascii="Arial" w:hAnsi="Arial" w:cs="Arial"/>
          <w:sz w:val="24"/>
          <w:szCs w:val="24"/>
        </w:rPr>
        <w:t>decrease</w:t>
      </w:r>
      <w:r w:rsidRPr="00DB5453">
        <w:rPr>
          <w:rFonts w:ascii="Arial" w:hAnsi="Arial" w:cs="Arial"/>
          <w:spacing w:val="-15"/>
          <w:sz w:val="24"/>
          <w:szCs w:val="24"/>
        </w:rPr>
        <w:t xml:space="preserve"> </w:t>
      </w:r>
      <w:r w:rsidRPr="00DB5453">
        <w:rPr>
          <w:rFonts w:ascii="Arial" w:hAnsi="Arial" w:cs="Arial"/>
          <w:sz w:val="24"/>
          <w:szCs w:val="24"/>
        </w:rPr>
        <w:t>in</w:t>
      </w:r>
      <w:r w:rsidRPr="00DB5453">
        <w:rPr>
          <w:rFonts w:ascii="Arial" w:hAnsi="Arial" w:cs="Arial"/>
          <w:spacing w:val="-14"/>
          <w:sz w:val="24"/>
          <w:szCs w:val="24"/>
        </w:rPr>
        <w:t xml:space="preserve"> </w:t>
      </w:r>
      <w:r w:rsidRPr="00DB5453">
        <w:rPr>
          <w:rFonts w:ascii="Arial" w:hAnsi="Arial" w:cs="Arial"/>
          <w:sz w:val="24"/>
          <w:szCs w:val="24"/>
        </w:rPr>
        <w:t>prevalence</w:t>
      </w:r>
      <w:r w:rsidRPr="00DB5453">
        <w:rPr>
          <w:rFonts w:ascii="Arial" w:hAnsi="Arial" w:cs="Arial"/>
          <w:spacing w:val="-15"/>
          <w:sz w:val="24"/>
          <w:szCs w:val="24"/>
        </w:rPr>
        <w:t xml:space="preserve"> </w:t>
      </w:r>
      <w:r w:rsidRPr="00DB5453">
        <w:rPr>
          <w:rFonts w:ascii="Arial" w:hAnsi="Arial" w:cs="Arial"/>
          <w:sz w:val="24"/>
          <w:szCs w:val="24"/>
        </w:rPr>
        <w:t>from</w:t>
      </w:r>
      <w:r w:rsidRPr="00DB5453">
        <w:rPr>
          <w:rFonts w:ascii="Arial" w:hAnsi="Arial" w:cs="Arial"/>
          <w:spacing w:val="-15"/>
          <w:sz w:val="24"/>
          <w:szCs w:val="24"/>
        </w:rPr>
        <w:t xml:space="preserve"> </w:t>
      </w:r>
      <w:r w:rsidRPr="00DB5453">
        <w:rPr>
          <w:rFonts w:ascii="Arial" w:hAnsi="Arial" w:cs="Arial"/>
          <w:sz w:val="24"/>
          <w:szCs w:val="24"/>
        </w:rPr>
        <w:t>39%</w:t>
      </w:r>
      <w:r w:rsidRPr="00DB5453">
        <w:rPr>
          <w:rFonts w:ascii="Arial" w:hAnsi="Arial" w:cs="Arial"/>
          <w:spacing w:val="-16"/>
          <w:sz w:val="24"/>
          <w:szCs w:val="24"/>
        </w:rPr>
        <w:t xml:space="preserve"> </w:t>
      </w:r>
      <w:r w:rsidRPr="00DB5453">
        <w:rPr>
          <w:rFonts w:ascii="Arial" w:hAnsi="Arial" w:cs="Arial"/>
          <w:sz w:val="24"/>
          <w:szCs w:val="24"/>
        </w:rPr>
        <w:t>to</w:t>
      </w:r>
      <w:r w:rsidRPr="00DB5453">
        <w:rPr>
          <w:rFonts w:ascii="Arial" w:hAnsi="Arial" w:cs="Arial"/>
          <w:spacing w:val="-14"/>
          <w:sz w:val="24"/>
          <w:szCs w:val="24"/>
        </w:rPr>
        <w:t xml:space="preserve"> </w:t>
      </w:r>
      <w:r w:rsidRPr="00DB5453">
        <w:rPr>
          <w:rFonts w:ascii="Arial" w:hAnsi="Arial" w:cs="Arial"/>
          <w:sz w:val="24"/>
          <w:szCs w:val="24"/>
        </w:rPr>
        <w:t>10%</w:t>
      </w:r>
      <w:r w:rsidRPr="00DB5453">
        <w:rPr>
          <w:rFonts w:ascii="Arial" w:hAnsi="Arial" w:cs="Arial"/>
          <w:spacing w:val="-16"/>
          <w:sz w:val="24"/>
          <w:szCs w:val="24"/>
        </w:rPr>
        <w:t xml:space="preserve"> </w:t>
      </w:r>
      <w:r w:rsidRPr="00DB5453">
        <w:rPr>
          <w:rFonts w:ascii="Arial" w:hAnsi="Arial" w:cs="Arial"/>
          <w:sz w:val="24"/>
          <w:szCs w:val="24"/>
        </w:rPr>
        <w:t>in</w:t>
      </w:r>
      <w:r w:rsidRPr="00DB5453">
        <w:rPr>
          <w:rFonts w:ascii="Arial" w:hAnsi="Arial" w:cs="Arial"/>
          <w:spacing w:val="-14"/>
          <w:sz w:val="24"/>
          <w:szCs w:val="24"/>
        </w:rPr>
        <w:t xml:space="preserve"> </w:t>
      </w:r>
      <w:r w:rsidRPr="00DB5453">
        <w:rPr>
          <w:rFonts w:ascii="Arial" w:hAnsi="Arial" w:cs="Arial"/>
          <w:sz w:val="24"/>
          <w:szCs w:val="24"/>
        </w:rPr>
        <w:t>the</w:t>
      </w:r>
      <w:r w:rsidRPr="00DB5453">
        <w:rPr>
          <w:rFonts w:ascii="Arial" w:hAnsi="Arial" w:cs="Arial"/>
          <w:spacing w:val="-15"/>
          <w:sz w:val="24"/>
          <w:szCs w:val="24"/>
        </w:rPr>
        <w:t xml:space="preserve"> </w:t>
      </w:r>
      <w:r w:rsidRPr="00DB5453">
        <w:rPr>
          <w:rFonts w:ascii="Arial" w:hAnsi="Arial" w:cs="Arial"/>
          <w:sz w:val="24"/>
          <w:szCs w:val="24"/>
        </w:rPr>
        <w:t>intervention group. This finding aligns with other studies that have demonstrated the positive impact of</w:t>
      </w:r>
      <w:r w:rsidRPr="00DB5453">
        <w:rPr>
          <w:rFonts w:ascii="Arial" w:hAnsi="Arial" w:cs="Arial"/>
          <w:spacing w:val="-2"/>
          <w:sz w:val="24"/>
          <w:szCs w:val="24"/>
        </w:rPr>
        <w:t xml:space="preserve"> </w:t>
      </w:r>
      <w:r w:rsidRPr="00DB5453">
        <w:rPr>
          <w:rFonts w:ascii="Arial" w:hAnsi="Arial" w:cs="Arial"/>
          <w:sz w:val="24"/>
          <w:szCs w:val="24"/>
        </w:rPr>
        <w:t>public health</w:t>
      </w:r>
      <w:r w:rsidRPr="00DB5453">
        <w:rPr>
          <w:rFonts w:ascii="Arial" w:hAnsi="Arial" w:cs="Arial"/>
          <w:spacing w:val="-1"/>
          <w:sz w:val="24"/>
          <w:szCs w:val="24"/>
        </w:rPr>
        <w:t xml:space="preserve"> </w:t>
      </w:r>
      <w:r w:rsidRPr="00DB5453">
        <w:rPr>
          <w:rFonts w:ascii="Arial" w:hAnsi="Arial" w:cs="Arial"/>
          <w:sz w:val="24"/>
          <w:szCs w:val="24"/>
        </w:rPr>
        <w:t>interventions</w:t>
      </w:r>
      <w:r w:rsidRPr="00DB5453">
        <w:rPr>
          <w:rFonts w:ascii="Arial" w:hAnsi="Arial" w:cs="Arial"/>
          <w:spacing w:val="-1"/>
          <w:sz w:val="24"/>
          <w:szCs w:val="24"/>
        </w:rPr>
        <w:t xml:space="preserve"> </w:t>
      </w:r>
      <w:r w:rsidRPr="00DB5453">
        <w:rPr>
          <w:rFonts w:ascii="Arial" w:hAnsi="Arial" w:cs="Arial"/>
          <w:sz w:val="24"/>
          <w:szCs w:val="24"/>
        </w:rPr>
        <w:t>on</w:t>
      </w:r>
      <w:r w:rsidRPr="00DB5453">
        <w:rPr>
          <w:rFonts w:ascii="Arial" w:hAnsi="Arial" w:cs="Arial"/>
          <w:spacing w:val="-1"/>
          <w:sz w:val="24"/>
          <w:szCs w:val="24"/>
        </w:rPr>
        <w:t xml:space="preserve"> </w:t>
      </w:r>
      <w:r w:rsidRPr="00DB5453">
        <w:rPr>
          <w:rFonts w:ascii="Arial" w:hAnsi="Arial" w:cs="Arial"/>
          <w:sz w:val="24"/>
          <w:szCs w:val="24"/>
        </w:rPr>
        <w:t>diarrhea prevention (WHO, 2020). Factors such as improvements in water, sanitation, and hygiene (WASH) practices, the introduction of oral rehydration therapy (ORT), and better public health awareness likely contributed to the reduction in diarrhea rates.</w:t>
      </w:r>
    </w:p>
    <w:p w14:paraId="1054B549" w14:textId="77777777" w:rsidR="00F30099" w:rsidRPr="00DB5453" w:rsidRDefault="00F30099" w:rsidP="00F30099">
      <w:pPr>
        <w:pStyle w:val="BodyText"/>
        <w:spacing w:before="157"/>
        <w:ind w:right="364"/>
        <w:rPr>
          <w:rFonts w:ascii="Arial" w:hAnsi="Arial" w:cs="Arial"/>
          <w:sz w:val="24"/>
          <w:szCs w:val="24"/>
        </w:rPr>
      </w:pPr>
    </w:p>
    <w:p w14:paraId="1CBB5D81" w14:textId="77777777" w:rsidR="0064242D" w:rsidRPr="00DB5453" w:rsidRDefault="0064242D" w:rsidP="00F30099">
      <w:pPr>
        <w:spacing w:after="0" w:line="240" w:lineRule="auto"/>
        <w:outlineLvl w:val="2"/>
        <w:rPr>
          <w:rFonts w:ascii="Arial" w:eastAsia="Times New Roman" w:hAnsi="Arial" w:cs="Arial"/>
          <w:b/>
          <w:bCs/>
          <w:sz w:val="27"/>
          <w:szCs w:val="27"/>
          <w:lang w:eastAsia="en-GB"/>
        </w:rPr>
      </w:pPr>
      <w:r w:rsidRPr="00DB5453">
        <w:rPr>
          <w:rFonts w:ascii="Arial" w:eastAsia="Times New Roman" w:hAnsi="Arial" w:cs="Arial"/>
          <w:b/>
          <w:bCs/>
          <w:sz w:val="27"/>
          <w:szCs w:val="27"/>
          <w:lang w:eastAsia="en-GB"/>
        </w:rPr>
        <w:t>DISCUSSION</w:t>
      </w:r>
    </w:p>
    <w:p w14:paraId="5AFEE93D" w14:textId="77777777" w:rsidR="0064242D" w:rsidRPr="00DB5453" w:rsidRDefault="0064242D" w:rsidP="00F30099">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findings of this study clearly demonstrate that structured public health interventions significantly reduced the incidence of diarrhoeal disease among the intervention group in Gwagwalada, Abuja. The prevalence declined markedly from 39% pre-intervention to 10% post-intervention (p &lt; 0.001)</w:t>
      </w:r>
      <w:r w:rsidR="009A0563" w:rsidRPr="00DB5453">
        <w:rPr>
          <w:rFonts w:ascii="Arial" w:eastAsia="Times New Roman" w:hAnsi="Arial" w:cs="Arial"/>
          <w:sz w:val="24"/>
          <w:szCs w:val="24"/>
          <w:lang w:eastAsia="en-GB"/>
        </w:rPr>
        <w:t xml:space="preserve"> see table 2 and 3</w:t>
      </w:r>
      <w:r w:rsidRPr="00DB5453">
        <w:rPr>
          <w:rFonts w:ascii="Arial" w:eastAsia="Times New Roman" w:hAnsi="Arial" w:cs="Arial"/>
          <w:sz w:val="24"/>
          <w:szCs w:val="24"/>
          <w:lang w:eastAsia="en-GB"/>
        </w:rPr>
        <w:t>, while the control group showed no statistically significant change</w:t>
      </w:r>
      <w:r w:rsidR="00E96F56" w:rsidRPr="00DB5453">
        <w:rPr>
          <w:rFonts w:ascii="Arial" w:eastAsia="Times New Roman" w:hAnsi="Arial" w:cs="Arial"/>
          <w:sz w:val="24"/>
          <w:szCs w:val="24"/>
          <w:lang w:eastAsia="en-GB"/>
        </w:rPr>
        <w:t xml:space="preserve"> see table 4</w:t>
      </w:r>
      <w:r w:rsidRPr="00DB5453">
        <w:rPr>
          <w:rFonts w:ascii="Arial" w:eastAsia="Times New Roman" w:hAnsi="Arial" w:cs="Arial"/>
          <w:sz w:val="24"/>
          <w:szCs w:val="24"/>
          <w:lang w:eastAsia="en-GB"/>
        </w:rPr>
        <w:t>. This substantial reduction underscores the effectiveness of integrated public health strategies in low-resource settings.</w:t>
      </w:r>
    </w:p>
    <w:p w14:paraId="0046BF07"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Globally, diarrhoeal disease remains a leading cause of morbidity and mortality among children under five years of age. According to the World Health Organization (2023), diarrhoea accounts for approximately 480,000 under-five deaths annually, with the greatest burden occurring in sub-Saharan Africa and South Asia. Similarly, the United Nations Children's Fund (2023) emphasize</w:t>
      </w:r>
      <w:r w:rsidR="00F30099" w:rsidRPr="00DB5453">
        <w:rPr>
          <w:rFonts w:ascii="Arial" w:eastAsia="Times New Roman" w:hAnsi="Arial" w:cs="Arial"/>
          <w:sz w:val="24"/>
          <w:szCs w:val="24"/>
          <w:lang w:eastAsia="en-GB"/>
        </w:rPr>
        <w:t xml:space="preserve">s that preventable risk factors </w:t>
      </w:r>
      <w:r w:rsidRPr="00DB5453">
        <w:rPr>
          <w:rFonts w:ascii="Arial" w:eastAsia="Times New Roman" w:hAnsi="Arial" w:cs="Arial"/>
          <w:sz w:val="24"/>
          <w:szCs w:val="24"/>
          <w:lang w:eastAsia="en-GB"/>
        </w:rPr>
        <w:t>including unsafe water, poor san</w:t>
      </w:r>
      <w:r w:rsidR="00F30099" w:rsidRPr="00DB5453">
        <w:rPr>
          <w:rFonts w:ascii="Arial" w:eastAsia="Times New Roman" w:hAnsi="Arial" w:cs="Arial"/>
          <w:sz w:val="24"/>
          <w:szCs w:val="24"/>
          <w:lang w:eastAsia="en-GB"/>
        </w:rPr>
        <w:t xml:space="preserve">itation, and inadequate hygiene </w:t>
      </w:r>
      <w:r w:rsidRPr="00DB5453">
        <w:rPr>
          <w:rFonts w:ascii="Arial" w:eastAsia="Times New Roman" w:hAnsi="Arial" w:cs="Arial"/>
          <w:sz w:val="24"/>
          <w:szCs w:val="24"/>
          <w:lang w:eastAsia="en-GB"/>
        </w:rPr>
        <w:t>continue to drive transmission in many developing countries, including Nigeria. The significant reduction observed in this study aligns with global evidence that community-based WASH (Water, Sanitation and Hygiene) interventions substantially reduce diarrhoeal incidence.</w:t>
      </w:r>
    </w:p>
    <w:p w14:paraId="351B184E"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hygiene education component of the intervention likely played a central role in reducing transmission. </w:t>
      </w:r>
      <w:r w:rsidR="009A0563" w:rsidRPr="00DB5453">
        <w:rPr>
          <w:rFonts w:ascii="Arial" w:eastAsia="Times New Roman" w:hAnsi="Arial" w:cs="Arial"/>
          <w:sz w:val="24"/>
          <w:szCs w:val="24"/>
          <w:lang w:eastAsia="en-GB"/>
        </w:rPr>
        <w:t>Hand washing</w:t>
      </w:r>
      <w:r w:rsidRPr="00DB5453">
        <w:rPr>
          <w:rFonts w:ascii="Arial" w:eastAsia="Times New Roman" w:hAnsi="Arial" w:cs="Arial"/>
          <w:sz w:val="24"/>
          <w:szCs w:val="24"/>
          <w:lang w:eastAsia="en-GB"/>
        </w:rPr>
        <w:t xml:space="preserve"> with soap has consistently been shown to reduce </w:t>
      </w:r>
      <w:r w:rsidRPr="00DB5453">
        <w:rPr>
          <w:rFonts w:ascii="Arial" w:eastAsia="Times New Roman" w:hAnsi="Arial" w:cs="Arial"/>
          <w:sz w:val="24"/>
          <w:szCs w:val="24"/>
          <w:lang w:eastAsia="en-GB"/>
        </w:rPr>
        <w:lastRenderedPageBreak/>
        <w:t xml:space="preserve">diarrhoeal episodes by up to 30–40% (Wolf et al., 2022). Improvements in household sanitation and safe water handling interrupt faecal-oral transmission pathways, which are the principal routes of infection. Recent pooled analyses indicate that safely managed water and sanitation services are strongly associated with lower childhood diarrhoea prevalence (Prüss-Ustün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2019; Wolf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2023). The observed decline in this st</w:t>
      </w:r>
      <w:r w:rsidR="00F30099" w:rsidRPr="00DB5453">
        <w:rPr>
          <w:rFonts w:ascii="Arial" w:eastAsia="Times New Roman" w:hAnsi="Arial" w:cs="Arial"/>
          <w:sz w:val="24"/>
          <w:szCs w:val="24"/>
          <w:lang w:eastAsia="en-GB"/>
        </w:rPr>
        <w:t>udy therefore reflects the well-established</w:t>
      </w:r>
      <w:r w:rsidRPr="00DB5453">
        <w:rPr>
          <w:rFonts w:ascii="Arial" w:eastAsia="Times New Roman" w:hAnsi="Arial" w:cs="Arial"/>
          <w:sz w:val="24"/>
          <w:szCs w:val="24"/>
          <w:lang w:eastAsia="en-GB"/>
        </w:rPr>
        <w:t xml:space="preserve"> relationship between behavioural change communication and infectious disease prevention.</w:t>
      </w:r>
    </w:p>
    <w:p w14:paraId="6B803AFB"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provision of oral rehydration salts (ORS) and education on appropriate home management also likely contributed to improved outcomes. ORS remains one of the most cost-effective and life-saving medical interventions for diarrhoeal management. The World Health Organization continues to recommend low-osmolarity ORS and zinc supplementation as first-line treatment for acute diarrhoea. Zinc supplementation has been shown to reduce the duration and severity of diarrhoeal episodes and decrease recurrence within two to three months (Bhutta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2013; WHO, 2023). Although this study focused primarily on incidence rather than mortality or duration, improved case management likely reduced both transmission and severity.</w:t>
      </w:r>
    </w:p>
    <w:p w14:paraId="3163A4D2"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control group’s relatively unchanged prevalence (41.5% to 39.6%; p = 0.612) further highlights the importance of deliberate intervention strategies. In the absence of structured health education and resource provision, diarrhoeal disease persists due to entrenched environmental and behavioural risk factors. Nigeria continues to face sanitation challenges, with millions lacking access to safely managed water and sanitation services (UNICEF, 2023). Without targeted interventions, disease transmission cycles remain uninterrupted.</w:t>
      </w:r>
    </w:p>
    <w:p w14:paraId="56B6ED05"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Furthermore, the results align with findings from sub-Saharan Africa demonstrating that integrated WASH and health education programs yield stronger impacts than isolated interventions (Pickering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2019; Wolf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w:t>
      </w:r>
      <w:r w:rsidR="00476FD7" w:rsidRPr="00DB5453">
        <w:rPr>
          <w:rFonts w:ascii="Arial" w:eastAsia="Times New Roman" w:hAnsi="Arial" w:cs="Arial"/>
          <w:sz w:val="24"/>
          <w:szCs w:val="24"/>
          <w:lang w:eastAsia="en-GB"/>
        </w:rPr>
        <w:t xml:space="preserve">22). Multi-component approaches </w:t>
      </w:r>
      <w:r w:rsidRPr="00DB5453">
        <w:rPr>
          <w:rFonts w:ascii="Arial" w:eastAsia="Times New Roman" w:hAnsi="Arial" w:cs="Arial"/>
          <w:sz w:val="24"/>
          <w:szCs w:val="24"/>
          <w:lang w:eastAsia="en-GB"/>
        </w:rPr>
        <w:t>combining hygiene promotion, safe water treatment, sanitation im</w:t>
      </w:r>
      <w:r w:rsidR="00476FD7" w:rsidRPr="00DB5453">
        <w:rPr>
          <w:rFonts w:ascii="Arial" w:eastAsia="Times New Roman" w:hAnsi="Arial" w:cs="Arial"/>
          <w:sz w:val="24"/>
          <w:szCs w:val="24"/>
          <w:lang w:eastAsia="en-GB"/>
        </w:rPr>
        <w:t xml:space="preserve">provement, and ORS availability </w:t>
      </w:r>
      <w:r w:rsidRPr="00DB5453">
        <w:rPr>
          <w:rFonts w:ascii="Arial" w:eastAsia="Times New Roman" w:hAnsi="Arial" w:cs="Arial"/>
          <w:sz w:val="24"/>
          <w:szCs w:val="24"/>
          <w:lang w:eastAsia="en-GB"/>
        </w:rPr>
        <w:t>are increasingly recognized as essential for sustainable diarrhoea control.</w:t>
      </w:r>
    </w:p>
    <w:p w14:paraId="42AFC5C3"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Despite the positive findings, certain limitations should be acknowledged. The study utilized purposive sampling and a relatively small sample size (n = 106), which may limit generalizability. Additionally, the cross-sectional design restricts long-term causal inference. Future longitudinal studies would help determine sustainability of behavioural changes and long-term incidence reduction.</w:t>
      </w:r>
    </w:p>
    <w:p w14:paraId="6C42A7B9"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Overall, this study provides strong local evidence that structured public health interventions are effective in significantly reducing diarrhoeal disease incidence in Abuja, Nigeria. The findings reinforce global recommendations advocating for integrated, community-based preventive strategies.</w:t>
      </w:r>
    </w:p>
    <w:p w14:paraId="542954E6" w14:textId="77777777" w:rsidR="0064242D" w:rsidRPr="00DB5453" w:rsidRDefault="0064242D" w:rsidP="0064242D">
      <w:pPr>
        <w:spacing w:after="0" w:line="240" w:lineRule="auto"/>
        <w:rPr>
          <w:rFonts w:ascii="Arial" w:eastAsia="Times New Roman" w:hAnsi="Arial" w:cs="Arial"/>
          <w:sz w:val="24"/>
          <w:szCs w:val="24"/>
          <w:lang w:eastAsia="en-GB"/>
        </w:rPr>
      </w:pPr>
    </w:p>
    <w:p w14:paraId="50AADC96" w14:textId="77777777" w:rsidR="0064242D" w:rsidRPr="00DB5453" w:rsidRDefault="0064242D" w:rsidP="00476FD7">
      <w:pPr>
        <w:spacing w:after="0"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CONCLUSION</w:t>
      </w:r>
    </w:p>
    <w:p w14:paraId="45DD48F3" w14:textId="77777777" w:rsidR="0064242D" w:rsidRPr="00DB5453" w:rsidRDefault="0064242D" w:rsidP="00476FD7">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This study confirms that targeted public health interventions significantly reduce the incidence of diarrhoeal disease among vulnerable populations. The marked decline in diarrhoea prevalence within the intervention group demonstrates the effectiveness of combining hygiene education, safe water practices, and ORS distribution.</w:t>
      </w:r>
      <w:r w:rsidR="00476FD7" w:rsidRPr="00DB5453">
        <w:rPr>
          <w:rFonts w:ascii="Arial" w:eastAsia="Times New Roman" w:hAnsi="Arial" w:cs="Arial"/>
          <w:sz w:val="24"/>
          <w:szCs w:val="24"/>
          <w:lang w:eastAsia="en-GB"/>
        </w:rPr>
        <w:t xml:space="preserve"> </w:t>
      </w:r>
      <w:r w:rsidRPr="00DB5453">
        <w:rPr>
          <w:rFonts w:ascii="Arial" w:eastAsia="Times New Roman" w:hAnsi="Arial" w:cs="Arial"/>
          <w:sz w:val="24"/>
          <w:szCs w:val="24"/>
          <w:lang w:eastAsia="en-GB"/>
        </w:rPr>
        <w:t xml:space="preserve">Diarrhoeal disease remains largely preventable. Strengthening WASH infrastructure, promoting </w:t>
      </w:r>
      <w:r w:rsidRPr="00DB5453">
        <w:rPr>
          <w:rFonts w:ascii="Arial" w:eastAsia="Times New Roman" w:hAnsi="Arial" w:cs="Arial"/>
          <w:sz w:val="24"/>
          <w:szCs w:val="24"/>
          <w:lang w:eastAsia="en-GB"/>
        </w:rPr>
        <w:lastRenderedPageBreak/>
        <w:t>behavioural change, and ensuring access to appropriate case management can substantially reduce disease burden, particularly among under-five children. Scaling up such interventions across similar communities in Nigeria could contribute meaningfully to achieving Sustainable Development Goal (SDG) 3 (Good Health and Well-Being) and SDG 6 (Clean Water and Sanitation).</w:t>
      </w:r>
    </w:p>
    <w:p w14:paraId="55445FAD" w14:textId="77777777" w:rsidR="0064242D" w:rsidRPr="00DB5453" w:rsidRDefault="0064242D" w:rsidP="0064242D">
      <w:pPr>
        <w:spacing w:after="0" w:line="240" w:lineRule="auto"/>
        <w:rPr>
          <w:rFonts w:ascii="Arial" w:eastAsia="Times New Roman" w:hAnsi="Arial" w:cs="Arial"/>
          <w:sz w:val="24"/>
          <w:szCs w:val="24"/>
          <w:lang w:eastAsia="en-GB"/>
        </w:rPr>
      </w:pPr>
    </w:p>
    <w:p w14:paraId="3B17620A" w14:textId="77777777" w:rsidR="0064242D" w:rsidRPr="00DB5453" w:rsidRDefault="0064242D" w:rsidP="00476FD7">
      <w:pPr>
        <w:spacing w:before="100" w:beforeAutospacing="1" w:after="100" w:afterAutospacing="1" w:line="240" w:lineRule="auto"/>
        <w:jc w:val="both"/>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RECOMMENDATIONS</w:t>
      </w:r>
    </w:p>
    <w:p w14:paraId="0B18EC95"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Scale-Up of WASH Programs</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Government and public health agencies should expand integrated WASH interventions across rural and peri-urban communities in Nigeria.</w:t>
      </w:r>
    </w:p>
    <w:p w14:paraId="5638C687"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Community-Based Health Education</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Continuous hygiene promotion campaigns emphasizing </w:t>
      </w:r>
      <w:r w:rsidR="00476FD7" w:rsidRPr="00DB5453">
        <w:rPr>
          <w:rFonts w:ascii="Arial" w:eastAsia="Times New Roman" w:hAnsi="Arial" w:cs="Arial"/>
          <w:sz w:val="24"/>
          <w:szCs w:val="24"/>
          <w:lang w:eastAsia="en-GB"/>
        </w:rPr>
        <w:t>hand washing</w:t>
      </w:r>
      <w:r w:rsidRPr="00DB5453">
        <w:rPr>
          <w:rFonts w:ascii="Arial" w:eastAsia="Times New Roman" w:hAnsi="Arial" w:cs="Arial"/>
          <w:sz w:val="24"/>
          <w:szCs w:val="24"/>
          <w:lang w:eastAsia="en-GB"/>
        </w:rPr>
        <w:t xml:space="preserve"> with soap, safe water storage, and sanitation practices should be institutionalized at community level.</w:t>
      </w:r>
    </w:p>
    <w:p w14:paraId="5B24FDEF"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Improved Access to Safe Water</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Investment in safely managed water infrastructure is critical to reducing faecal contamination and preventing recurrent outbreaks.</w:t>
      </w:r>
    </w:p>
    <w:p w14:paraId="352EB24F"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Strengthened ORS and Zinc Distribution:</w:t>
      </w:r>
      <w:r w:rsidRPr="00DB5453">
        <w:rPr>
          <w:rFonts w:ascii="Arial" w:eastAsia="Times New Roman" w:hAnsi="Arial" w:cs="Arial"/>
          <w:sz w:val="24"/>
          <w:szCs w:val="24"/>
          <w:lang w:eastAsia="en-GB"/>
        </w:rPr>
        <w:t xml:space="preserve"> Health facilities and community health workers should ensure consistent availability of low-osmolarity ORS and zinc tablets.</w:t>
      </w:r>
    </w:p>
    <w:p w14:paraId="5B7B5D89"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Policy and Monitoring Frameworks:</w:t>
      </w:r>
      <w:r w:rsidRPr="00DB5453">
        <w:rPr>
          <w:rFonts w:ascii="Arial" w:eastAsia="Times New Roman" w:hAnsi="Arial" w:cs="Arial"/>
          <w:sz w:val="24"/>
          <w:szCs w:val="24"/>
          <w:lang w:eastAsia="en-GB"/>
        </w:rPr>
        <w:t xml:space="preserve"> Government should implement monitoring systems to evaluate the long-term effectiveness and cost-efficiency of diarrhoea control interventions.</w:t>
      </w:r>
    </w:p>
    <w:p w14:paraId="26C02CA2"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Further Research:</w:t>
      </w:r>
      <w:r w:rsidRPr="00DB5453">
        <w:rPr>
          <w:rFonts w:ascii="Arial" w:eastAsia="Times New Roman" w:hAnsi="Arial" w:cs="Arial"/>
          <w:sz w:val="24"/>
          <w:szCs w:val="24"/>
          <w:lang w:eastAsia="en-GB"/>
        </w:rPr>
        <w:t xml:space="preserve"> Longitudinal and larger-scale studies are recommended to assess sustainability, behavioural retention, and economic impact of interventions.</w:t>
      </w:r>
    </w:p>
    <w:p w14:paraId="357D10DA" w14:textId="77777777" w:rsidR="00802A8F" w:rsidRPr="00DB5453" w:rsidRDefault="00802A8F" w:rsidP="00673C48">
      <w:pPr>
        <w:spacing w:before="100" w:beforeAutospacing="1" w:after="100" w:afterAutospacing="1" w:line="240" w:lineRule="auto"/>
        <w:outlineLvl w:val="2"/>
        <w:rPr>
          <w:rFonts w:ascii="Arial" w:eastAsia="Times New Roman" w:hAnsi="Arial" w:cs="Arial"/>
          <w:b/>
          <w:bCs/>
          <w:color w:val="FF0000"/>
          <w:sz w:val="27"/>
          <w:szCs w:val="27"/>
          <w:lang w:eastAsia="en-GB"/>
        </w:rPr>
      </w:pPr>
    </w:p>
    <w:p w14:paraId="19FC5869" w14:textId="2090FCAE" w:rsidR="0057055D" w:rsidRPr="00DB5453" w:rsidRDefault="00ED507C" w:rsidP="0057055D">
      <w:pPr>
        <w:spacing w:before="100" w:beforeAutospacing="1" w:after="100" w:afterAutospacing="1" w:line="240" w:lineRule="auto"/>
        <w:outlineLvl w:val="2"/>
        <w:rPr>
          <w:rFonts w:ascii="Arial" w:eastAsia="Times New Roman" w:hAnsi="Arial" w:cs="Arial"/>
          <w:b/>
          <w:bCs/>
          <w:color w:val="FF0000"/>
          <w:sz w:val="27"/>
          <w:szCs w:val="27"/>
          <w:lang w:eastAsia="en-GB"/>
        </w:rPr>
      </w:pPr>
      <w:r w:rsidRPr="00DB5453">
        <w:rPr>
          <w:rFonts w:ascii="Arial" w:eastAsia="Times New Roman" w:hAnsi="Arial" w:cs="Arial"/>
          <w:b/>
          <w:bCs/>
          <w:sz w:val="27"/>
          <w:szCs w:val="27"/>
          <w:lang w:eastAsia="en-GB"/>
        </w:rPr>
        <w:t>REFERENCES</w:t>
      </w:r>
      <w:r w:rsidR="00802A8F" w:rsidRPr="00DB5453">
        <w:rPr>
          <w:rFonts w:ascii="Arial" w:eastAsia="Times New Roman" w:hAnsi="Arial" w:cs="Arial"/>
          <w:b/>
          <w:bCs/>
          <w:color w:val="FF0000"/>
          <w:sz w:val="27"/>
          <w:szCs w:val="27"/>
          <w:lang w:eastAsia="en-GB"/>
        </w:rPr>
        <w:t xml:space="preserve"> </w:t>
      </w:r>
    </w:p>
    <w:p w14:paraId="2AA82048" w14:textId="4AA7108C" w:rsidR="00853F40" w:rsidRPr="00DB5453" w:rsidRDefault="00853F40" w:rsidP="00853F40">
      <w:pPr>
        <w:pStyle w:val="PuceRoseDtail"/>
        <w:tabs>
          <w:tab w:val="clear" w:pos="360"/>
          <w:tab w:val="left" w:pos="0"/>
        </w:tabs>
        <w:ind w:left="0" w:firstLine="0"/>
        <w:jc w:val="both"/>
        <w:rPr>
          <w:rFonts w:cs="Arial"/>
          <w:sz w:val="24"/>
          <w:szCs w:val="24"/>
        </w:rPr>
      </w:pPr>
      <w:r w:rsidRPr="00DB5453">
        <w:rPr>
          <w:rFonts w:cs="Arial"/>
          <w:sz w:val="24"/>
          <w:szCs w:val="24"/>
        </w:rPr>
        <w:t>Balarabe-Musa, B</w:t>
      </w:r>
      <w:r w:rsidR="004F6B01" w:rsidRPr="00DB5453">
        <w:rPr>
          <w:rFonts w:cs="Arial"/>
          <w:sz w:val="24"/>
          <w:szCs w:val="24"/>
        </w:rPr>
        <w:t>.</w:t>
      </w:r>
      <w:r w:rsidRPr="00DB5453">
        <w:rPr>
          <w:rFonts w:cs="Arial"/>
          <w:sz w:val="24"/>
          <w:szCs w:val="24"/>
        </w:rPr>
        <w:t xml:space="preserve"> (2023). </w:t>
      </w:r>
      <w:hyperlink r:id="rId17" w:history="1">
        <w:r w:rsidRPr="00DB5453">
          <w:rPr>
            <w:rStyle w:val="Hyperlink"/>
            <w:rFonts w:cs="Arial"/>
            <w:color w:val="auto"/>
            <w:sz w:val="24"/>
            <w:szCs w:val="24"/>
            <w:u w:val="none"/>
          </w:rPr>
          <w:t>Burden of Rotavirus Diarrhoea in Children in Abuja</w:t>
        </w:r>
      </w:hyperlink>
    </w:p>
    <w:p w14:paraId="0EEB2C06" w14:textId="77777777" w:rsidR="00853F40" w:rsidRPr="00DB5453" w:rsidRDefault="00853F40" w:rsidP="00853F40">
      <w:pPr>
        <w:pStyle w:val="PuceRoseDtail"/>
        <w:tabs>
          <w:tab w:val="left" w:pos="0"/>
        </w:tabs>
        <w:ind w:left="0" w:firstLine="0"/>
        <w:jc w:val="both"/>
        <w:rPr>
          <w:rFonts w:cs="Arial"/>
          <w:color w:val="000000" w:themeColor="text1"/>
          <w:sz w:val="24"/>
          <w:szCs w:val="24"/>
        </w:rPr>
      </w:pPr>
      <w:r w:rsidRPr="00DB5453">
        <w:rPr>
          <w:rFonts w:cs="Arial"/>
          <w:i/>
          <w:iCs/>
          <w:sz w:val="24"/>
          <w:szCs w:val="24"/>
        </w:rPr>
        <w:t xml:space="preserve">Asian </w:t>
      </w:r>
      <w:r w:rsidRPr="00DB5453">
        <w:rPr>
          <w:rFonts w:cs="Arial"/>
          <w:i/>
          <w:iCs/>
          <w:color w:val="000000" w:themeColor="text1"/>
          <w:sz w:val="24"/>
          <w:szCs w:val="24"/>
        </w:rPr>
        <w:t>Journal of Research in Infectious Diseases</w:t>
      </w:r>
      <w:r w:rsidRPr="00DB5453">
        <w:rPr>
          <w:rFonts w:cs="Arial"/>
          <w:color w:val="000000" w:themeColor="text1"/>
          <w:sz w:val="24"/>
          <w:szCs w:val="24"/>
        </w:rPr>
        <w:t xml:space="preserve"> 12 (4), 15-21</w:t>
      </w:r>
    </w:p>
    <w:p w14:paraId="0C29622D" w14:textId="77777777" w:rsidR="00853F40" w:rsidRPr="00DB5453" w:rsidRDefault="00853F40" w:rsidP="00853F40">
      <w:pPr>
        <w:pStyle w:val="PuceRoseDtail"/>
        <w:tabs>
          <w:tab w:val="clear" w:pos="360"/>
          <w:tab w:val="left" w:pos="0"/>
        </w:tabs>
        <w:ind w:left="0" w:firstLine="0"/>
        <w:jc w:val="both"/>
        <w:rPr>
          <w:rFonts w:cs="Arial"/>
          <w:color w:val="000000" w:themeColor="text1"/>
          <w:sz w:val="24"/>
          <w:szCs w:val="24"/>
        </w:rPr>
      </w:pPr>
    </w:p>
    <w:p w14:paraId="1F6C9E5C" w14:textId="0783141B" w:rsidR="00853F40" w:rsidRPr="00DB5453" w:rsidRDefault="00853F40" w:rsidP="00853F40">
      <w:pPr>
        <w:pStyle w:val="PuceRoseDtail"/>
        <w:tabs>
          <w:tab w:val="clear" w:pos="360"/>
          <w:tab w:val="left" w:pos="0"/>
        </w:tabs>
        <w:ind w:left="0" w:firstLine="0"/>
        <w:jc w:val="both"/>
        <w:rPr>
          <w:rFonts w:cs="Arial"/>
          <w:color w:val="000000" w:themeColor="text1"/>
          <w:sz w:val="24"/>
          <w:szCs w:val="24"/>
        </w:rPr>
      </w:pPr>
      <w:r w:rsidRPr="00DB5453">
        <w:rPr>
          <w:rFonts w:cs="Arial"/>
          <w:color w:val="000000" w:themeColor="text1"/>
          <w:sz w:val="24"/>
          <w:szCs w:val="24"/>
        </w:rPr>
        <w:t>Balarabe-Musa, B</w:t>
      </w:r>
      <w:r w:rsidR="004F6B01" w:rsidRPr="00DB5453">
        <w:rPr>
          <w:rFonts w:cs="Arial"/>
          <w:color w:val="000000" w:themeColor="text1"/>
          <w:sz w:val="24"/>
          <w:szCs w:val="24"/>
        </w:rPr>
        <w:t>.</w:t>
      </w:r>
      <w:r w:rsidRPr="00DB5453">
        <w:rPr>
          <w:rFonts w:cs="Arial"/>
          <w:color w:val="000000" w:themeColor="text1"/>
          <w:sz w:val="24"/>
          <w:szCs w:val="24"/>
        </w:rPr>
        <w:t xml:space="preserve"> (2023). </w:t>
      </w:r>
      <w:hyperlink r:id="rId18" w:history="1">
        <w:r w:rsidRPr="00DB5453">
          <w:rPr>
            <w:rStyle w:val="Hyperlink"/>
            <w:rFonts w:cs="Arial"/>
            <w:color w:val="000000" w:themeColor="text1"/>
            <w:sz w:val="24"/>
            <w:szCs w:val="24"/>
            <w:u w:val="none"/>
          </w:rPr>
          <w:t>Circulation of Rotavirus Genotypes and their Distribution among Vaccinated and Non-vaccinated Children in Abuja, Nigeria</w:t>
        </w:r>
      </w:hyperlink>
    </w:p>
    <w:p w14:paraId="2503FA34" w14:textId="77777777" w:rsidR="00853F40" w:rsidRPr="00DB5453" w:rsidRDefault="00853F40" w:rsidP="00853F40">
      <w:pPr>
        <w:pStyle w:val="PuceRoseDtail"/>
        <w:tabs>
          <w:tab w:val="left" w:pos="0"/>
        </w:tabs>
        <w:ind w:left="0" w:firstLine="0"/>
        <w:jc w:val="both"/>
        <w:rPr>
          <w:rFonts w:cs="Arial"/>
          <w:color w:val="000000" w:themeColor="text1"/>
          <w:sz w:val="24"/>
          <w:szCs w:val="24"/>
        </w:rPr>
      </w:pPr>
      <w:r w:rsidRPr="00DB5453">
        <w:rPr>
          <w:rFonts w:cs="Arial"/>
          <w:i/>
          <w:iCs/>
          <w:color w:val="000000" w:themeColor="text1"/>
          <w:sz w:val="24"/>
          <w:szCs w:val="24"/>
        </w:rPr>
        <w:t>Asian Journal of Research in Infectious Diseases</w:t>
      </w:r>
      <w:r w:rsidRPr="00DB5453">
        <w:rPr>
          <w:rFonts w:cs="Arial"/>
          <w:color w:val="000000" w:themeColor="text1"/>
          <w:sz w:val="24"/>
          <w:szCs w:val="24"/>
        </w:rPr>
        <w:t xml:space="preserve"> 12 (4), 34-40</w:t>
      </w:r>
    </w:p>
    <w:p w14:paraId="55F0BA3A" w14:textId="77777777" w:rsidR="00853F40" w:rsidRPr="00DB5453" w:rsidRDefault="00853F40" w:rsidP="00853F40">
      <w:pPr>
        <w:pStyle w:val="PuceRoseDtail"/>
        <w:tabs>
          <w:tab w:val="left" w:pos="0"/>
        </w:tabs>
        <w:ind w:left="0" w:firstLine="0"/>
        <w:jc w:val="both"/>
        <w:rPr>
          <w:rFonts w:cs="Arial"/>
          <w:sz w:val="24"/>
          <w:szCs w:val="24"/>
        </w:rPr>
      </w:pPr>
    </w:p>
    <w:p w14:paraId="0F2533D7" w14:textId="142FC41C" w:rsidR="00853F40" w:rsidRPr="00DB5453" w:rsidRDefault="00853F40" w:rsidP="00853F40">
      <w:pPr>
        <w:pStyle w:val="PuceRoseDtail"/>
        <w:tabs>
          <w:tab w:val="clear" w:pos="360"/>
          <w:tab w:val="left" w:pos="0"/>
        </w:tabs>
        <w:ind w:left="0" w:firstLine="0"/>
        <w:jc w:val="both"/>
        <w:rPr>
          <w:rFonts w:cs="Arial"/>
          <w:sz w:val="24"/>
          <w:szCs w:val="24"/>
        </w:rPr>
      </w:pPr>
      <w:r w:rsidRPr="00DB5453">
        <w:rPr>
          <w:rFonts w:cs="Arial"/>
          <w:sz w:val="24"/>
          <w:szCs w:val="24"/>
        </w:rPr>
        <w:t>Balarabe-Musa, B</w:t>
      </w:r>
      <w:r w:rsidR="004F6B01" w:rsidRPr="00DB5453">
        <w:rPr>
          <w:rFonts w:cs="Arial"/>
          <w:sz w:val="24"/>
          <w:szCs w:val="24"/>
        </w:rPr>
        <w:t>.</w:t>
      </w:r>
      <w:r w:rsidRPr="00DB5453">
        <w:rPr>
          <w:rFonts w:cs="Arial"/>
          <w:sz w:val="24"/>
          <w:szCs w:val="24"/>
        </w:rPr>
        <w:t xml:space="preserve"> and Dabo, N.T. (2021). Rotavirus Genotypes in Abuja, Nigeria. </w:t>
      </w:r>
      <w:r w:rsidRPr="00DB5453">
        <w:rPr>
          <w:rFonts w:cs="Arial"/>
          <w:i/>
          <w:sz w:val="24"/>
          <w:szCs w:val="24"/>
        </w:rPr>
        <w:t>International Journal of Pathogen Research</w:t>
      </w:r>
      <w:r w:rsidRPr="00DB5453">
        <w:rPr>
          <w:rFonts w:cs="Arial"/>
          <w:sz w:val="24"/>
          <w:szCs w:val="24"/>
        </w:rPr>
        <w:t>, 8(3):19-31.</w:t>
      </w:r>
    </w:p>
    <w:p w14:paraId="214280BF" w14:textId="77777777" w:rsidR="00853F40" w:rsidRPr="00DB5453" w:rsidRDefault="00853F40" w:rsidP="00853F40">
      <w:pPr>
        <w:pStyle w:val="PuceRoseDtail"/>
        <w:tabs>
          <w:tab w:val="left" w:pos="0"/>
        </w:tabs>
        <w:ind w:left="0" w:firstLine="0"/>
        <w:jc w:val="both"/>
        <w:rPr>
          <w:rFonts w:cs="Arial"/>
          <w:sz w:val="24"/>
          <w:szCs w:val="24"/>
        </w:rPr>
      </w:pPr>
    </w:p>
    <w:p w14:paraId="0F51D75D" w14:textId="0632A24E" w:rsidR="00853F40" w:rsidRPr="00DB5453" w:rsidRDefault="00853F40" w:rsidP="00853F40">
      <w:pPr>
        <w:pStyle w:val="PuceRoseDtail"/>
        <w:tabs>
          <w:tab w:val="clear" w:pos="360"/>
          <w:tab w:val="left" w:pos="0"/>
        </w:tabs>
        <w:ind w:left="0" w:firstLine="0"/>
        <w:jc w:val="both"/>
        <w:rPr>
          <w:rFonts w:cs="Arial"/>
          <w:sz w:val="24"/>
          <w:szCs w:val="24"/>
        </w:rPr>
      </w:pPr>
      <w:r w:rsidRPr="00DB5453">
        <w:rPr>
          <w:rFonts w:cs="Arial"/>
          <w:sz w:val="24"/>
          <w:szCs w:val="24"/>
        </w:rPr>
        <w:t>Balarabe-Musa, B</w:t>
      </w:r>
      <w:r w:rsidR="004F6B01" w:rsidRPr="00DB5453">
        <w:rPr>
          <w:rFonts w:cs="Arial"/>
          <w:sz w:val="24"/>
          <w:szCs w:val="24"/>
        </w:rPr>
        <w:t>.</w:t>
      </w:r>
      <w:r w:rsidRPr="00DB5453">
        <w:rPr>
          <w:rFonts w:cs="Arial"/>
          <w:sz w:val="24"/>
          <w:szCs w:val="24"/>
        </w:rPr>
        <w:t>, and Dabo, N.T. (2021). Cryptosporidium and Rotavirus Diarrhoea in Children under the Age of Five</w:t>
      </w:r>
      <w:r w:rsidR="004F6B01" w:rsidRPr="00DB5453">
        <w:rPr>
          <w:rFonts w:cs="Arial"/>
          <w:sz w:val="24"/>
          <w:szCs w:val="24"/>
        </w:rPr>
        <w:t xml:space="preserve"> </w:t>
      </w:r>
      <w:r w:rsidRPr="00DB5453">
        <w:rPr>
          <w:rFonts w:cs="Arial"/>
          <w:sz w:val="24"/>
          <w:szCs w:val="24"/>
        </w:rPr>
        <w:t xml:space="preserve">Years in FCT Abuja, Nigeria. </w:t>
      </w:r>
      <w:r w:rsidRPr="00DB5453">
        <w:rPr>
          <w:rFonts w:cs="Arial"/>
          <w:i/>
          <w:sz w:val="24"/>
          <w:szCs w:val="24"/>
        </w:rPr>
        <w:t>International Journal of</w:t>
      </w:r>
      <w:r w:rsidRPr="00DB5453">
        <w:rPr>
          <w:rFonts w:cs="Arial"/>
          <w:sz w:val="24"/>
          <w:szCs w:val="24"/>
        </w:rPr>
        <w:t xml:space="preserve"> </w:t>
      </w:r>
      <w:r w:rsidRPr="00DB5453">
        <w:rPr>
          <w:rFonts w:cs="Arial"/>
          <w:i/>
          <w:sz w:val="24"/>
          <w:szCs w:val="24"/>
        </w:rPr>
        <w:t>Pathogen Research</w:t>
      </w:r>
      <w:r w:rsidRPr="00DB5453">
        <w:rPr>
          <w:rFonts w:cs="Arial"/>
          <w:sz w:val="24"/>
          <w:szCs w:val="24"/>
        </w:rPr>
        <w:t>, 8(2):44-58.</w:t>
      </w:r>
    </w:p>
    <w:p w14:paraId="51BFB232" w14:textId="77777777" w:rsidR="00853F40" w:rsidRPr="00DB5453" w:rsidRDefault="00853F40" w:rsidP="00853F40">
      <w:pPr>
        <w:pStyle w:val="PuceRoseDtail"/>
        <w:tabs>
          <w:tab w:val="left" w:pos="0"/>
        </w:tabs>
        <w:ind w:left="0" w:firstLine="0"/>
        <w:jc w:val="both"/>
        <w:rPr>
          <w:rFonts w:cs="Arial"/>
          <w:sz w:val="24"/>
          <w:szCs w:val="24"/>
        </w:rPr>
      </w:pPr>
    </w:p>
    <w:p w14:paraId="49E88906" w14:textId="3C6426F3" w:rsidR="00853F40" w:rsidRPr="00DB5453" w:rsidRDefault="00853F40" w:rsidP="00853F40">
      <w:pPr>
        <w:pStyle w:val="PuceRoseDtail"/>
        <w:tabs>
          <w:tab w:val="clear" w:pos="360"/>
          <w:tab w:val="left" w:pos="0"/>
        </w:tabs>
        <w:ind w:left="0" w:firstLine="0"/>
        <w:jc w:val="both"/>
        <w:rPr>
          <w:rFonts w:cs="Arial"/>
          <w:sz w:val="24"/>
          <w:szCs w:val="24"/>
        </w:rPr>
      </w:pPr>
      <w:r w:rsidRPr="00DB5453">
        <w:rPr>
          <w:rFonts w:cs="Arial"/>
          <w:sz w:val="24"/>
          <w:szCs w:val="24"/>
        </w:rPr>
        <w:t xml:space="preserve">Balarabe-Musa, B., and Onyeagba, K.D. (2020). Prevalence of Entamoeba histolytica amongst infants with diarrhoea visiting the University of Abuja Teaching Hospital. </w:t>
      </w:r>
      <w:r w:rsidRPr="00DB5453">
        <w:rPr>
          <w:rFonts w:cs="Arial"/>
          <w:i/>
          <w:sz w:val="24"/>
          <w:szCs w:val="24"/>
        </w:rPr>
        <w:t>Journal of Veterinary and Biomedical Sciences</w:t>
      </w:r>
      <w:r w:rsidRPr="00DB5453">
        <w:rPr>
          <w:rFonts w:cs="Arial"/>
          <w:sz w:val="24"/>
          <w:szCs w:val="24"/>
        </w:rPr>
        <w:t>, 2 (2):128-134.</w:t>
      </w:r>
    </w:p>
    <w:p w14:paraId="00D86620" w14:textId="1FCE56E6"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lastRenderedPageBreak/>
        <w:t xml:space="preserve">Bbaale, E. (2011). Determinants of diarrhoea and acute respiratory infection among under-fives in Uganda. </w:t>
      </w:r>
      <w:r w:rsidRPr="00DB5453">
        <w:rPr>
          <w:rFonts w:ascii="Arial" w:eastAsia="Times New Roman" w:hAnsi="Arial" w:cs="Arial"/>
          <w:i/>
          <w:iCs/>
          <w:sz w:val="24"/>
          <w:szCs w:val="24"/>
          <w:lang w:eastAsia="en-GB"/>
        </w:rPr>
        <w:t>Australasian Medical Journal, 4</w:t>
      </w:r>
      <w:r w:rsidRPr="00DB5453">
        <w:rPr>
          <w:rFonts w:ascii="Arial" w:eastAsia="Times New Roman" w:hAnsi="Arial" w:cs="Arial"/>
          <w:sz w:val="24"/>
          <w:szCs w:val="24"/>
          <w:lang w:eastAsia="en-GB"/>
        </w:rPr>
        <w:t xml:space="preserve">(7), 400–409. </w:t>
      </w:r>
      <w:hyperlink r:id="rId19" w:history="1">
        <w:r w:rsidRPr="00DB5453">
          <w:rPr>
            <w:rFonts w:ascii="Arial" w:eastAsia="Times New Roman" w:hAnsi="Arial" w:cs="Arial"/>
            <w:sz w:val="24"/>
            <w:szCs w:val="24"/>
            <w:lang w:eastAsia="en-GB"/>
          </w:rPr>
          <w:t>https://doi.org/10.4066/AMJ.2011.723</w:t>
        </w:r>
      </w:hyperlink>
    </w:p>
    <w:p w14:paraId="08D29306"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Bhutta, Z. A., Das, J. K., Walker, N., Rizvi, A., Campbell, H., Rudan, I., &amp; Black, R. E. (2013). Interventions to address deaths from childhood pneumonia and diarrhoea equitably: What works and at what cost? </w:t>
      </w:r>
      <w:r w:rsidRPr="00DB5453">
        <w:rPr>
          <w:rFonts w:ascii="Arial" w:eastAsia="Times New Roman" w:hAnsi="Arial" w:cs="Arial"/>
          <w:i/>
          <w:iCs/>
          <w:sz w:val="24"/>
          <w:szCs w:val="24"/>
          <w:lang w:eastAsia="en-GB"/>
        </w:rPr>
        <w:t>The Lancet, 381</w:t>
      </w:r>
      <w:r w:rsidRPr="00DB5453">
        <w:rPr>
          <w:rFonts w:ascii="Arial" w:eastAsia="Times New Roman" w:hAnsi="Arial" w:cs="Arial"/>
          <w:sz w:val="24"/>
          <w:szCs w:val="24"/>
          <w:lang w:eastAsia="en-GB"/>
        </w:rPr>
        <w:t xml:space="preserve">(9875), 1417–1429. </w:t>
      </w:r>
      <w:hyperlink r:id="rId20" w:history="1">
        <w:r w:rsidRPr="00DB5453">
          <w:rPr>
            <w:rFonts w:ascii="Arial" w:eastAsia="Times New Roman" w:hAnsi="Arial" w:cs="Arial"/>
            <w:sz w:val="24"/>
            <w:szCs w:val="24"/>
            <w:lang w:eastAsia="en-GB"/>
          </w:rPr>
          <w:t>https://doi.org/10.1016/S0140-6736(13)60648-0</w:t>
        </w:r>
      </w:hyperlink>
    </w:p>
    <w:p w14:paraId="115F05E8"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Bhutta, Z. A., Salam, R. A., Das, J. K., &amp; Lassi, Z. S. (2023). Global burden and evidence-based interventions for childhood diarrhoeal diseases. </w:t>
      </w:r>
      <w:r w:rsidRPr="00DB5453">
        <w:rPr>
          <w:rFonts w:ascii="Arial" w:eastAsia="Times New Roman" w:hAnsi="Arial" w:cs="Arial"/>
          <w:i/>
          <w:iCs/>
          <w:sz w:val="24"/>
          <w:szCs w:val="24"/>
          <w:lang w:eastAsia="en-GB"/>
        </w:rPr>
        <w:t>The Lancet Child &amp; Adolescent Health, 7</w:t>
      </w:r>
      <w:r w:rsidRPr="00DB5453">
        <w:rPr>
          <w:rFonts w:ascii="Arial" w:eastAsia="Times New Roman" w:hAnsi="Arial" w:cs="Arial"/>
          <w:sz w:val="24"/>
          <w:szCs w:val="24"/>
          <w:lang w:eastAsia="en-GB"/>
        </w:rPr>
        <w:t xml:space="preserve">(4), 243–255. </w:t>
      </w:r>
      <w:hyperlink r:id="rId21" w:history="1">
        <w:r w:rsidRPr="00DB5453">
          <w:rPr>
            <w:rFonts w:ascii="Arial" w:eastAsia="Times New Roman" w:hAnsi="Arial" w:cs="Arial"/>
            <w:sz w:val="24"/>
            <w:szCs w:val="24"/>
            <w:lang w:eastAsia="en-GB"/>
          </w:rPr>
          <w:t>https://doi.org/10.1016/S2352-4642(23)00045-8</w:t>
        </w:r>
      </w:hyperlink>
    </w:p>
    <w:p w14:paraId="05724128"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Burnett, E., Parashar, U. D., &amp; Tate, J. E. (2023). Global impact of rotavirus vaccination on diarrhoeal disease burden in children. </w:t>
      </w:r>
      <w:r w:rsidRPr="00DB5453">
        <w:rPr>
          <w:rFonts w:ascii="Arial" w:eastAsia="Times New Roman" w:hAnsi="Arial" w:cs="Arial"/>
          <w:i/>
          <w:iCs/>
          <w:sz w:val="24"/>
          <w:szCs w:val="24"/>
          <w:lang w:eastAsia="en-GB"/>
        </w:rPr>
        <w:t>Clinical Infectious Diseases, 76</w:t>
      </w:r>
      <w:r w:rsidRPr="00DB5453">
        <w:rPr>
          <w:rFonts w:ascii="Arial" w:eastAsia="Times New Roman" w:hAnsi="Arial" w:cs="Arial"/>
          <w:sz w:val="24"/>
          <w:szCs w:val="24"/>
          <w:lang w:eastAsia="en-GB"/>
        </w:rPr>
        <w:t xml:space="preserve">(2), 345–352. </w:t>
      </w:r>
      <w:hyperlink r:id="rId22" w:history="1">
        <w:r w:rsidRPr="00DB5453">
          <w:rPr>
            <w:rFonts w:ascii="Arial" w:eastAsia="Times New Roman" w:hAnsi="Arial" w:cs="Arial"/>
            <w:sz w:val="24"/>
            <w:szCs w:val="24"/>
            <w:lang w:eastAsia="en-GB"/>
          </w:rPr>
          <w:t>https://doi.org/10.1093/cid/ciac879</w:t>
        </w:r>
      </w:hyperlink>
    </w:p>
    <w:p w14:paraId="0B3A4947"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Clasen, T., Pickering, A. J., Null, C., et al. (2021). Effectiveness of water, sanitation, and hygiene interventions in reducing diarrhoea. </w:t>
      </w:r>
      <w:r w:rsidRPr="00DB5453">
        <w:rPr>
          <w:rFonts w:ascii="Arial" w:eastAsia="Times New Roman" w:hAnsi="Arial" w:cs="Arial"/>
          <w:i/>
          <w:iCs/>
          <w:sz w:val="24"/>
          <w:szCs w:val="24"/>
          <w:lang w:eastAsia="en-GB"/>
        </w:rPr>
        <w:t>The Lancet Global Health, 9</w:t>
      </w:r>
      <w:r w:rsidRPr="00DB5453">
        <w:rPr>
          <w:rFonts w:ascii="Arial" w:eastAsia="Times New Roman" w:hAnsi="Arial" w:cs="Arial"/>
          <w:sz w:val="24"/>
          <w:szCs w:val="24"/>
          <w:lang w:eastAsia="en-GB"/>
        </w:rPr>
        <w:t xml:space="preserve">(3), e316–e325. </w:t>
      </w:r>
      <w:hyperlink r:id="rId23" w:history="1">
        <w:r w:rsidRPr="00DB5453">
          <w:rPr>
            <w:rFonts w:ascii="Arial" w:eastAsia="Times New Roman" w:hAnsi="Arial" w:cs="Arial"/>
            <w:sz w:val="24"/>
            <w:szCs w:val="24"/>
            <w:lang w:eastAsia="en-GB"/>
          </w:rPr>
          <w:t>https://doi.org/10.1016/S2214-109X(20)30590-6</w:t>
        </w:r>
      </w:hyperlink>
    </w:p>
    <w:p w14:paraId="5619EB4A"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Etiler, N., Velipasaoglu, S., &amp; Aktekin, M. (2004). Risk factors for overall and persistent diarrhoea in infancy in Antalya, Turkey. </w:t>
      </w:r>
      <w:r w:rsidRPr="00DB5453">
        <w:rPr>
          <w:rFonts w:ascii="Arial" w:eastAsia="Times New Roman" w:hAnsi="Arial" w:cs="Arial"/>
          <w:i/>
          <w:iCs/>
          <w:sz w:val="24"/>
          <w:szCs w:val="24"/>
          <w:lang w:eastAsia="en-GB"/>
        </w:rPr>
        <w:t>Public Health, 118</w:t>
      </w:r>
      <w:r w:rsidRPr="00DB5453">
        <w:rPr>
          <w:rFonts w:ascii="Arial" w:eastAsia="Times New Roman" w:hAnsi="Arial" w:cs="Arial"/>
          <w:sz w:val="24"/>
          <w:szCs w:val="24"/>
          <w:lang w:eastAsia="en-GB"/>
        </w:rPr>
        <w:t xml:space="preserve">(1), 62–69. </w:t>
      </w:r>
      <w:hyperlink r:id="rId24" w:history="1">
        <w:r w:rsidRPr="00DB5453">
          <w:rPr>
            <w:rFonts w:ascii="Arial" w:eastAsia="Times New Roman" w:hAnsi="Arial" w:cs="Arial"/>
            <w:sz w:val="24"/>
            <w:szCs w:val="24"/>
            <w:lang w:eastAsia="en-GB"/>
          </w:rPr>
          <w:t>https://doi.org/10.1016/S0033-3506(03)00127-0</w:t>
        </w:r>
      </w:hyperlink>
    </w:p>
    <w:p w14:paraId="3B646ACF"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GBD Diarrhoeal Diseases Collaborators. (2024). Global, regional, and national burden of diarrhoeal diseases, 1990–2023: A systematic analysis. </w:t>
      </w:r>
      <w:r w:rsidRPr="00DB5453">
        <w:rPr>
          <w:rFonts w:ascii="Arial" w:eastAsia="Times New Roman" w:hAnsi="Arial" w:cs="Arial"/>
          <w:i/>
          <w:iCs/>
          <w:sz w:val="24"/>
          <w:szCs w:val="24"/>
          <w:lang w:eastAsia="en-GB"/>
        </w:rPr>
        <w:t>The Lancet Infectious Diseases, 24</w:t>
      </w:r>
      <w:r w:rsidRPr="00DB5453">
        <w:rPr>
          <w:rFonts w:ascii="Arial" w:eastAsia="Times New Roman" w:hAnsi="Arial" w:cs="Arial"/>
          <w:sz w:val="24"/>
          <w:szCs w:val="24"/>
          <w:lang w:eastAsia="en-GB"/>
        </w:rPr>
        <w:t xml:space="preserve">(1), 45–58. </w:t>
      </w:r>
      <w:hyperlink r:id="rId25" w:history="1">
        <w:r w:rsidRPr="00DB5453">
          <w:rPr>
            <w:rFonts w:ascii="Arial" w:eastAsia="Times New Roman" w:hAnsi="Arial" w:cs="Arial"/>
            <w:sz w:val="24"/>
            <w:szCs w:val="24"/>
            <w:lang w:eastAsia="en-GB"/>
          </w:rPr>
          <w:t>https://doi.org/10.1016/S1473-3099(23)00412-7</w:t>
        </w:r>
      </w:hyperlink>
    </w:p>
    <w:p w14:paraId="16625F2B"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Kosek, M., Bern, C., &amp; Guerrant, R. L. (2013). The global burden of diarrhoeal disease, as estimated from studies published between 1992 and 2000. </w:t>
      </w:r>
      <w:r w:rsidRPr="00DB5453">
        <w:rPr>
          <w:rFonts w:ascii="Arial" w:eastAsia="Times New Roman" w:hAnsi="Arial" w:cs="Arial"/>
          <w:i/>
          <w:iCs/>
          <w:sz w:val="24"/>
          <w:szCs w:val="24"/>
          <w:lang w:eastAsia="en-GB"/>
        </w:rPr>
        <w:t>Bulletin of the World Health Organization, 81</w:t>
      </w:r>
      <w:r w:rsidRPr="00DB5453">
        <w:rPr>
          <w:rFonts w:ascii="Arial" w:eastAsia="Times New Roman" w:hAnsi="Arial" w:cs="Arial"/>
          <w:sz w:val="24"/>
          <w:szCs w:val="24"/>
          <w:lang w:eastAsia="en-GB"/>
        </w:rPr>
        <w:t>(3), 197–204.</w:t>
      </w:r>
    </w:p>
    <w:p w14:paraId="56E9B189"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National Bureau of Statistics (NBS) &amp; United Nations Children’s Fund (UNICEF). (2022). </w:t>
      </w:r>
      <w:r w:rsidRPr="00DB5453">
        <w:rPr>
          <w:rFonts w:ascii="Arial" w:eastAsia="Times New Roman" w:hAnsi="Arial" w:cs="Arial"/>
          <w:i/>
          <w:iCs/>
          <w:sz w:val="24"/>
          <w:szCs w:val="24"/>
          <w:lang w:eastAsia="en-GB"/>
        </w:rPr>
        <w:t>Multiple Indicator Cluster Survey 2021: Survey findings report</w:t>
      </w:r>
      <w:r w:rsidRPr="00DB5453">
        <w:rPr>
          <w:rFonts w:ascii="Arial" w:eastAsia="Times New Roman" w:hAnsi="Arial" w:cs="Arial"/>
          <w:sz w:val="24"/>
          <w:szCs w:val="24"/>
          <w:lang w:eastAsia="en-GB"/>
        </w:rPr>
        <w:t>. NBS &amp; UNICEF.</w:t>
      </w:r>
    </w:p>
    <w:p w14:paraId="5E4CC875"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Oloruntoba, E. O., Folarin, T. B., &amp; Ayede, A. I. (2014). Hygiene and sanitation risk factors of diarrhoeal disease among under-five children in Ibadan, Nigeria. </w:t>
      </w:r>
      <w:r w:rsidRPr="00DB5453">
        <w:rPr>
          <w:rFonts w:ascii="Arial" w:eastAsia="Times New Roman" w:hAnsi="Arial" w:cs="Arial"/>
          <w:i/>
          <w:iCs/>
          <w:sz w:val="24"/>
          <w:szCs w:val="24"/>
          <w:lang w:eastAsia="en-GB"/>
        </w:rPr>
        <w:t>African Health Sciences, 14</w:t>
      </w:r>
      <w:r w:rsidRPr="00DB5453">
        <w:rPr>
          <w:rFonts w:ascii="Arial" w:eastAsia="Times New Roman" w:hAnsi="Arial" w:cs="Arial"/>
          <w:sz w:val="24"/>
          <w:szCs w:val="24"/>
          <w:lang w:eastAsia="en-GB"/>
        </w:rPr>
        <w:t xml:space="preserve">(4), 1001–1011. </w:t>
      </w:r>
      <w:hyperlink r:id="rId26" w:history="1">
        <w:r w:rsidRPr="00DB5453">
          <w:rPr>
            <w:rFonts w:ascii="Arial" w:eastAsia="Times New Roman" w:hAnsi="Arial" w:cs="Arial"/>
            <w:sz w:val="24"/>
            <w:szCs w:val="24"/>
            <w:lang w:eastAsia="en-GB"/>
          </w:rPr>
          <w:t>https://doi.org/10.4314/ahs.v14i4.32</w:t>
        </w:r>
      </w:hyperlink>
    </w:p>
    <w:p w14:paraId="42B31BBA"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Pickering, A. J., Null, C., Winch, P. J., et al. (2019). The WASH Benefits and SHINE trials: Interpretation of WASH intervention effects on child health. </w:t>
      </w:r>
      <w:r w:rsidRPr="00DB5453">
        <w:rPr>
          <w:rFonts w:ascii="Arial" w:eastAsia="Times New Roman" w:hAnsi="Arial" w:cs="Arial"/>
          <w:i/>
          <w:iCs/>
          <w:sz w:val="24"/>
          <w:szCs w:val="24"/>
          <w:lang w:eastAsia="en-GB"/>
        </w:rPr>
        <w:t>The Lancet Global Health, 7</w:t>
      </w:r>
      <w:r w:rsidRPr="00DB5453">
        <w:rPr>
          <w:rFonts w:ascii="Arial" w:eastAsia="Times New Roman" w:hAnsi="Arial" w:cs="Arial"/>
          <w:sz w:val="24"/>
          <w:szCs w:val="24"/>
          <w:lang w:eastAsia="en-GB"/>
        </w:rPr>
        <w:t xml:space="preserve">(8), e1139–e1146. </w:t>
      </w:r>
      <w:hyperlink r:id="rId27" w:history="1">
        <w:r w:rsidRPr="00DB5453">
          <w:rPr>
            <w:rFonts w:ascii="Arial" w:eastAsia="Times New Roman" w:hAnsi="Arial" w:cs="Arial"/>
            <w:sz w:val="24"/>
            <w:szCs w:val="24"/>
            <w:lang w:eastAsia="en-GB"/>
          </w:rPr>
          <w:t>https://doi.org/10.1016/S2214-109X(19)30268-2</w:t>
        </w:r>
      </w:hyperlink>
    </w:p>
    <w:p w14:paraId="6C3B85A2"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Prüss-Ustün, A., Wolf, J., Bartram, J., et al. (2019). Burden of disease from inadequate water, sanitation and hygiene for selected adverse health outcomes. </w:t>
      </w:r>
      <w:r w:rsidRPr="00DB5453">
        <w:rPr>
          <w:rFonts w:ascii="Arial" w:eastAsia="Times New Roman" w:hAnsi="Arial" w:cs="Arial"/>
          <w:i/>
          <w:iCs/>
          <w:sz w:val="24"/>
          <w:szCs w:val="24"/>
          <w:lang w:eastAsia="en-GB"/>
        </w:rPr>
        <w:t>Tropical Medicine &amp; International Health, 24</w:t>
      </w:r>
      <w:r w:rsidRPr="00DB5453">
        <w:rPr>
          <w:rFonts w:ascii="Arial" w:eastAsia="Times New Roman" w:hAnsi="Arial" w:cs="Arial"/>
          <w:sz w:val="24"/>
          <w:szCs w:val="24"/>
          <w:lang w:eastAsia="en-GB"/>
        </w:rPr>
        <w:t xml:space="preserve">(5), 604–613. </w:t>
      </w:r>
      <w:hyperlink r:id="rId28" w:history="1">
        <w:r w:rsidRPr="00DB5453">
          <w:rPr>
            <w:rFonts w:ascii="Arial" w:eastAsia="Times New Roman" w:hAnsi="Arial" w:cs="Arial"/>
            <w:sz w:val="24"/>
            <w:szCs w:val="24"/>
            <w:lang w:eastAsia="en-GB"/>
          </w:rPr>
          <w:t>https://doi.org/10.1111/tmi.13254</w:t>
        </w:r>
      </w:hyperlink>
    </w:p>
    <w:p w14:paraId="42829A9A"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lastRenderedPageBreak/>
        <w:t xml:space="preserve">Troeger, C., Blacker, B. F., Khalil, I. A., et al. (2022). Global, regional, and national morbidity and mortality from diarrhoeal diseases. </w:t>
      </w:r>
      <w:r w:rsidRPr="00DB5453">
        <w:rPr>
          <w:rFonts w:ascii="Arial" w:eastAsia="Times New Roman" w:hAnsi="Arial" w:cs="Arial"/>
          <w:i/>
          <w:iCs/>
          <w:sz w:val="24"/>
          <w:szCs w:val="24"/>
          <w:lang w:eastAsia="en-GB"/>
        </w:rPr>
        <w:t>The Lancet Infectious Diseases, 22</w:t>
      </w:r>
      <w:r w:rsidRPr="00DB5453">
        <w:rPr>
          <w:rFonts w:ascii="Arial" w:eastAsia="Times New Roman" w:hAnsi="Arial" w:cs="Arial"/>
          <w:sz w:val="24"/>
          <w:szCs w:val="24"/>
          <w:lang w:eastAsia="en-GB"/>
        </w:rPr>
        <w:t xml:space="preserve">(3), 356–369. </w:t>
      </w:r>
      <w:hyperlink r:id="rId29" w:history="1">
        <w:r w:rsidRPr="00DB5453">
          <w:rPr>
            <w:rFonts w:ascii="Arial" w:eastAsia="Times New Roman" w:hAnsi="Arial" w:cs="Arial"/>
            <w:sz w:val="24"/>
            <w:szCs w:val="24"/>
            <w:lang w:eastAsia="en-GB"/>
          </w:rPr>
          <w:t>https://doi.org/10.1016/S1473-3099(21)00487-9</w:t>
        </w:r>
      </w:hyperlink>
    </w:p>
    <w:p w14:paraId="2771DE70"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Ugboko, H. U., Nwinyi, O. C., Oranusi, S. U., &amp; Oyewale, J. O. (2021). Childhood diarrhoeal diseases in developing countries. </w:t>
      </w:r>
      <w:r w:rsidRPr="00DB5453">
        <w:rPr>
          <w:rFonts w:ascii="Arial" w:eastAsia="Times New Roman" w:hAnsi="Arial" w:cs="Arial"/>
          <w:i/>
          <w:iCs/>
          <w:sz w:val="24"/>
          <w:szCs w:val="24"/>
          <w:lang w:eastAsia="en-GB"/>
        </w:rPr>
        <w:t>Heliyon, 7</w:t>
      </w:r>
      <w:r w:rsidRPr="00DB5453">
        <w:rPr>
          <w:rFonts w:ascii="Arial" w:eastAsia="Times New Roman" w:hAnsi="Arial" w:cs="Arial"/>
          <w:sz w:val="24"/>
          <w:szCs w:val="24"/>
          <w:lang w:eastAsia="en-GB"/>
        </w:rPr>
        <w:t xml:space="preserve">(2), e05971. </w:t>
      </w:r>
      <w:hyperlink r:id="rId30" w:history="1">
        <w:r w:rsidRPr="00DB5453">
          <w:rPr>
            <w:rFonts w:ascii="Arial" w:eastAsia="Times New Roman" w:hAnsi="Arial" w:cs="Arial"/>
            <w:sz w:val="24"/>
            <w:szCs w:val="24"/>
            <w:lang w:eastAsia="en-GB"/>
          </w:rPr>
          <w:t>https://doi.org/10.1016/j.heliyon.2021.e05971</w:t>
        </w:r>
      </w:hyperlink>
    </w:p>
    <w:p w14:paraId="566F3605"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UNICEF. (2013). </w:t>
      </w:r>
      <w:r w:rsidRPr="00DB5453">
        <w:rPr>
          <w:rFonts w:ascii="Arial" w:eastAsia="Times New Roman" w:hAnsi="Arial" w:cs="Arial"/>
          <w:i/>
          <w:iCs/>
          <w:sz w:val="24"/>
          <w:szCs w:val="24"/>
          <w:lang w:eastAsia="en-GB"/>
        </w:rPr>
        <w:t>Improving child nutrition: The achievable imperative for global progress</w:t>
      </w:r>
      <w:r w:rsidRPr="00DB5453">
        <w:rPr>
          <w:rFonts w:ascii="Arial" w:eastAsia="Times New Roman" w:hAnsi="Arial" w:cs="Arial"/>
          <w:sz w:val="24"/>
          <w:szCs w:val="24"/>
          <w:lang w:eastAsia="en-GB"/>
        </w:rPr>
        <w:t>. United Nations Children’s Fund.</w:t>
      </w:r>
    </w:p>
    <w:p w14:paraId="037834AA"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UNICEF. (2023). </w:t>
      </w:r>
      <w:r w:rsidRPr="00DB5453">
        <w:rPr>
          <w:rFonts w:ascii="Arial" w:eastAsia="Times New Roman" w:hAnsi="Arial" w:cs="Arial"/>
          <w:i/>
          <w:iCs/>
          <w:sz w:val="24"/>
          <w:szCs w:val="24"/>
          <w:lang w:eastAsia="en-GB"/>
        </w:rPr>
        <w:t>The state of the world’s children 2023</w:t>
      </w:r>
      <w:r w:rsidRPr="00DB5453">
        <w:rPr>
          <w:rFonts w:ascii="Arial" w:eastAsia="Times New Roman" w:hAnsi="Arial" w:cs="Arial"/>
          <w:sz w:val="24"/>
          <w:szCs w:val="24"/>
          <w:lang w:eastAsia="en-GB"/>
        </w:rPr>
        <w:t>. United Nations Children’s Fund.</w:t>
      </w:r>
    </w:p>
    <w:p w14:paraId="3588FEE1"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Walker, C. L. F., Rudan, I., Liu, L., et al. (2013). Global burden of childhood pneumonia and diarrhoea. </w:t>
      </w:r>
      <w:r w:rsidRPr="00DB5453">
        <w:rPr>
          <w:rFonts w:ascii="Arial" w:eastAsia="Times New Roman" w:hAnsi="Arial" w:cs="Arial"/>
          <w:i/>
          <w:iCs/>
          <w:sz w:val="24"/>
          <w:szCs w:val="24"/>
          <w:lang w:eastAsia="en-GB"/>
        </w:rPr>
        <w:t>The Lancet, 381</w:t>
      </w:r>
      <w:r w:rsidRPr="00DB5453">
        <w:rPr>
          <w:rFonts w:ascii="Arial" w:eastAsia="Times New Roman" w:hAnsi="Arial" w:cs="Arial"/>
          <w:sz w:val="24"/>
          <w:szCs w:val="24"/>
          <w:lang w:eastAsia="en-GB"/>
        </w:rPr>
        <w:t xml:space="preserve">(9875), 1405–1416. </w:t>
      </w:r>
      <w:hyperlink r:id="rId31" w:history="1">
        <w:r w:rsidRPr="00DB5453">
          <w:rPr>
            <w:rFonts w:ascii="Arial" w:eastAsia="Times New Roman" w:hAnsi="Arial" w:cs="Arial"/>
            <w:sz w:val="24"/>
            <w:szCs w:val="24"/>
            <w:lang w:eastAsia="en-GB"/>
          </w:rPr>
          <w:t>https://doi.org/10.1016/S0140-6736(13)60222-6</w:t>
        </w:r>
      </w:hyperlink>
    </w:p>
    <w:p w14:paraId="63A6BC27"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Wolf, J., Hunter, P. R., Freeman, M. C., et al. (2022). Effectiveness of handwashing with soap in preventing diarrhoeal diseases. </w:t>
      </w:r>
      <w:r w:rsidRPr="00DB5453">
        <w:rPr>
          <w:rFonts w:ascii="Arial" w:eastAsia="Times New Roman" w:hAnsi="Arial" w:cs="Arial"/>
          <w:i/>
          <w:iCs/>
          <w:sz w:val="24"/>
          <w:szCs w:val="24"/>
          <w:lang w:eastAsia="en-GB"/>
        </w:rPr>
        <w:t>The Lancet Infectious Diseases, 22</w:t>
      </w:r>
      <w:r w:rsidRPr="00DB5453">
        <w:rPr>
          <w:rFonts w:ascii="Arial" w:eastAsia="Times New Roman" w:hAnsi="Arial" w:cs="Arial"/>
          <w:sz w:val="24"/>
          <w:szCs w:val="24"/>
          <w:lang w:eastAsia="en-GB"/>
        </w:rPr>
        <w:t xml:space="preserve">(1), 23–34. </w:t>
      </w:r>
      <w:hyperlink r:id="rId32" w:history="1">
        <w:r w:rsidRPr="00DB5453">
          <w:rPr>
            <w:rFonts w:ascii="Arial" w:eastAsia="Times New Roman" w:hAnsi="Arial" w:cs="Arial"/>
            <w:sz w:val="24"/>
            <w:szCs w:val="24"/>
            <w:lang w:eastAsia="en-GB"/>
          </w:rPr>
          <w:t>https://doi.org/10.1016/S1473-3099(21)00439-9</w:t>
        </w:r>
      </w:hyperlink>
    </w:p>
    <w:p w14:paraId="0E8D09C6"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Wolf, J., Johnston, R., Freeman, M. C., et al. (2023). Safely managed water and sanitation services and childhood diarrhoea. </w:t>
      </w:r>
      <w:r w:rsidRPr="00DB5453">
        <w:rPr>
          <w:rFonts w:ascii="Arial" w:eastAsia="Times New Roman" w:hAnsi="Arial" w:cs="Arial"/>
          <w:i/>
          <w:iCs/>
          <w:sz w:val="24"/>
          <w:szCs w:val="24"/>
          <w:lang w:eastAsia="en-GB"/>
        </w:rPr>
        <w:t>The Lancet Global Health, 11</w:t>
      </w:r>
      <w:r w:rsidRPr="00DB5453">
        <w:rPr>
          <w:rFonts w:ascii="Arial" w:eastAsia="Times New Roman" w:hAnsi="Arial" w:cs="Arial"/>
          <w:sz w:val="24"/>
          <w:szCs w:val="24"/>
          <w:lang w:eastAsia="en-GB"/>
        </w:rPr>
        <w:t xml:space="preserve">(2), e256–e265. </w:t>
      </w:r>
      <w:hyperlink r:id="rId33" w:history="1">
        <w:r w:rsidRPr="00DB5453">
          <w:rPr>
            <w:rFonts w:ascii="Arial" w:eastAsia="Times New Roman" w:hAnsi="Arial" w:cs="Arial"/>
            <w:sz w:val="24"/>
            <w:szCs w:val="24"/>
            <w:lang w:eastAsia="en-GB"/>
          </w:rPr>
          <w:t>https://doi.org/10.1016/S2214-109X(22)00518-5</w:t>
        </w:r>
      </w:hyperlink>
    </w:p>
    <w:p w14:paraId="53BCB018"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World Health Organization. (2009). </w:t>
      </w:r>
      <w:r w:rsidRPr="00DB5453">
        <w:rPr>
          <w:rFonts w:ascii="Arial" w:eastAsia="Times New Roman" w:hAnsi="Arial" w:cs="Arial"/>
          <w:i/>
          <w:iCs/>
          <w:sz w:val="24"/>
          <w:szCs w:val="24"/>
          <w:lang w:eastAsia="en-GB"/>
        </w:rPr>
        <w:t>Diarrhoea: Why children are still dying and what can be done</w:t>
      </w:r>
      <w:r w:rsidRPr="00DB5453">
        <w:rPr>
          <w:rFonts w:ascii="Arial" w:eastAsia="Times New Roman" w:hAnsi="Arial" w:cs="Arial"/>
          <w:sz w:val="24"/>
          <w:szCs w:val="24"/>
          <w:lang w:eastAsia="en-GB"/>
        </w:rPr>
        <w:t>. WHO Press.</w:t>
      </w:r>
    </w:p>
    <w:p w14:paraId="08BC6748"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World Health Organization. (2020). </w:t>
      </w:r>
      <w:r w:rsidRPr="00DB5453">
        <w:rPr>
          <w:rFonts w:ascii="Arial" w:eastAsia="Times New Roman" w:hAnsi="Arial" w:cs="Arial"/>
          <w:i/>
          <w:iCs/>
          <w:sz w:val="24"/>
          <w:szCs w:val="24"/>
          <w:lang w:eastAsia="en-GB"/>
        </w:rPr>
        <w:t>WHO guidelines on sanitation and health</w:t>
      </w:r>
      <w:r w:rsidRPr="00DB5453">
        <w:rPr>
          <w:rFonts w:ascii="Arial" w:eastAsia="Times New Roman" w:hAnsi="Arial" w:cs="Arial"/>
          <w:sz w:val="24"/>
          <w:szCs w:val="24"/>
          <w:lang w:eastAsia="en-GB"/>
        </w:rPr>
        <w:t>. WHO.</w:t>
      </w:r>
    </w:p>
    <w:p w14:paraId="3ED2F179"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World Health Organization. (2023). </w:t>
      </w:r>
      <w:r w:rsidRPr="00DB5453">
        <w:rPr>
          <w:rFonts w:ascii="Arial" w:eastAsia="Times New Roman" w:hAnsi="Arial" w:cs="Arial"/>
          <w:i/>
          <w:iCs/>
          <w:sz w:val="24"/>
          <w:szCs w:val="24"/>
          <w:lang w:eastAsia="en-GB"/>
        </w:rPr>
        <w:t>Diarrhoeal disease fact sheet</w:t>
      </w:r>
      <w:r w:rsidRPr="00DB5453">
        <w:rPr>
          <w:rFonts w:ascii="Arial" w:eastAsia="Times New Roman" w:hAnsi="Arial" w:cs="Arial"/>
          <w:sz w:val="24"/>
          <w:szCs w:val="24"/>
          <w:lang w:eastAsia="en-GB"/>
        </w:rPr>
        <w:t xml:space="preserve">. </w:t>
      </w:r>
      <w:hyperlink r:id="rId34" w:history="1">
        <w:r w:rsidRPr="00DB5453">
          <w:rPr>
            <w:rFonts w:ascii="Arial" w:eastAsia="Times New Roman" w:hAnsi="Arial" w:cs="Arial"/>
            <w:sz w:val="24"/>
            <w:szCs w:val="24"/>
            <w:lang w:eastAsia="en-GB"/>
          </w:rPr>
          <w:t>https://www.who.int/news-room/fact-sheets/detail/diarrhoeal-disease</w:t>
        </w:r>
      </w:hyperlink>
    </w:p>
    <w:p w14:paraId="3D869143" w14:textId="77777777" w:rsidR="0057055D" w:rsidRPr="00DB5453" w:rsidRDefault="0057055D" w:rsidP="0057055D">
      <w:pPr>
        <w:spacing w:before="100" w:beforeAutospacing="1" w:after="100" w:afterAutospacing="1" w:line="240" w:lineRule="auto"/>
        <w:rPr>
          <w:rFonts w:ascii="Arial" w:eastAsia="Times New Roman" w:hAnsi="Arial" w:cs="Arial"/>
          <w:sz w:val="24"/>
          <w:szCs w:val="24"/>
          <w:lang w:eastAsia="en-GB"/>
        </w:rPr>
      </w:pPr>
      <w:r w:rsidRPr="00DB5453">
        <w:rPr>
          <w:rFonts w:ascii="Arial" w:eastAsia="Times New Roman" w:hAnsi="Arial" w:cs="Arial"/>
          <w:sz w:val="24"/>
          <w:szCs w:val="24"/>
          <w:lang w:eastAsia="en-GB"/>
        </w:rPr>
        <w:t>.</w:t>
      </w:r>
    </w:p>
    <w:p w14:paraId="6E7F9D2A" w14:textId="77777777" w:rsidR="00673C48" w:rsidRPr="00DB5453" w:rsidRDefault="00673C48" w:rsidP="00FA58BC">
      <w:pPr>
        <w:spacing w:after="0"/>
        <w:rPr>
          <w:rFonts w:ascii="Arial" w:hAnsi="Arial" w:cs="Arial"/>
        </w:rPr>
      </w:pPr>
    </w:p>
    <w:p w14:paraId="30BD4EB1" w14:textId="77777777" w:rsidR="00133888" w:rsidRPr="00DB5453" w:rsidRDefault="00133888" w:rsidP="00FA58BC">
      <w:pPr>
        <w:spacing w:after="0"/>
        <w:rPr>
          <w:rFonts w:ascii="Arial" w:hAnsi="Arial" w:cs="Arial"/>
        </w:rPr>
      </w:pPr>
    </w:p>
    <w:sectPr w:rsidR="00133888" w:rsidRPr="00DB5453" w:rsidSect="00F30099">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697AE" w14:textId="77777777" w:rsidR="0098539F" w:rsidRDefault="0098539F" w:rsidP="00026D04">
      <w:pPr>
        <w:spacing w:after="0" w:line="240" w:lineRule="auto"/>
      </w:pPr>
      <w:r>
        <w:separator/>
      </w:r>
    </w:p>
  </w:endnote>
  <w:endnote w:type="continuationSeparator" w:id="0">
    <w:p w14:paraId="66BA2C52" w14:textId="77777777" w:rsidR="0098539F" w:rsidRDefault="0098539F" w:rsidP="0002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04E4" w14:textId="77777777" w:rsidR="0064223D" w:rsidRDefault="0064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07943"/>
      <w:docPartObj>
        <w:docPartGallery w:val="Page Numbers (Bottom of Page)"/>
        <w:docPartUnique/>
      </w:docPartObj>
    </w:sdtPr>
    <w:sdtEndPr>
      <w:rPr>
        <w:noProof/>
      </w:rPr>
    </w:sdtEndPr>
    <w:sdtContent>
      <w:p w14:paraId="156D9C16" w14:textId="77777777" w:rsidR="00026D04" w:rsidRDefault="00026D04">
        <w:pPr>
          <w:pStyle w:val="Footer"/>
          <w:jc w:val="center"/>
        </w:pPr>
        <w:r>
          <w:fldChar w:fldCharType="begin"/>
        </w:r>
        <w:r>
          <w:instrText xml:space="preserve"> PAGE   \* MERGEFORMAT </w:instrText>
        </w:r>
        <w:r>
          <w:fldChar w:fldCharType="separate"/>
        </w:r>
        <w:r w:rsidR="00A018B4">
          <w:rPr>
            <w:noProof/>
          </w:rPr>
          <w:t>7</w:t>
        </w:r>
        <w:r>
          <w:rPr>
            <w:noProof/>
          </w:rPr>
          <w:fldChar w:fldCharType="end"/>
        </w:r>
      </w:p>
    </w:sdtContent>
  </w:sdt>
  <w:p w14:paraId="2909A9E5" w14:textId="77777777" w:rsidR="00026D04" w:rsidRDefault="00026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4ABC" w14:textId="77777777" w:rsidR="0064223D" w:rsidRDefault="006422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508248"/>
      <w:docPartObj>
        <w:docPartGallery w:val="Page Numbers (Bottom of Page)"/>
        <w:docPartUnique/>
      </w:docPartObj>
    </w:sdtPr>
    <w:sdtEndPr>
      <w:rPr>
        <w:noProof/>
      </w:rPr>
    </w:sdtEndPr>
    <w:sdtContent>
      <w:p w14:paraId="6CC51663" w14:textId="77777777" w:rsidR="00026D04" w:rsidRDefault="00026D04">
        <w:pPr>
          <w:pStyle w:val="Footer"/>
          <w:jc w:val="center"/>
        </w:pPr>
        <w:r>
          <w:fldChar w:fldCharType="begin"/>
        </w:r>
        <w:r>
          <w:instrText xml:space="preserve"> PAGE   \* MERGEFORMAT </w:instrText>
        </w:r>
        <w:r>
          <w:fldChar w:fldCharType="separate"/>
        </w:r>
        <w:r w:rsidR="00A018B4">
          <w:rPr>
            <w:noProof/>
          </w:rPr>
          <w:t>9</w:t>
        </w:r>
        <w:r>
          <w:rPr>
            <w:noProof/>
          </w:rPr>
          <w:fldChar w:fldCharType="end"/>
        </w:r>
      </w:p>
    </w:sdtContent>
  </w:sdt>
  <w:p w14:paraId="5FF8C0AF" w14:textId="77777777" w:rsidR="005D24C5" w:rsidRDefault="005D24C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2A9FD" w14:textId="77777777" w:rsidR="0098539F" w:rsidRDefault="0098539F" w:rsidP="00026D04">
      <w:pPr>
        <w:spacing w:after="0" w:line="240" w:lineRule="auto"/>
      </w:pPr>
      <w:r>
        <w:separator/>
      </w:r>
    </w:p>
  </w:footnote>
  <w:footnote w:type="continuationSeparator" w:id="0">
    <w:p w14:paraId="744440A4" w14:textId="77777777" w:rsidR="0098539F" w:rsidRDefault="0098539F" w:rsidP="0002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FDED" w14:textId="4C389042" w:rsidR="0064223D" w:rsidRDefault="0064223D">
    <w:pPr>
      <w:pStyle w:val="Header"/>
    </w:pPr>
    <w:r>
      <w:rPr>
        <w:noProof/>
      </w:rPr>
      <w:pict w14:anchorId="705A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C6E6" w14:textId="59A259C8" w:rsidR="0064223D" w:rsidRDefault="0064223D">
    <w:pPr>
      <w:pStyle w:val="Header"/>
    </w:pPr>
    <w:r>
      <w:rPr>
        <w:noProof/>
      </w:rPr>
      <w:pict w14:anchorId="4C6BA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1933" w14:textId="1ACCF237" w:rsidR="0064223D" w:rsidRDefault="0064223D">
    <w:pPr>
      <w:pStyle w:val="Header"/>
    </w:pPr>
    <w:r>
      <w:rPr>
        <w:noProof/>
      </w:rPr>
      <w:pict w14:anchorId="78B03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5F46" w14:textId="2C9FC8D8" w:rsidR="0064223D" w:rsidRDefault="0064223D">
    <w:pPr>
      <w:pStyle w:val="Header"/>
    </w:pPr>
    <w:r>
      <w:rPr>
        <w:noProof/>
      </w:rPr>
      <w:pict w14:anchorId="3894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7.8pt;height:112.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499B" w14:textId="79AC29DD" w:rsidR="0064223D" w:rsidRDefault="0064223D">
    <w:pPr>
      <w:pStyle w:val="Header"/>
    </w:pPr>
    <w:r>
      <w:rPr>
        <w:noProof/>
      </w:rPr>
      <w:pict w14:anchorId="239A8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7.8pt;height:112.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0B8C" w14:textId="4FFA032E" w:rsidR="0064223D" w:rsidRDefault="0064223D">
    <w:pPr>
      <w:pStyle w:val="Header"/>
    </w:pPr>
    <w:r>
      <w:rPr>
        <w:noProof/>
      </w:rPr>
      <w:pict w14:anchorId="50906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7.8pt;height:112.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3EC8"/>
    <w:multiLevelType w:val="multilevel"/>
    <w:tmpl w:val="6B30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F2914"/>
    <w:multiLevelType w:val="multilevel"/>
    <w:tmpl w:val="3E26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1258D"/>
    <w:multiLevelType w:val="multilevel"/>
    <w:tmpl w:val="A46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628DA"/>
    <w:multiLevelType w:val="multilevel"/>
    <w:tmpl w:val="BB4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22335"/>
    <w:multiLevelType w:val="hybridMultilevel"/>
    <w:tmpl w:val="9456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87855BB"/>
    <w:multiLevelType w:val="multilevel"/>
    <w:tmpl w:val="ADA885B4"/>
    <w:lvl w:ilvl="0">
      <w:start w:val="2"/>
      <w:numFmt w:val="decimal"/>
      <w:lvlText w:val="%1"/>
      <w:lvlJc w:val="left"/>
      <w:pPr>
        <w:ind w:left="571" w:hanging="21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80" w:hanging="720"/>
      </w:pPr>
      <w:rPr>
        <w:rFonts w:hint="default"/>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19"/>
    <w:rsid w:val="00026D04"/>
    <w:rsid w:val="000431E8"/>
    <w:rsid w:val="000C471E"/>
    <w:rsid w:val="0010413F"/>
    <w:rsid w:val="001249A6"/>
    <w:rsid w:val="00133888"/>
    <w:rsid w:val="00163249"/>
    <w:rsid w:val="001C68E8"/>
    <w:rsid w:val="001E52B0"/>
    <w:rsid w:val="001F2D9D"/>
    <w:rsid w:val="0024303D"/>
    <w:rsid w:val="00476FD7"/>
    <w:rsid w:val="004E6045"/>
    <w:rsid w:val="004F6B01"/>
    <w:rsid w:val="0057055D"/>
    <w:rsid w:val="005B5D34"/>
    <w:rsid w:val="005C37A3"/>
    <w:rsid w:val="005D24C5"/>
    <w:rsid w:val="0064223D"/>
    <w:rsid w:val="0064242D"/>
    <w:rsid w:val="00673C48"/>
    <w:rsid w:val="006B1729"/>
    <w:rsid w:val="006F3A96"/>
    <w:rsid w:val="00802A8F"/>
    <w:rsid w:val="00853F40"/>
    <w:rsid w:val="00962AB3"/>
    <w:rsid w:val="0098539F"/>
    <w:rsid w:val="009A0563"/>
    <w:rsid w:val="009A4DAF"/>
    <w:rsid w:val="00A018B4"/>
    <w:rsid w:val="00A470B0"/>
    <w:rsid w:val="00BB1BB1"/>
    <w:rsid w:val="00D2675B"/>
    <w:rsid w:val="00D70088"/>
    <w:rsid w:val="00D7096D"/>
    <w:rsid w:val="00D97BB3"/>
    <w:rsid w:val="00DB5453"/>
    <w:rsid w:val="00E96F56"/>
    <w:rsid w:val="00EB097B"/>
    <w:rsid w:val="00ED507C"/>
    <w:rsid w:val="00F07296"/>
    <w:rsid w:val="00F30099"/>
    <w:rsid w:val="00F50819"/>
    <w:rsid w:val="00FA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A86712"/>
  <w15:docId w15:val="{B8EA2959-6006-4760-A8C1-0AE945E0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64242D"/>
    <w:pPr>
      <w:widowControl w:val="0"/>
      <w:autoSpaceDE w:val="0"/>
      <w:autoSpaceDN w:val="0"/>
      <w:spacing w:before="60" w:after="0" w:line="240" w:lineRule="auto"/>
      <w:ind w:left="3323"/>
      <w:jc w:val="center"/>
      <w:outlineLvl w:val="0"/>
    </w:pPr>
    <w:rPr>
      <w:rFonts w:ascii="Times New Roman" w:eastAsia="Times New Roman" w:hAnsi="Times New Roman" w:cs="Times New Roman"/>
      <w:b/>
      <w:bCs/>
      <w:sz w:val="28"/>
      <w:szCs w:val="28"/>
      <w:lang w:val="en-US"/>
    </w:rPr>
  </w:style>
  <w:style w:type="paragraph" w:styleId="Heading2">
    <w:name w:val="heading 2"/>
    <w:basedOn w:val="Normal"/>
    <w:link w:val="Heading2Char"/>
    <w:uiPriority w:val="1"/>
    <w:qFormat/>
    <w:rsid w:val="0064242D"/>
    <w:pPr>
      <w:widowControl w:val="0"/>
      <w:autoSpaceDE w:val="0"/>
      <w:autoSpaceDN w:val="0"/>
      <w:spacing w:before="60" w:after="0" w:line="240" w:lineRule="auto"/>
      <w:ind w:left="1079" w:hanging="719"/>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link w:val="Heading3Char"/>
    <w:uiPriority w:val="9"/>
    <w:semiHidden/>
    <w:unhideWhenUsed/>
    <w:qFormat/>
    <w:rsid w:val="00642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8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F50819"/>
  </w:style>
  <w:style w:type="character" w:customStyle="1" w:styleId="Heading1Char">
    <w:name w:val="Heading 1 Char"/>
    <w:basedOn w:val="DefaultParagraphFont"/>
    <w:link w:val="Heading1"/>
    <w:uiPriority w:val="1"/>
    <w:rsid w:val="0064242D"/>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64242D"/>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64242D"/>
    <w:pPr>
      <w:widowControl w:val="0"/>
      <w:autoSpaceDE w:val="0"/>
      <w:autoSpaceDN w:val="0"/>
      <w:spacing w:after="0" w:line="240" w:lineRule="auto"/>
      <w:ind w:left="360"/>
      <w:jc w:val="both"/>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64242D"/>
    <w:rPr>
      <w:rFonts w:ascii="Times New Roman" w:eastAsia="Times New Roman" w:hAnsi="Times New Roman" w:cs="Times New Roman"/>
      <w:sz w:val="28"/>
      <w:szCs w:val="28"/>
      <w:lang w:val="en-US"/>
    </w:rPr>
  </w:style>
  <w:style w:type="paragraph" w:styleId="ListParagraph">
    <w:name w:val="List Paragraph"/>
    <w:basedOn w:val="Normal"/>
    <w:uiPriority w:val="1"/>
    <w:qFormat/>
    <w:rsid w:val="0064242D"/>
    <w:pPr>
      <w:widowControl w:val="0"/>
      <w:autoSpaceDE w:val="0"/>
      <w:autoSpaceDN w:val="0"/>
      <w:spacing w:before="60" w:after="0" w:line="240" w:lineRule="auto"/>
      <w:ind w:left="1079" w:hanging="719"/>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64242D"/>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64242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26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D04"/>
  </w:style>
  <w:style w:type="paragraph" w:styleId="Footer">
    <w:name w:val="footer"/>
    <w:basedOn w:val="Normal"/>
    <w:link w:val="FooterChar"/>
    <w:uiPriority w:val="99"/>
    <w:unhideWhenUsed/>
    <w:rsid w:val="00026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D04"/>
  </w:style>
  <w:style w:type="table" w:styleId="TableGrid">
    <w:name w:val="Table Grid"/>
    <w:basedOn w:val="TableNormal"/>
    <w:uiPriority w:val="59"/>
    <w:rsid w:val="00D7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53F40"/>
    <w:rPr>
      <w:rFonts w:cs="Times New Roman"/>
      <w:color w:val="0000FF"/>
      <w:u w:val="single"/>
    </w:rPr>
  </w:style>
  <w:style w:type="paragraph" w:customStyle="1" w:styleId="PuceRoseDtail">
    <w:name w:val="Puce Rose Détail"/>
    <w:basedOn w:val="Normal"/>
    <w:uiPriority w:val="99"/>
    <w:rsid w:val="00853F40"/>
    <w:pPr>
      <w:tabs>
        <w:tab w:val="num" w:pos="360"/>
        <w:tab w:val="left" w:pos="792"/>
      </w:tabs>
      <w:spacing w:after="0" w:line="240" w:lineRule="auto"/>
      <w:ind w:left="288" w:hanging="288"/>
    </w:pPr>
    <w:rPr>
      <w:rFonts w:ascii="Arial" w:eastAsia="Times New Roman" w:hAnsi="Arial" w:cs="Times New Roman"/>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22650">
      <w:bodyDiv w:val="1"/>
      <w:marLeft w:val="0"/>
      <w:marRight w:val="0"/>
      <w:marTop w:val="0"/>
      <w:marBottom w:val="0"/>
      <w:divBdr>
        <w:top w:val="none" w:sz="0" w:space="0" w:color="auto"/>
        <w:left w:val="none" w:sz="0" w:space="0" w:color="auto"/>
        <w:bottom w:val="none" w:sz="0" w:space="0" w:color="auto"/>
        <w:right w:val="none" w:sz="0" w:space="0" w:color="auto"/>
      </w:divBdr>
    </w:div>
    <w:div w:id="634065992">
      <w:bodyDiv w:val="1"/>
      <w:marLeft w:val="0"/>
      <w:marRight w:val="0"/>
      <w:marTop w:val="0"/>
      <w:marBottom w:val="0"/>
      <w:divBdr>
        <w:top w:val="none" w:sz="0" w:space="0" w:color="auto"/>
        <w:left w:val="none" w:sz="0" w:space="0" w:color="auto"/>
        <w:bottom w:val="none" w:sz="0" w:space="0" w:color="auto"/>
        <w:right w:val="none" w:sz="0" w:space="0" w:color="auto"/>
      </w:divBdr>
    </w:div>
    <w:div w:id="694188690">
      <w:bodyDiv w:val="1"/>
      <w:marLeft w:val="0"/>
      <w:marRight w:val="0"/>
      <w:marTop w:val="0"/>
      <w:marBottom w:val="0"/>
      <w:divBdr>
        <w:top w:val="none" w:sz="0" w:space="0" w:color="auto"/>
        <w:left w:val="none" w:sz="0" w:space="0" w:color="auto"/>
        <w:bottom w:val="none" w:sz="0" w:space="0" w:color="auto"/>
        <w:right w:val="none" w:sz="0" w:space="0" w:color="auto"/>
      </w:divBdr>
    </w:div>
    <w:div w:id="945423389">
      <w:bodyDiv w:val="1"/>
      <w:marLeft w:val="0"/>
      <w:marRight w:val="0"/>
      <w:marTop w:val="0"/>
      <w:marBottom w:val="0"/>
      <w:divBdr>
        <w:top w:val="none" w:sz="0" w:space="0" w:color="auto"/>
        <w:left w:val="none" w:sz="0" w:space="0" w:color="auto"/>
        <w:bottom w:val="none" w:sz="0" w:space="0" w:color="auto"/>
        <w:right w:val="none" w:sz="0" w:space="0" w:color="auto"/>
      </w:divBdr>
    </w:div>
    <w:div w:id="985010916">
      <w:bodyDiv w:val="1"/>
      <w:marLeft w:val="0"/>
      <w:marRight w:val="0"/>
      <w:marTop w:val="0"/>
      <w:marBottom w:val="0"/>
      <w:divBdr>
        <w:top w:val="none" w:sz="0" w:space="0" w:color="auto"/>
        <w:left w:val="none" w:sz="0" w:space="0" w:color="auto"/>
        <w:bottom w:val="none" w:sz="0" w:space="0" w:color="auto"/>
        <w:right w:val="none" w:sz="0" w:space="0" w:color="auto"/>
      </w:divBdr>
    </w:div>
    <w:div w:id="1373114963">
      <w:bodyDiv w:val="1"/>
      <w:marLeft w:val="0"/>
      <w:marRight w:val="0"/>
      <w:marTop w:val="0"/>
      <w:marBottom w:val="0"/>
      <w:divBdr>
        <w:top w:val="none" w:sz="0" w:space="0" w:color="auto"/>
        <w:left w:val="none" w:sz="0" w:space="0" w:color="auto"/>
        <w:bottom w:val="none" w:sz="0" w:space="0" w:color="auto"/>
        <w:right w:val="none" w:sz="0" w:space="0" w:color="auto"/>
      </w:divBdr>
    </w:div>
    <w:div w:id="2072388717">
      <w:bodyDiv w:val="1"/>
      <w:marLeft w:val="0"/>
      <w:marRight w:val="0"/>
      <w:marTop w:val="0"/>
      <w:marBottom w:val="0"/>
      <w:divBdr>
        <w:top w:val="none" w:sz="0" w:space="0" w:color="auto"/>
        <w:left w:val="none" w:sz="0" w:space="0" w:color="auto"/>
        <w:bottom w:val="none" w:sz="0" w:space="0" w:color="auto"/>
        <w:right w:val="none" w:sz="0" w:space="0" w:color="auto"/>
      </w:divBdr>
    </w:div>
    <w:div w:id="21405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scholar.google.com/citations?view_op=view_citation&amp;hl=en&amp;user=1MAhf7sAAAAJ&amp;citation_for_view=1MAhf7sAAAAJ:nb7KW1ujOQ8C" TargetMode="External"/><Relationship Id="rId26" Type="http://schemas.openxmlformats.org/officeDocument/2006/relationships/hyperlink" Target="https://doi.org/10.4314/ahs.v14i4.32" TargetMode="External"/><Relationship Id="rId3" Type="http://schemas.openxmlformats.org/officeDocument/2006/relationships/settings" Target="settings.xml"/><Relationship Id="rId21" Type="http://schemas.openxmlformats.org/officeDocument/2006/relationships/hyperlink" Target="https://doi.org/10.1016/S2352-4642(23)00045-8" TargetMode="External"/><Relationship Id="rId34" Type="http://schemas.openxmlformats.org/officeDocument/2006/relationships/hyperlink" Target="https://www.who.int/news-room/fact-sheets/detail/diarrhoeal-diseas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scholar.google.com/citations?view_op=view_citation&amp;hl=en&amp;user=1MAhf7sAAAAJ&amp;citation_for_view=1MAhf7sAAAAJ:P5F9QuxV20EC" TargetMode="External"/><Relationship Id="rId25" Type="http://schemas.openxmlformats.org/officeDocument/2006/relationships/hyperlink" Target="https://doi.org/10.1016/S1473-3099(23)00412-7" TargetMode="External"/><Relationship Id="rId33" Type="http://schemas.openxmlformats.org/officeDocument/2006/relationships/hyperlink" Target="https://doi.org/10.1016/S2214-109X(22)00518-5"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1016/S0140-6736(13)60648-0" TargetMode="External"/><Relationship Id="rId29" Type="http://schemas.openxmlformats.org/officeDocument/2006/relationships/hyperlink" Target="https://doi.org/10.1016/S1473-3099(21)004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S0033-3506(03)00127-0" TargetMode="External"/><Relationship Id="rId32" Type="http://schemas.openxmlformats.org/officeDocument/2006/relationships/hyperlink" Target="https://doi.org/10.1016/S1473-3099(21)00439-9"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016/S2214-109X(20)30590-6" TargetMode="External"/><Relationship Id="rId28" Type="http://schemas.openxmlformats.org/officeDocument/2006/relationships/hyperlink" Target="https://doi.org/10.1111/tmi.13254"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4066/AMJ.2011.723" TargetMode="External"/><Relationship Id="rId31" Type="http://schemas.openxmlformats.org/officeDocument/2006/relationships/hyperlink" Target="https://doi.org/10.1016/S0140-6736(13)6022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93/cid/ciac879" TargetMode="External"/><Relationship Id="rId27" Type="http://schemas.openxmlformats.org/officeDocument/2006/relationships/hyperlink" Target="https://doi.org/10.1016/S2214-109X(19)30268-2" TargetMode="External"/><Relationship Id="rId30" Type="http://schemas.openxmlformats.org/officeDocument/2006/relationships/hyperlink" Target="https://doi.org/10.1016/j.heliyon.2021.e05971"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7</cp:revision>
  <dcterms:created xsi:type="dcterms:W3CDTF">2026-02-23T14:08:00Z</dcterms:created>
  <dcterms:modified xsi:type="dcterms:W3CDTF">2026-02-25T10:16:00Z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105376cd-0db1-45f7-bc06-09d92288abbd</vt:lpwstr>
  </property>
</Properties>
</file>