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C7E48" w14:textId="77777777" w:rsidR="00EA4685" w:rsidRDefault="00EA4685">
      <w:pPr>
        <w:pStyle w:val="Title"/>
        <w:spacing w:after="0"/>
        <w:jc w:val="both"/>
        <w:rPr>
          <w:rFonts w:ascii="Arial" w:hAnsi="Arial" w:cs="Arial"/>
        </w:rPr>
      </w:pPr>
    </w:p>
    <w:p w14:paraId="7681B79E" w14:textId="77777777" w:rsidR="00C25ACD" w:rsidRDefault="00C25ACD">
      <w:pPr>
        <w:pStyle w:val="Author"/>
        <w:spacing w:line="240" w:lineRule="auto"/>
        <w:rPr>
          <w:rFonts w:ascii="Arial" w:hAnsi="Arial" w:cs="Arial"/>
          <w:bCs/>
          <w:iCs/>
          <w:kern w:val="28"/>
          <w:sz w:val="36"/>
        </w:rPr>
      </w:pPr>
      <w:r w:rsidRPr="00C25ACD">
        <w:rPr>
          <w:rFonts w:ascii="Arial" w:hAnsi="Arial" w:cs="Arial"/>
          <w:bCs/>
          <w:iCs/>
          <w:kern w:val="28"/>
          <w:sz w:val="36"/>
        </w:rPr>
        <w:t xml:space="preserve">Case report </w:t>
      </w:r>
    </w:p>
    <w:p w14:paraId="40356AF8" w14:textId="034483D2" w:rsidR="00EA4685" w:rsidRPr="00D834A7" w:rsidRDefault="00AA7838">
      <w:pPr>
        <w:pStyle w:val="Author"/>
        <w:spacing w:line="240" w:lineRule="auto"/>
        <w:rPr>
          <w:rFonts w:ascii="Arial" w:hAnsi="Arial" w:cs="Arial"/>
          <w:bCs/>
          <w:iCs/>
          <w:kern w:val="28"/>
          <w:sz w:val="36"/>
        </w:rPr>
      </w:pPr>
      <w:r w:rsidRPr="00D834A7">
        <w:rPr>
          <w:rFonts w:ascii="Arial" w:hAnsi="Arial" w:cs="Arial"/>
          <w:bCs/>
          <w:iCs/>
          <w:kern w:val="28"/>
          <w:sz w:val="36"/>
        </w:rPr>
        <w:t>Concurrent Deep Vein Thrombosis and Pulmonary Embolism following Total Knee Replacement associated with Over-the-Counter NSAID use and interruption of thromboprophylaxis</w:t>
      </w:r>
    </w:p>
    <w:p w14:paraId="5C558BA0" w14:textId="77777777" w:rsidR="00EA4685" w:rsidRPr="00D834A7" w:rsidRDefault="00EA4685">
      <w:pPr>
        <w:pStyle w:val="Author"/>
        <w:spacing w:line="240" w:lineRule="auto"/>
        <w:jc w:val="both"/>
        <w:rPr>
          <w:rFonts w:ascii="Arial" w:hAnsi="Arial" w:cs="Arial"/>
          <w:sz w:val="36"/>
        </w:rPr>
      </w:pPr>
    </w:p>
    <w:p w14:paraId="0029BFDE" w14:textId="77777777" w:rsidR="00EA4685" w:rsidRPr="00D834A7" w:rsidRDefault="00EA4685">
      <w:pPr>
        <w:pStyle w:val="Affiliation"/>
        <w:spacing w:after="0" w:line="240" w:lineRule="auto"/>
        <w:jc w:val="both"/>
        <w:rPr>
          <w:rFonts w:ascii="Arial" w:hAnsi="Arial" w:cs="Arial"/>
        </w:rPr>
      </w:pPr>
    </w:p>
    <w:p w14:paraId="5CB25428" w14:textId="77777777" w:rsidR="00EA4685" w:rsidRPr="00D834A7" w:rsidRDefault="00EA4685">
      <w:pPr>
        <w:pStyle w:val="Affiliation"/>
        <w:spacing w:after="0" w:line="240" w:lineRule="auto"/>
        <w:jc w:val="both"/>
        <w:rPr>
          <w:rFonts w:ascii="Arial" w:hAnsi="Arial" w:cs="Arial"/>
        </w:rPr>
      </w:pPr>
    </w:p>
    <w:p w14:paraId="40535853" w14:textId="77777777" w:rsidR="00EA4685" w:rsidRPr="00D834A7" w:rsidRDefault="00AA7838">
      <w:pPr>
        <w:pStyle w:val="Copyright"/>
        <w:spacing w:after="0" w:line="240" w:lineRule="auto"/>
        <w:jc w:val="both"/>
        <w:rPr>
          <w:rFonts w:ascii="Arial" w:hAnsi="Arial" w:cs="Arial"/>
        </w:rPr>
        <w:sectPr w:rsidR="00EA4685" w:rsidRPr="00D834A7">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cols w:space="720"/>
          <w:docGrid w:linePitch="272"/>
        </w:sectPr>
      </w:pPr>
      <w:r w:rsidRPr="00D834A7">
        <w:rPr>
          <w:rFonts w:ascii="Arial" w:hAnsi="Arial" w:cs="Arial"/>
          <w:noProof/>
        </w:rPr>
        <mc:AlternateContent>
          <mc:Choice Requires="wps">
            <w:drawing>
              <wp:inline distT="0" distB="0" distL="114298" distR="114298" wp14:anchorId="5F09ECD3" wp14:editId="1ACF3B76">
                <wp:extent cx="5303520" cy="952"/>
                <wp:effectExtent l="0" t="0" r="0" b="0"/>
                <wp:docPr id="1" name="直线连接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952"/>
                        </a:xfrm>
                        <a:prstGeom prst="straightConnector1">
                          <a:avLst/>
                        </a:prstGeom>
                        <a:noFill/>
                        <a:ln w="19050" cap="flat" cmpd="sng">
                          <a:solidFill>
                            <a:srgbClr val="000000"/>
                          </a:solidFill>
                          <a:prstDash val="solid"/>
                          <a:round/>
                        </a:ln>
                      </wps:spPr>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type="#_x0000_t32" id="直线连接线 2" o:spid="_x0000_s2" filled="f" stroked="t" strokeweight="1.5pt" style="width:417.6pt;&#10;height:0.07499695pt;">
                <v:stroke color="#000000"/>
                <w10:anchorLock/>
              </v:shape>
            </w:pict>
          </mc:Fallback>
        </mc:AlternateContent>
      </w:r>
      <w:r w:rsidRPr="00D834A7">
        <w:rPr>
          <w:rFonts w:ascii="Arial" w:hAnsi="Arial" w:cs="Arial"/>
        </w:rPr>
        <w:t>.</w:t>
      </w:r>
    </w:p>
    <w:p w14:paraId="58704F8D" w14:textId="77777777" w:rsidR="00EA4685" w:rsidRPr="00D834A7" w:rsidRDefault="00AA7838">
      <w:pPr>
        <w:pStyle w:val="AbstHead"/>
        <w:spacing w:after="0"/>
        <w:jc w:val="both"/>
        <w:rPr>
          <w:rFonts w:ascii="Arial" w:hAnsi="Arial" w:cs="Arial"/>
        </w:rPr>
      </w:pPr>
      <w:r w:rsidRPr="00D834A7">
        <w:rPr>
          <w:rFonts w:ascii="Arial" w:hAnsi="Arial" w:cs="Arial"/>
        </w:rPr>
        <w:t xml:space="preserve">ABSTRACT </w:t>
      </w:r>
    </w:p>
    <w:p w14:paraId="67A8C789" w14:textId="77777777" w:rsidR="00EA4685" w:rsidRPr="00D834A7" w:rsidRDefault="00EA4685">
      <w:pPr>
        <w:pStyle w:val="AbstHead"/>
        <w:spacing w:after="0"/>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76"/>
      </w:tblGrid>
      <w:tr w:rsidR="00EA4685" w:rsidRPr="00D834A7" w14:paraId="29706421" w14:textId="77777777">
        <w:tc>
          <w:tcPr>
            <w:tcW w:w="9576" w:type="dxa"/>
            <w:shd w:val="clear" w:color="auto" w:fill="F2F2F2"/>
          </w:tcPr>
          <w:p w14:paraId="50FBC183" w14:textId="77777777" w:rsidR="00EA4685" w:rsidRPr="00D834A7" w:rsidRDefault="00EA4685">
            <w:pPr>
              <w:pStyle w:val="Body"/>
              <w:spacing w:after="0"/>
              <w:rPr>
                <w:rFonts w:ascii="Arial" w:eastAsia="Calibri" w:hAnsi="Arial" w:cs="Arial"/>
                <w:b/>
                <w:szCs w:val="22"/>
              </w:rPr>
            </w:pPr>
          </w:p>
          <w:p w14:paraId="653BAA43" w14:textId="77777777" w:rsidR="00EA4685" w:rsidRPr="00D834A7" w:rsidRDefault="00AA7838">
            <w:pPr>
              <w:pStyle w:val="Body"/>
              <w:rPr>
                <w:rFonts w:ascii="Arial" w:eastAsia="Calibri" w:hAnsi="Arial" w:cs="Arial"/>
                <w:sz w:val="22"/>
              </w:rPr>
            </w:pPr>
            <w:r w:rsidRPr="00D834A7">
              <w:rPr>
                <w:rFonts w:ascii="Arial" w:eastAsia="Calibri" w:hAnsi="Arial" w:cs="Arial"/>
                <w:b/>
                <w:bCs/>
                <w:sz w:val="22"/>
                <w:szCs w:val="24"/>
              </w:rPr>
              <w:t xml:space="preserve">Aim: </w:t>
            </w:r>
            <w:r w:rsidRPr="00D834A7">
              <w:rPr>
                <w:rFonts w:ascii="Arial" w:eastAsia="Calibri" w:hAnsi="Arial" w:cs="Arial"/>
                <w:sz w:val="22"/>
                <w:szCs w:val="24"/>
              </w:rPr>
              <w:t>This case study explores the consequences of unsupervised consumption of over-the-counter (OTC) medications in a patient following total knee replacement (TKR). It specifically focuses on how interruption of prescribed thromboprophylaxis contributed to the development of venous thromboembolism (VTE).</w:t>
            </w:r>
          </w:p>
          <w:p w14:paraId="3CFFA6DB" w14:textId="77777777" w:rsidR="00EA4685" w:rsidRPr="00D834A7" w:rsidRDefault="00AA7838">
            <w:pPr>
              <w:pStyle w:val="Body"/>
              <w:spacing w:after="0"/>
              <w:rPr>
                <w:rFonts w:ascii="Arial" w:eastAsia="Calibri" w:hAnsi="Arial" w:cs="Arial"/>
                <w:sz w:val="22"/>
                <w:szCs w:val="24"/>
              </w:rPr>
            </w:pPr>
            <w:r w:rsidRPr="00D834A7">
              <w:rPr>
                <w:rFonts w:ascii="Arial" w:eastAsia="Calibri" w:hAnsi="Arial" w:cs="Arial"/>
                <w:b/>
                <w:bCs/>
                <w:sz w:val="22"/>
                <w:szCs w:val="24"/>
              </w:rPr>
              <w:t>Presentation of Case:</w:t>
            </w:r>
            <w:r w:rsidRPr="00D834A7">
              <w:rPr>
                <w:rFonts w:ascii="Arial" w:eastAsia="Calibri" w:hAnsi="Arial" w:cs="Arial"/>
                <w:sz w:val="22"/>
                <w:szCs w:val="24"/>
              </w:rPr>
              <w:t xml:space="preserve"> A 67-year-old woman with a history of type 2 diabetes mellitus and hypertension underwent an elective right total knee replacement procedure. After discharge, she was advised to continue oral anticoagulant therapy as part of thromboprophylaxis. To relieve postoperative pain, the patient independently used diclofenac obtained over the counter. Following its use, she experienced epigastric discomfort, dizziness, and mild bleeding from the surgical site. Concerned about these symptoms, she decided to omit one dose of her anticoagulant medication and also reduced her level of physical activity. Within three days, she developed swelling in the calf along with tachycardia (110 beats per minute) and decreased oxygen saturation (SpO</w:t>
            </w:r>
            <w:r w:rsidRPr="00D834A7">
              <w:rPr>
                <w:rFonts w:ascii="Cambria Math" w:eastAsia="Calibri" w:hAnsi="Cambria Math" w:cs="Cambria Math"/>
                <w:sz w:val="22"/>
                <w:szCs w:val="24"/>
              </w:rPr>
              <w:t>₂</w:t>
            </w:r>
            <w:r w:rsidRPr="00D834A7">
              <w:rPr>
                <w:rFonts w:ascii="Arial" w:eastAsia="Calibri" w:hAnsi="Arial" w:cs="Arial"/>
                <w:sz w:val="22"/>
                <w:szCs w:val="24"/>
              </w:rPr>
              <w:t xml:space="preserve"> 89%). Further diagnostic evaluation confirmed the presence of right popliteal deep vein thrombosis along with segmental pulmonary embolism.</w:t>
            </w:r>
          </w:p>
          <w:p w14:paraId="36B0E338" w14:textId="77777777" w:rsidR="00EA4685" w:rsidRPr="00D834A7" w:rsidRDefault="00EA4685">
            <w:pPr>
              <w:pStyle w:val="Body"/>
              <w:spacing w:after="0"/>
              <w:rPr>
                <w:rFonts w:ascii="Arial" w:eastAsia="Calibri" w:hAnsi="Arial" w:cs="Arial"/>
                <w:sz w:val="22"/>
                <w:szCs w:val="24"/>
              </w:rPr>
            </w:pPr>
          </w:p>
          <w:p w14:paraId="3B09B602" w14:textId="77777777" w:rsidR="00EA4685" w:rsidRPr="00D834A7" w:rsidRDefault="00AA7838">
            <w:pPr>
              <w:pStyle w:val="Body"/>
              <w:spacing w:after="0"/>
              <w:rPr>
                <w:rFonts w:ascii="Arial" w:eastAsia="Calibri" w:hAnsi="Arial" w:cs="Arial"/>
                <w:sz w:val="22"/>
                <w:szCs w:val="24"/>
              </w:rPr>
            </w:pPr>
            <w:r w:rsidRPr="00D834A7">
              <w:rPr>
                <w:rFonts w:ascii="Arial" w:eastAsia="Calibri" w:hAnsi="Arial" w:cs="Arial"/>
                <w:b/>
                <w:bCs/>
                <w:sz w:val="22"/>
                <w:szCs w:val="24"/>
              </w:rPr>
              <w:t>Discussion:</w:t>
            </w:r>
            <w:r w:rsidRPr="00D834A7">
              <w:rPr>
                <w:rFonts w:ascii="Arial" w:eastAsia="Calibri" w:hAnsi="Arial" w:cs="Arial"/>
                <w:sz w:val="22"/>
                <w:szCs w:val="24"/>
              </w:rPr>
              <w:t xml:space="preserve"> The sequence of events in this case highlights the risks associated with unsupervised OTC medication use. Diclofenac, when taken together with anticoagulant therapy, can increase the possibility of bleeding complications. The patient’s fear of bleeding led to non-adherence to anticoagulant therapy, while reduced mobility further increased the likelihood of thrombus formation. Together, these factors created a clinical situation that facilitated the development of VTE.</w:t>
            </w:r>
          </w:p>
          <w:p w14:paraId="7E983C52" w14:textId="77777777" w:rsidR="00EA4685" w:rsidRPr="00D834A7" w:rsidRDefault="00EA4685">
            <w:pPr>
              <w:pStyle w:val="Body"/>
              <w:spacing w:after="0"/>
              <w:rPr>
                <w:rFonts w:ascii="Arial" w:eastAsia="Calibri" w:hAnsi="Arial" w:cs="Arial"/>
                <w:sz w:val="22"/>
                <w:szCs w:val="24"/>
              </w:rPr>
            </w:pPr>
          </w:p>
          <w:p w14:paraId="314F0E93" w14:textId="77777777" w:rsidR="00EA4685" w:rsidRPr="00D834A7" w:rsidRDefault="00AA7838">
            <w:pPr>
              <w:pStyle w:val="Body"/>
              <w:spacing w:after="0"/>
              <w:rPr>
                <w:rFonts w:ascii="Arial" w:eastAsia="Calibri" w:hAnsi="Arial" w:cs="Arial"/>
                <w:sz w:val="22"/>
                <w:szCs w:val="24"/>
              </w:rPr>
            </w:pPr>
            <w:r w:rsidRPr="00D834A7">
              <w:rPr>
                <w:rFonts w:ascii="Arial" w:eastAsia="Calibri" w:hAnsi="Arial" w:cs="Arial"/>
                <w:b/>
                <w:bCs/>
                <w:sz w:val="22"/>
                <w:szCs w:val="24"/>
              </w:rPr>
              <w:t>Conclusion:</w:t>
            </w:r>
            <w:r w:rsidRPr="00D834A7">
              <w:rPr>
                <w:rFonts w:ascii="Arial" w:eastAsia="Calibri" w:hAnsi="Arial" w:cs="Arial"/>
                <w:sz w:val="22"/>
                <w:szCs w:val="24"/>
              </w:rPr>
              <w:t xml:space="preserve"> This case emphasizes that uncontrolled use of OTC analgesics may lead to significant drug interactions and adverse outcomes that interfere with essential postoperative therapies such as thromboprophylaxis. Effective patient education at discharge, proper medication review, and the involvement of clinical pharmacists are important measures to reduce the risk of such complications.</w:t>
            </w:r>
          </w:p>
          <w:p w14:paraId="40EEEFC0" w14:textId="77777777" w:rsidR="00EA4685" w:rsidRPr="00D834A7" w:rsidRDefault="00EA4685">
            <w:pPr>
              <w:pStyle w:val="Body"/>
              <w:spacing w:after="0"/>
              <w:rPr>
                <w:rFonts w:ascii="Arial" w:eastAsia="Calibri" w:hAnsi="Arial" w:cs="Arial"/>
                <w:szCs w:val="22"/>
              </w:rPr>
            </w:pPr>
          </w:p>
        </w:tc>
      </w:tr>
    </w:tbl>
    <w:p w14:paraId="57BE157C" w14:textId="77777777" w:rsidR="00EA4685" w:rsidRPr="00D834A7" w:rsidRDefault="00EA4685">
      <w:pPr>
        <w:pStyle w:val="Body"/>
        <w:spacing w:after="0"/>
        <w:rPr>
          <w:rFonts w:ascii="Arial" w:hAnsi="Arial" w:cs="Arial"/>
          <w:i/>
        </w:rPr>
      </w:pPr>
    </w:p>
    <w:p w14:paraId="324B2B89" w14:textId="77777777" w:rsidR="00EA4685" w:rsidRPr="00D834A7" w:rsidRDefault="00AA7838">
      <w:pPr>
        <w:rPr>
          <w:rFonts w:ascii="Arial" w:hAnsi="Arial" w:cs="Arial"/>
          <w:i/>
        </w:rPr>
      </w:pPr>
      <w:r w:rsidRPr="00D834A7">
        <w:rPr>
          <w:rFonts w:ascii="Arial" w:hAnsi="Arial" w:cs="Arial"/>
          <w:i/>
        </w:rPr>
        <w:t xml:space="preserve">Keywords: Total Knee Replacement; Venous Thromboembolism; Deep Vein Thrombosis; Pulmonary Embolism; </w:t>
      </w:r>
    </w:p>
    <w:p w14:paraId="08D1F96B" w14:textId="77777777" w:rsidR="00EA4685" w:rsidRPr="00D834A7" w:rsidRDefault="00AA7838">
      <w:pPr>
        <w:rPr>
          <w:rFonts w:ascii="Arial" w:hAnsi="Arial" w:cs="Arial"/>
          <w:b/>
          <w:bCs/>
          <w:i/>
        </w:rPr>
      </w:pPr>
      <w:r w:rsidRPr="00D834A7">
        <w:rPr>
          <w:rFonts w:ascii="Arial" w:hAnsi="Arial" w:cs="Arial"/>
          <w:i/>
        </w:rPr>
        <w:t>Over-the-counter NSAIDs; Medication Adherence; Drug-Drug Interactions; Clinical Pharmacist.</w:t>
      </w:r>
    </w:p>
    <w:p w14:paraId="7A5A3EC1" w14:textId="77777777" w:rsidR="00EA4685" w:rsidRPr="00D834A7" w:rsidRDefault="00EA4685">
      <w:pPr>
        <w:pStyle w:val="Body"/>
        <w:spacing w:after="0"/>
        <w:rPr>
          <w:rFonts w:ascii="Arial" w:hAnsi="Arial" w:cs="Arial"/>
          <w:i/>
        </w:rPr>
      </w:pPr>
    </w:p>
    <w:p w14:paraId="73267DDA" w14:textId="77777777" w:rsidR="00EA4685" w:rsidRPr="00D834A7" w:rsidRDefault="00AA7838">
      <w:pPr>
        <w:pStyle w:val="AbstHead"/>
        <w:spacing w:after="0"/>
        <w:jc w:val="both"/>
        <w:rPr>
          <w:rFonts w:ascii="Arial" w:hAnsi="Arial" w:cs="Arial"/>
        </w:rPr>
      </w:pPr>
      <w:r w:rsidRPr="00D834A7">
        <w:rPr>
          <w:rFonts w:ascii="Arial" w:hAnsi="Arial" w:cs="Arial"/>
        </w:rPr>
        <w:t xml:space="preserve">1. INTRODUCTION </w:t>
      </w:r>
    </w:p>
    <w:p w14:paraId="26B70B42" w14:textId="77777777" w:rsidR="00EA4685" w:rsidRPr="00D834A7" w:rsidRDefault="00EA4685">
      <w:pPr>
        <w:pStyle w:val="AbstHead"/>
        <w:spacing w:after="0"/>
        <w:jc w:val="both"/>
        <w:rPr>
          <w:rFonts w:ascii="Arial" w:hAnsi="Arial" w:cs="Arial"/>
        </w:rPr>
      </w:pPr>
    </w:p>
    <w:p w14:paraId="5737AE94" w14:textId="29C1659D" w:rsidR="00EA4685" w:rsidRPr="00D834A7" w:rsidRDefault="00AA7838">
      <w:pPr>
        <w:pStyle w:val="Body"/>
        <w:spacing w:after="0"/>
        <w:rPr>
          <w:rFonts w:ascii="Arial" w:hAnsi="Arial" w:cs="Arial"/>
        </w:rPr>
      </w:pPr>
      <w:r w:rsidRPr="00D834A7">
        <w:rPr>
          <w:rFonts w:ascii="Arial" w:hAnsi="Arial" w:cs="Arial"/>
        </w:rPr>
        <w:t xml:space="preserve">Venous thromboembolism (VTE), which includes deep vein thrombosis (DVT) and pulmonary embolism (PE), is a serious complication that can occur after total knee replacement (TKR). The development of VTE is mainly related to Virchow’s triad, which includes endothelial injury, venous stasis, and a </w:t>
      </w:r>
      <w:r w:rsidR="00BA1FBA" w:rsidRPr="00D834A7">
        <w:rPr>
          <w:rFonts w:ascii="Arial" w:hAnsi="Arial" w:cs="Arial"/>
        </w:rPr>
        <w:t>hyper-coagulable</w:t>
      </w:r>
      <w:r w:rsidRPr="00D834A7">
        <w:rPr>
          <w:rFonts w:ascii="Arial" w:hAnsi="Arial" w:cs="Arial"/>
        </w:rPr>
        <w:t xml:space="preserve"> state. To reduce this risk, clinical guidelines recommend the use of pharmacological thromboprophylaxis along with early mobilization after surgery.</w:t>
      </w:r>
    </w:p>
    <w:p w14:paraId="0E31482C" w14:textId="77777777" w:rsidR="00EA4685" w:rsidRPr="00D834A7" w:rsidRDefault="00AA7838">
      <w:pPr>
        <w:pStyle w:val="Body"/>
        <w:spacing w:after="0"/>
        <w:rPr>
          <w:rFonts w:ascii="Arial" w:hAnsi="Arial" w:cs="Arial"/>
        </w:rPr>
      </w:pPr>
      <w:r w:rsidRPr="00D834A7">
        <w:rPr>
          <w:rFonts w:ascii="Arial" w:hAnsi="Arial" w:cs="Arial"/>
        </w:rPr>
        <w:t>However, the success of these preventive measures depends largely on patient adherence to treatment. Postoperative pain may lead some patients to use over-the-counter (OTC) analgesics without medical advice. Non-steroidal anti-inflammatory drugs (NSAIDs) such as diclofenac or ibuprofen are commonly used for pain relief, but they may cause gastrointestinal irritation and increase the risk of bleeding, particularly when taken with anticoagulant therapy. Because of these effects, some patients may stop or skip their anticoagulant medication, which can create a temporary pro-thrombotic state during recovery.</w:t>
      </w:r>
    </w:p>
    <w:p w14:paraId="13AA82C0" w14:textId="77777777" w:rsidR="00EA4685" w:rsidRPr="00D834A7" w:rsidRDefault="00AA7838">
      <w:pPr>
        <w:pStyle w:val="Body"/>
        <w:spacing w:after="0"/>
        <w:rPr>
          <w:rFonts w:ascii="Arial" w:hAnsi="Arial" w:cs="Arial"/>
        </w:rPr>
      </w:pPr>
      <w:r w:rsidRPr="00D834A7">
        <w:rPr>
          <w:rFonts w:ascii="Arial" w:hAnsi="Arial" w:cs="Arial"/>
        </w:rPr>
        <w:t>Pain management outside the hospital is therefore an important but often overlooked factor in postoperative care. This case highlights the need for proper discharge counseling, careful medication review, and early involvement of clinical pharmacists to ensure safe medication use in patients undergoing orthopedic surgery.</w:t>
      </w:r>
    </w:p>
    <w:p w14:paraId="0F66AD29" w14:textId="77777777" w:rsidR="00EA4685" w:rsidRPr="00D834A7" w:rsidRDefault="00EA4685">
      <w:pPr>
        <w:pStyle w:val="Body"/>
        <w:spacing w:after="0"/>
        <w:rPr>
          <w:rFonts w:ascii="Arial" w:hAnsi="Arial" w:cs="Arial"/>
        </w:rPr>
      </w:pPr>
    </w:p>
    <w:p w14:paraId="710DB437" w14:textId="77777777" w:rsidR="00EA4685" w:rsidRPr="00D834A7" w:rsidRDefault="00AA7838">
      <w:pPr>
        <w:pStyle w:val="AbstHead"/>
        <w:jc w:val="both"/>
        <w:rPr>
          <w:rFonts w:ascii="Arial" w:hAnsi="Arial" w:cs="Arial"/>
          <w:bCs/>
        </w:rPr>
      </w:pPr>
      <w:r w:rsidRPr="00D834A7">
        <w:rPr>
          <w:rFonts w:ascii="Arial" w:hAnsi="Arial" w:cs="Arial"/>
        </w:rPr>
        <w:t xml:space="preserve">2. </w:t>
      </w:r>
      <w:r w:rsidRPr="00D834A7">
        <w:rPr>
          <w:rFonts w:ascii="Arial" w:hAnsi="Arial" w:cs="Arial"/>
          <w:bCs/>
        </w:rPr>
        <w:t>Presentation of Case</w:t>
      </w:r>
    </w:p>
    <w:p w14:paraId="35C79645" w14:textId="741C3946" w:rsidR="00EA4685" w:rsidRPr="00D834A7" w:rsidRDefault="00AA7838">
      <w:pPr>
        <w:spacing w:after="160" w:line="276" w:lineRule="auto"/>
        <w:jc w:val="both"/>
        <w:rPr>
          <w:rFonts w:ascii="Arial" w:hAnsi="Arial" w:cs="Arial"/>
        </w:rPr>
      </w:pPr>
      <w:r w:rsidRPr="00D834A7">
        <w:rPr>
          <w:rFonts w:ascii="Arial" w:hAnsi="Arial" w:cs="Arial"/>
        </w:rPr>
        <w:t>A 67-year-old woman was admitted to the orthopedic department for elective right total knee replacement due to advanced osteoarthritis. She had a history of progressive knee pain, stiffness, and limited mobility for nearly nine years. Her medical history included type 2 diabetes mellitus for twelve years and hypertension for ten years. She was taking metformin 500 mg twice daily, glimepiride 2 mg once daily, amlodipine 5 mg once daily, telmisartan 40 mg once daily.</w:t>
      </w:r>
    </w:p>
    <w:p w14:paraId="44DCAB4F" w14:textId="77777777" w:rsidR="00EA4685" w:rsidRPr="00D834A7" w:rsidRDefault="00AA7838">
      <w:pPr>
        <w:spacing w:after="160" w:line="276" w:lineRule="auto"/>
        <w:jc w:val="both"/>
        <w:rPr>
          <w:rFonts w:ascii="Arial" w:hAnsi="Arial" w:cs="Arial"/>
        </w:rPr>
      </w:pPr>
      <w:r w:rsidRPr="00D834A7">
        <w:rPr>
          <w:rFonts w:ascii="Arial" w:hAnsi="Arial" w:cs="Arial"/>
        </w:rPr>
        <w:t>The patient underwent right total knee replacement under spinal anesthesia. The surgery and immediate postoperative period were uneventful. According to hospital protocol, pharmacological thromboprophylaxis with low-molecular-weight heparin was started after surgery. Before discharge, she was advised to continue oral anticoagulant therapy and encouraged to begin early mobilization and physiotherapy.</w:t>
      </w:r>
    </w:p>
    <w:p w14:paraId="60A4D229" w14:textId="77777777" w:rsidR="00EA4685" w:rsidRPr="00D834A7" w:rsidRDefault="00AA7838">
      <w:pPr>
        <w:spacing w:after="160" w:line="276" w:lineRule="auto"/>
        <w:jc w:val="both"/>
        <w:rPr>
          <w:rFonts w:ascii="Arial" w:hAnsi="Arial" w:cs="Arial"/>
        </w:rPr>
      </w:pPr>
      <w:r w:rsidRPr="00D834A7">
        <w:rPr>
          <w:rFonts w:ascii="Arial" w:hAnsi="Arial" w:cs="Arial"/>
        </w:rPr>
        <w:t>Two days after discharge, the patient experienced severe pain and swelling at the operated knee. Without consulting her physician, she took diclofenac, an OTC NSAID, for pain relief while continuing the anticoagulant medication. Within 24 hours, she developed epigastric discomfort, dizziness, and mild oozing from the surgical wound. Because she was worried about bleeding, she skipped one dose of her anticoagulant and significantly reduced her physical activity.</w:t>
      </w:r>
    </w:p>
    <w:p w14:paraId="2E1F4E48" w14:textId="77777777" w:rsidR="00EA4685" w:rsidRPr="00D834A7" w:rsidRDefault="00AA7838">
      <w:pPr>
        <w:spacing w:after="160" w:line="276" w:lineRule="auto"/>
        <w:jc w:val="both"/>
        <w:rPr>
          <w:rFonts w:ascii="Arial" w:hAnsi="Arial" w:cs="Arial"/>
        </w:rPr>
      </w:pPr>
      <w:r w:rsidRPr="00D834A7">
        <w:rPr>
          <w:rFonts w:ascii="Arial" w:hAnsi="Arial" w:cs="Arial"/>
        </w:rPr>
        <w:t>Three days later, she presented to the emergency department with increasing pain and swelling of the operated leg, along with calf tenderness, shortness of breath, and mild chest discomfort.</w:t>
      </w:r>
    </w:p>
    <w:p w14:paraId="020ADC67" w14:textId="77777777" w:rsidR="00EA4685" w:rsidRPr="00D834A7" w:rsidRDefault="00AA7838">
      <w:pPr>
        <w:spacing w:after="160" w:line="276" w:lineRule="auto"/>
        <w:jc w:val="both"/>
        <w:rPr>
          <w:rFonts w:ascii="Arial" w:hAnsi="Arial" w:cs="Arial"/>
        </w:rPr>
      </w:pPr>
      <w:r w:rsidRPr="00D834A7">
        <w:rPr>
          <w:rFonts w:ascii="Arial" w:hAnsi="Arial" w:cs="Arial"/>
        </w:rPr>
        <w:t>On examination, the right calf was swollen and tender. Her heart rate was 110 beats per minute and oxygen saturation on room air was 89%. Laboratory investigations showed elevated D-dimer levels. Doppler ultrasonography confirmed acute thrombosis in the right popliteal vein, and computed tomography pulmonary angiography revealed segmental pulmonary embolism.</w:t>
      </w:r>
    </w:p>
    <w:p w14:paraId="75B61064" w14:textId="2D71B53E" w:rsidR="00EA4685" w:rsidRPr="00D834A7" w:rsidRDefault="00AA7838">
      <w:pPr>
        <w:spacing w:after="160" w:line="276" w:lineRule="auto"/>
        <w:jc w:val="both"/>
        <w:rPr>
          <w:rFonts w:ascii="Arial" w:hAnsi="Arial" w:cs="Arial"/>
        </w:rPr>
      </w:pPr>
      <w:r w:rsidRPr="00D834A7">
        <w:rPr>
          <w:rFonts w:ascii="Arial" w:hAnsi="Arial" w:cs="Arial"/>
        </w:rPr>
        <w:t xml:space="preserve">A diagnosis of concurrent </w:t>
      </w:r>
      <w:r w:rsidR="00DA5632" w:rsidRPr="00D834A7">
        <w:rPr>
          <w:rFonts w:ascii="Arial" w:hAnsi="Arial" w:cs="Arial"/>
        </w:rPr>
        <w:t xml:space="preserve">DVT </w:t>
      </w:r>
      <w:r w:rsidRPr="00D834A7">
        <w:rPr>
          <w:rFonts w:ascii="Arial" w:hAnsi="Arial" w:cs="Arial"/>
        </w:rPr>
        <w:t xml:space="preserve">and </w:t>
      </w:r>
      <w:r w:rsidR="00DA5632" w:rsidRPr="00D834A7">
        <w:rPr>
          <w:rFonts w:ascii="Arial" w:hAnsi="Arial" w:cs="Arial"/>
        </w:rPr>
        <w:t xml:space="preserve">PE </w:t>
      </w:r>
      <w:r w:rsidRPr="00D834A7">
        <w:rPr>
          <w:rFonts w:ascii="Arial" w:hAnsi="Arial" w:cs="Arial"/>
        </w:rPr>
        <w:t>following total knee replacement was made. The patient was immediately treated with therapeutic low-molecular-weight heparin, oxygen therapy, and supportive care. Oral anticoagulant therapy was restarted under close monitoring. Diclofenac was discontinued and paracetamol was prescribed for pain management.</w:t>
      </w:r>
    </w:p>
    <w:p w14:paraId="649FB647" w14:textId="4126109D" w:rsidR="00EA4685" w:rsidRPr="00D834A7" w:rsidRDefault="00AA7838">
      <w:pPr>
        <w:spacing w:after="160" w:line="276" w:lineRule="auto"/>
        <w:jc w:val="both"/>
        <w:rPr>
          <w:rFonts w:ascii="Arial" w:hAnsi="Arial" w:cs="Arial"/>
        </w:rPr>
      </w:pPr>
      <w:r w:rsidRPr="00D834A7">
        <w:rPr>
          <w:rFonts w:ascii="Arial" w:hAnsi="Arial" w:cs="Arial"/>
        </w:rPr>
        <w:t>The patient was counseled regarding strict adherence to anticoagulant therapy, avoidance of self-medicati</w:t>
      </w:r>
      <w:r w:rsidR="008C7F6A" w:rsidRPr="00D834A7">
        <w:rPr>
          <w:rFonts w:ascii="Arial" w:hAnsi="Arial" w:cs="Arial"/>
        </w:rPr>
        <w:t xml:space="preserve">ons </w:t>
      </w:r>
      <w:r w:rsidRPr="00D834A7">
        <w:rPr>
          <w:rFonts w:ascii="Arial" w:hAnsi="Arial" w:cs="Arial"/>
        </w:rPr>
        <w:t>particularly NSAID</w:t>
      </w:r>
      <w:r w:rsidR="008C7F6A" w:rsidRPr="00D834A7">
        <w:rPr>
          <w:rFonts w:ascii="Arial" w:hAnsi="Arial" w:cs="Arial"/>
        </w:rPr>
        <w:t xml:space="preserve"> </w:t>
      </w:r>
      <w:r w:rsidRPr="00D834A7">
        <w:rPr>
          <w:rFonts w:ascii="Arial" w:hAnsi="Arial" w:cs="Arial"/>
        </w:rPr>
        <w:t>and the importance of early mobilization and regular follow-up. Her condition gradually improved</w:t>
      </w:r>
      <w:r w:rsidR="005B509B" w:rsidRPr="00D834A7">
        <w:rPr>
          <w:rFonts w:ascii="Arial" w:hAnsi="Arial" w:cs="Arial"/>
        </w:rPr>
        <w:t xml:space="preserve"> so </w:t>
      </w:r>
      <w:r w:rsidRPr="00D834A7">
        <w:rPr>
          <w:rFonts w:ascii="Arial" w:hAnsi="Arial" w:cs="Arial"/>
        </w:rPr>
        <w:t>she was discharged in stable condition.</w:t>
      </w:r>
    </w:p>
    <w:p w14:paraId="5E20AC6A" w14:textId="77777777" w:rsidR="00EA4685" w:rsidRPr="00D834A7" w:rsidRDefault="00AA7838">
      <w:pPr>
        <w:pStyle w:val="Head1"/>
        <w:spacing w:after="0"/>
        <w:jc w:val="both"/>
        <w:rPr>
          <w:rFonts w:ascii="Arial" w:hAnsi="Arial" w:cs="Arial"/>
        </w:rPr>
      </w:pPr>
      <w:r w:rsidRPr="00D834A7">
        <w:rPr>
          <w:rFonts w:ascii="Arial" w:hAnsi="Arial" w:cs="Arial"/>
        </w:rPr>
        <w:t>3. discussion</w:t>
      </w:r>
    </w:p>
    <w:p w14:paraId="26834A8E" w14:textId="77777777" w:rsidR="00EA4685" w:rsidRPr="00D834A7" w:rsidRDefault="00EA4685">
      <w:pPr>
        <w:pStyle w:val="Head1"/>
        <w:spacing w:after="0"/>
        <w:jc w:val="both"/>
        <w:rPr>
          <w:rFonts w:ascii="Arial" w:hAnsi="Arial" w:cs="Arial"/>
          <w:b w:val="0"/>
          <w:sz w:val="20"/>
        </w:rPr>
      </w:pPr>
    </w:p>
    <w:p w14:paraId="15D00095" w14:textId="77777777" w:rsidR="00EA4685" w:rsidRPr="00D834A7" w:rsidRDefault="00AA7838">
      <w:pPr>
        <w:spacing w:after="160" w:line="276" w:lineRule="auto"/>
        <w:jc w:val="both"/>
        <w:rPr>
          <w:rFonts w:ascii="Arial" w:eastAsia="Aptos" w:hAnsi="Arial" w:cs="Arial"/>
          <w:kern w:val="2"/>
          <w:lang w:eastAsia="zh-CN"/>
        </w:rPr>
      </w:pPr>
      <w:bookmarkStart w:id="0" w:name="_Hlk223006935"/>
      <w:r w:rsidRPr="00D834A7">
        <w:rPr>
          <w:rFonts w:ascii="Arial" w:eastAsia="Aptos" w:hAnsi="Arial" w:cs="Arial"/>
          <w:kern w:val="2"/>
          <w:lang w:eastAsia="zh-CN"/>
        </w:rPr>
        <w:t>The main objective of postoperative care after Total Knee Replacement (TKR) is to prevent venous thromboembolism (VTE) while ensuring effective pain control that allows early mobilization. This case demonstrates how unsupervised use of over-the-counter (OTC) medication can interfere with these goals and contribute to serious complications.</w:t>
      </w:r>
    </w:p>
    <w:p w14:paraId="67B3032F" w14:textId="77777777" w:rsidR="00EA4685" w:rsidRPr="00D834A7" w:rsidRDefault="00AA7838">
      <w:pPr>
        <w:spacing w:after="160" w:line="276" w:lineRule="auto"/>
        <w:jc w:val="both"/>
        <w:rPr>
          <w:rFonts w:ascii="Arial" w:hAnsi="Arial" w:cs="Arial"/>
          <w:b/>
          <w:bCs/>
        </w:rPr>
      </w:pPr>
      <w:r w:rsidRPr="00D834A7">
        <w:rPr>
          <w:rFonts w:ascii="Arial" w:eastAsia="Aptos" w:hAnsi="Arial" w:cs="Arial"/>
          <w:b/>
          <w:bCs/>
          <w:kern w:val="2"/>
          <w:lang w:eastAsia="zh-CN"/>
        </w:rPr>
        <w:lastRenderedPageBreak/>
        <w:t>The Role of NSAIDs and Prophylaxis Interruption</w:t>
      </w:r>
    </w:p>
    <w:bookmarkEnd w:id="0"/>
    <w:p w14:paraId="598DFE9C" w14:textId="77777777" w:rsidR="00EA4685" w:rsidRPr="00D834A7" w:rsidRDefault="00AA7838">
      <w:pPr>
        <w:spacing w:after="160" w:line="276" w:lineRule="auto"/>
        <w:jc w:val="both"/>
        <w:rPr>
          <w:rFonts w:ascii="Arial" w:eastAsia="Aptos" w:hAnsi="Arial" w:cs="Arial"/>
          <w:kern w:val="2"/>
          <w:lang w:eastAsia="zh-CN"/>
        </w:rPr>
      </w:pPr>
      <w:r w:rsidRPr="00D834A7">
        <w:rPr>
          <w:rFonts w:ascii="Arial" w:eastAsia="Aptos" w:hAnsi="Arial" w:cs="Arial"/>
          <w:kern w:val="2"/>
          <w:lang w:eastAsia="zh-CN"/>
        </w:rPr>
        <w:t>Non-steroidal anti-inflammatory drugs (NSAIDs) are commonly used during orthopedic recovery because they provide effective pain relief and reduce the need for opioid analgesics. Despite these benefits, their use without medical supervision can lead to complications. In the present case, the patient independently used diclofenac, which resulted in gastrointestinal discomfort and concern about possible bleeding while she was receiving anticoagulant therapy. These symptoms made the patient focus more on relieving pain than on maintaining the protective effect of anticoagulation, leading her to interrupt the prescribed thromboprophylaxis. The sequence of events suggests that the patient’s pain was not adequately controlled or that the prescribed pain management plan was not fully understood, which encouraged the use of OTC medication.</w:t>
      </w:r>
    </w:p>
    <w:p w14:paraId="376D8D06" w14:textId="77777777" w:rsidR="00EA4685" w:rsidRPr="00D834A7" w:rsidRDefault="00AA7838">
      <w:pPr>
        <w:spacing w:after="160" w:line="276" w:lineRule="auto"/>
        <w:jc w:val="both"/>
        <w:rPr>
          <w:rFonts w:ascii="Arial" w:hAnsi="Arial" w:cs="Arial"/>
          <w:b/>
          <w:bCs/>
        </w:rPr>
      </w:pPr>
      <w:r w:rsidRPr="00D834A7">
        <w:rPr>
          <w:rFonts w:ascii="Arial" w:eastAsia="Aptos" w:hAnsi="Arial" w:cs="Arial"/>
          <w:b/>
          <w:bCs/>
          <w:kern w:val="2"/>
          <w:lang w:eastAsia="zh-CN"/>
        </w:rPr>
        <w:t>Drug-Drug Interactions and Patient Perception</w:t>
      </w:r>
    </w:p>
    <w:p w14:paraId="00C7FDAB" w14:textId="0240324A" w:rsidR="00EA4685" w:rsidRPr="00D834A7" w:rsidRDefault="00AA7838">
      <w:pPr>
        <w:spacing w:after="160" w:line="276" w:lineRule="auto"/>
        <w:jc w:val="both"/>
        <w:rPr>
          <w:rFonts w:ascii="Arial" w:hAnsi="Arial" w:cs="Arial"/>
        </w:rPr>
      </w:pPr>
      <w:bookmarkStart w:id="1" w:name="_Hlk223005734"/>
      <w:r w:rsidRPr="00D834A7">
        <w:rPr>
          <w:rFonts w:ascii="Arial" w:hAnsi="Arial" w:cs="Arial"/>
        </w:rPr>
        <w:t xml:space="preserve">Many patients believe that medications available over the counter are completely safe. However, combining NSAIDs with anticoagulants such as Factor Xa inhibitors or </w:t>
      </w:r>
      <w:r w:rsidR="00BA1FBA">
        <w:rPr>
          <w:rFonts w:ascii="Arial" w:hAnsi="Arial" w:cs="Arial"/>
        </w:rPr>
        <w:t>L</w:t>
      </w:r>
      <w:r w:rsidR="002C4333">
        <w:rPr>
          <w:rFonts w:ascii="Arial" w:hAnsi="Arial" w:cs="Arial"/>
        </w:rPr>
        <w:t>MW</w:t>
      </w:r>
      <w:r w:rsidRPr="00D834A7">
        <w:rPr>
          <w:rFonts w:ascii="Arial" w:hAnsi="Arial" w:cs="Arial"/>
        </w:rPr>
        <w:t xml:space="preserve"> heparin can significantly increase the risk of bleeding. In this case, the patient’s decision to stop her anticoagulant therapy highlights a lack of awareness regarding the importance of continuous prophylaxis. It also indicates that the anticoagulant was not perceived as an essential medication, while the analgesic was viewed as necessary for immediate symptom relief.</w:t>
      </w:r>
    </w:p>
    <w:bookmarkEnd w:id="1"/>
    <w:p w14:paraId="135B3E79" w14:textId="77777777" w:rsidR="00EA4685" w:rsidRPr="00D834A7" w:rsidRDefault="00AA7838">
      <w:pPr>
        <w:spacing w:after="160" w:line="276" w:lineRule="auto"/>
        <w:jc w:val="both"/>
        <w:rPr>
          <w:rFonts w:ascii="Arial" w:hAnsi="Arial" w:cs="Arial"/>
        </w:rPr>
      </w:pPr>
      <w:r w:rsidRPr="00D834A7">
        <w:rPr>
          <w:rFonts w:ascii="Arial" w:eastAsia="Aptos" w:hAnsi="Arial" w:cs="Arial"/>
          <w:b/>
          <w:bCs/>
          <w:kern w:val="2"/>
          <w:lang w:eastAsia="zh-CN"/>
        </w:rPr>
        <w:t>The Role of Delayed Mobilization</w:t>
      </w:r>
      <w:r w:rsidRPr="00D834A7">
        <w:rPr>
          <w:rFonts w:ascii="Arial" w:eastAsia="Aptos" w:hAnsi="Arial" w:cs="Arial"/>
          <w:kern w:val="2"/>
          <w:lang w:eastAsia="zh-CN"/>
        </w:rPr>
        <w:t xml:space="preserve"> </w:t>
      </w:r>
    </w:p>
    <w:p w14:paraId="2E786806" w14:textId="77777777" w:rsidR="00EA4685" w:rsidRPr="00D834A7" w:rsidRDefault="00AA7838">
      <w:pPr>
        <w:spacing w:after="160" w:line="276" w:lineRule="auto"/>
        <w:jc w:val="both"/>
        <w:rPr>
          <w:rFonts w:ascii="Arial" w:eastAsia="Aptos" w:hAnsi="Arial" w:cs="Arial"/>
          <w:kern w:val="2"/>
          <w:lang w:eastAsia="zh-CN"/>
        </w:rPr>
      </w:pPr>
      <w:r w:rsidRPr="00D834A7">
        <w:rPr>
          <w:rFonts w:ascii="Arial" w:eastAsia="Aptos" w:hAnsi="Arial" w:cs="Arial"/>
          <w:kern w:val="2"/>
          <w:lang w:eastAsia="zh-CN"/>
        </w:rPr>
        <w:t>Early mobilization is a key factor in preventing VTE because it improves venous circulation and reduces venous stasis. When pain is poorly controlled, patients may limit their physical activity. If reduced mobility occurs together with interruption of anticoagulant therapy, the likelihood of developing deep vein thrombosis and pulmonary embolism increases considerably.</w:t>
      </w:r>
    </w:p>
    <w:p w14:paraId="5C3B78C5" w14:textId="77777777" w:rsidR="00EA4685" w:rsidRPr="00D834A7" w:rsidRDefault="00AA7838">
      <w:pPr>
        <w:spacing w:after="160" w:line="276" w:lineRule="auto"/>
        <w:jc w:val="both"/>
        <w:rPr>
          <w:rFonts w:ascii="Arial" w:hAnsi="Arial" w:cs="Arial"/>
          <w:b/>
          <w:bCs/>
        </w:rPr>
      </w:pPr>
      <w:r w:rsidRPr="00D834A7">
        <w:rPr>
          <w:rFonts w:ascii="Arial" w:eastAsia="Aptos" w:hAnsi="Arial" w:cs="Arial"/>
          <w:b/>
          <w:bCs/>
          <w:kern w:val="2"/>
          <w:lang w:eastAsia="zh-CN"/>
        </w:rPr>
        <w:t>Mechanism of action</w:t>
      </w:r>
    </w:p>
    <w:p w14:paraId="709503CE" w14:textId="77777777" w:rsidR="00EA4685" w:rsidRPr="00D834A7" w:rsidRDefault="00AA7838">
      <w:pPr>
        <w:spacing w:after="160" w:line="276" w:lineRule="auto"/>
        <w:jc w:val="both"/>
        <w:rPr>
          <w:rFonts w:ascii="Arial" w:hAnsi="Arial" w:cs="Arial"/>
        </w:rPr>
      </w:pPr>
      <w:r w:rsidRPr="00D834A7">
        <w:rPr>
          <w:rFonts w:ascii="Arial" w:hAnsi="Arial" w:cs="Arial"/>
        </w:rPr>
        <w:t>In this patient, the OTC NSAID diclofenac inhibited the cyclo-oxygenase enzyme, particularly COX-1, resulting in decreased synthesis of thromboxane A</w:t>
      </w:r>
      <w:r w:rsidRPr="00D834A7">
        <w:rPr>
          <w:rFonts w:ascii="Cambria Math" w:hAnsi="Cambria Math" w:cs="Cambria Math"/>
        </w:rPr>
        <w:t>₂</w:t>
      </w:r>
      <w:r w:rsidRPr="00D834A7">
        <w:rPr>
          <w:rFonts w:ascii="Arial" w:hAnsi="Arial" w:cs="Arial"/>
        </w:rPr>
        <w:t xml:space="preserve"> and reduced platelet aggregation. At the same time, the prescribed anticoagulant acted on the coagulation cascade and decreased thrombin formation. The combined effect of platelet inhibition from the NSAID and anticoagulation therapy increased the risk of bleeding, which was clinically evident as wound oozing and gastrointestinal discomfort.</w:t>
      </w:r>
    </w:p>
    <w:p w14:paraId="1FBFDD17" w14:textId="77777777" w:rsidR="00EA4685" w:rsidRPr="00D834A7" w:rsidRDefault="00AA7838">
      <w:pPr>
        <w:spacing w:after="160" w:line="276" w:lineRule="auto"/>
        <w:jc w:val="both"/>
        <w:rPr>
          <w:rFonts w:ascii="Arial" w:hAnsi="Arial" w:cs="Arial"/>
        </w:rPr>
      </w:pPr>
      <w:r w:rsidRPr="00D834A7">
        <w:rPr>
          <w:rFonts w:ascii="Arial" w:hAnsi="Arial" w:cs="Arial"/>
        </w:rPr>
        <w:t>Although the patient was discharged with appropriate anticoagulant therapy, the unsupervised use of diclofenac during this period increased the tendency for bleeding because both medications affected platelet activity and coagulation pathways. The wound oozing and gastrointestinal symptoms that followed caused the patient to skip one dose of her anticoagulant medication and significantly reduce her mobility. The interruption of anticoagulant therapy together with decreased movement created conditions favorable for venous stasis and thrombosis. Consequently, the patient developed deep vein thrombosis that later progressed to pulmonary embolism.</w:t>
      </w:r>
    </w:p>
    <w:p w14:paraId="1E917A5F" w14:textId="540AACDA" w:rsidR="00EA4685" w:rsidRPr="00D834A7" w:rsidRDefault="00AA7838">
      <w:pPr>
        <w:spacing w:after="160" w:line="276" w:lineRule="auto"/>
        <w:jc w:val="both"/>
        <w:rPr>
          <w:rFonts w:ascii="Arial" w:hAnsi="Arial" w:cs="Arial"/>
        </w:rPr>
      </w:pPr>
      <w:r w:rsidRPr="00D834A7">
        <w:rPr>
          <w:rFonts w:ascii="Arial" w:hAnsi="Arial" w:cs="Arial"/>
        </w:rPr>
        <w:t>Therefore, in this case the NSAID itself d</w:t>
      </w:r>
      <w:r w:rsidR="002E7F43" w:rsidRPr="00D834A7">
        <w:rPr>
          <w:rFonts w:ascii="Arial" w:hAnsi="Arial" w:cs="Arial"/>
        </w:rPr>
        <w:t>id</w:t>
      </w:r>
      <w:r w:rsidRPr="00D834A7">
        <w:rPr>
          <w:rFonts w:ascii="Arial" w:hAnsi="Arial" w:cs="Arial"/>
        </w:rPr>
        <w:t xml:space="preserve"> not directly produce thrombosis. Instead, it indirectly contributed to venous thromboembolism by triggering bleeding symptoms, which led to interruption of anticoagulant therapy and reduced physical activity. </w:t>
      </w:r>
    </w:p>
    <w:p w14:paraId="4E105F22" w14:textId="6758396F" w:rsidR="00EA4685" w:rsidRPr="00D834A7" w:rsidRDefault="00AA7838">
      <w:pPr>
        <w:spacing w:after="160" w:line="276" w:lineRule="auto"/>
        <w:jc w:val="both"/>
        <w:rPr>
          <w:rFonts w:ascii="Arial" w:hAnsi="Arial" w:cs="Arial"/>
          <w:b/>
          <w:bCs/>
        </w:rPr>
      </w:pPr>
      <w:r>
        <w:rPr>
          <w:rFonts w:ascii="Arial" w:hAnsi="Arial" w:cs="Arial"/>
          <w:b/>
          <w:bCs/>
          <w:sz w:val="22"/>
          <w:szCs w:val="22"/>
        </w:rPr>
        <w:t>4.</w:t>
      </w:r>
      <w:r w:rsidRPr="00D834A7">
        <w:rPr>
          <w:rFonts w:ascii="Arial" w:hAnsi="Arial" w:cs="Arial"/>
          <w:b/>
          <w:bCs/>
          <w:sz w:val="22"/>
          <w:szCs w:val="22"/>
        </w:rPr>
        <w:t>CONCLUSION</w:t>
      </w:r>
      <w:r w:rsidRPr="00D834A7">
        <w:rPr>
          <w:rFonts w:ascii="Arial" w:hAnsi="Arial" w:cs="Arial"/>
          <w:b/>
          <w:bCs/>
        </w:rPr>
        <w:t xml:space="preserve"> </w:t>
      </w:r>
    </w:p>
    <w:p w14:paraId="651E8646" w14:textId="77777777" w:rsidR="00EA4685" w:rsidRPr="00D834A7" w:rsidRDefault="00AA7838">
      <w:pPr>
        <w:spacing w:after="160" w:line="276" w:lineRule="auto"/>
        <w:jc w:val="both"/>
        <w:rPr>
          <w:rFonts w:ascii="Arial" w:hAnsi="Arial" w:cs="Arial"/>
        </w:rPr>
      </w:pPr>
      <w:r w:rsidRPr="00D834A7">
        <w:rPr>
          <w:rFonts w:ascii="Arial" w:hAnsi="Arial" w:cs="Arial"/>
        </w:rPr>
        <w:t>The occurrence of both deep vein thrombosis and pulmonary embolism in this patient represents a preventable medication-related complication. Successful recovery after total knee replacement depends not only on surgical technique but also on appropriate postoperative pharmacological management. Careful medication review, structured discharge counseling, and guidance from clinical pharmacists are important to ensure that patients understand the need for strict adherence to anticoagulant therapy and avoidance of unsupervised self-medication. These measures can help reduce the risk of thromboembolic complications following orthopedic surgery.</w:t>
      </w:r>
    </w:p>
    <w:p w14:paraId="6EAE3BC9" w14:textId="77777777" w:rsidR="00EA4685" w:rsidRPr="00D834A7" w:rsidRDefault="00EA4685">
      <w:pPr>
        <w:pStyle w:val="ConcHead"/>
        <w:spacing w:after="0"/>
        <w:jc w:val="both"/>
        <w:rPr>
          <w:rFonts w:ascii="Arial" w:hAnsi="Arial" w:cs="Arial"/>
          <w:b w:val="0"/>
          <w:sz w:val="20"/>
        </w:rPr>
      </w:pPr>
    </w:p>
    <w:p w14:paraId="2D3882D6" w14:textId="77777777" w:rsidR="00EA4685" w:rsidRPr="00D834A7" w:rsidRDefault="00EA4685">
      <w:pPr>
        <w:pStyle w:val="ConcHead"/>
        <w:spacing w:after="0"/>
        <w:jc w:val="both"/>
        <w:rPr>
          <w:rFonts w:ascii="Arial" w:hAnsi="Arial" w:cs="Arial"/>
          <w:b w:val="0"/>
        </w:rPr>
      </w:pPr>
    </w:p>
    <w:p w14:paraId="2ABD82ED" w14:textId="77777777" w:rsidR="00EA4685" w:rsidRPr="00D834A7" w:rsidRDefault="00EA4685">
      <w:pPr>
        <w:pStyle w:val="ReferHead"/>
        <w:spacing w:after="0"/>
        <w:jc w:val="both"/>
        <w:rPr>
          <w:rFonts w:ascii="Arial" w:hAnsi="Arial" w:cs="Arial"/>
          <w:b w:val="0"/>
          <w:caps w:val="0"/>
          <w:sz w:val="20"/>
        </w:rPr>
      </w:pPr>
      <w:bookmarkStart w:id="2" w:name="_GoBack"/>
      <w:bookmarkEnd w:id="2"/>
    </w:p>
    <w:p w14:paraId="435489ED" w14:textId="77777777" w:rsidR="00EA4685" w:rsidRPr="00D834A7" w:rsidRDefault="00AA7838">
      <w:pPr>
        <w:pStyle w:val="ReferHead"/>
        <w:spacing w:after="0"/>
        <w:jc w:val="both"/>
        <w:rPr>
          <w:rFonts w:ascii="Arial" w:hAnsi="Arial" w:cs="Arial"/>
          <w:bCs/>
        </w:rPr>
      </w:pPr>
      <w:r w:rsidRPr="00D834A7">
        <w:rPr>
          <w:rFonts w:ascii="Arial" w:hAnsi="Arial" w:cs="Arial"/>
          <w:bCs/>
        </w:rPr>
        <w:t xml:space="preserve">Consent </w:t>
      </w:r>
    </w:p>
    <w:p w14:paraId="1D3C1C0C" w14:textId="77777777" w:rsidR="00EA4685" w:rsidRPr="00D834A7" w:rsidRDefault="00EA4685">
      <w:pPr>
        <w:pStyle w:val="ReferHead"/>
        <w:spacing w:after="0"/>
        <w:jc w:val="both"/>
        <w:rPr>
          <w:rFonts w:ascii="Arial" w:hAnsi="Arial" w:cs="Arial"/>
          <w:bCs/>
        </w:rPr>
      </w:pPr>
    </w:p>
    <w:p w14:paraId="260CAEC2" w14:textId="77777777" w:rsidR="00EA4685" w:rsidRPr="00D834A7" w:rsidRDefault="00AA7838">
      <w:pPr>
        <w:pStyle w:val="ReferHead"/>
        <w:spacing w:after="0"/>
        <w:jc w:val="both"/>
        <w:rPr>
          <w:rFonts w:ascii="Arial" w:hAnsi="Arial" w:cs="Arial"/>
          <w:b w:val="0"/>
          <w:caps w:val="0"/>
          <w:sz w:val="20"/>
        </w:rPr>
      </w:pPr>
      <w:r w:rsidRPr="00D834A7">
        <w:rPr>
          <w:rFonts w:ascii="Arial" w:hAnsi="Arial" w:cs="Arial"/>
          <w:b w:val="0"/>
          <w:caps w:val="0"/>
          <w:sz w:val="20"/>
        </w:rPr>
        <w:t>Written informed consent was obtained from the patient for the publication of this case report. A copy is available for review by the Editorial Office</w:t>
      </w:r>
    </w:p>
    <w:p w14:paraId="4F991D5F" w14:textId="77777777" w:rsidR="00EA4685" w:rsidRPr="00D834A7" w:rsidRDefault="00EA4685">
      <w:pPr>
        <w:pStyle w:val="ReferHead"/>
        <w:spacing w:after="0"/>
        <w:jc w:val="both"/>
        <w:rPr>
          <w:rFonts w:ascii="Arial" w:hAnsi="Arial" w:cs="Arial"/>
          <w:b w:val="0"/>
          <w:caps w:val="0"/>
          <w:sz w:val="20"/>
        </w:rPr>
      </w:pPr>
    </w:p>
    <w:p w14:paraId="400897A2" w14:textId="77777777" w:rsidR="00EA4685" w:rsidRPr="00D834A7" w:rsidRDefault="00AA7838">
      <w:pPr>
        <w:pStyle w:val="ReferHead"/>
        <w:spacing w:after="0"/>
        <w:jc w:val="both"/>
        <w:rPr>
          <w:rFonts w:ascii="Arial" w:hAnsi="Arial" w:cs="Arial"/>
          <w:bCs/>
        </w:rPr>
      </w:pPr>
      <w:r w:rsidRPr="00D834A7">
        <w:rPr>
          <w:rFonts w:ascii="Arial" w:hAnsi="Arial" w:cs="Arial"/>
          <w:bCs/>
        </w:rPr>
        <w:t xml:space="preserve">Ethical approval </w:t>
      </w:r>
    </w:p>
    <w:p w14:paraId="24ADFEB1" w14:textId="77777777" w:rsidR="00EA4685" w:rsidRPr="00D834A7" w:rsidRDefault="00EA4685">
      <w:pPr>
        <w:pStyle w:val="ReferHead"/>
        <w:spacing w:after="0"/>
        <w:jc w:val="both"/>
        <w:rPr>
          <w:rFonts w:ascii="Arial" w:hAnsi="Arial" w:cs="Arial"/>
          <w:bCs/>
        </w:rPr>
      </w:pPr>
    </w:p>
    <w:p w14:paraId="421081CD" w14:textId="77777777" w:rsidR="00EA4685" w:rsidRPr="00D834A7" w:rsidRDefault="00AA7838">
      <w:pPr>
        <w:jc w:val="both"/>
        <w:rPr>
          <w:rFonts w:ascii="Arial" w:hAnsi="Arial" w:cs="Arial"/>
        </w:rPr>
      </w:pPr>
      <w:r w:rsidRPr="00D834A7">
        <w:rPr>
          <w:rFonts w:ascii="Arial" w:hAnsi="Arial" w:cs="Arial"/>
        </w:rPr>
        <w:t>According to the institutional policies, formal ethical committee approval was not necessary for reporting this single patient case. The study was conducted in accordance with the principles outlined in the Declaration of Helsinki, and patient confidentiality and anonymity were maintained throughout the documentation and reporting process.</w:t>
      </w:r>
    </w:p>
    <w:p w14:paraId="0E50637A" w14:textId="77777777" w:rsidR="00EA4685" w:rsidRPr="00D834A7" w:rsidRDefault="00EA4685">
      <w:pPr>
        <w:pStyle w:val="ReferHead"/>
        <w:spacing w:after="0"/>
        <w:jc w:val="both"/>
        <w:rPr>
          <w:rFonts w:ascii="Arial" w:hAnsi="Arial" w:cs="Arial"/>
        </w:rPr>
      </w:pPr>
    </w:p>
    <w:p w14:paraId="3D04F62B" w14:textId="77777777" w:rsidR="00EA4685" w:rsidRPr="00D834A7" w:rsidRDefault="00EA4685">
      <w:pPr>
        <w:pStyle w:val="ReferHead"/>
        <w:spacing w:after="0"/>
        <w:jc w:val="both"/>
        <w:rPr>
          <w:rFonts w:ascii="Arial" w:hAnsi="Arial" w:cs="Arial"/>
        </w:rPr>
      </w:pPr>
    </w:p>
    <w:p w14:paraId="0264A7F7" w14:textId="77777777" w:rsidR="00EA4685" w:rsidRPr="00D834A7" w:rsidRDefault="00AA7838">
      <w:pPr>
        <w:pStyle w:val="ReferHead"/>
        <w:spacing w:after="0"/>
        <w:jc w:val="both"/>
        <w:rPr>
          <w:rFonts w:ascii="Arial" w:hAnsi="Arial" w:cs="Arial"/>
        </w:rPr>
      </w:pPr>
      <w:r w:rsidRPr="00D834A7">
        <w:rPr>
          <w:rFonts w:ascii="Arial" w:hAnsi="Arial" w:cs="Arial"/>
        </w:rPr>
        <w:t>References</w:t>
      </w:r>
    </w:p>
    <w:p w14:paraId="6A8C6820" w14:textId="77777777" w:rsidR="00EA4685" w:rsidRPr="00D834A7" w:rsidRDefault="00EA4685">
      <w:pPr>
        <w:pStyle w:val="ReferHead"/>
        <w:spacing w:after="0"/>
        <w:jc w:val="both"/>
        <w:rPr>
          <w:rFonts w:ascii="Arial" w:hAnsi="Arial" w:cs="Arial"/>
        </w:rPr>
      </w:pPr>
    </w:p>
    <w:p w14:paraId="278372B7"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Anderson, D. R., Morgano, G. P., Bennett, C., Brignardello-Petersen, R., Chaibi, A., &amp; Duceppe, E. et al. (2019). American Society of Hematology 2019 guidelines for management of venous thromboembolism: prevention of VTE in surgical hospital patients. Blood Advances, 3(23), 3898-3944. </w:t>
      </w:r>
    </w:p>
    <w:p w14:paraId="78D48DD9"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Falck-</w:t>
      </w:r>
      <w:proofErr w:type="spellStart"/>
      <w:r w:rsidRPr="00D834A7">
        <w:rPr>
          <w:rFonts w:ascii="Arial" w:hAnsi="Arial" w:cs="Arial"/>
        </w:rPr>
        <w:t>Ytter</w:t>
      </w:r>
      <w:proofErr w:type="spellEnd"/>
      <w:r w:rsidRPr="00D834A7">
        <w:rPr>
          <w:rFonts w:ascii="Arial" w:hAnsi="Arial" w:cs="Arial"/>
        </w:rPr>
        <w:t xml:space="preserve">, Y., Francis, C. W., Johanson, N. A., Curley, C., Dahl, O. E., &amp; Schulman, S. et al. (2012). Prevention of VTE in orthopedic surgery patients: Antithrombotic Therapy and Prevention of Thrombosis, 9th ed: American College of Chest Physicians Evidence-Based Clinical Practice Guidelines. Chest, 141(2 Suppl), e278S-e325S. </w:t>
      </w:r>
    </w:p>
    <w:p w14:paraId="0D52C6F4"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Lanas, A., &amp; Chan, F. K. L. (2017). Peptic ulcer disease. The Lancet, 390(10094), 613-624. </w:t>
      </w:r>
    </w:p>
    <w:p w14:paraId="3BA7418D"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Moore, N., Pollack, C., &amp; </w:t>
      </w:r>
      <w:proofErr w:type="spellStart"/>
      <w:r w:rsidRPr="00D834A7">
        <w:rPr>
          <w:rFonts w:ascii="Arial" w:hAnsi="Arial" w:cs="Arial"/>
        </w:rPr>
        <w:t>Butkerait</w:t>
      </w:r>
      <w:proofErr w:type="spellEnd"/>
      <w:r w:rsidRPr="00D834A7">
        <w:rPr>
          <w:rFonts w:ascii="Arial" w:hAnsi="Arial" w:cs="Arial"/>
        </w:rPr>
        <w:t xml:space="preserve">, P. (2015). Adverse drug reactions and drug–drug interactions with over-the-counter NSAIDs. Therapeutics and Clinical Risk Management, 11, 1061-1075. </w:t>
      </w:r>
    </w:p>
    <w:p w14:paraId="1A8A9FEF" w14:textId="77777777" w:rsidR="00EA4685" w:rsidRPr="00D834A7" w:rsidRDefault="00AA7838">
      <w:pPr>
        <w:pStyle w:val="Body"/>
        <w:numPr>
          <w:ilvl w:val="0"/>
          <w:numId w:val="1"/>
        </w:numPr>
        <w:spacing w:after="0"/>
        <w:rPr>
          <w:rFonts w:ascii="Arial" w:hAnsi="Arial" w:cs="Arial"/>
        </w:rPr>
      </w:pPr>
      <w:proofErr w:type="spellStart"/>
      <w:r w:rsidRPr="00D834A7">
        <w:rPr>
          <w:rFonts w:ascii="Arial" w:hAnsi="Arial" w:cs="Arial"/>
        </w:rPr>
        <w:t>Pashikanti</w:t>
      </w:r>
      <w:proofErr w:type="spellEnd"/>
      <w:r w:rsidRPr="00D834A7">
        <w:rPr>
          <w:rFonts w:ascii="Arial" w:hAnsi="Arial" w:cs="Arial"/>
        </w:rPr>
        <w:t xml:space="preserve">, L., &amp; Von Ah, D. (2012). Impact of early mobilization on glycemic control and manual muscle test in patients after total knee replacement. Oncology Nursing Forum, 39(1), 105-112. </w:t>
      </w:r>
    </w:p>
    <w:p w14:paraId="532641E7"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Schjerning Olsen, A. M., Gislason, G. H., McGettigan, P., Fosbøl, E., Sørensen, R., &amp; Hansen, M. L. et al. (2015). Association of NSAID use with risk of bleeding and cardiovascular events in patients receiving antithrombotic therapy after myocardial infarction. JAMA, 313(8), 805-814. </w:t>
      </w:r>
    </w:p>
    <w:p w14:paraId="7DBB2FF4"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Zhai, Z., Kan, Q., Li, W., Qin, X., Qu, J., &amp; Shi, Y. et al. (2014). VTE risk assessment and prophylaxis in Chinese patients: a post hoc analysis of the AIDA study. Chest, 146(5), 1314-1325. </w:t>
      </w:r>
    </w:p>
    <w:p w14:paraId="112B9935"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Encke, A., &amp; Kopp, I. (2015). Prevention of Venous Thromboembolism. </w:t>
      </w:r>
      <w:proofErr w:type="spellStart"/>
      <w:r w:rsidRPr="00D834A7">
        <w:rPr>
          <w:rFonts w:ascii="Arial" w:hAnsi="Arial" w:cs="Arial"/>
        </w:rPr>
        <w:t>Deutsches</w:t>
      </w:r>
      <w:proofErr w:type="spellEnd"/>
      <w:r w:rsidRPr="00D834A7">
        <w:rPr>
          <w:rFonts w:ascii="Arial" w:hAnsi="Arial" w:cs="Arial"/>
        </w:rPr>
        <w:t xml:space="preserve"> </w:t>
      </w:r>
      <w:proofErr w:type="spellStart"/>
      <w:r w:rsidRPr="00D834A7">
        <w:rPr>
          <w:rFonts w:ascii="Arial" w:hAnsi="Arial" w:cs="Arial"/>
        </w:rPr>
        <w:t>Ärzteblatt</w:t>
      </w:r>
      <w:proofErr w:type="spellEnd"/>
      <w:r w:rsidRPr="00D834A7">
        <w:rPr>
          <w:rFonts w:ascii="Arial" w:hAnsi="Arial" w:cs="Arial"/>
        </w:rPr>
        <w:t xml:space="preserve"> International, 112(37), 620-625. </w:t>
      </w:r>
    </w:p>
    <w:p w14:paraId="50A13994"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Bhatt, D. L., Scheiman, J., Abraham, N. S., Antman, E. M., Chan, F. K. L., &amp; </w:t>
      </w:r>
      <w:proofErr w:type="spellStart"/>
      <w:r w:rsidRPr="00D834A7">
        <w:rPr>
          <w:rFonts w:ascii="Arial" w:hAnsi="Arial" w:cs="Arial"/>
        </w:rPr>
        <w:t>Furberg</w:t>
      </w:r>
      <w:proofErr w:type="spellEnd"/>
      <w:r w:rsidRPr="00D834A7">
        <w:rPr>
          <w:rFonts w:ascii="Arial" w:hAnsi="Arial" w:cs="Arial"/>
        </w:rPr>
        <w:t xml:space="preserve">, C. D. et al. (2008). ACCF/ACG/AHA 2008 expert consensus document on reducing the gastrointestinal risks of antiplatelet therapy and NSAID use. Journal of the American College of Cardiology, 52(18), 1502-1517. </w:t>
      </w:r>
    </w:p>
    <w:p w14:paraId="542ACCDD"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Agboola, I. A., Adebayo, O., &amp; Owoeye, D. O. (2018). The Role of the Pharmacist in the Management of Venous Thromboembolism. Journal of Pharmaceutical Care and Health Systems, 5(1), 1-5. </w:t>
      </w:r>
    </w:p>
    <w:p w14:paraId="09021BEC"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Dahl OE, Caprini JA, Colwell CW Jr, et al. Fatal pulmonary embolism after total knee arthroplasty: a contemporary analysis. J Arthroplasty. 2005;20(1):70-74.  </w:t>
      </w:r>
    </w:p>
    <w:p w14:paraId="30F5D3D9"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Eriksson BI, Quinlan DJ, Weitz JI. Comparative pharmacodynamics and pharmacokinetics of oral direct thrombin and factor Xa inhibitors in development. Clin </w:t>
      </w:r>
      <w:proofErr w:type="spellStart"/>
      <w:r w:rsidRPr="00D834A7">
        <w:rPr>
          <w:rFonts w:ascii="Arial" w:hAnsi="Arial" w:cs="Arial"/>
        </w:rPr>
        <w:t>Pharmacokinet</w:t>
      </w:r>
      <w:proofErr w:type="spellEnd"/>
      <w:r w:rsidRPr="00D834A7">
        <w:rPr>
          <w:rFonts w:ascii="Arial" w:hAnsi="Arial" w:cs="Arial"/>
        </w:rPr>
        <w:t xml:space="preserve">. 2009;48(1):1-22.  </w:t>
      </w:r>
    </w:p>
    <w:p w14:paraId="61CCFEA0" w14:textId="77777777" w:rsidR="00EA4685" w:rsidRPr="00D834A7" w:rsidRDefault="00AA7838">
      <w:pPr>
        <w:pStyle w:val="Body"/>
        <w:numPr>
          <w:ilvl w:val="0"/>
          <w:numId w:val="1"/>
        </w:numPr>
        <w:spacing w:after="0"/>
        <w:rPr>
          <w:rFonts w:ascii="Arial" w:hAnsi="Arial" w:cs="Arial"/>
        </w:rPr>
      </w:pPr>
      <w:proofErr w:type="spellStart"/>
      <w:r w:rsidRPr="00D834A7">
        <w:rPr>
          <w:rFonts w:ascii="Arial" w:hAnsi="Arial" w:cs="Arial"/>
        </w:rPr>
        <w:t>Knijff-Dutmer</w:t>
      </w:r>
      <w:proofErr w:type="spellEnd"/>
      <w:r w:rsidRPr="00D834A7">
        <w:rPr>
          <w:rFonts w:ascii="Arial" w:hAnsi="Arial" w:cs="Arial"/>
        </w:rPr>
        <w:t xml:space="preserve"> EA, Martens J, Nijhuis A, et al. Effects of diclofenac on platelet functions in healthy volunteers and patients with rheumatoid arthritis. Rheumatology (Oxford). 1999;38(11):1082-1086.  </w:t>
      </w:r>
    </w:p>
    <w:p w14:paraId="10513551"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Laporte JR, Ibañez L, Vidal X, et al. Upper gastrointestinal bleeding associated with the combined use of low-dose aspirin or anticoagulants with non-aspirin non-steroidal anti-inflammatory drugs. Drug Saf. 2004;27(6):411-420.  </w:t>
      </w:r>
    </w:p>
    <w:p w14:paraId="16771B34"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Osterberg L, Blaschke T. Adherence to medication. N Engl J Med. 2005;353(5):487-497.  </w:t>
      </w:r>
    </w:p>
    <w:p w14:paraId="725B44E6" w14:textId="77777777" w:rsidR="00EA4685" w:rsidRPr="00D834A7" w:rsidRDefault="00AA7838">
      <w:pPr>
        <w:pStyle w:val="Body"/>
        <w:numPr>
          <w:ilvl w:val="0"/>
          <w:numId w:val="1"/>
        </w:numPr>
        <w:spacing w:after="0"/>
        <w:rPr>
          <w:rFonts w:ascii="Arial" w:hAnsi="Arial" w:cs="Arial"/>
        </w:rPr>
      </w:pPr>
      <w:proofErr w:type="spellStart"/>
      <w:r w:rsidRPr="00D834A7">
        <w:rPr>
          <w:rFonts w:ascii="Arial" w:hAnsi="Arial" w:cs="Arial"/>
        </w:rPr>
        <w:t>Sostres</w:t>
      </w:r>
      <w:proofErr w:type="spellEnd"/>
      <w:r w:rsidRPr="00D834A7">
        <w:rPr>
          <w:rFonts w:ascii="Arial" w:hAnsi="Arial" w:cs="Arial"/>
        </w:rPr>
        <w:t xml:space="preserve"> C, </w:t>
      </w:r>
      <w:proofErr w:type="spellStart"/>
      <w:r w:rsidRPr="00D834A7">
        <w:rPr>
          <w:rFonts w:ascii="Arial" w:hAnsi="Arial" w:cs="Arial"/>
        </w:rPr>
        <w:t>Gargallo</w:t>
      </w:r>
      <w:proofErr w:type="spellEnd"/>
      <w:r w:rsidRPr="00D834A7">
        <w:rPr>
          <w:rFonts w:ascii="Arial" w:hAnsi="Arial" w:cs="Arial"/>
        </w:rPr>
        <w:t xml:space="preserve"> CJ, Arroyo MT, et al. Adverse effects of non-steroidal anti-inflammatory drugs (NSAIDs, aspirin and </w:t>
      </w:r>
      <w:proofErr w:type="spellStart"/>
      <w:r w:rsidRPr="00D834A7">
        <w:rPr>
          <w:rFonts w:ascii="Arial" w:hAnsi="Arial" w:cs="Arial"/>
        </w:rPr>
        <w:t>coxibs</w:t>
      </w:r>
      <w:proofErr w:type="spellEnd"/>
      <w:r w:rsidRPr="00D834A7">
        <w:rPr>
          <w:rFonts w:ascii="Arial" w:hAnsi="Arial" w:cs="Arial"/>
        </w:rPr>
        <w:t xml:space="preserve">) on lower gastrointestinal tract. Best </w:t>
      </w:r>
      <w:proofErr w:type="spellStart"/>
      <w:r w:rsidRPr="00D834A7">
        <w:rPr>
          <w:rFonts w:ascii="Arial" w:hAnsi="Arial" w:cs="Arial"/>
        </w:rPr>
        <w:t>Pract</w:t>
      </w:r>
      <w:proofErr w:type="spellEnd"/>
      <w:r w:rsidRPr="00D834A7">
        <w:rPr>
          <w:rFonts w:ascii="Arial" w:hAnsi="Arial" w:cs="Arial"/>
        </w:rPr>
        <w:t xml:space="preserve"> Res Clin Gastroenterol. 2010;24(2):121-132.  </w:t>
      </w:r>
    </w:p>
    <w:p w14:paraId="326F0F6F"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Tafur A, Caprini JA. Perioperative management of antithrombotic therapy: an update. Med Clin North Am. 2012;96(2):281-300.  </w:t>
      </w:r>
    </w:p>
    <w:p w14:paraId="69AFF41B" w14:textId="77777777" w:rsidR="00EA4685" w:rsidRPr="00D834A7" w:rsidRDefault="00AA7838">
      <w:pPr>
        <w:pStyle w:val="Body"/>
        <w:numPr>
          <w:ilvl w:val="0"/>
          <w:numId w:val="1"/>
        </w:numPr>
        <w:spacing w:after="0"/>
        <w:rPr>
          <w:rFonts w:ascii="Arial" w:hAnsi="Arial" w:cs="Arial"/>
        </w:rPr>
      </w:pPr>
      <w:r w:rsidRPr="00D834A7">
        <w:rPr>
          <w:rFonts w:ascii="Arial" w:hAnsi="Arial" w:cs="Arial"/>
        </w:rPr>
        <w:t xml:space="preserve">Wells PS, Anderson DR, Rodger M, et al. Derivation of a simple clinical model to categorize </w:t>
      </w:r>
      <w:proofErr w:type="gramStart"/>
      <w:r w:rsidRPr="00D834A7">
        <w:rPr>
          <w:rFonts w:ascii="Arial" w:hAnsi="Arial" w:cs="Arial"/>
        </w:rPr>
        <w:t>patients</w:t>
      </w:r>
      <w:proofErr w:type="gramEnd"/>
      <w:r w:rsidRPr="00D834A7">
        <w:rPr>
          <w:rFonts w:ascii="Arial" w:hAnsi="Arial" w:cs="Arial"/>
        </w:rPr>
        <w:t xml:space="preserve"> probability of pulmonary embolism: increasing the Wells score's utility with soluble fibrin-helper. </w:t>
      </w:r>
      <w:proofErr w:type="spellStart"/>
      <w:r w:rsidRPr="00D834A7">
        <w:rPr>
          <w:rFonts w:ascii="Arial" w:hAnsi="Arial" w:cs="Arial"/>
        </w:rPr>
        <w:t>Thromb</w:t>
      </w:r>
      <w:proofErr w:type="spellEnd"/>
      <w:r w:rsidRPr="00D834A7">
        <w:rPr>
          <w:rFonts w:ascii="Arial" w:hAnsi="Arial" w:cs="Arial"/>
        </w:rPr>
        <w:t xml:space="preserve"> </w:t>
      </w:r>
      <w:proofErr w:type="spellStart"/>
      <w:r w:rsidRPr="00D834A7">
        <w:rPr>
          <w:rFonts w:ascii="Arial" w:hAnsi="Arial" w:cs="Arial"/>
        </w:rPr>
        <w:t>Haemost</w:t>
      </w:r>
      <w:proofErr w:type="spellEnd"/>
      <w:r w:rsidRPr="00D834A7">
        <w:rPr>
          <w:rFonts w:ascii="Arial" w:hAnsi="Arial" w:cs="Arial"/>
        </w:rPr>
        <w:t>. 2000;83(3):416-420.</w:t>
      </w:r>
    </w:p>
    <w:p w14:paraId="1E34A766" w14:textId="77777777" w:rsidR="00EA4685" w:rsidRPr="00D834A7" w:rsidRDefault="00EA4685">
      <w:pPr>
        <w:pStyle w:val="Body"/>
        <w:tabs>
          <w:tab w:val="left" w:pos="720"/>
        </w:tabs>
        <w:spacing w:after="0"/>
        <w:rPr>
          <w:rFonts w:ascii="Arial" w:hAnsi="Arial" w:cs="Arial"/>
        </w:rPr>
      </w:pPr>
    </w:p>
    <w:p w14:paraId="6506A3A2" w14:textId="77777777" w:rsidR="00EA4685" w:rsidRPr="00D834A7" w:rsidRDefault="00EA4685">
      <w:pPr>
        <w:pStyle w:val="Body"/>
        <w:tabs>
          <w:tab w:val="left" w:pos="720"/>
        </w:tabs>
        <w:spacing w:after="0"/>
        <w:rPr>
          <w:rFonts w:ascii="Arial" w:hAnsi="Arial" w:cs="Arial"/>
          <w:b/>
          <w:bCs/>
          <w:sz w:val="22"/>
          <w:szCs w:val="22"/>
        </w:rPr>
      </w:pPr>
    </w:p>
    <w:p w14:paraId="4AC064CD" w14:textId="77777777" w:rsidR="00EA4685" w:rsidRPr="00D834A7" w:rsidRDefault="00AA7838">
      <w:pPr>
        <w:pStyle w:val="Body"/>
        <w:tabs>
          <w:tab w:val="left" w:pos="720"/>
        </w:tabs>
        <w:spacing w:after="0"/>
        <w:rPr>
          <w:rFonts w:ascii="Arial" w:hAnsi="Arial" w:cs="Arial"/>
          <w:b/>
          <w:bCs/>
          <w:sz w:val="22"/>
          <w:szCs w:val="22"/>
        </w:rPr>
      </w:pPr>
      <w:r w:rsidRPr="00D834A7">
        <w:rPr>
          <w:rFonts w:ascii="Arial" w:hAnsi="Arial" w:cs="Arial"/>
          <w:b/>
          <w:bCs/>
          <w:sz w:val="22"/>
          <w:szCs w:val="22"/>
        </w:rPr>
        <w:t xml:space="preserve">Tables:  </w:t>
      </w:r>
    </w:p>
    <w:p w14:paraId="51E7FC57" w14:textId="77777777" w:rsidR="00EA4685" w:rsidRPr="00D834A7" w:rsidRDefault="00EA4685">
      <w:pPr>
        <w:pStyle w:val="Body"/>
        <w:tabs>
          <w:tab w:val="left" w:pos="720"/>
        </w:tabs>
        <w:spacing w:after="0"/>
        <w:rPr>
          <w:rFonts w:ascii="Arial" w:hAnsi="Arial" w:cs="Arial"/>
          <w:b/>
          <w:bCs/>
          <w:sz w:val="22"/>
          <w:szCs w:val="22"/>
        </w:rPr>
      </w:pPr>
    </w:p>
    <w:p w14:paraId="4BC876B6" w14:textId="77777777" w:rsidR="00EA4685" w:rsidRPr="00D834A7" w:rsidRDefault="00AA7838">
      <w:pPr>
        <w:pStyle w:val="Body"/>
        <w:tabs>
          <w:tab w:val="left" w:pos="720"/>
        </w:tabs>
        <w:spacing w:after="0"/>
        <w:rPr>
          <w:rFonts w:ascii="Arial" w:hAnsi="Arial" w:cs="Arial"/>
          <w:b/>
          <w:bCs/>
          <w:sz w:val="22"/>
          <w:szCs w:val="22"/>
        </w:rPr>
      </w:pPr>
      <w:r w:rsidRPr="00D834A7">
        <w:rPr>
          <w:rFonts w:ascii="Arial" w:hAnsi="Arial" w:cs="Arial"/>
          <w:b/>
          <w:bCs/>
          <w:sz w:val="22"/>
          <w:szCs w:val="22"/>
        </w:rPr>
        <w:t xml:space="preserve">      </w:t>
      </w:r>
    </w:p>
    <w:p w14:paraId="647F0D8A" w14:textId="77777777" w:rsidR="00EA4685" w:rsidRPr="00D834A7" w:rsidRDefault="00AA7838">
      <w:pPr>
        <w:pStyle w:val="Body"/>
        <w:tabs>
          <w:tab w:val="left" w:pos="720"/>
        </w:tabs>
        <w:spacing w:after="0"/>
        <w:jc w:val="center"/>
        <w:rPr>
          <w:rFonts w:ascii="Arial" w:hAnsi="Arial" w:cs="Arial"/>
          <w:b/>
          <w:bCs/>
          <w:sz w:val="22"/>
          <w:szCs w:val="22"/>
        </w:rPr>
      </w:pPr>
      <w:r w:rsidRPr="00D834A7">
        <w:rPr>
          <w:rFonts w:ascii="Arial" w:hAnsi="Arial" w:cs="Arial"/>
          <w:b/>
          <w:bCs/>
          <w:sz w:val="22"/>
          <w:szCs w:val="22"/>
        </w:rPr>
        <w:t>Table.1: Medication Timeline with Missed Doses Leading to Thromboembolic Event</w:t>
      </w:r>
    </w:p>
    <w:p w14:paraId="793756C6" w14:textId="77777777" w:rsidR="00EA4685" w:rsidRPr="00D834A7" w:rsidRDefault="00EA4685">
      <w:pPr>
        <w:pStyle w:val="Body"/>
        <w:tabs>
          <w:tab w:val="left" w:pos="720"/>
        </w:tabs>
        <w:spacing w:after="0"/>
        <w:rPr>
          <w:rFonts w:ascii="Arial" w:hAnsi="Arial" w:cs="Arial"/>
          <w:b/>
          <w:bCs/>
          <w:sz w:val="22"/>
          <w:szCs w:val="22"/>
        </w:rPr>
      </w:pPr>
    </w:p>
    <w:p w14:paraId="5B08DC7E" w14:textId="77777777" w:rsidR="00EA4685" w:rsidRPr="00D834A7" w:rsidRDefault="00EA4685">
      <w:pPr>
        <w:pStyle w:val="Body"/>
        <w:tabs>
          <w:tab w:val="left" w:pos="720"/>
        </w:tabs>
        <w:spacing w:after="0"/>
        <w:rPr>
          <w:rFonts w:ascii="Arial" w:hAnsi="Arial" w:cs="Arial"/>
          <w:b/>
          <w:bCs/>
          <w:sz w:val="22"/>
          <w:szCs w:val="22"/>
        </w:rPr>
      </w:pPr>
    </w:p>
    <w:tbl>
      <w:tblPr>
        <w:tblW w:w="10556" w:type="dxa"/>
        <w:tblInd w:w="-5" w:type="dxa"/>
        <w:tblLook w:val="0000" w:firstRow="0" w:lastRow="0" w:firstColumn="0" w:lastColumn="0" w:noHBand="0" w:noVBand="0"/>
      </w:tblPr>
      <w:tblGrid>
        <w:gridCol w:w="1023"/>
        <w:gridCol w:w="1471"/>
        <w:gridCol w:w="1299"/>
        <w:gridCol w:w="1585"/>
        <w:gridCol w:w="1023"/>
        <w:gridCol w:w="1214"/>
        <w:gridCol w:w="1256"/>
        <w:gridCol w:w="1685"/>
      </w:tblGrid>
      <w:tr w:rsidR="00EA4685" w:rsidRPr="00D834A7" w14:paraId="418C5E8D" w14:textId="77777777">
        <w:trPr>
          <w:trHeight w:val="299"/>
        </w:trPr>
        <w:tc>
          <w:tcPr>
            <w:tcW w:w="1023" w:type="dxa"/>
            <w:tcBorders>
              <w:top w:val="single" w:sz="4" w:space="0" w:color="auto"/>
              <w:left w:val="single" w:sz="4" w:space="0" w:color="auto"/>
              <w:bottom w:val="single" w:sz="4" w:space="0" w:color="auto"/>
              <w:right w:val="single" w:sz="4" w:space="0" w:color="auto"/>
            </w:tcBorders>
            <w:noWrap/>
            <w:vAlign w:val="bottom"/>
          </w:tcPr>
          <w:p w14:paraId="7DFFC3A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Phase</w:t>
            </w:r>
          </w:p>
        </w:tc>
        <w:tc>
          <w:tcPr>
            <w:tcW w:w="1471" w:type="dxa"/>
            <w:tcBorders>
              <w:top w:val="single" w:sz="4" w:space="0" w:color="auto"/>
              <w:left w:val="nil"/>
              <w:bottom w:val="single" w:sz="4" w:space="0" w:color="auto"/>
              <w:right w:val="single" w:sz="4" w:space="0" w:color="auto"/>
            </w:tcBorders>
            <w:noWrap/>
            <w:vAlign w:val="bottom"/>
          </w:tcPr>
          <w:p w14:paraId="5801135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w:t>
            </w:r>
          </w:p>
        </w:tc>
        <w:tc>
          <w:tcPr>
            <w:tcW w:w="1299" w:type="dxa"/>
            <w:tcBorders>
              <w:top w:val="single" w:sz="4" w:space="0" w:color="auto"/>
              <w:left w:val="nil"/>
              <w:bottom w:val="single" w:sz="4" w:space="0" w:color="auto"/>
              <w:right w:val="single" w:sz="4" w:space="0" w:color="auto"/>
            </w:tcBorders>
            <w:noWrap/>
            <w:vAlign w:val="bottom"/>
          </w:tcPr>
          <w:p w14:paraId="3C4FC34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Time</w:t>
            </w:r>
          </w:p>
        </w:tc>
        <w:tc>
          <w:tcPr>
            <w:tcW w:w="1585" w:type="dxa"/>
            <w:tcBorders>
              <w:top w:val="single" w:sz="4" w:space="0" w:color="auto"/>
              <w:left w:val="nil"/>
              <w:bottom w:val="single" w:sz="4" w:space="0" w:color="auto"/>
              <w:right w:val="single" w:sz="4" w:space="0" w:color="auto"/>
            </w:tcBorders>
            <w:noWrap/>
            <w:vAlign w:val="bottom"/>
          </w:tcPr>
          <w:p w14:paraId="5B02558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Drug</w:t>
            </w:r>
          </w:p>
        </w:tc>
        <w:tc>
          <w:tcPr>
            <w:tcW w:w="1023" w:type="dxa"/>
            <w:tcBorders>
              <w:top w:val="single" w:sz="4" w:space="0" w:color="auto"/>
              <w:left w:val="nil"/>
              <w:bottom w:val="single" w:sz="4" w:space="0" w:color="auto"/>
              <w:right w:val="single" w:sz="4" w:space="0" w:color="auto"/>
            </w:tcBorders>
            <w:noWrap/>
            <w:vAlign w:val="bottom"/>
          </w:tcPr>
          <w:p w14:paraId="0396F4E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Dose</w:t>
            </w:r>
          </w:p>
        </w:tc>
        <w:tc>
          <w:tcPr>
            <w:tcW w:w="1214" w:type="dxa"/>
            <w:tcBorders>
              <w:top w:val="single" w:sz="4" w:space="0" w:color="auto"/>
              <w:left w:val="nil"/>
              <w:bottom w:val="single" w:sz="4" w:space="0" w:color="auto"/>
              <w:right w:val="single" w:sz="4" w:space="0" w:color="auto"/>
            </w:tcBorders>
            <w:noWrap/>
            <w:vAlign w:val="bottom"/>
          </w:tcPr>
          <w:p w14:paraId="513D2C5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Route</w:t>
            </w:r>
          </w:p>
        </w:tc>
        <w:tc>
          <w:tcPr>
            <w:tcW w:w="1256" w:type="dxa"/>
            <w:tcBorders>
              <w:top w:val="single" w:sz="4" w:space="0" w:color="auto"/>
              <w:left w:val="nil"/>
              <w:bottom w:val="single" w:sz="4" w:space="0" w:color="auto"/>
              <w:right w:val="single" w:sz="4" w:space="0" w:color="auto"/>
            </w:tcBorders>
            <w:noWrap/>
            <w:vAlign w:val="bottom"/>
          </w:tcPr>
          <w:p w14:paraId="32DBB058"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Status</w:t>
            </w:r>
          </w:p>
        </w:tc>
        <w:tc>
          <w:tcPr>
            <w:tcW w:w="1685" w:type="dxa"/>
            <w:tcBorders>
              <w:top w:val="single" w:sz="4" w:space="0" w:color="auto"/>
              <w:left w:val="nil"/>
              <w:bottom w:val="single" w:sz="4" w:space="0" w:color="auto"/>
              <w:right w:val="single" w:sz="4" w:space="0" w:color="auto"/>
            </w:tcBorders>
            <w:noWrap/>
            <w:vAlign w:val="bottom"/>
          </w:tcPr>
          <w:p w14:paraId="3109018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Remarks</w:t>
            </w:r>
          </w:p>
        </w:tc>
      </w:tr>
      <w:tr w:rsidR="00EA4685" w:rsidRPr="00D834A7" w14:paraId="1A155D1D"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1141E2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Post-TKR</w:t>
            </w:r>
          </w:p>
        </w:tc>
        <w:tc>
          <w:tcPr>
            <w:tcW w:w="1471" w:type="dxa"/>
            <w:tcBorders>
              <w:top w:val="nil"/>
              <w:left w:val="nil"/>
              <w:bottom w:val="single" w:sz="4" w:space="0" w:color="auto"/>
              <w:right w:val="single" w:sz="4" w:space="0" w:color="auto"/>
            </w:tcBorders>
            <w:noWrap/>
            <w:vAlign w:val="bottom"/>
          </w:tcPr>
          <w:p w14:paraId="3BD5198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0</w:t>
            </w:r>
          </w:p>
        </w:tc>
        <w:tc>
          <w:tcPr>
            <w:tcW w:w="1299" w:type="dxa"/>
            <w:tcBorders>
              <w:top w:val="nil"/>
              <w:left w:val="nil"/>
              <w:bottom w:val="single" w:sz="4" w:space="0" w:color="auto"/>
              <w:right w:val="single" w:sz="4" w:space="0" w:color="auto"/>
            </w:tcBorders>
            <w:noWrap/>
            <w:vAlign w:val="bottom"/>
          </w:tcPr>
          <w:p w14:paraId="794130B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54F6290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028FED7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6694FF5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7D1466A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12B3E2E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Post-op prophylaxis</w:t>
            </w:r>
          </w:p>
        </w:tc>
      </w:tr>
      <w:tr w:rsidR="00EA4685" w:rsidRPr="00D834A7" w14:paraId="7E06DC8E"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0A1F22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Post-TKR</w:t>
            </w:r>
          </w:p>
        </w:tc>
        <w:tc>
          <w:tcPr>
            <w:tcW w:w="1471" w:type="dxa"/>
            <w:tcBorders>
              <w:top w:val="nil"/>
              <w:left w:val="nil"/>
              <w:bottom w:val="single" w:sz="4" w:space="0" w:color="auto"/>
              <w:right w:val="single" w:sz="4" w:space="0" w:color="auto"/>
            </w:tcBorders>
            <w:noWrap/>
            <w:vAlign w:val="bottom"/>
          </w:tcPr>
          <w:p w14:paraId="1FD3D37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1C63EAB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402F9B8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7D6EADAF"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1A0A076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0DCA41B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2347369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 </w:t>
            </w:r>
          </w:p>
        </w:tc>
      </w:tr>
      <w:tr w:rsidR="00EA4685" w:rsidRPr="00D834A7" w14:paraId="39E2CDAF"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6848244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Post-TKR</w:t>
            </w:r>
          </w:p>
        </w:tc>
        <w:tc>
          <w:tcPr>
            <w:tcW w:w="1471" w:type="dxa"/>
            <w:tcBorders>
              <w:top w:val="nil"/>
              <w:left w:val="nil"/>
              <w:bottom w:val="single" w:sz="4" w:space="0" w:color="auto"/>
              <w:right w:val="single" w:sz="4" w:space="0" w:color="auto"/>
            </w:tcBorders>
            <w:noWrap/>
            <w:vAlign w:val="bottom"/>
          </w:tcPr>
          <w:p w14:paraId="32A498D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2</w:t>
            </w:r>
          </w:p>
        </w:tc>
        <w:tc>
          <w:tcPr>
            <w:tcW w:w="1299" w:type="dxa"/>
            <w:tcBorders>
              <w:top w:val="nil"/>
              <w:left w:val="nil"/>
              <w:bottom w:val="single" w:sz="4" w:space="0" w:color="auto"/>
              <w:right w:val="single" w:sz="4" w:space="0" w:color="auto"/>
            </w:tcBorders>
            <w:noWrap/>
            <w:vAlign w:val="bottom"/>
          </w:tcPr>
          <w:p w14:paraId="6F87B91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44D5349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424EB74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60DB054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4D6540E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4077401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 </w:t>
            </w:r>
          </w:p>
        </w:tc>
      </w:tr>
      <w:tr w:rsidR="00EA4685" w:rsidRPr="00D834A7" w14:paraId="1D4EFA7E"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CF97AC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Post-TKR</w:t>
            </w:r>
          </w:p>
        </w:tc>
        <w:tc>
          <w:tcPr>
            <w:tcW w:w="1471" w:type="dxa"/>
            <w:tcBorders>
              <w:top w:val="nil"/>
              <w:left w:val="nil"/>
              <w:bottom w:val="single" w:sz="4" w:space="0" w:color="auto"/>
              <w:right w:val="single" w:sz="4" w:space="0" w:color="auto"/>
            </w:tcBorders>
            <w:noWrap/>
            <w:vAlign w:val="bottom"/>
          </w:tcPr>
          <w:p w14:paraId="19E90E9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3</w:t>
            </w:r>
          </w:p>
        </w:tc>
        <w:tc>
          <w:tcPr>
            <w:tcW w:w="1299" w:type="dxa"/>
            <w:tcBorders>
              <w:top w:val="nil"/>
              <w:left w:val="nil"/>
              <w:bottom w:val="single" w:sz="4" w:space="0" w:color="auto"/>
              <w:right w:val="single" w:sz="4" w:space="0" w:color="auto"/>
            </w:tcBorders>
            <w:noWrap/>
            <w:vAlign w:val="bottom"/>
          </w:tcPr>
          <w:p w14:paraId="1CE0D9C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79102A0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7C28E38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47AD602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614D7A5F"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745C8B0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 </w:t>
            </w:r>
          </w:p>
        </w:tc>
      </w:tr>
      <w:tr w:rsidR="00EA4685" w:rsidRPr="00D834A7" w14:paraId="5FA8A84C"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79EC70F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Post-TKR</w:t>
            </w:r>
          </w:p>
        </w:tc>
        <w:tc>
          <w:tcPr>
            <w:tcW w:w="1471" w:type="dxa"/>
            <w:tcBorders>
              <w:top w:val="nil"/>
              <w:left w:val="nil"/>
              <w:bottom w:val="single" w:sz="4" w:space="0" w:color="auto"/>
              <w:right w:val="single" w:sz="4" w:space="0" w:color="auto"/>
            </w:tcBorders>
            <w:noWrap/>
            <w:vAlign w:val="bottom"/>
          </w:tcPr>
          <w:p w14:paraId="7EB7831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4</w:t>
            </w:r>
          </w:p>
        </w:tc>
        <w:tc>
          <w:tcPr>
            <w:tcW w:w="1299" w:type="dxa"/>
            <w:tcBorders>
              <w:top w:val="nil"/>
              <w:left w:val="nil"/>
              <w:bottom w:val="single" w:sz="4" w:space="0" w:color="auto"/>
              <w:right w:val="single" w:sz="4" w:space="0" w:color="auto"/>
            </w:tcBorders>
            <w:noWrap/>
            <w:vAlign w:val="bottom"/>
          </w:tcPr>
          <w:p w14:paraId="612DA3E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2EF5FA4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2D8F97C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78BEEEF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4FE301C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52C80D0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 </w:t>
            </w:r>
          </w:p>
        </w:tc>
      </w:tr>
      <w:tr w:rsidR="00EA4685" w:rsidRPr="00D834A7" w14:paraId="6544B44E"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644D54E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Routine</w:t>
            </w:r>
          </w:p>
        </w:tc>
        <w:tc>
          <w:tcPr>
            <w:tcW w:w="1471" w:type="dxa"/>
            <w:tcBorders>
              <w:top w:val="nil"/>
              <w:left w:val="nil"/>
              <w:bottom w:val="single" w:sz="4" w:space="0" w:color="auto"/>
              <w:right w:val="single" w:sz="4" w:space="0" w:color="auto"/>
            </w:tcBorders>
            <w:noWrap/>
            <w:vAlign w:val="bottom"/>
          </w:tcPr>
          <w:p w14:paraId="05BE43D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Daily</w:t>
            </w:r>
          </w:p>
        </w:tc>
        <w:tc>
          <w:tcPr>
            <w:tcW w:w="1299" w:type="dxa"/>
            <w:tcBorders>
              <w:top w:val="nil"/>
              <w:left w:val="nil"/>
              <w:bottom w:val="single" w:sz="4" w:space="0" w:color="auto"/>
              <w:right w:val="single" w:sz="4" w:space="0" w:color="auto"/>
            </w:tcBorders>
            <w:noWrap/>
            <w:vAlign w:val="bottom"/>
          </w:tcPr>
          <w:p w14:paraId="6F3C30A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7322F89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Metformin</w:t>
            </w:r>
          </w:p>
        </w:tc>
        <w:tc>
          <w:tcPr>
            <w:tcW w:w="1023" w:type="dxa"/>
            <w:tcBorders>
              <w:top w:val="nil"/>
              <w:left w:val="nil"/>
              <w:bottom w:val="single" w:sz="4" w:space="0" w:color="auto"/>
              <w:right w:val="single" w:sz="4" w:space="0" w:color="auto"/>
            </w:tcBorders>
            <w:noWrap/>
            <w:vAlign w:val="bottom"/>
          </w:tcPr>
          <w:p w14:paraId="1FA8949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500 mg</w:t>
            </w:r>
          </w:p>
        </w:tc>
        <w:tc>
          <w:tcPr>
            <w:tcW w:w="1214" w:type="dxa"/>
            <w:tcBorders>
              <w:top w:val="nil"/>
              <w:left w:val="nil"/>
              <w:bottom w:val="single" w:sz="4" w:space="0" w:color="auto"/>
              <w:right w:val="single" w:sz="4" w:space="0" w:color="auto"/>
            </w:tcBorders>
            <w:noWrap/>
            <w:vAlign w:val="bottom"/>
          </w:tcPr>
          <w:p w14:paraId="21598B4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0340C02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6618ECE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DM</w:t>
            </w:r>
          </w:p>
        </w:tc>
      </w:tr>
      <w:tr w:rsidR="00EA4685" w:rsidRPr="00D834A7" w14:paraId="6F0C9107"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17C5FE2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Routine</w:t>
            </w:r>
          </w:p>
        </w:tc>
        <w:tc>
          <w:tcPr>
            <w:tcW w:w="1471" w:type="dxa"/>
            <w:tcBorders>
              <w:top w:val="nil"/>
              <w:left w:val="nil"/>
              <w:bottom w:val="single" w:sz="4" w:space="0" w:color="auto"/>
              <w:right w:val="single" w:sz="4" w:space="0" w:color="auto"/>
            </w:tcBorders>
            <w:noWrap/>
            <w:vAlign w:val="bottom"/>
          </w:tcPr>
          <w:p w14:paraId="21B34A7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Daily</w:t>
            </w:r>
          </w:p>
        </w:tc>
        <w:tc>
          <w:tcPr>
            <w:tcW w:w="1299" w:type="dxa"/>
            <w:tcBorders>
              <w:top w:val="nil"/>
              <w:left w:val="nil"/>
              <w:bottom w:val="single" w:sz="4" w:space="0" w:color="auto"/>
              <w:right w:val="single" w:sz="4" w:space="0" w:color="auto"/>
            </w:tcBorders>
            <w:noWrap/>
            <w:vAlign w:val="bottom"/>
          </w:tcPr>
          <w:p w14:paraId="763CE1E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18B3C5A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Glimepiride</w:t>
            </w:r>
          </w:p>
        </w:tc>
        <w:tc>
          <w:tcPr>
            <w:tcW w:w="1023" w:type="dxa"/>
            <w:tcBorders>
              <w:top w:val="nil"/>
              <w:left w:val="nil"/>
              <w:bottom w:val="single" w:sz="4" w:space="0" w:color="auto"/>
              <w:right w:val="single" w:sz="4" w:space="0" w:color="auto"/>
            </w:tcBorders>
            <w:noWrap/>
            <w:vAlign w:val="bottom"/>
          </w:tcPr>
          <w:p w14:paraId="43B30E1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1 mg</w:t>
            </w:r>
          </w:p>
        </w:tc>
        <w:tc>
          <w:tcPr>
            <w:tcW w:w="1214" w:type="dxa"/>
            <w:tcBorders>
              <w:top w:val="nil"/>
              <w:left w:val="nil"/>
              <w:bottom w:val="single" w:sz="4" w:space="0" w:color="auto"/>
              <w:right w:val="single" w:sz="4" w:space="0" w:color="auto"/>
            </w:tcBorders>
            <w:noWrap/>
            <w:vAlign w:val="bottom"/>
          </w:tcPr>
          <w:p w14:paraId="47310B9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3F97256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2483CAE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DM</w:t>
            </w:r>
          </w:p>
        </w:tc>
      </w:tr>
      <w:tr w:rsidR="00EA4685" w:rsidRPr="00D834A7" w14:paraId="6D248B41"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5024BCD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Routine</w:t>
            </w:r>
          </w:p>
        </w:tc>
        <w:tc>
          <w:tcPr>
            <w:tcW w:w="1471" w:type="dxa"/>
            <w:tcBorders>
              <w:top w:val="nil"/>
              <w:left w:val="nil"/>
              <w:bottom w:val="single" w:sz="4" w:space="0" w:color="auto"/>
              <w:right w:val="single" w:sz="4" w:space="0" w:color="auto"/>
            </w:tcBorders>
            <w:noWrap/>
            <w:vAlign w:val="bottom"/>
          </w:tcPr>
          <w:p w14:paraId="2C6C80C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Daily</w:t>
            </w:r>
          </w:p>
        </w:tc>
        <w:tc>
          <w:tcPr>
            <w:tcW w:w="1299" w:type="dxa"/>
            <w:tcBorders>
              <w:top w:val="nil"/>
              <w:left w:val="nil"/>
              <w:bottom w:val="single" w:sz="4" w:space="0" w:color="auto"/>
              <w:right w:val="single" w:sz="4" w:space="0" w:color="auto"/>
            </w:tcBorders>
            <w:noWrap/>
            <w:vAlign w:val="bottom"/>
          </w:tcPr>
          <w:p w14:paraId="59945C5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9 AM</w:t>
            </w:r>
          </w:p>
        </w:tc>
        <w:tc>
          <w:tcPr>
            <w:tcW w:w="1585" w:type="dxa"/>
            <w:tcBorders>
              <w:top w:val="nil"/>
              <w:left w:val="nil"/>
              <w:bottom w:val="single" w:sz="4" w:space="0" w:color="auto"/>
              <w:right w:val="single" w:sz="4" w:space="0" w:color="auto"/>
            </w:tcBorders>
            <w:noWrap/>
            <w:vAlign w:val="bottom"/>
          </w:tcPr>
          <w:p w14:paraId="2BA7ECA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Amlodipine</w:t>
            </w:r>
          </w:p>
        </w:tc>
        <w:tc>
          <w:tcPr>
            <w:tcW w:w="1023" w:type="dxa"/>
            <w:tcBorders>
              <w:top w:val="nil"/>
              <w:left w:val="nil"/>
              <w:bottom w:val="single" w:sz="4" w:space="0" w:color="auto"/>
              <w:right w:val="single" w:sz="4" w:space="0" w:color="auto"/>
            </w:tcBorders>
            <w:noWrap/>
            <w:vAlign w:val="bottom"/>
          </w:tcPr>
          <w:p w14:paraId="642E4AC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5 mg</w:t>
            </w:r>
          </w:p>
        </w:tc>
        <w:tc>
          <w:tcPr>
            <w:tcW w:w="1214" w:type="dxa"/>
            <w:tcBorders>
              <w:top w:val="nil"/>
              <w:left w:val="nil"/>
              <w:bottom w:val="single" w:sz="4" w:space="0" w:color="auto"/>
              <w:right w:val="single" w:sz="4" w:space="0" w:color="auto"/>
            </w:tcBorders>
            <w:noWrap/>
            <w:vAlign w:val="bottom"/>
          </w:tcPr>
          <w:p w14:paraId="5EF6E5F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40E2223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3E480CE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HTN</w:t>
            </w:r>
          </w:p>
        </w:tc>
      </w:tr>
      <w:tr w:rsidR="00EA4685" w:rsidRPr="00D834A7" w14:paraId="2FECAF9B"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2DFF2E6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Routine</w:t>
            </w:r>
          </w:p>
        </w:tc>
        <w:tc>
          <w:tcPr>
            <w:tcW w:w="1471" w:type="dxa"/>
            <w:tcBorders>
              <w:top w:val="nil"/>
              <w:left w:val="nil"/>
              <w:bottom w:val="single" w:sz="4" w:space="0" w:color="auto"/>
              <w:right w:val="single" w:sz="4" w:space="0" w:color="auto"/>
            </w:tcBorders>
            <w:noWrap/>
            <w:vAlign w:val="bottom"/>
          </w:tcPr>
          <w:p w14:paraId="31A5088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Daily</w:t>
            </w:r>
          </w:p>
        </w:tc>
        <w:tc>
          <w:tcPr>
            <w:tcW w:w="1299" w:type="dxa"/>
            <w:tcBorders>
              <w:top w:val="nil"/>
              <w:left w:val="nil"/>
              <w:bottom w:val="single" w:sz="4" w:space="0" w:color="auto"/>
              <w:right w:val="single" w:sz="4" w:space="0" w:color="auto"/>
            </w:tcBorders>
            <w:noWrap/>
            <w:vAlign w:val="bottom"/>
          </w:tcPr>
          <w:p w14:paraId="23440ED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9 AM</w:t>
            </w:r>
          </w:p>
        </w:tc>
        <w:tc>
          <w:tcPr>
            <w:tcW w:w="1585" w:type="dxa"/>
            <w:tcBorders>
              <w:top w:val="nil"/>
              <w:left w:val="nil"/>
              <w:bottom w:val="single" w:sz="4" w:space="0" w:color="auto"/>
              <w:right w:val="single" w:sz="4" w:space="0" w:color="auto"/>
            </w:tcBorders>
            <w:noWrap/>
            <w:vAlign w:val="bottom"/>
          </w:tcPr>
          <w:p w14:paraId="04F9F6A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Telmisartan</w:t>
            </w:r>
          </w:p>
        </w:tc>
        <w:tc>
          <w:tcPr>
            <w:tcW w:w="1023" w:type="dxa"/>
            <w:tcBorders>
              <w:top w:val="nil"/>
              <w:left w:val="nil"/>
              <w:bottom w:val="single" w:sz="4" w:space="0" w:color="auto"/>
              <w:right w:val="single" w:sz="4" w:space="0" w:color="auto"/>
            </w:tcBorders>
            <w:noWrap/>
            <w:vAlign w:val="bottom"/>
          </w:tcPr>
          <w:p w14:paraId="0477D5B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044D67D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2894EDE8"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7477B87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HTN</w:t>
            </w:r>
          </w:p>
        </w:tc>
      </w:tr>
      <w:tr w:rsidR="00EA4685" w:rsidRPr="00D834A7" w14:paraId="699415A9"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2619A93F"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417EAAD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5</w:t>
            </w:r>
          </w:p>
        </w:tc>
        <w:tc>
          <w:tcPr>
            <w:tcW w:w="1299" w:type="dxa"/>
            <w:tcBorders>
              <w:top w:val="nil"/>
              <w:left w:val="nil"/>
              <w:bottom w:val="single" w:sz="4" w:space="0" w:color="auto"/>
              <w:right w:val="single" w:sz="4" w:space="0" w:color="auto"/>
            </w:tcBorders>
            <w:noWrap/>
            <w:vAlign w:val="bottom"/>
          </w:tcPr>
          <w:p w14:paraId="336D6CA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07EDF50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4EDD9D0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2.5 mg</w:t>
            </w:r>
          </w:p>
        </w:tc>
        <w:tc>
          <w:tcPr>
            <w:tcW w:w="1214" w:type="dxa"/>
            <w:tcBorders>
              <w:top w:val="nil"/>
              <w:left w:val="nil"/>
              <w:bottom w:val="single" w:sz="4" w:space="0" w:color="auto"/>
              <w:right w:val="single" w:sz="4" w:space="0" w:color="auto"/>
            </w:tcBorders>
            <w:noWrap/>
            <w:vAlign w:val="bottom"/>
          </w:tcPr>
          <w:p w14:paraId="26DEEC9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1263F48"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4356875F"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Discharge Rx</w:t>
            </w:r>
          </w:p>
        </w:tc>
      </w:tr>
      <w:tr w:rsidR="00EA4685" w:rsidRPr="00D834A7" w14:paraId="4CC2339C"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710FDF8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08FFA79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5</w:t>
            </w:r>
          </w:p>
        </w:tc>
        <w:tc>
          <w:tcPr>
            <w:tcW w:w="1299" w:type="dxa"/>
            <w:tcBorders>
              <w:top w:val="nil"/>
              <w:left w:val="nil"/>
              <w:bottom w:val="single" w:sz="4" w:space="0" w:color="auto"/>
              <w:right w:val="single" w:sz="4" w:space="0" w:color="auto"/>
            </w:tcBorders>
            <w:noWrap/>
            <w:vAlign w:val="bottom"/>
          </w:tcPr>
          <w:p w14:paraId="52CD52C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PM</w:t>
            </w:r>
          </w:p>
        </w:tc>
        <w:tc>
          <w:tcPr>
            <w:tcW w:w="1585" w:type="dxa"/>
            <w:tcBorders>
              <w:top w:val="nil"/>
              <w:left w:val="nil"/>
              <w:bottom w:val="single" w:sz="4" w:space="0" w:color="auto"/>
              <w:right w:val="single" w:sz="4" w:space="0" w:color="auto"/>
            </w:tcBorders>
            <w:noWrap/>
            <w:vAlign w:val="bottom"/>
          </w:tcPr>
          <w:p w14:paraId="29EE617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391E91D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2.5 mg</w:t>
            </w:r>
          </w:p>
        </w:tc>
        <w:tc>
          <w:tcPr>
            <w:tcW w:w="1214" w:type="dxa"/>
            <w:tcBorders>
              <w:top w:val="nil"/>
              <w:left w:val="nil"/>
              <w:bottom w:val="single" w:sz="4" w:space="0" w:color="auto"/>
              <w:right w:val="single" w:sz="4" w:space="0" w:color="auto"/>
            </w:tcBorders>
            <w:noWrap/>
            <w:vAlign w:val="bottom"/>
          </w:tcPr>
          <w:p w14:paraId="64CCA22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19752728"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3E6BE87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 </w:t>
            </w:r>
          </w:p>
        </w:tc>
      </w:tr>
      <w:tr w:rsidR="00EA4685" w:rsidRPr="00D834A7" w14:paraId="6E8A0898"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5142D6B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0C340BA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6</w:t>
            </w:r>
          </w:p>
        </w:tc>
        <w:tc>
          <w:tcPr>
            <w:tcW w:w="1299" w:type="dxa"/>
            <w:tcBorders>
              <w:top w:val="nil"/>
              <w:left w:val="nil"/>
              <w:bottom w:val="single" w:sz="4" w:space="0" w:color="auto"/>
              <w:right w:val="single" w:sz="4" w:space="0" w:color="auto"/>
            </w:tcBorders>
            <w:noWrap/>
            <w:vAlign w:val="bottom"/>
          </w:tcPr>
          <w:p w14:paraId="43B042C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5BFF048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615E151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2.5 mg</w:t>
            </w:r>
          </w:p>
        </w:tc>
        <w:tc>
          <w:tcPr>
            <w:tcW w:w="1214" w:type="dxa"/>
            <w:tcBorders>
              <w:top w:val="nil"/>
              <w:left w:val="nil"/>
              <w:bottom w:val="single" w:sz="4" w:space="0" w:color="auto"/>
              <w:right w:val="single" w:sz="4" w:space="0" w:color="auto"/>
            </w:tcBorders>
            <w:noWrap/>
            <w:vAlign w:val="bottom"/>
          </w:tcPr>
          <w:p w14:paraId="715B45C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591C9C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Missed</w:t>
            </w:r>
          </w:p>
        </w:tc>
        <w:tc>
          <w:tcPr>
            <w:tcW w:w="1685" w:type="dxa"/>
            <w:tcBorders>
              <w:top w:val="nil"/>
              <w:left w:val="nil"/>
              <w:bottom w:val="single" w:sz="4" w:space="0" w:color="auto"/>
              <w:right w:val="single" w:sz="4" w:space="0" w:color="auto"/>
            </w:tcBorders>
            <w:noWrap/>
            <w:vAlign w:val="bottom"/>
          </w:tcPr>
          <w:p w14:paraId="54F5A36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Fear of bleeding</w:t>
            </w:r>
          </w:p>
        </w:tc>
      </w:tr>
      <w:tr w:rsidR="00EA4685" w:rsidRPr="00D834A7" w14:paraId="69C4F5D5"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078A42F"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6F3F676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6</w:t>
            </w:r>
          </w:p>
        </w:tc>
        <w:tc>
          <w:tcPr>
            <w:tcW w:w="1299" w:type="dxa"/>
            <w:tcBorders>
              <w:top w:val="nil"/>
              <w:left w:val="nil"/>
              <w:bottom w:val="single" w:sz="4" w:space="0" w:color="auto"/>
              <w:right w:val="single" w:sz="4" w:space="0" w:color="auto"/>
            </w:tcBorders>
            <w:noWrap/>
            <w:vAlign w:val="bottom"/>
          </w:tcPr>
          <w:p w14:paraId="6E6DD8F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9 AM</w:t>
            </w:r>
          </w:p>
        </w:tc>
        <w:tc>
          <w:tcPr>
            <w:tcW w:w="1585" w:type="dxa"/>
            <w:tcBorders>
              <w:top w:val="nil"/>
              <w:left w:val="nil"/>
              <w:bottom w:val="single" w:sz="4" w:space="0" w:color="auto"/>
              <w:right w:val="single" w:sz="4" w:space="0" w:color="auto"/>
            </w:tcBorders>
            <w:noWrap/>
            <w:vAlign w:val="bottom"/>
          </w:tcPr>
          <w:p w14:paraId="0728743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Diclofenac</w:t>
            </w:r>
          </w:p>
        </w:tc>
        <w:tc>
          <w:tcPr>
            <w:tcW w:w="1023" w:type="dxa"/>
            <w:tcBorders>
              <w:top w:val="nil"/>
              <w:left w:val="nil"/>
              <w:bottom w:val="single" w:sz="4" w:space="0" w:color="auto"/>
              <w:right w:val="single" w:sz="4" w:space="0" w:color="auto"/>
            </w:tcBorders>
            <w:noWrap/>
            <w:vAlign w:val="bottom"/>
          </w:tcPr>
          <w:p w14:paraId="35FE18C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50 mg</w:t>
            </w:r>
          </w:p>
        </w:tc>
        <w:tc>
          <w:tcPr>
            <w:tcW w:w="1214" w:type="dxa"/>
            <w:tcBorders>
              <w:top w:val="nil"/>
              <w:left w:val="nil"/>
              <w:bottom w:val="single" w:sz="4" w:space="0" w:color="auto"/>
              <w:right w:val="single" w:sz="4" w:space="0" w:color="auto"/>
            </w:tcBorders>
            <w:noWrap/>
            <w:vAlign w:val="bottom"/>
          </w:tcPr>
          <w:p w14:paraId="700A2F4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1C3FF6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Self taken</w:t>
            </w:r>
          </w:p>
        </w:tc>
        <w:tc>
          <w:tcPr>
            <w:tcW w:w="1685" w:type="dxa"/>
            <w:tcBorders>
              <w:top w:val="nil"/>
              <w:left w:val="nil"/>
              <w:bottom w:val="single" w:sz="4" w:space="0" w:color="auto"/>
              <w:right w:val="single" w:sz="4" w:space="0" w:color="auto"/>
            </w:tcBorders>
            <w:noWrap/>
            <w:vAlign w:val="bottom"/>
          </w:tcPr>
          <w:p w14:paraId="672AA33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OTC</w:t>
            </w:r>
          </w:p>
        </w:tc>
      </w:tr>
      <w:tr w:rsidR="00EA4685" w:rsidRPr="00D834A7" w14:paraId="5D19C0C6"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417DFB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62ED780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6</w:t>
            </w:r>
          </w:p>
        </w:tc>
        <w:tc>
          <w:tcPr>
            <w:tcW w:w="1299" w:type="dxa"/>
            <w:tcBorders>
              <w:top w:val="nil"/>
              <w:left w:val="nil"/>
              <w:bottom w:val="single" w:sz="4" w:space="0" w:color="auto"/>
              <w:right w:val="single" w:sz="4" w:space="0" w:color="auto"/>
            </w:tcBorders>
            <w:noWrap/>
            <w:vAlign w:val="bottom"/>
          </w:tcPr>
          <w:p w14:paraId="4B2329A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3 PM</w:t>
            </w:r>
          </w:p>
        </w:tc>
        <w:tc>
          <w:tcPr>
            <w:tcW w:w="1585" w:type="dxa"/>
            <w:tcBorders>
              <w:top w:val="nil"/>
              <w:left w:val="nil"/>
              <w:bottom w:val="single" w:sz="4" w:space="0" w:color="auto"/>
              <w:right w:val="single" w:sz="4" w:space="0" w:color="auto"/>
            </w:tcBorders>
            <w:noWrap/>
            <w:vAlign w:val="bottom"/>
          </w:tcPr>
          <w:p w14:paraId="1F025FA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Diclofenac</w:t>
            </w:r>
          </w:p>
        </w:tc>
        <w:tc>
          <w:tcPr>
            <w:tcW w:w="1023" w:type="dxa"/>
            <w:tcBorders>
              <w:top w:val="nil"/>
              <w:left w:val="nil"/>
              <w:bottom w:val="single" w:sz="4" w:space="0" w:color="auto"/>
              <w:right w:val="single" w:sz="4" w:space="0" w:color="auto"/>
            </w:tcBorders>
            <w:noWrap/>
            <w:vAlign w:val="bottom"/>
          </w:tcPr>
          <w:p w14:paraId="391BB3E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50 mg</w:t>
            </w:r>
          </w:p>
        </w:tc>
        <w:tc>
          <w:tcPr>
            <w:tcW w:w="1214" w:type="dxa"/>
            <w:tcBorders>
              <w:top w:val="nil"/>
              <w:left w:val="nil"/>
              <w:bottom w:val="single" w:sz="4" w:space="0" w:color="auto"/>
              <w:right w:val="single" w:sz="4" w:space="0" w:color="auto"/>
            </w:tcBorders>
            <w:noWrap/>
            <w:vAlign w:val="bottom"/>
          </w:tcPr>
          <w:p w14:paraId="76D0730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35DA183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Self taken</w:t>
            </w:r>
          </w:p>
        </w:tc>
        <w:tc>
          <w:tcPr>
            <w:tcW w:w="1685" w:type="dxa"/>
            <w:tcBorders>
              <w:top w:val="nil"/>
              <w:left w:val="nil"/>
              <w:bottom w:val="single" w:sz="4" w:space="0" w:color="auto"/>
              <w:right w:val="single" w:sz="4" w:space="0" w:color="auto"/>
            </w:tcBorders>
            <w:noWrap/>
            <w:vAlign w:val="bottom"/>
          </w:tcPr>
          <w:p w14:paraId="0AE061EF"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 </w:t>
            </w:r>
          </w:p>
        </w:tc>
      </w:tr>
      <w:tr w:rsidR="00EA4685" w:rsidRPr="00D834A7" w14:paraId="6083D7F2"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005598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2849461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6</w:t>
            </w:r>
          </w:p>
        </w:tc>
        <w:tc>
          <w:tcPr>
            <w:tcW w:w="1299" w:type="dxa"/>
            <w:tcBorders>
              <w:top w:val="nil"/>
              <w:left w:val="nil"/>
              <w:bottom w:val="single" w:sz="4" w:space="0" w:color="auto"/>
              <w:right w:val="single" w:sz="4" w:space="0" w:color="auto"/>
            </w:tcBorders>
            <w:noWrap/>
            <w:vAlign w:val="bottom"/>
          </w:tcPr>
          <w:p w14:paraId="1E12F8B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9 PM</w:t>
            </w:r>
          </w:p>
        </w:tc>
        <w:tc>
          <w:tcPr>
            <w:tcW w:w="1585" w:type="dxa"/>
            <w:tcBorders>
              <w:top w:val="nil"/>
              <w:left w:val="nil"/>
              <w:bottom w:val="single" w:sz="4" w:space="0" w:color="auto"/>
              <w:right w:val="single" w:sz="4" w:space="0" w:color="auto"/>
            </w:tcBorders>
            <w:noWrap/>
            <w:vAlign w:val="bottom"/>
          </w:tcPr>
          <w:p w14:paraId="58DB35F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Diclofenac</w:t>
            </w:r>
          </w:p>
        </w:tc>
        <w:tc>
          <w:tcPr>
            <w:tcW w:w="1023" w:type="dxa"/>
            <w:tcBorders>
              <w:top w:val="nil"/>
              <w:left w:val="nil"/>
              <w:bottom w:val="single" w:sz="4" w:space="0" w:color="auto"/>
              <w:right w:val="single" w:sz="4" w:space="0" w:color="auto"/>
            </w:tcBorders>
            <w:noWrap/>
            <w:vAlign w:val="bottom"/>
          </w:tcPr>
          <w:p w14:paraId="6CB2A0F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50 mg</w:t>
            </w:r>
          </w:p>
        </w:tc>
        <w:tc>
          <w:tcPr>
            <w:tcW w:w="1214" w:type="dxa"/>
            <w:tcBorders>
              <w:top w:val="nil"/>
              <w:left w:val="nil"/>
              <w:bottom w:val="single" w:sz="4" w:space="0" w:color="auto"/>
              <w:right w:val="single" w:sz="4" w:space="0" w:color="auto"/>
            </w:tcBorders>
            <w:noWrap/>
            <w:vAlign w:val="bottom"/>
          </w:tcPr>
          <w:p w14:paraId="1BD537B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DC6114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Self taken</w:t>
            </w:r>
          </w:p>
        </w:tc>
        <w:tc>
          <w:tcPr>
            <w:tcW w:w="1685" w:type="dxa"/>
            <w:tcBorders>
              <w:top w:val="nil"/>
              <w:left w:val="nil"/>
              <w:bottom w:val="single" w:sz="4" w:space="0" w:color="auto"/>
              <w:right w:val="single" w:sz="4" w:space="0" w:color="auto"/>
            </w:tcBorders>
            <w:noWrap/>
            <w:vAlign w:val="bottom"/>
          </w:tcPr>
          <w:p w14:paraId="1291054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 </w:t>
            </w:r>
          </w:p>
        </w:tc>
      </w:tr>
      <w:tr w:rsidR="00EA4685" w:rsidRPr="00D834A7" w14:paraId="58270290"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3D003B6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4CF2B14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7</w:t>
            </w:r>
          </w:p>
        </w:tc>
        <w:tc>
          <w:tcPr>
            <w:tcW w:w="1299" w:type="dxa"/>
            <w:tcBorders>
              <w:top w:val="nil"/>
              <w:left w:val="nil"/>
              <w:bottom w:val="single" w:sz="4" w:space="0" w:color="auto"/>
              <w:right w:val="single" w:sz="4" w:space="0" w:color="auto"/>
            </w:tcBorders>
            <w:noWrap/>
            <w:vAlign w:val="bottom"/>
          </w:tcPr>
          <w:p w14:paraId="1587139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w:t>
            </w:r>
          </w:p>
        </w:tc>
        <w:tc>
          <w:tcPr>
            <w:tcW w:w="1585" w:type="dxa"/>
            <w:tcBorders>
              <w:top w:val="nil"/>
              <w:left w:val="nil"/>
              <w:bottom w:val="single" w:sz="4" w:space="0" w:color="auto"/>
              <w:right w:val="single" w:sz="4" w:space="0" w:color="auto"/>
            </w:tcBorders>
            <w:noWrap/>
            <w:vAlign w:val="bottom"/>
          </w:tcPr>
          <w:p w14:paraId="7A07167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7CF5BD2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2.5 mg</w:t>
            </w:r>
          </w:p>
        </w:tc>
        <w:tc>
          <w:tcPr>
            <w:tcW w:w="1214" w:type="dxa"/>
            <w:tcBorders>
              <w:top w:val="nil"/>
              <w:left w:val="nil"/>
              <w:bottom w:val="single" w:sz="4" w:space="0" w:color="auto"/>
              <w:right w:val="single" w:sz="4" w:space="0" w:color="auto"/>
            </w:tcBorders>
            <w:noWrap/>
            <w:vAlign w:val="bottom"/>
          </w:tcPr>
          <w:p w14:paraId="7A67616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6B10A89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Not taken</w:t>
            </w:r>
          </w:p>
        </w:tc>
        <w:tc>
          <w:tcPr>
            <w:tcW w:w="1685" w:type="dxa"/>
            <w:tcBorders>
              <w:top w:val="nil"/>
              <w:left w:val="nil"/>
              <w:bottom w:val="single" w:sz="4" w:space="0" w:color="auto"/>
              <w:right w:val="single" w:sz="4" w:space="0" w:color="auto"/>
            </w:tcBorders>
            <w:noWrap/>
            <w:vAlign w:val="bottom"/>
          </w:tcPr>
          <w:p w14:paraId="791FE87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Wound ooze</w:t>
            </w:r>
          </w:p>
        </w:tc>
      </w:tr>
      <w:tr w:rsidR="00EA4685" w:rsidRPr="00D834A7" w14:paraId="5EE5A1F8"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6B9A319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156D618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8</w:t>
            </w:r>
          </w:p>
        </w:tc>
        <w:tc>
          <w:tcPr>
            <w:tcW w:w="1299" w:type="dxa"/>
            <w:tcBorders>
              <w:top w:val="nil"/>
              <w:left w:val="nil"/>
              <w:bottom w:val="single" w:sz="4" w:space="0" w:color="auto"/>
              <w:right w:val="single" w:sz="4" w:space="0" w:color="auto"/>
            </w:tcBorders>
            <w:noWrap/>
            <w:vAlign w:val="bottom"/>
          </w:tcPr>
          <w:p w14:paraId="2043FCB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w:t>
            </w:r>
          </w:p>
        </w:tc>
        <w:tc>
          <w:tcPr>
            <w:tcW w:w="1585" w:type="dxa"/>
            <w:tcBorders>
              <w:top w:val="nil"/>
              <w:left w:val="nil"/>
              <w:bottom w:val="single" w:sz="4" w:space="0" w:color="auto"/>
              <w:right w:val="single" w:sz="4" w:space="0" w:color="auto"/>
            </w:tcBorders>
            <w:noWrap/>
            <w:vAlign w:val="bottom"/>
          </w:tcPr>
          <w:p w14:paraId="6B42F5E8"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Anticoagulant</w:t>
            </w:r>
          </w:p>
        </w:tc>
        <w:tc>
          <w:tcPr>
            <w:tcW w:w="1023" w:type="dxa"/>
            <w:tcBorders>
              <w:top w:val="nil"/>
              <w:left w:val="nil"/>
              <w:bottom w:val="single" w:sz="4" w:space="0" w:color="auto"/>
              <w:right w:val="single" w:sz="4" w:space="0" w:color="auto"/>
            </w:tcBorders>
            <w:noWrap/>
            <w:vAlign w:val="bottom"/>
          </w:tcPr>
          <w:p w14:paraId="02E0C80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w:t>
            </w:r>
          </w:p>
        </w:tc>
        <w:tc>
          <w:tcPr>
            <w:tcW w:w="1214" w:type="dxa"/>
            <w:tcBorders>
              <w:top w:val="nil"/>
              <w:left w:val="nil"/>
              <w:bottom w:val="single" w:sz="4" w:space="0" w:color="auto"/>
              <w:right w:val="single" w:sz="4" w:space="0" w:color="auto"/>
            </w:tcBorders>
            <w:noWrap/>
            <w:vAlign w:val="bottom"/>
          </w:tcPr>
          <w:p w14:paraId="0466B36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w:t>
            </w:r>
          </w:p>
        </w:tc>
        <w:tc>
          <w:tcPr>
            <w:tcW w:w="1256" w:type="dxa"/>
            <w:tcBorders>
              <w:top w:val="nil"/>
              <w:left w:val="nil"/>
              <w:bottom w:val="single" w:sz="4" w:space="0" w:color="auto"/>
              <w:right w:val="single" w:sz="4" w:space="0" w:color="auto"/>
            </w:tcBorders>
            <w:noWrap/>
            <w:vAlign w:val="bottom"/>
          </w:tcPr>
          <w:p w14:paraId="72FD176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Not taken</w:t>
            </w:r>
          </w:p>
        </w:tc>
        <w:tc>
          <w:tcPr>
            <w:tcW w:w="1685" w:type="dxa"/>
            <w:tcBorders>
              <w:top w:val="nil"/>
              <w:left w:val="nil"/>
              <w:bottom w:val="single" w:sz="4" w:space="0" w:color="auto"/>
              <w:right w:val="single" w:sz="4" w:space="0" w:color="auto"/>
            </w:tcBorders>
            <w:noWrap/>
            <w:vAlign w:val="bottom"/>
          </w:tcPr>
          <w:p w14:paraId="72771EC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Immobilization</w:t>
            </w:r>
          </w:p>
        </w:tc>
      </w:tr>
      <w:tr w:rsidR="00EA4685" w:rsidRPr="00D834A7" w14:paraId="74C691DD"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2A839EE8"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1673EEC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789BAFC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07B3C96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17413E6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60 mg</w:t>
            </w:r>
          </w:p>
        </w:tc>
        <w:tc>
          <w:tcPr>
            <w:tcW w:w="1214" w:type="dxa"/>
            <w:tcBorders>
              <w:top w:val="nil"/>
              <w:left w:val="nil"/>
              <w:bottom w:val="single" w:sz="4" w:space="0" w:color="auto"/>
              <w:right w:val="single" w:sz="4" w:space="0" w:color="auto"/>
            </w:tcBorders>
            <w:noWrap/>
            <w:vAlign w:val="bottom"/>
          </w:tcPr>
          <w:p w14:paraId="3D0460D8"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6C040D5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7281B34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Therapeutic dose</w:t>
            </w:r>
          </w:p>
        </w:tc>
      </w:tr>
      <w:tr w:rsidR="00EA4685" w:rsidRPr="00D834A7" w14:paraId="3B76F2DB"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00D6AF9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471BFC4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17A99B9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60C1C6F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Oxygen</w:t>
            </w:r>
          </w:p>
        </w:tc>
        <w:tc>
          <w:tcPr>
            <w:tcW w:w="1023" w:type="dxa"/>
            <w:tcBorders>
              <w:top w:val="nil"/>
              <w:left w:val="nil"/>
              <w:bottom w:val="single" w:sz="4" w:space="0" w:color="auto"/>
              <w:right w:val="single" w:sz="4" w:space="0" w:color="auto"/>
            </w:tcBorders>
            <w:noWrap/>
            <w:vAlign w:val="bottom"/>
          </w:tcPr>
          <w:p w14:paraId="04FAE1E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4 L/min</w:t>
            </w:r>
          </w:p>
        </w:tc>
        <w:tc>
          <w:tcPr>
            <w:tcW w:w="1214" w:type="dxa"/>
            <w:tcBorders>
              <w:top w:val="nil"/>
              <w:left w:val="nil"/>
              <w:bottom w:val="single" w:sz="4" w:space="0" w:color="auto"/>
              <w:right w:val="single" w:sz="4" w:space="0" w:color="auto"/>
            </w:tcBorders>
            <w:noWrap/>
            <w:vAlign w:val="bottom"/>
          </w:tcPr>
          <w:p w14:paraId="27B90B2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Inhalation</w:t>
            </w:r>
          </w:p>
        </w:tc>
        <w:tc>
          <w:tcPr>
            <w:tcW w:w="1256" w:type="dxa"/>
            <w:tcBorders>
              <w:top w:val="nil"/>
              <w:left w:val="nil"/>
              <w:bottom w:val="single" w:sz="4" w:space="0" w:color="auto"/>
              <w:right w:val="single" w:sz="4" w:space="0" w:color="auto"/>
            </w:tcBorders>
            <w:noWrap/>
            <w:vAlign w:val="bottom"/>
          </w:tcPr>
          <w:p w14:paraId="00EE6FE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5648A1E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SpO2 89%</w:t>
            </w:r>
          </w:p>
        </w:tc>
      </w:tr>
      <w:tr w:rsidR="00EA4685" w:rsidRPr="00D834A7" w14:paraId="2A687250"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5D4F90C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507103B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1AA982B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9 AM</w:t>
            </w:r>
          </w:p>
        </w:tc>
        <w:tc>
          <w:tcPr>
            <w:tcW w:w="1585" w:type="dxa"/>
            <w:tcBorders>
              <w:top w:val="nil"/>
              <w:left w:val="nil"/>
              <w:bottom w:val="single" w:sz="4" w:space="0" w:color="auto"/>
              <w:right w:val="single" w:sz="4" w:space="0" w:color="auto"/>
            </w:tcBorders>
            <w:noWrap/>
            <w:vAlign w:val="bottom"/>
          </w:tcPr>
          <w:p w14:paraId="74096A0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Pantoprazole</w:t>
            </w:r>
          </w:p>
        </w:tc>
        <w:tc>
          <w:tcPr>
            <w:tcW w:w="1023" w:type="dxa"/>
            <w:tcBorders>
              <w:top w:val="nil"/>
              <w:left w:val="nil"/>
              <w:bottom w:val="single" w:sz="4" w:space="0" w:color="auto"/>
              <w:right w:val="single" w:sz="4" w:space="0" w:color="auto"/>
            </w:tcBorders>
            <w:noWrap/>
            <w:vAlign w:val="bottom"/>
          </w:tcPr>
          <w:p w14:paraId="28352818"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1A4FF85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IV</w:t>
            </w:r>
          </w:p>
        </w:tc>
        <w:tc>
          <w:tcPr>
            <w:tcW w:w="1256" w:type="dxa"/>
            <w:tcBorders>
              <w:top w:val="nil"/>
              <w:left w:val="nil"/>
              <w:bottom w:val="single" w:sz="4" w:space="0" w:color="auto"/>
              <w:right w:val="single" w:sz="4" w:space="0" w:color="auto"/>
            </w:tcBorders>
            <w:noWrap/>
            <w:vAlign w:val="bottom"/>
          </w:tcPr>
          <w:p w14:paraId="08F5D58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5A0C716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 protection</w:t>
            </w:r>
          </w:p>
        </w:tc>
      </w:tr>
      <w:tr w:rsidR="00EA4685" w:rsidRPr="00D834A7" w14:paraId="5A09A12F"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03F6296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159E183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6D132B9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10 AM</w:t>
            </w:r>
          </w:p>
        </w:tc>
        <w:tc>
          <w:tcPr>
            <w:tcW w:w="1585" w:type="dxa"/>
            <w:tcBorders>
              <w:top w:val="nil"/>
              <w:left w:val="nil"/>
              <w:bottom w:val="single" w:sz="4" w:space="0" w:color="auto"/>
              <w:right w:val="single" w:sz="4" w:space="0" w:color="auto"/>
            </w:tcBorders>
            <w:noWrap/>
            <w:vAlign w:val="bottom"/>
          </w:tcPr>
          <w:p w14:paraId="137B987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Paracetamol</w:t>
            </w:r>
          </w:p>
        </w:tc>
        <w:tc>
          <w:tcPr>
            <w:tcW w:w="1023" w:type="dxa"/>
            <w:tcBorders>
              <w:top w:val="nil"/>
              <w:left w:val="nil"/>
              <w:bottom w:val="single" w:sz="4" w:space="0" w:color="auto"/>
              <w:right w:val="single" w:sz="4" w:space="0" w:color="auto"/>
            </w:tcBorders>
            <w:noWrap/>
            <w:vAlign w:val="bottom"/>
          </w:tcPr>
          <w:p w14:paraId="0794126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650 mg</w:t>
            </w:r>
          </w:p>
        </w:tc>
        <w:tc>
          <w:tcPr>
            <w:tcW w:w="1214" w:type="dxa"/>
            <w:tcBorders>
              <w:top w:val="nil"/>
              <w:left w:val="nil"/>
              <w:bottom w:val="single" w:sz="4" w:space="0" w:color="auto"/>
              <w:right w:val="single" w:sz="4" w:space="0" w:color="auto"/>
            </w:tcBorders>
            <w:noWrap/>
            <w:vAlign w:val="bottom"/>
          </w:tcPr>
          <w:p w14:paraId="56939E3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782A5E4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0C70AF8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Pain</w:t>
            </w:r>
          </w:p>
        </w:tc>
      </w:tr>
      <w:tr w:rsidR="00EA4685" w:rsidRPr="00D834A7" w14:paraId="54B7EF73"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3E79603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516C02A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37AEAC1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PM</w:t>
            </w:r>
          </w:p>
        </w:tc>
        <w:tc>
          <w:tcPr>
            <w:tcW w:w="1585" w:type="dxa"/>
            <w:tcBorders>
              <w:top w:val="nil"/>
              <w:left w:val="nil"/>
              <w:bottom w:val="single" w:sz="4" w:space="0" w:color="auto"/>
              <w:right w:val="single" w:sz="4" w:space="0" w:color="auto"/>
            </w:tcBorders>
            <w:noWrap/>
            <w:vAlign w:val="bottom"/>
          </w:tcPr>
          <w:p w14:paraId="430DC08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019F0B4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60 mg</w:t>
            </w:r>
          </w:p>
        </w:tc>
        <w:tc>
          <w:tcPr>
            <w:tcW w:w="1214" w:type="dxa"/>
            <w:tcBorders>
              <w:top w:val="nil"/>
              <w:left w:val="nil"/>
              <w:bottom w:val="single" w:sz="4" w:space="0" w:color="auto"/>
              <w:right w:val="single" w:sz="4" w:space="0" w:color="auto"/>
            </w:tcBorders>
            <w:noWrap/>
            <w:vAlign w:val="bottom"/>
          </w:tcPr>
          <w:p w14:paraId="4D7F6FC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2CF0748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1FB3EDD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 </w:t>
            </w:r>
          </w:p>
        </w:tc>
      </w:tr>
      <w:tr w:rsidR="00EA4685" w:rsidRPr="00D834A7" w14:paraId="1DB8CB5E"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2F69FE4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104C81B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2-4</w:t>
            </w:r>
          </w:p>
        </w:tc>
        <w:tc>
          <w:tcPr>
            <w:tcW w:w="1299" w:type="dxa"/>
            <w:tcBorders>
              <w:top w:val="nil"/>
              <w:left w:val="nil"/>
              <w:bottom w:val="single" w:sz="4" w:space="0" w:color="auto"/>
              <w:right w:val="single" w:sz="4" w:space="0" w:color="auto"/>
            </w:tcBorders>
            <w:noWrap/>
            <w:vAlign w:val="bottom"/>
          </w:tcPr>
          <w:p w14:paraId="6218615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 &amp; 8 PM</w:t>
            </w:r>
          </w:p>
        </w:tc>
        <w:tc>
          <w:tcPr>
            <w:tcW w:w="1585" w:type="dxa"/>
            <w:tcBorders>
              <w:top w:val="nil"/>
              <w:left w:val="nil"/>
              <w:bottom w:val="single" w:sz="4" w:space="0" w:color="auto"/>
              <w:right w:val="single" w:sz="4" w:space="0" w:color="auto"/>
            </w:tcBorders>
            <w:noWrap/>
            <w:vAlign w:val="bottom"/>
          </w:tcPr>
          <w:p w14:paraId="5C5AC14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20B5EB5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60 mg</w:t>
            </w:r>
          </w:p>
        </w:tc>
        <w:tc>
          <w:tcPr>
            <w:tcW w:w="1214" w:type="dxa"/>
            <w:tcBorders>
              <w:top w:val="nil"/>
              <w:left w:val="nil"/>
              <w:bottom w:val="single" w:sz="4" w:space="0" w:color="auto"/>
              <w:right w:val="single" w:sz="4" w:space="0" w:color="auto"/>
            </w:tcBorders>
            <w:noWrap/>
            <w:vAlign w:val="bottom"/>
          </w:tcPr>
          <w:p w14:paraId="7E11DF3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0EAE0C5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461B3B2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BD</w:t>
            </w:r>
          </w:p>
        </w:tc>
      </w:tr>
      <w:tr w:rsidR="00EA4685" w:rsidRPr="00D834A7" w14:paraId="2154AF43"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555E8F38"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27A9286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5</w:t>
            </w:r>
          </w:p>
        </w:tc>
        <w:tc>
          <w:tcPr>
            <w:tcW w:w="1299" w:type="dxa"/>
            <w:tcBorders>
              <w:top w:val="nil"/>
              <w:left w:val="nil"/>
              <w:bottom w:val="single" w:sz="4" w:space="0" w:color="auto"/>
              <w:right w:val="single" w:sz="4" w:space="0" w:color="auto"/>
            </w:tcBorders>
            <w:noWrap/>
            <w:vAlign w:val="bottom"/>
          </w:tcPr>
          <w:p w14:paraId="1F8058E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19DE789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06C441CC"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10 mg</w:t>
            </w:r>
          </w:p>
        </w:tc>
        <w:tc>
          <w:tcPr>
            <w:tcW w:w="1214" w:type="dxa"/>
            <w:tcBorders>
              <w:top w:val="nil"/>
              <w:left w:val="nil"/>
              <w:bottom w:val="single" w:sz="4" w:space="0" w:color="auto"/>
              <w:right w:val="single" w:sz="4" w:space="0" w:color="auto"/>
            </w:tcBorders>
            <w:noWrap/>
            <w:vAlign w:val="bottom"/>
          </w:tcPr>
          <w:p w14:paraId="321CF0E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1B526D7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443E33C4"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Treatment dose</w:t>
            </w:r>
          </w:p>
        </w:tc>
      </w:tr>
      <w:tr w:rsidR="00EA4685" w:rsidRPr="00D834A7" w14:paraId="10332173"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8D454A3"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14BFCD01"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5</w:t>
            </w:r>
          </w:p>
        </w:tc>
        <w:tc>
          <w:tcPr>
            <w:tcW w:w="1299" w:type="dxa"/>
            <w:tcBorders>
              <w:top w:val="nil"/>
              <w:left w:val="nil"/>
              <w:bottom w:val="single" w:sz="4" w:space="0" w:color="auto"/>
              <w:right w:val="single" w:sz="4" w:space="0" w:color="auto"/>
            </w:tcBorders>
            <w:noWrap/>
            <w:vAlign w:val="bottom"/>
          </w:tcPr>
          <w:p w14:paraId="1D28666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PM</w:t>
            </w:r>
          </w:p>
        </w:tc>
        <w:tc>
          <w:tcPr>
            <w:tcW w:w="1585" w:type="dxa"/>
            <w:tcBorders>
              <w:top w:val="nil"/>
              <w:left w:val="nil"/>
              <w:bottom w:val="single" w:sz="4" w:space="0" w:color="auto"/>
              <w:right w:val="single" w:sz="4" w:space="0" w:color="auto"/>
            </w:tcBorders>
            <w:noWrap/>
            <w:vAlign w:val="bottom"/>
          </w:tcPr>
          <w:p w14:paraId="31ED120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6ED9482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10 mg</w:t>
            </w:r>
          </w:p>
        </w:tc>
        <w:tc>
          <w:tcPr>
            <w:tcW w:w="1214" w:type="dxa"/>
            <w:tcBorders>
              <w:top w:val="nil"/>
              <w:left w:val="nil"/>
              <w:bottom w:val="single" w:sz="4" w:space="0" w:color="auto"/>
              <w:right w:val="single" w:sz="4" w:space="0" w:color="auto"/>
            </w:tcBorders>
            <w:noWrap/>
            <w:vAlign w:val="bottom"/>
          </w:tcPr>
          <w:p w14:paraId="20B196B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7F0049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2DEDA08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 </w:t>
            </w:r>
          </w:p>
        </w:tc>
      </w:tr>
      <w:tr w:rsidR="00EA4685" w:rsidRPr="00D834A7" w14:paraId="5E529D4F"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1496EF2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7D62663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6-11</w:t>
            </w:r>
          </w:p>
        </w:tc>
        <w:tc>
          <w:tcPr>
            <w:tcW w:w="1299" w:type="dxa"/>
            <w:tcBorders>
              <w:top w:val="nil"/>
              <w:left w:val="nil"/>
              <w:bottom w:val="single" w:sz="4" w:space="0" w:color="auto"/>
              <w:right w:val="single" w:sz="4" w:space="0" w:color="auto"/>
            </w:tcBorders>
            <w:noWrap/>
            <w:vAlign w:val="bottom"/>
          </w:tcPr>
          <w:p w14:paraId="42F92AA5"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 &amp; 8 PM</w:t>
            </w:r>
          </w:p>
        </w:tc>
        <w:tc>
          <w:tcPr>
            <w:tcW w:w="1585" w:type="dxa"/>
            <w:tcBorders>
              <w:top w:val="nil"/>
              <w:left w:val="nil"/>
              <w:bottom w:val="single" w:sz="4" w:space="0" w:color="auto"/>
              <w:right w:val="single" w:sz="4" w:space="0" w:color="auto"/>
            </w:tcBorders>
            <w:noWrap/>
            <w:vAlign w:val="bottom"/>
          </w:tcPr>
          <w:p w14:paraId="6BE5D8C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6BBA2627"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10 mg</w:t>
            </w:r>
          </w:p>
        </w:tc>
        <w:tc>
          <w:tcPr>
            <w:tcW w:w="1214" w:type="dxa"/>
            <w:tcBorders>
              <w:top w:val="nil"/>
              <w:left w:val="nil"/>
              <w:bottom w:val="single" w:sz="4" w:space="0" w:color="auto"/>
              <w:right w:val="single" w:sz="4" w:space="0" w:color="auto"/>
            </w:tcBorders>
            <w:noWrap/>
            <w:vAlign w:val="bottom"/>
          </w:tcPr>
          <w:p w14:paraId="5F569A88"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187330B2"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161FD59D"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7 days</w:t>
            </w:r>
          </w:p>
        </w:tc>
      </w:tr>
      <w:tr w:rsidR="00EA4685" w:rsidRPr="00D834A7" w14:paraId="2146370D"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2269BF29"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4DD74B1B"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Day 12 onward</w:t>
            </w:r>
          </w:p>
        </w:tc>
        <w:tc>
          <w:tcPr>
            <w:tcW w:w="1299" w:type="dxa"/>
            <w:tcBorders>
              <w:top w:val="nil"/>
              <w:left w:val="nil"/>
              <w:bottom w:val="single" w:sz="4" w:space="0" w:color="auto"/>
              <w:right w:val="single" w:sz="4" w:space="0" w:color="auto"/>
            </w:tcBorders>
            <w:noWrap/>
            <w:vAlign w:val="bottom"/>
          </w:tcPr>
          <w:p w14:paraId="5769220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8 AM &amp; 8 PM</w:t>
            </w:r>
          </w:p>
        </w:tc>
        <w:tc>
          <w:tcPr>
            <w:tcW w:w="1585" w:type="dxa"/>
            <w:tcBorders>
              <w:top w:val="nil"/>
              <w:left w:val="nil"/>
              <w:bottom w:val="single" w:sz="4" w:space="0" w:color="auto"/>
              <w:right w:val="single" w:sz="4" w:space="0" w:color="auto"/>
            </w:tcBorders>
            <w:noWrap/>
            <w:vAlign w:val="bottom"/>
          </w:tcPr>
          <w:p w14:paraId="774B2A80"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19AA670A"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5 mg</w:t>
            </w:r>
          </w:p>
        </w:tc>
        <w:tc>
          <w:tcPr>
            <w:tcW w:w="1214" w:type="dxa"/>
            <w:tcBorders>
              <w:top w:val="nil"/>
              <w:left w:val="nil"/>
              <w:bottom w:val="single" w:sz="4" w:space="0" w:color="auto"/>
              <w:right w:val="single" w:sz="4" w:space="0" w:color="auto"/>
            </w:tcBorders>
            <w:noWrap/>
            <w:vAlign w:val="bottom"/>
          </w:tcPr>
          <w:p w14:paraId="393FABBF"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AAC924E"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2975A4F6" w14:textId="77777777" w:rsidR="00EA4685" w:rsidRPr="00D834A7" w:rsidRDefault="00AA7838">
            <w:pPr>
              <w:rPr>
                <w:rFonts w:ascii="Arial" w:hAnsi="Arial" w:cs="Arial"/>
                <w:color w:val="000000"/>
                <w:sz w:val="22"/>
                <w:szCs w:val="22"/>
                <w:lang w:bidi="hi-IN"/>
              </w:rPr>
            </w:pPr>
            <w:r w:rsidRPr="00D834A7">
              <w:rPr>
                <w:rFonts w:ascii="Arial" w:hAnsi="Arial" w:cs="Arial"/>
                <w:color w:val="000000"/>
                <w:sz w:val="22"/>
                <w:szCs w:val="22"/>
                <w:lang w:bidi="hi-IN"/>
              </w:rPr>
              <w:t>Maintenance</w:t>
            </w:r>
          </w:p>
        </w:tc>
      </w:tr>
    </w:tbl>
    <w:p w14:paraId="1DBAC4B8" w14:textId="77777777" w:rsidR="00EA4685" w:rsidRPr="00D834A7" w:rsidRDefault="00EA4685">
      <w:pPr>
        <w:rPr>
          <w:rFonts w:ascii="Arial" w:hAnsi="Arial" w:cs="Arial"/>
          <w:b/>
          <w:bCs/>
          <w:sz w:val="22"/>
          <w:szCs w:val="22"/>
        </w:rPr>
      </w:pPr>
    </w:p>
    <w:p w14:paraId="211975E7" w14:textId="77777777" w:rsidR="00EA4685" w:rsidRPr="00D834A7" w:rsidRDefault="00EA4685">
      <w:pPr>
        <w:tabs>
          <w:tab w:val="left" w:pos="2890"/>
        </w:tabs>
        <w:rPr>
          <w:rFonts w:ascii="Arial" w:hAnsi="Arial" w:cs="Arial"/>
          <w:b/>
          <w:bCs/>
          <w:sz w:val="22"/>
          <w:szCs w:val="22"/>
        </w:rPr>
      </w:pPr>
    </w:p>
    <w:p w14:paraId="68CCD517" w14:textId="77777777" w:rsidR="00EA4685" w:rsidRPr="00D834A7" w:rsidRDefault="00EA4685">
      <w:pPr>
        <w:tabs>
          <w:tab w:val="left" w:pos="2890"/>
        </w:tabs>
        <w:rPr>
          <w:rFonts w:ascii="Arial" w:hAnsi="Arial" w:cs="Arial"/>
          <w:b/>
          <w:bCs/>
          <w:sz w:val="22"/>
          <w:szCs w:val="22"/>
        </w:rPr>
      </w:pPr>
    </w:p>
    <w:p w14:paraId="1517B9B6" w14:textId="77777777" w:rsidR="00EA4685" w:rsidRPr="00D834A7" w:rsidRDefault="00AA7838">
      <w:pPr>
        <w:tabs>
          <w:tab w:val="left" w:pos="2890"/>
        </w:tabs>
        <w:rPr>
          <w:rFonts w:ascii="Arial" w:hAnsi="Arial" w:cs="Arial"/>
          <w:b/>
          <w:bCs/>
          <w:sz w:val="22"/>
          <w:szCs w:val="22"/>
        </w:rPr>
      </w:pPr>
      <w:r w:rsidRPr="00D834A7">
        <w:rPr>
          <w:rFonts w:ascii="Arial" w:hAnsi="Arial" w:cs="Arial"/>
          <w:b/>
          <w:bCs/>
          <w:sz w:val="22"/>
          <w:szCs w:val="22"/>
        </w:rPr>
        <w:t xml:space="preserve">  Figures:</w:t>
      </w:r>
    </w:p>
    <w:p w14:paraId="4A3C333D" w14:textId="77777777" w:rsidR="00EA4685" w:rsidRPr="00D834A7" w:rsidRDefault="00EA4685">
      <w:pPr>
        <w:tabs>
          <w:tab w:val="left" w:pos="2890"/>
        </w:tabs>
        <w:rPr>
          <w:rFonts w:ascii="Arial" w:hAnsi="Arial" w:cs="Arial"/>
          <w:b/>
          <w:bCs/>
          <w:sz w:val="22"/>
          <w:szCs w:val="22"/>
        </w:rPr>
      </w:pPr>
    </w:p>
    <w:p w14:paraId="028686E0" w14:textId="77777777" w:rsidR="00EA4685" w:rsidRPr="00D834A7" w:rsidRDefault="00EA4685">
      <w:pPr>
        <w:tabs>
          <w:tab w:val="left" w:pos="2890"/>
        </w:tabs>
        <w:rPr>
          <w:rFonts w:ascii="Arial" w:hAnsi="Arial" w:cs="Arial"/>
          <w:b/>
          <w:bCs/>
          <w:sz w:val="22"/>
          <w:szCs w:val="22"/>
        </w:rPr>
      </w:pPr>
    </w:p>
    <w:p w14:paraId="7DF0FF6F" w14:textId="77777777" w:rsidR="00EA4685" w:rsidRPr="00D834A7" w:rsidRDefault="00AA7838">
      <w:pPr>
        <w:pStyle w:val="Body"/>
        <w:tabs>
          <w:tab w:val="left" w:pos="720"/>
        </w:tabs>
        <w:spacing w:after="0"/>
        <w:jc w:val="center"/>
        <w:rPr>
          <w:rFonts w:ascii="Arial" w:hAnsi="Arial" w:cs="Arial"/>
          <w:b/>
          <w:bCs/>
          <w:sz w:val="22"/>
          <w:szCs w:val="22"/>
        </w:rPr>
      </w:pPr>
      <w:r w:rsidRPr="00D834A7">
        <w:rPr>
          <w:rFonts w:ascii="Arial" w:hAnsi="Arial" w:cs="Arial"/>
          <w:b/>
          <w:bCs/>
          <w:sz w:val="22"/>
          <w:szCs w:val="22"/>
        </w:rPr>
        <w:lastRenderedPageBreak/>
        <w:t>Fig.1: Clinical Risk Transition Across Perioperative Anticoagulation Phases</w:t>
      </w:r>
      <w:r w:rsidRPr="00D834A7">
        <w:rPr>
          <w:rFonts w:ascii="Arial" w:hAnsi="Arial" w:cs="Arial"/>
          <w:b/>
          <w:bCs/>
          <w:noProof/>
          <w:sz w:val="22"/>
          <w:szCs w:val="22"/>
        </w:rPr>
        <w:drawing>
          <wp:inline distT="0" distB="0" distL="0" distR="0" wp14:anchorId="1B28EB6C" wp14:editId="0BDC41A4">
            <wp:extent cx="5307330" cy="382884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3"/>
                    <a:srcRect t="30000" b="32083"/>
                    <a:stretch>
                      <a:fillRect/>
                    </a:stretch>
                  </pic:blipFill>
                  <pic:spPr>
                    <a:xfrm>
                      <a:off x="0" y="0"/>
                      <a:ext cx="5307330" cy="3828847"/>
                    </a:xfrm>
                    <a:prstGeom prst="rect">
                      <a:avLst/>
                    </a:prstGeom>
                    <a:noFill/>
                    <a:ln w="12700" cap="flat" cmpd="sng">
                      <a:noFill/>
                      <a:prstDash val="solid"/>
                      <a:round/>
                    </a:ln>
                  </pic:spPr>
                </pic:pic>
              </a:graphicData>
            </a:graphic>
          </wp:inline>
        </w:drawing>
      </w:r>
    </w:p>
    <w:p w14:paraId="21845125" w14:textId="77777777" w:rsidR="00EA4685" w:rsidRPr="00D834A7" w:rsidRDefault="00EA4685">
      <w:pPr>
        <w:pStyle w:val="Body"/>
        <w:tabs>
          <w:tab w:val="left" w:pos="720"/>
        </w:tabs>
        <w:spacing w:after="0"/>
        <w:rPr>
          <w:rFonts w:ascii="Arial" w:hAnsi="Arial" w:cs="Arial"/>
          <w:b/>
          <w:bCs/>
          <w:sz w:val="22"/>
          <w:szCs w:val="22"/>
        </w:rPr>
      </w:pPr>
    </w:p>
    <w:p w14:paraId="6C29C098" w14:textId="77777777" w:rsidR="00EA4685" w:rsidRPr="00D834A7" w:rsidRDefault="00EA4685">
      <w:pPr>
        <w:pStyle w:val="Body"/>
        <w:tabs>
          <w:tab w:val="left" w:pos="720"/>
        </w:tabs>
        <w:spacing w:after="0"/>
        <w:rPr>
          <w:rFonts w:ascii="Arial" w:hAnsi="Arial" w:cs="Arial"/>
          <w:b/>
          <w:bCs/>
          <w:sz w:val="22"/>
          <w:szCs w:val="22"/>
        </w:rPr>
      </w:pPr>
    </w:p>
    <w:p w14:paraId="18CE845A" w14:textId="77777777" w:rsidR="00EA4685" w:rsidRPr="00D834A7" w:rsidRDefault="00EA4685">
      <w:pPr>
        <w:pStyle w:val="Body"/>
        <w:tabs>
          <w:tab w:val="left" w:pos="720"/>
        </w:tabs>
        <w:spacing w:after="0"/>
        <w:rPr>
          <w:rFonts w:ascii="Arial" w:hAnsi="Arial" w:cs="Arial"/>
          <w:b/>
          <w:bCs/>
          <w:sz w:val="22"/>
          <w:szCs w:val="22"/>
        </w:rPr>
      </w:pPr>
    </w:p>
    <w:p w14:paraId="45B83135" w14:textId="77777777" w:rsidR="00EA4685" w:rsidRPr="00D834A7" w:rsidRDefault="00EA4685">
      <w:pPr>
        <w:pStyle w:val="Body"/>
        <w:tabs>
          <w:tab w:val="left" w:pos="720"/>
        </w:tabs>
        <w:spacing w:after="0"/>
        <w:rPr>
          <w:rFonts w:ascii="Arial" w:hAnsi="Arial" w:cs="Arial"/>
          <w:b/>
          <w:bCs/>
          <w:sz w:val="22"/>
          <w:szCs w:val="22"/>
        </w:rPr>
      </w:pPr>
    </w:p>
    <w:p w14:paraId="4644A727" w14:textId="77777777" w:rsidR="00EA4685" w:rsidRPr="00D834A7" w:rsidRDefault="00EA4685">
      <w:pPr>
        <w:pStyle w:val="Body"/>
        <w:tabs>
          <w:tab w:val="left" w:pos="720"/>
        </w:tabs>
        <w:spacing w:after="0"/>
        <w:rPr>
          <w:rFonts w:ascii="Arial" w:hAnsi="Arial" w:cs="Arial"/>
          <w:b/>
          <w:bCs/>
          <w:sz w:val="22"/>
          <w:szCs w:val="22"/>
        </w:rPr>
      </w:pPr>
    </w:p>
    <w:p w14:paraId="52CD6865" w14:textId="77777777" w:rsidR="00EA4685" w:rsidRPr="00D834A7" w:rsidRDefault="00AA7838">
      <w:pPr>
        <w:pStyle w:val="Body"/>
        <w:tabs>
          <w:tab w:val="left" w:pos="720"/>
        </w:tabs>
        <w:spacing w:after="0"/>
        <w:jc w:val="center"/>
        <w:rPr>
          <w:rFonts w:ascii="Arial" w:hAnsi="Arial" w:cs="Arial"/>
          <w:b/>
          <w:bCs/>
          <w:sz w:val="22"/>
          <w:szCs w:val="22"/>
        </w:rPr>
      </w:pPr>
      <w:r w:rsidRPr="00D834A7">
        <w:rPr>
          <w:rFonts w:ascii="Arial" w:hAnsi="Arial" w:cs="Arial"/>
          <w:b/>
          <w:bCs/>
          <w:sz w:val="22"/>
          <w:szCs w:val="22"/>
        </w:rPr>
        <w:t>Fig.2: Clinical Presentation of Acute Pulmonary Embolism: Tachycardia and Hypoxemia Distribution</w:t>
      </w:r>
    </w:p>
    <w:p w14:paraId="2D2AD3BE" w14:textId="77777777" w:rsidR="00EA4685" w:rsidRDefault="00AA7838">
      <w:pPr>
        <w:pStyle w:val="Body"/>
        <w:tabs>
          <w:tab w:val="left" w:pos="720"/>
        </w:tabs>
        <w:spacing w:after="0"/>
        <w:jc w:val="center"/>
        <w:rPr>
          <w:rFonts w:ascii="Arial" w:hAnsi="Arial" w:cs="Arial"/>
        </w:rPr>
      </w:pPr>
      <w:r>
        <w:rPr>
          <w:rFonts w:ascii="Arial" w:hAnsi="Arial" w:cs="Arial"/>
          <w:noProof/>
        </w:rPr>
        <w:drawing>
          <wp:inline distT="0" distB="0" distL="0" distR="0" wp14:anchorId="1BCED4EC" wp14:editId="68CB18E1">
            <wp:extent cx="4545767" cy="29394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4"/>
                    <a:srcRect t="29634" b="24479"/>
                    <a:stretch>
                      <a:fillRect/>
                    </a:stretch>
                  </pic:blipFill>
                  <pic:spPr>
                    <a:xfrm>
                      <a:off x="0" y="0"/>
                      <a:ext cx="4545767" cy="2939415"/>
                    </a:xfrm>
                    <a:prstGeom prst="rect">
                      <a:avLst/>
                    </a:prstGeom>
                    <a:noFill/>
                    <a:ln w="12700" cap="flat" cmpd="sng">
                      <a:noFill/>
                      <a:prstDash val="solid"/>
                      <a:round/>
                    </a:ln>
                  </pic:spPr>
                </pic:pic>
              </a:graphicData>
            </a:graphic>
          </wp:inline>
        </w:drawing>
      </w:r>
    </w:p>
    <w:sectPr w:rsidR="00EA468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E24BD" w14:textId="77777777" w:rsidR="00C54D69" w:rsidRDefault="00C54D69">
      <w:r>
        <w:separator/>
      </w:r>
    </w:p>
  </w:endnote>
  <w:endnote w:type="continuationSeparator" w:id="0">
    <w:p w14:paraId="7FC1E81D" w14:textId="77777777" w:rsidR="00C54D69" w:rsidRDefault="00C5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w:altName w:val="Segoe UI"/>
    <w:charset w:val="00"/>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7FD9" w14:textId="77777777" w:rsidR="000E0C46" w:rsidRDefault="000E0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C34BA" w14:textId="77777777" w:rsidR="000E0C46" w:rsidRDefault="000E0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ADDB4" w14:textId="77777777" w:rsidR="00EA4685" w:rsidRDefault="00EA4685">
    <w:pPr>
      <w:pStyle w:val="Footer"/>
      <w:rPr>
        <w:rFonts w:ascii="Arial" w:hAnsi="Arial" w:cs="Arial"/>
        <w:sz w:val="16"/>
      </w:rPr>
    </w:pPr>
  </w:p>
  <w:p w14:paraId="1B080D06" w14:textId="77777777" w:rsidR="00EA4685" w:rsidRDefault="00AA7838">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E84F5C" w14:textId="77777777" w:rsidR="00EA4685" w:rsidRDefault="00EA4685">
    <w:pPr>
      <w:pStyle w:val="Footer"/>
      <w:rPr>
        <w:rFonts w:ascii="Arial" w:hAnsi="Arial" w:cs="Arial"/>
        <w:sz w:val="16"/>
      </w:rPr>
    </w:pPr>
  </w:p>
  <w:p w14:paraId="51394E65" w14:textId="77777777" w:rsidR="00EA4685" w:rsidRDefault="00AA7838">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4FF5" w14:textId="77777777" w:rsidR="00EA4685" w:rsidRDefault="00EA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17BC8" w14:textId="77777777" w:rsidR="00C54D69" w:rsidRDefault="00C54D69">
      <w:r>
        <w:separator/>
      </w:r>
    </w:p>
  </w:footnote>
  <w:footnote w:type="continuationSeparator" w:id="0">
    <w:p w14:paraId="43A5F1F3" w14:textId="77777777" w:rsidR="00C54D69" w:rsidRDefault="00C5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F58D" w14:textId="1F935F90" w:rsidR="000E0C46" w:rsidRDefault="000E0C46">
    <w:pPr>
      <w:pStyle w:val="Header"/>
    </w:pPr>
    <w:r>
      <w:rPr>
        <w:noProof/>
      </w:rPr>
      <w:pict w14:anchorId="03FD1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ADF6" w14:textId="68C9C366" w:rsidR="000E0C46" w:rsidRDefault="000E0C46">
    <w:pPr>
      <w:pStyle w:val="Header"/>
    </w:pPr>
    <w:r>
      <w:rPr>
        <w:noProof/>
      </w:rPr>
      <w:pict w14:anchorId="71B93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9B3A" w14:textId="701702A3" w:rsidR="00EA4685" w:rsidRDefault="000E0C46">
    <w:pPr>
      <w:ind w:left="2160"/>
      <w:jc w:val="center"/>
      <w:rPr>
        <w:rFonts w:ascii="Times New Roman" w:eastAsia="Calibri" w:hAnsi="Times New Roman"/>
        <w:i/>
        <w:sz w:val="18"/>
        <w:szCs w:val="22"/>
      </w:rPr>
    </w:pPr>
    <w:r>
      <w:rPr>
        <w:noProof/>
      </w:rPr>
      <w:pict w14:anchorId="49C39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3AEB37" w14:textId="77777777" w:rsidR="00EA4685" w:rsidRDefault="00AA783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85E9371" w14:textId="77777777" w:rsidR="00EA4685" w:rsidRDefault="00AA7838">
    <w:pPr>
      <w:jc w:val="center"/>
      <w:rPr>
        <w:rFonts w:ascii="Times New Roman" w:eastAsia="Calibri" w:hAnsi="Times New Roman"/>
        <w:i/>
        <w:sz w:val="18"/>
        <w:szCs w:val="22"/>
      </w:rPr>
    </w:pPr>
    <w:r>
      <w:rPr>
        <w:rFonts w:ascii="Times New Roman" w:eastAsia="Calibri" w:hAnsi="Times New Roman"/>
        <w:i/>
        <w:sz w:val="18"/>
        <w:szCs w:val="22"/>
      </w:rPr>
      <w:t>.</w:t>
    </w:r>
  </w:p>
  <w:p w14:paraId="1F4B3690" w14:textId="77777777" w:rsidR="00EA4685" w:rsidRDefault="00AA783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378E3FE" w14:textId="77777777" w:rsidR="00EA4685" w:rsidRDefault="00AA783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FCF4B28" w14:textId="77777777" w:rsidR="00EA4685" w:rsidRDefault="00AA783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832D19" w14:textId="77777777" w:rsidR="00EA4685" w:rsidRDefault="00AA783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26CF" w14:textId="52F19744" w:rsidR="000E0C46" w:rsidRDefault="000E0C46">
    <w:pPr>
      <w:pStyle w:val="Header"/>
    </w:pPr>
    <w:r>
      <w:rPr>
        <w:noProof/>
      </w:rPr>
      <w:pict w14:anchorId="776E0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C7A7" w14:textId="344DCA99" w:rsidR="000E0C46" w:rsidRDefault="000E0C46">
    <w:pPr>
      <w:pStyle w:val="Header"/>
    </w:pPr>
    <w:r>
      <w:rPr>
        <w:noProof/>
      </w:rPr>
      <w:pict w14:anchorId="01EB2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3208" w14:textId="5244405F" w:rsidR="000E0C46" w:rsidRDefault="000E0C46">
    <w:pPr>
      <w:pStyle w:val="Header"/>
    </w:pPr>
    <w:r>
      <w:rPr>
        <w:noProof/>
      </w:rPr>
      <w:pict w14:anchorId="41F79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101BF"/>
    <w:multiLevelType w:val="multilevel"/>
    <w:tmpl w:val="553101BF"/>
    <w:lvl w:ilvl="0">
      <w:start w:val="1"/>
      <w:numFmt w:val="decimal"/>
      <w:lvlRestart w:val="0"/>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71604DCD"/>
    <w:multiLevelType w:val="singleLevel"/>
    <w:tmpl w:val="71604DCD"/>
    <w:lvl w:ilvl="0">
      <w:start w:val="1"/>
      <w:numFmt w:val="decimal"/>
      <w:lvlRestart w:val="0"/>
      <w:pStyle w:val="Reference"/>
      <w:lvlText w:val="%1."/>
      <w:lvlJc w:val="left"/>
      <w:pPr>
        <w:tabs>
          <w:tab w:val="num" w:pos="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proofState w:spelling="clean" w:grammar="clean"/>
  <w:defaultTabStop w:val="720"/>
  <w:drawingGridHorizontalSpacing w:val="100"/>
  <w:drawingGridVerticalSpacing w:val="156"/>
  <w:displayHorizont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5"/>
    <w:rsid w:val="000A239E"/>
    <w:rsid w:val="000E0C46"/>
    <w:rsid w:val="00126BA7"/>
    <w:rsid w:val="00167E70"/>
    <w:rsid w:val="001F72AC"/>
    <w:rsid w:val="002C4333"/>
    <w:rsid w:val="002D6E8B"/>
    <w:rsid w:val="002E7F43"/>
    <w:rsid w:val="00342E4A"/>
    <w:rsid w:val="005B509B"/>
    <w:rsid w:val="005F6230"/>
    <w:rsid w:val="00622FBC"/>
    <w:rsid w:val="006E146B"/>
    <w:rsid w:val="007B6BCE"/>
    <w:rsid w:val="007C7BE7"/>
    <w:rsid w:val="008C7F6A"/>
    <w:rsid w:val="00931ECA"/>
    <w:rsid w:val="0095404E"/>
    <w:rsid w:val="009B06B2"/>
    <w:rsid w:val="00A266CC"/>
    <w:rsid w:val="00A87332"/>
    <w:rsid w:val="00AA7838"/>
    <w:rsid w:val="00AE150C"/>
    <w:rsid w:val="00AE5E88"/>
    <w:rsid w:val="00BA1FBA"/>
    <w:rsid w:val="00BF5AF4"/>
    <w:rsid w:val="00C25ACD"/>
    <w:rsid w:val="00C54D69"/>
    <w:rsid w:val="00D834A7"/>
    <w:rsid w:val="00DA5632"/>
    <w:rsid w:val="00E86A66"/>
    <w:rsid w:val="00EA4685"/>
    <w:rsid w:val="00F8010F"/>
    <w:rsid w:val="00FC3A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E59B5AD"/>
  <w15:docId w15:val="{97F7A434-790F-F043-B96E-7C94638C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keepLines/>
      <w:spacing w:before="40"/>
      <w:outlineLvl w:val="1"/>
    </w:pPr>
    <w:rPr>
      <w:rFonts w:ascii="Cambria" w:eastAsia="SimSun" w:hAnsi="Cambria" w:cs="Droid Sans"/>
      <w:color w:val="365F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eastAsia="SimSun" w:hAnsi="Cambria" w:cs="Droid Sans"/>
      <w:color w:val="2440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rFonts w:ascii="Times New Roman" w:hAnsi="Times New Roman"/>
      <w:lang w:val="nb-NO" w:eastAsia="nb-NO"/>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rPr>
      <w:rFonts w:ascii="Times New Roman" w:hAnsi="Times New Roman"/>
      <w:sz w:val="24"/>
      <w:szCs w:val="24"/>
    </w:rPr>
  </w:style>
  <w:style w:type="paragraph" w:styleId="Signature">
    <w:name w:val="Signature"/>
    <w:basedOn w:val="Normal"/>
    <w:pPr>
      <w:ind w:left="4320"/>
    </w:pPr>
  </w:style>
  <w:style w:type="paragraph" w:styleId="Title">
    <w:name w:val="Title"/>
    <w:basedOn w:val="Normal"/>
    <w:uiPriority w:val="10"/>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MainHead">
    <w:name w:val="Main Head"/>
    <w:basedOn w:val="Normal"/>
    <w:pPr>
      <w:keepNext/>
      <w:spacing w:after="240"/>
    </w:pPr>
    <w:rPr>
      <w:b/>
      <w:caps/>
    </w:r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2"/>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2">
    <w:name w:val="Head2"/>
    <w:basedOn w:val="Normal"/>
    <w:next w:val="Body"/>
    <w:pPr>
      <w:keepNext/>
      <w:spacing w:after="240"/>
    </w:pPr>
    <w:rPr>
      <w:caps/>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UnresolvedMention1">
    <w:name w:val="Unresolved Mention1"/>
    <w:basedOn w:val="DefaultParagraphFont"/>
    <w:rPr>
      <w:color w:val="605E5C"/>
      <w:shd w:val="clear" w:color="auto" w:fill="E1DFDD"/>
    </w:rPr>
  </w:style>
  <w:style w:type="character" w:styleId="UnresolvedMention">
    <w:name w:val="Unresolved Mention"/>
    <w:basedOn w:val="DefaultParagraphFont"/>
    <w:uiPriority w:val="99"/>
    <w:semiHidden/>
    <w:unhideWhenUsed/>
    <w:rsid w:val="00342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2494</Words>
  <Characters>14221</Characters>
  <Application>Microsoft Office Word</Application>
  <DocSecurity>0</DocSecurity>
  <Lines>118</Lines>
  <Paragraphs>33</Paragraphs>
  <ScaleCrop>false</ScaleCrop>
  <Company>aaaa</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2026-03-11T17:11:00Z</dcterms:created>
  <dcterms:modified xsi:type="dcterms:W3CDTF">2026-03-12T13:43:00Z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4F29AE834890439FBF3063EC5D307B66_12</vt:lpwstr>
  </property>
</Properties>
</file>