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3424C" w14:textId="77777777" w:rsidR="00616B24" w:rsidRDefault="00616B24" w:rsidP="006A6DE6">
      <w:pPr>
        <w:pStyle w:val="Author"/>
        <w:rPr>
          <w:rFonts w:ascii="Arial" w:hAnsi="Arial" w:cs="Arial"/>
          <w:bCs/>
          <w:iCs/>
          <w:kern w:val="28"/>
          <w:sz w:val="30"/>
          <w:szCs w:val="14"/>
        </w:rPr>
      </w:pPr>
      <w:r w:rsidRPr="006A6DE6">
        <w:rPr>
          <w:rFonts w:ascii="Arial" w:hAnsi="Arial" w:cs="Arial"/>
          <w:bCs/>
          <w:iCs/>
          <w:kern w:val="28"/>
          <w:sz w:val="30"/>
          <w:szCs w:val="14"/>
        </w:rPr>
        <w:t xml:space="preserve">CASE REPORT </w:t>
      </w:r>
    </w:p>
    <w:p w14:paraId="4AB7CBAC" w14:textId="77777777" w:rsidR="00D61EF3" w:rsidRDefault="00D61EF3" w:rsidP="006A6DE6">
      <w:pPr>
        <w:pStyle w:val="Author"/>
        <w:rPr>
          <w:rFonts w:ascii="Arial" w:hAnsi="Arial" w:cs="Arial"/>
          <w:bCs/>
          <w:iCs/>
          <w:kern w:val="28"/>
          <w:sz w:val="30"/>
          <w:szCs w:val="14"/>
        </w:rPr>
      </w:pPr>
    </w:p>
    <w:p w14:paraId="452C8F75" w14:textId="15163606" w:rsidR="00A258C3" w:rsidRPr="006A6DE6" w:rsidRDefault="006A6DE6" w:rsidP="006A6DE6">
      <w:pPr>
        <w:pStyle w:val="Author"/>
        <w:rPr>
          <w:rFonts w:ascii="Arial" w:hAnsi="Arial" w:cs="Arial"/>
          <w:sz w:val="30"/>
          <w:szCs w:val="14"/>
        </w:rPr>
      </w:pPr>
      <w:r w:rsidRPr="006A6DE6">
        <w:rPr>
          <w:rFonts w:ascii="Arial" w:hAnsi="Arial" w:cs="Arial"/>
          <w:bCs/>
          <w:iCs/>
          <w:kern w:val="28"/>
          <w:sz w:val="30"/>
          <w:szCs w:val="14"/>
        </w:rPr>
        <w:t>CHEST WALL AND HEPATIC RECONSTRUCTION WITH ETHICAL DECISION-MAKING IN THORACO-OMPHALOPAGUS TWIN SEPARATION: A MULTIDISCIPLINARY CASE REPORT</w:t>
      </w:r>
    </w:p>
    <w:p w14:paraId="3F22B4F9" w14:textId="77777777" w:rsidR="006A6DE6" w:rsidRDefault="006A6DE6" w:rsidP="006A6DE6">
      <w:pPr>
        <w:pStyle w:val="Affiliation"/>
        <w:jc w:val="both"/>
        <w:rPr>
          <w:rFonts w:ascii="Arial" w:hAnsi="Arial" w:cs="Arial"/>
          <w:b/>
          <w:sz w:val="24"/>
        </w:rPr>
      </w:pPr>
    </w:p>
    <w:p w14:paraId="4E1A2532" w14:textId="77777777" w:rsidR="00363011" w:rsidRPr="006A6DE6" w:rsidRDefault="00363011" w:rsidP="006A6DE6">
      <w:pPr>
        <w:pStyle w:val="Affiliation"/>
        <w:spacing w:after="0" w:line="240" w:lineRule="auto"/>
        <w:rPr>
          <w:rFonts w:ascii="Arial" w:hAnsi="Arial" w:cs="Arial"/>
          <w:bCs/>
          <w:sz w:val="10"/>
          <w:szCs w:val="10"/>
        </w:rPr>
      </w:pPr>
    </w:p>
    <w:p w14:paraId="25C4CDED" w14:textId="77777777" w:rsidR="002C57D2" w:rsidRPr="00FB3A86" w:rsidRDefault="002C57D2" w:rsidP="00441B6F">
      <w:pPr>
        <w:pStyle w:val="Affiliation"/>
        <w:spacing w:after="0" w:line="240" w:lineRule="auto"/>
        <w:jc w:val="both"/>
        <w:rPr>
          <w:rFonts w:ascii="Arial" w:hAnsi="Arial" w:cs="Arial"/>
        </w:rPr>
      </w:pPr>
    </w:p>
    <w:p w14:paraId="0A1CD55E" w14:textId="77777777" w:rsidR="00B01FCD" w:rsidRPr="00FB3A86" w:rsidRDefault="0088187F" w:rsidP="00441B6F">
      <w:pPr>
        <w:pStyle w:val="Copyright"/>
        <w:spacing w:after="0" w:line="240" w:lineRule="auto"/>
        <w:jc w:val="both"/>
        <w:rPr>
          <w:rFonts w:ascii="Arial" w:hAnsi="Arial" w:cs="Arial"/>
        </w:rPr>
        <w:sectPr w:rsidR="00B01FCD" w:rsidRPr="00FB3A86" w:rsidSect="007003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D3442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F322994" w14:textId="2F51C2D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271CF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EABE992" w14:textId="77777777" w:rsidTr="001E44FE">
        <w:tc>
          <w:tcPr>
            <w:tcW w:w="9576" w:type="dxa"/>
            <w:shd w:val="clear" w:color="auto" w:fill="F2F2F2"/>
          </w:tcPr>
          <w:p w14:paraId="0BC0396F" w14:textId="77777777" w:rsidR="006A6DE6" w:rsidRPr="006A6DE6" w:rsidRDefault="006A6DE6" w:rsidP="006A6DE6">
            <w:pPr>
              <w:pStyle w:val="Body"/>
              <w:rPr>
                <w:rFonts w:ascii="Arial" w:eastAsia="Calibri" w:hAnsi="Arial" w:cs="Arial"/>
                <w:szCs w:val="22"/>
              </w:rPr>
            </w:pPr>
            <w:r w:rsidRPr="006A6DE6">
              <w:rPr>
                <w:rFonts w:ascii="Arial" w:eastAsia="Calibri" w:hAnsi="Arial" w:cs="Arial"/>
                <w:szCs w:val="22"/>
              </w:rPr>
              <w:t>Background: Thoraco-</w:t>
            </w:r>
            <w:proofErr w:type="spellStart"/>
            <w:r w:rsidRPr="006A6DE6">
              <w:rPr>
                <w:rFonts w:ascii="Arial" w:eastAsia="Calibri" w:hAnsi="Arial" w:cs="Arial"/>
                <w:szCs w:val="22"/>
              </w:rPr>
              <w:t>omphalopagus</w:t>
            </w:r>
            <w:proofErr w:type="spellEnd"/>
            <w:r w:rsidRPr="006A6DE6">
              <w:rPr>
                <w:rFonts w:ascii="Arial" w:eastAsia="Calibri" w:hAnsi="Arial" w:cs="Arial"/>
                <w:szCs w:val="22"/>
              </w:rPr>
              <w:t xml:space="preserve"> conjoined twins present extreme surgical and ethical complexity due to shared thoracoabdominal structures, most notably the liver and chest wall. While hepatic separation has been widely emphasized, the role of chest wall reconstruction as a determinant of postoperative physiological viability remains underreported.</w:t>
            </w:r>
          </w:p>
          <w:p w14:paraId="7A39AEBA" w14:textId="77777777" w:rsidR="006A6DE6" w:rsidRPr="006A6DE6" w:rsidRDefault="006A6DE6" w:rsidP="006A6DE6">
            <w:pPr>
              <w:pStyle w:val="Body"/>
              <w:rPr>
                <w:rFonts w:ascii="Arial" w:eastAsia="Calibri" w:hAnsi="Arial" w:cs="Arial"/>
                <w:szCs w:val="22"/>
              </w:rPr>
            </w:pPr>
            <w:r w:rsidRPr="006A6DE6">
              <w:rPr>
                <w:rFonts w:ascii="Arial" w:eastAsia="Calibri" w:hAnsi="Arial" w:cs="Arial"/>
                <w:szCs w:val="22"/>
              </w:rPr>
              <w:t>Case Presentation: We report a case of thoraco-</w:t>
            </w:r>
            <w:proofErr w:type="spellStart"/>
            <w:r w:rsidRPr="006A6DE6">
              <w:rPr>
                <w:rFonts w:ascii="Arial" w:eastAsia="Calibri" w:hAnsi="Arial" w:cs="Arial"/>
                <w:szCs w:val="22"/>
              </w:rPr>
              <w:t>omphalopagus</w:t>
            </w:r>
            <w:proofErr w:type="spellEnd"/>
            <w:r w:rsidRPr="006A6DE6">
              <w:rPr>
                <w:rFonts w:ascii="Arial" w:eastAsia="Calibri" w:hAnsi="Arial" w:cs="Arial"/>
                <w:szCs w:val="22"/>
              </w:rPr>
              <w:t xml:space="preserve"> conjoined twins diagnosed antenatally and managed at a tertiary referral center. Postnatal evaluation revealed a shared sternum, contiguous rib cage, common diaphragm, and extensively fused liver with complex vascular interconnections, complicated by neonatal pneumonia. Advanced imaging, including contrast-enhanced computed tomography and CT angiography, was used to assess anatomical and functional feasibility. Multidisciplinary evaluation integrated pediatric surgery, hepatobiliary surgery, radiology, neonatology, intensive care, and clinical ethics. Surgical planning prioritized stabilization, resolution of infection, preservation of hepatic vascular supply, and chest wall reconstruction to ensure postoperative respiratory stability. Ethical deliberation was conducted early to address proportionality of intervention and anticipated quality of life.</w:t>
            </w:r>
          </w:p>
          <w:p w14:paraId="0FAF99CC" w14:textId="3D6FCBBB" w:rsidR="00505F06" w:rsidRPr="00BA1B01" w:rsidRDefault="006A6DE6" w:rsidP="006A6DE6">
            <w:pPr>
              <w:pStyle w:val="Body"/>
              <w:rPr>
                <w:rFonts w:ascii="Arial" w:eastAsia="Calibri" w:hAnsi="Arial" w:cs="Arial"/>
                <w:szCs w:val="22"/>
              </w:rPr>
            </w:pPr>
            <w:r w:rsidRPr="006A6DE6">
              <w:rPr>
                <w:rFonts w:ascii="Arial" w:eastAsia="Calibri" w:hAnsi="Arial" w:cs="Arial"/>
                <w:szCs w:val="22"/>
              </w:rPr>
              <w:t>Conclusion: This case underscores the necessity of reframing thoraco-</w:t>
            </w:r>
            <w:proofErr w:type="spellStart"/>
            <w:r w:rsidRPr="006A6DE6">
              <w:rPr>
                <w:rFonts w:ascii="Arial" w:eastAsia="Calibri" w:hAnsi="Arial" w:cs="Arial"/>
                <w:szCs w:val="22"/>
              </w:rPr>
              <w:t>omphalopagus</w:t>
            </w:r>
            <w:proofErr w:type="spellEnd"/>
            <w:r w:rsidRPr="006A6DE6">
              <w:rPr>
                <w:rFonts w:ascii="Arial" w:eastAsia="Calibri" w:hAnsi="Arial" w:cs="Arial"/>
                <w:szCs w:val="22"/>
              </w:rPr>
              <w:t xml:space="preserve"> twin separation as a process of structural and physiological integration rather than isolated organ division. A chest wall–centered, ethically informed, multidisciplinary approach may improve feasibility assessment and guide decision-making in these exceptionally rare and high-risk cases.</w:t>
            </w:r>
          </w:p>
        </w:tc>
      </w:tr>
    </w:tbl>
    <w:p w14:paraId="042C644E" w14:textId="77777777" w:rsidR="00636EB2" w:rsidRDefault="00636EB2" w:rsidP="00441B6F">
      <w:pPr>
        <w:pStyle w:val="Body"/>
        <w:spacing w:after="0"/>
        <w:rPr>
          <w:rFonts w:ascii="Arial" w:hAnsi="Arial" w:cs="Arial"/>
          <w:i/>
        </w:rPr>
      </w:pPr>
    </w:p>
    <w:p w14:paraId="3610A4C8" w14:textId="54A87217" w:rsidR="00A24E7E" w:rsidRDefault="006A6DE6" w:rsidP="00441B6F">
      <w:pPr>
        <w:pStyle w:val="Body"/>
        <w:spacing w:after="0"/>
        <w:rPr>
          <w:rFonts w:ascii="Arial" w:hAnsi="Arial" w:cs="Arial"/>
          <w:i/>
        </w:rPr>
      </w:pPr>
      <w:r w:rsidRPr="006A6DE6">
        <w:rPr>
          <w:rFonts w:ascii="Arial" w:hAnsi="Arial" w:cs="Arial"/>
          <w:i/>
        </w:rPr>
        <w:t>Keywords: Thoraco-</w:t>
      </w:r>
      <w:proofErr w:type="spellStart"/>
      <w:r w:rsidRPr="006A6DE6">
        <w:rPr>
          <w:rFonts w:ascii="Arial" w:hAnsi="Arial" w:cs="Arial"/>
          <w:i/>
        </w:rPr>
        <w:t>omphalopagus</w:t>
      </w:r>
      <w:proofErr w:type="spellEnd"/>
      <w:r w:rsidRPr="006A6DE6">
        <w:rPr>
          <w:rFonts w:ascii="Arial" w:hAnsi="Arial" w:cs="Arial"/>
          <w:i/>
        </w:rPr>
        <w:t xml:space="preserve"> Conjoined Twins, Chest Wall Reconstruction, Hepatic Separation, Ethics, Clinical evaluation</w:t>
      </w:r>
    </w:p>
    <w:p w14:paraId="378E5915" w14:textId="77777777" w:rsidR="00790ADA" w:rsidRDefault="00790ADA" w:rsidP="00441B6F">
      <w:pPr>
        <w:pStyle w:val="Body"/>
        <w:spacing w:after="0"/>
        <w:rPr>
          <w:rFonts w:ascii="Arial" w:hAnsi="Arial" w:cs="Arial"/>
          <w:i/>
        </w:rPr>
      </w:pPr>
    </w:p>
    <w:p w14:paraId="6AFC5EF5" w14:textId="77777777" w:rsidR="00505F06" w:rsidRPr="004539DB" w:rsidRDefault="004539DB" w:rsidP="00441B6F">
      <w:pPr>
        <w:pStyle w:val="Body"/>
        <w:spacing w:after="0"/>
        <w:rPr>
          <w:rFonts w:ascii="Arial" w:hAnsi="Arial" w:cs="Arial"/>
          <w:i/>
          <w:sz w:val="18"/>
        </w:rPr>
      </w:pPr>
      <w:r>
        <w:rPr>
          <w:rFonts w:ascii="Arial" w:hAnsi="Arial" w:cs="Arial"/>
          <w:b/>
          <w:i/>
          <w:sz w:val="18"/>
        </w:rPr>
        <w:t>(</w:t>
      </w:r>
      <w:r w:rsidR="00B52896" w:rsidRPr="004539DB">
        <w:rPr>
          <w:rFonts w:ascii="Arial" w:hAnsi="Arial" w:cs="Arial"/>
          <w:b/>
          <w:i/>
          <w:sz w:val="18"/>
        </w:rPr>
        <w:t xml:space="preserve">Note: </w:t>
      </w:r>
      <w:r w:rsidR="00B52896" w:rsidRPr="004539DB">
        <w:rPr>
          <w:rFonts w:ascii="Arial" w:hAnsi="Arial" w:cs="Arial"/>
          <w:i/>
          <w:sz w:val="18"/>
        </w:rPr>
        <w:t xml:space="preserve">1. </w:t>
      </w:r>
      <w:r w:rsidR="00B52896" w:rsidRPr="004539DB">
        <w:rPr>
          <w:rFonts w:ascii="Arial" w:hAnsi="Arial" w:cs="Arial"/>
          <w:i/>
          <w:sz w:val="18"/>
          <w:u w:val="single"/>
        </w:rPr>
        <w:t>Case Reports</w:t>
      </w:r>
      <w:r w:rsidR="00B52896" w:rsidRPr="004539DB">
        <w:rPr>
          <w:rFonts w:ascii="Arial" w:hAnsi="Arial" w:cs="Arial"/>
          <w:i/>
          <w:sz w:val="18"/>
        </w:rPr>
        <w:t xml:space="preserve"> should follow the structure of Abstract, Introduction, Presentation of Case, Discussion, Conclusion, Acknowledgements, Competing Interests, Authors’ Contributions, Consent (where applicable), </w:t>
      </w:r>
      <w:r w:rsidR="00B52896" w:rsidRPr="004539DB">
        <w:rPr>
          <w:rFonts w:ascii="Arial" w:hAnsi="Arial" w:cs="Arial"/>
          <w:bCs/>
          <w:i/>
          <w:sz w:val="18"/>
        </w:rPr>
        <w:t>Ethical approval (where applicable)</w:t>
      </w:r>
      <w:r w:rsidR="00B52896" w:rsidRPr="004539DB">
        <w:rPr>
          <w:rFonts w:ascii="Arial" w:hAnsi="Arial" w:cs="Arial"/>
          <w:i/>
          <w:sz w:val="18"/>
        </w:rPr>
        <w:t>, and References plus figures and/or tables.</w:t>
      </w:r>
      <w:r w:rsidR="00687DEA">
        <w:rPr>
          <w:rFonts w:ascii="Arial" w:hAnsi="Arial" w:cs="Arial"/>
          <w:i/>
          <w:sz w:val="18"/>
        </w:rPr>
        <w:t xml:space="preserve"> Abstract (</w:t>
      </w:r>
      <w:r w:rsidR="00687DEA" w:rsidRPr="004539DB">
        <w:rPr>
          <w:rFonts w:ascii="Arial" w:hAnsi="Arial" w:cs="Arial"/>
          <w:i/>
          <w:sz w:val="18"/>
        </w:rPr>
        <w:t>no</w:t>
      </w:r>
      <w:r w:rsidR="00687DEA">
        <w:rPr>
          <w:rFonts w:ascii="Arial" w:hAnsi="Arial" w:cs="Arial"/>
          <w:i/>
          <w:sz w:val="18"/>
        </w:rPr>
        <w:t>t</w:t>
      </w:r>
      <w:r w:rsidR="00687DEA" w:rsidRPr="004539DB">
        <w:rPr>
          <w:rFonts w:ascii="Arial" w:hAnsi="Arial" w:cs="Arial"/>
          <w:i/>
          <w:sz w:val="18"/>
        </w:rPr>
        <w:t xml:space="preserve"> more than 250 words</w:t>
      </w:r>
      <w:r w:rsidR="00687DEA">
        <w:rPr>
          <w:rFonts w:ascii="Arial" w:hAnsi="Arial" w:cs="Arial"/>
          <w:i/>
          <w:sz w:val="18"/>
        </w:rPr>
        <w:t xml:space="preserve">) of the Case reports should have the following sections: Aims, </w:t>
      </w:r>
      <w:r w:rsidR="00687DEA" w:rsidRPr="004539DB">
        <w:rPr>
          <w:rFonts w:ascii="Arial" w:hAnsi="Arial" w:cs="Arial"/>
          <w:i/>
          <w:sz w:val="18"/>
        </w:rPr>
        <w:t>Pr</w:t>
      </w:r>
      <w:r w:rsidR="00687DEA">
        <w:rPr>
          <w:rFonts w:ascii="Arial" w:hAnsi="Arial" w:cs="Arial"/>
          <w:i/>
          <w:sz w:val="18"/>
        </w:rPr>
        <w:t xml:space="preserve">esentation of Case, Discussion and </w:t>
      </w:r>
      <w:r w:rsidR="00687DEA" w:rsidRPr="004539DB">
        <w:rPr>
          <w:rFonts w:ascii="Arial" w:hAnsi="Arial" w:cs="Arial"/>
          <w:i/>
          <w:sz w:val="18"/>
        </w:rPr>
        <w:t>Conclusion</w:t>
      </w:r>
      <w:r w:rsidR="00687DEA">
        <w:rPr>
          <w:rFonts w:ascii="Arial" w:hAnsi="Arial" w:cs="Arial"/>
          <w:i/>
          <w:sz w:val="18"/>
        </w:rPr>
        <w:t xml:space="preserve">. </w:t>
      </w:r>
      <w:r>
        <w:rPr>
          <w:rFonts w:ascii="Arial" w:hAnsi="Arial" w:cs="Arial"/>
          <w:i/>
          <w:sz w:val="18"/>
        </w:rPr>
        <w:t xml:space="preserve"> Only Case Reports have word limits: </w:t>
      </w:r>
      <w:r w:rsidRPr="004539DB">
        <w:rPr>
          <w:rFonts w:ascii="Arial" w:hAnsi="Arial" w:cs="Arial"/>
          <w:i/>
          <w:sz w:val="18"/>
        </w:rPr>
        <w:t xml:space="preserve">Papers should not exceed </w:t>
      </w:r>
      <w:r w:rsidR="00687DEA">
        <w:rPr>
          <w:rFonts w:ascii="Arial" w:hAnsi="Arial" w:cs="Arial"/>
          <w:i/>
          <w:sz w:val="18"/>
        </w:rPr>
        <w:t>20</w:t>
      </w:r>
      <w:r w:rsidRPr="004539DB">
        <w:rPr>
          <w:rFonts w:ascii="Arial" w:hAnsi="Arial" w:cs="Arial"/>
          <w:i/>
          <w:sz w:val="18"/>
        </w:rPr>
        <w:t xml:space="preserve">00 words, 20 references or 5 figures. </w:t>
      </w:r>
      <w:r>
        <w:rPr>
          <w:rFonts w:ascii="Arial" w:hAnsi="Arial" w:cs="Arial"/>
          <w:i/>
          <w:sz w:val="18"/>
        </w:rPr>
        <w:t>Other Type of papers have no word limits.</w:t>
      </w:r>
    </w:p>
    <w:p w14:paraId="6ED3BF28" w14:textId="77777777" w:rsidR="00B52896" w:rsidRPr="004539DB" w:rsidRDefault="00B52896" w:rsidP="00441B6F">
      <w:pPr>
        <w:pStyle w:val="Body"/>
        <w:spacing w:after="0"/>
        <w:rPr>
          <w:rFonts w:ascii="Arial" w:hAnsi="Arial" w:cs="Arial"/>
          <w:i/>
          <w:sz w:val="18"/>
        </w:rPr>
      </w:pPr>
      <w:r w:rsidRPr="004539DB">
        <w:rPr>
          <w:rFonts w:ascii="Arial" w:hAnsi="Arial" w:cs="Arial"/>
          <w:i/>
          <w:sz w:val="18"/>
        </w:rPr>
        <w:t xml:space="preserve">2. </w:t>
      </w:r>
      <w:r w:rsidRPr="004539DB">
        <w:rPr>
          <w:rFonts w:ascii="Arial" w:hAnsi="Arial" w:cs="Arial"/>
          <w:i/>
          <w:sz w:val="18"/>
          <w:u w:val="single"/>
        </w:rPr>
        <w:t>Review papers</w:t>
      </w:r>
      <w:r w:rsidRPr="004539DB">
        <w:rPr>
          <w:rFonts w:ascii="Arial" w:hAnsi="Arial" w:cs="Arial"/>
          <w:i/>
          <w:sz w:val="18"/>
        </w:rPr>
        <w:t xml:space="preserve"> may have different headings of the sections and are exempted from following these suggestions.</w:t>
      </w:r>
    </w:p>
    <w:p w14:paraId="4C595FEF" w14:textId="77777777" w:rsidR="00B52896" w:rsidRDefault="00B52896" w:rsidP="00441B6F">
      <w:pPr>
        <w:pStyle w:val="Body"/>
        <w:spacing w:after="0"/>
        <w:rPr>
          <w:rFonts w:ascii="Arial" w:hAnsi="Arial" w:cs="Arial"/>
          <w:i/>
          <w:sz w:val="18"/>
        </w:rPr>
      </w:pPr>
      <w:r w:rsidRPr="004539DB">
        <w:rPr>
          <w:rFonts w:ascii="Arial" w:hAnsi="Arial" w:cs="Arial"/>
          <w:i/>
          <w:sz w:val="18"/>
        </w:rPr>
        <w:t xml:space="preserve">3. </w:t>
      </w:r>
      <w:r w:rsidRPr="004539DB">
        <w:rPr>
          <w:rFonts w:ascii="Arial" w:hAnsi="Arial" w:cs="Arial"/>
          <w:i/>
          <w:sz w:val="18"/>
          <w:u w:val="single"/>
        </w:rPr>
        <w:t>Research Papers and Short Notes</w:t>
      </w:r>
      <w:r w:rsidRPr="004539DB">
        <w:rPr>
          <w:rFonts w:ascii="Arial" w:hAnsi="Arial" w:cs="Arial"/>
          <w:i/>
          <w:sz w:val="18"/>
        </w:rPr>
        <w:t xml:space="preserve"> should follow the structure of Abstract, Introduction, Methodology, Results and Discussion, Conclusion, Acknowledgements, Competing Interests, Authors’ Contributions, Consent (where applicable), </w:t>
      </w:r>
      <w:r w:rsidRPr="004539DB">
        <w:rPr>
          <w:rFonts w:ascii="Arial" w:hAnsi="Arial" w:cs="Arial"/>
          <w:bCs/>
          <w:i/>
          <w:sz w:val="18"/>
        </w:rPr>
        <w:t>Ethical approval (where applicable)</w:t>
      </w:r>
      <w:r w:rsidRPr="004539DB">
        <w:rPr>
          <w:rFonts w:ascii="Arial" w:hAnsi="Arial" w:cs="Arial"/>
          <w:i/>
          <w:sz w:val="18"/>
        </w:rPr>
        <w:t>, and References plus figures and/or tables.</w:t>
      </w:r>
      <w:r w:rsidR="004539DB">
        <w:rPr>
          <w:rFonts w:ascii="Arial" w:hAnsi="Arial" w:cs="Arial"/>
          <w:i/>
          <w:sz w:val="18"/>
        </w:rPr>
        <w:t>)</w:t>
      </w:r>
    </w:p>
    <w:p w14:paraId="1BC23E26" w14:textId="41BB0982" w:rsidR="0024282C" w:rsidRDefault="0024282C" w:rsidP="00441B6F">
      <w:pPr>
        <w:pStyle w:val="Body"/>
        <w:spacing w:after="0"/>
        <w:rPr>
          <w:rFonts w:ascii="Arial" w:hAnsi="Arial" w:cs="Arial"/>
          <w:i/>
          <w:sz w:val="18"/>
        </w:rPr>
      </w:pPr>
    </w:p>
    <w:p w14:paraId="3F68872F" w14:textId="2816F071" w:rsidR="00700312" w:rsidRDefault="00700312" w:rsidP="00441B6F">
      <w:pPr>
        <w:pStyle w:val="Body"/>
        <w:spacing w:after="0"/>
        <w:rPr>
          <w:rFonts w:ascii="Arial" w:hAnsi="Arial" w:cs="Arial"/>
          <w:i/>
          <w:sz w:val="18"/>
        </w:rPr>
      </w:pPr>
    </w:p>
    <w:p w14:paraId="1312D4C7" w14:textId="77777777" w:rsidR="00700312" w:rsidRDefault="00700312" w:rsidP="00441B6F">
      <w:pPr>
        <w:pStyle w:val="Body"/>
        <w:spacing w:after="0"/>
        <w:rPr>
          <w:rFonts w:ascii="Arial" w:hAnsi="Arial" w:cs="Arial"/>
          <w:i/>
          <w:sz w:val="18"/>
        </w:rPr>
      </w:pPr>
    </w:p>
    <w:p w14:paraId="05D707FB" w14:textId="77777777" w:rsidR="00505F06" w:rsidRPr="00A24E7E" w:rsidRDefault="00505F06" w:rsidP="00441B6F">
      <w:pPr>
        <w:pStyle w:val="Body"/>
        <w:spacing w:after="0"/>
        <w:rPr>
          <w:rFonts w:ascii="Arial" w:hAnsi="Arial" w:cs="Arial"/>
          <w:i/>
        </w:rPr>
      </w:pPr>
    </w:p>
    <w:p w14:paraId="2559E94C" w14:textId="5ACD855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0557DC88" w14:textId="77777777" w:rsidR="00790ADA" w:rsidRPr="00FB3A86" w:rsidRDefault="00790ADA" w:rsidP="00441B6F">
      <w:pPr>
        <w:pStyle w:val="AbstHead"/>
        <w:spacing w:after="0"/>
        <w:jc w:val="both"/>
        <w:rPr>
          <w:rFonts w:ascii="Arial" w:hAnsi="Arial" w:cs="Arial"/>
        </w:rPr>
      </w:pPr>
    </w:p>
    <w:p w14:paraId="42FE2D0C" w14:textId="77777777" w:rsidR="006A6DE6" w:rsidRPr="006A6DE6" w:rsidRDefault="006A6DE6" w:rsidP="006A6DE6">
      <w:pPr>
        <w:pStyle w:val="Body"/>
        <w:rPr>
          <w:rFonts w:ascii="Arial" w:hAnsi="Arial" w:cs="Arial"/>
        </w:rPr>
      </w:pPr>
      <w:r w:rsidRPr="006A6DE6">
        <w:rPr>
          <w:rFonts w:ascii="Arial" w:hAnsi="Arial" w:cs="Arial"/>
        </w:rPr>
        <w:t>Thoraco-</w:t>
      </w:r>
      <w:proofErr w:type="spellStart"/>
      <w:r w:rsidRPr="006A6DE6">
        <w:rPr>
          <w:rFonts w:ascii="Arial" w:hAnsi="Arial" w:cs="Arial"/>
        </w:rPr>
        <w:t>omphalopagus</w:t>
      </w:r>
      <w:proofErr w:type="spellEnd"/>
      <w:r w:rsidRPr="006A6DE6">
        <w:rPr>
          <w:rFonts w:ascii="Arial" w:hAnsi="Arial" w:cs="Arial"/>
        </w:rPr>
        <w:t xml:space="preserve"> conjoined twins represent one of the most complex and rare congenital anomalies encountered in pediatric surgery, accounting for a substantial proportion of conjoined twin cases while posing disproportionately high anatomical, physiological, and ethical challenges [¹]. This subtype is characterized by fusion at the thorax and upper abdomen, frequently involving shared structures such as the sternum, diaphragm, liver, and, in some cases, components of the cardiovascular system, rendering surgical separation technically demanding and prognostically uncertain [²].</w:t>
      </w:r>
    </w:p>
    <w:p w14:paraId="2C12FA54" w14:textId="77777777" w:rsidR="006A6DE6" w:rsidRPr="006A6DE6" w:rsidRDefault="006A6DE6" w:rsidP="006A6DE6">
      <w:pPr>
        <w:pStyle w:val="Body"/>
        <w:rPr>
          <w:rFonts w:ascii="Arial" w:hAnsi="Arial" w:cs="Arial"/>
        </w:rPr>
      </w:pPr>
      <w:r w:rsidRPr="006A6DE6">
        <w:rPr>
          <w:rFonts w:ascii="Arial" w:hAnsi="Arial" w:cs="Arial"/>
        </w:rPr>
        <w:t>Among the shared organs, hepatic fusion is almost universal in thoraco-</w:t>
      </w:r>
      <w:proofErr w:type="spellStart"/>
      <w:r w:rsidRPr="006A6DE6">
        <w:rPr>
          <w:rFonts w:ascii="Arial" w:hAnsi="Arial" w:cs="Arial"/>
        </w:rPr>
        <w:t>omphalopagus</w:t>
      </w:r>
      <w:proofErr w:type="spellEnd"/>
      <w:r w:rsidRPr="006A6DE6">
        <w:rPr>
          <w:rFonts w:ascii="Arial" w:hAnsi="Arial" w:cs="Arial"/>
        </w:rPr>
        <w:t xml:space="preserve"> twins and constitutes a major determinant of surgical feasibility and outcome [³]. The degree of parenchymal fusion, vascular interconnection, and biliary anatomy variability necessitate meticulous preoperative evaluation, as inadequate hepatic partitioning may result in catastrophic hemorrhage, postoperative liver failure, or long-term morbidity [</w:t>
      </w:r>
      <w:proofErr w:type="gramStart"/>
      <w:r w:rsidRPr="006A6DE6">
        <w:rPr>
          <w:rFonts w:ascii="Arial" w:hAnsi="Arial" w:cs="Arial"/>
        </w:rPr>
        <w:t>³,⁴</w:t>
      </w:r>
      <w:proofErr w:type="gramEnd"/>
      <w:r w:rsidRPr="006A6DE6">
        <w:rPr>
          <w:rFonts w:ascii="Arial" w:hAnsi="Arial" w:cs="Arial"/>
        </w:rPr>
        <w:t>]. Advances in cross-sectional imaging, including contrast-enhanced computed tomography, magnetic resonance imaging, and three-dimensional reconstruction, have significantly improved anatomical delineation and operative planning; however, these technologies alone do not eliminate intraoperative risk [⁴].</w:t>
      </w:r>
    </w:p>
    <w:p w14:paraId="6F1A419A" w14:textId="77777777" w:rsidR="006A6DE6" w:rsidRPr="006A6DE6" w:rsidRDefault="006A6DE6" w:rsidP="006A6DE6">
      <w:pPr>
        <w:pStyle w:val="Body"/>
        <w:rPr>
          <w:rFonts w:ascii="Arial" w:hAnsi="Arial" w:cs="Arial"/>
        </w:rPr>
      </w:pPr>
      <w:r w:rsidRPr="006A6DE6">
        <w:rPr>
          <w:rFonts w:ascii="Arial" w:hAnsi="Arial" w:cs="Arial"/>
        </w:rPr>
        <w:t>Beyond visceral separation, reconstruction of the chest wall represents an equally critical yet often underemphasized component of thoraco-</w:t>
      </w:r>
      <w:proofErr w:type="spellStart"/>
      <w:r w:rsidRPr="006A6DE6">
        <w:rPr>
          <w:rFonts w:ascii="Arial" w:hAnsi="Arial" w:cs="Arial"/>
        </w:rPr>
        <w:t>omphalopagus</w:t>
      </w:r>
      <w:proofErr w:type="spellEnd"/>
      <w:r w:rsidRPr="006A6DE6">
        <w:rPr>
          <w:rFonts w:ascii="Arial" w:hAnsi="Arial" w:cs="Arial"/>
        </w:rPr>
        <w:t xml:space="preserve"> twin separation [⁵]. Shared sternum, ribs, and anterior chest wall soft tissues create substantial challenges in achieving stable thoracic integrity, adequate respiratory mechanics, and acceptable long-term functional and cosmetic outcomes [</w:t>
      </w:r>
      <w:proofErr w:type="gramStart"/>
      <w:r w:rsidRPr="006A6DE6">
        <w:rPr>
          <w:rFonts w:ascii="Arial" w:hAnsi="Arial" w:cs="Arial"/>
        </w:rPr>
        <w:t>⁵,⁶</w:t>
      </w:r>
      <w:proofErr w:type="gramEnd"/>
      <w:r w:rsidRPr="006A6DE6">
        <w:rPr>
          <w:rFonts w:ascii="Arial" w:hAnsi="Arial" w:cs="Arial"/>
        </w:rPr>
        <w:t>]. Failure to adequately address chest wall reconstruction may lead to respiratory compromise, paradoxical chest wall motion, prolonged ventilatory support, and secondary morbidity, particularly in the neonatal and early infant periods [⁶].</w:t>
      </w:r>
    </w:p>
    <w:p w14:paraId="5D53B006" w14:textId="77777777" w:rsidR="006A6DE6" w:rsidRPr="006A6DE6" w:rsidRDefault="006A6DE6" w:rsidP="006A6DE6">
      <w:pPr>
        <w:pStyle w:val="Body"/>
        <w:rPr>
          <w:rFonts w:ascii="Arial" w:hAnsi="Arial" w:cs="Arial"/>
        </w:rPr>
      </w:pPr>
      <w:r w:rsidRPr="006A6DE6">
        <w:rPr>
          <w:rFonts w:ascii="Arial" w:hAnsi="Arial" w:cs="Arial"/>
        </w:rPr>
        <w:t>Despite the recognized importance of chest wall integrity, the literature remains predominantly focused on organ separation, with limited detailed discussion of chest wall–centered reconstructive strategies, especially in the context of concurrent hepatic separation [⁷]. Surgical approaches to chest wall reconstruction often rely on extrapolation from abdominal wall reconstruction principles, including staged closure, use of prosthetic or biologic materials, and tension-minimizing techniques; however, standardized strategies specific to thoraco-</w:t>
      </w:r>
      <w:proofErr w:type="spellStart"/>
      <w:r w:rsidRPr="006A6DE6">
        <w:rPr>
          <w:rFonts w:ascii="Arial" w:hAnsi="Arial" w:cs="Arial"/>
        </w:rPr>
        <w:t>omphalopagus</w:t>
      </w:r>
      <w:proofErr w:type="spellEnd"/>
      <w:r w:rsidRPr="006A6DE6">
        <w:rPr>
          <w:rFonts w:ascii="Arial" w:hAnsi="Arial" w:cs="Arial"/>
        </w:rPr>
        <w:t xml:space="preserve"> twins are lacking [</w:t>
      </w:r>
      <w:proofErr w:type="gramStart"/>
      <w:r w:rsidRPr="006A6DE6">
        <w:rPr>
          <w:rFonts w:ascii="Arial" w:hAnsi="Arial" w:cs="Arial"/>
        </w:rPr>
        <w:t>⁷,⁸</w:t>
      </w:r>
      <w:proofErr w:type="gramEnd"/>
      <w:r w:rsidRPr="006A6DE6">
        <w:rPr>
          <w:rFonts w:ascii="Arial" w:hAnsi="Arial" w:cs="Arial"/>
        </w:rPr>
        <w:t>]. This gap underscores the need for case-based evidence that integrates visceral and musculoskeletal reconstruction as a unified surgical objective.</w:t>
      </w:r>
    </w:p>
    <w:p w14:paraId="6E94B26A" w14:textId="77777777" w:rsidR="006A6DE6" w:rsidRPr="006A6DE6" w:rsidRDefault="006A6DE6" w:rsidP="006A6DE6">
      <w:pPr>
        <w:pStyle w:val="Body"/>
        <w:rPr>
          <w:rFonts w:ascii="Arial" w:hAnsi="Arial" w:cs="Arial"/>
        </w:rPr>
      </w:pPr>
      <w:r w:rsidRPr="006A6DE6">
        <w:rPr>
          <w:rFonts w:ascii="Arial" w:hAnsi="Arial" w:cs="Arial"/>
        </w:rPr>
        <w:t>In parallel with technical complexity, thoraco-</w:t>
      </w:r>
      <w:proofErr w:type="spellStart"/>
      <w:r w:rsidRPr="006A6DE6">
        <w:rPr>
          <w:rFonts w:ascii="Arial" w:hAnsi="Arial" w:cs="Arial"/>
        </w:rPr>
        <w:t>omphalopagus</w:t>
      </w:r>
      <w:proofErr w:type="spellEnd"/>
      <w:r w:rsidRPr="006A6DE6">
        <w:rPr>
          <w:rFonts w:ascii="Arial" w:hAnsi="Arial" w:cs="Arial"/>
        </w:rPr>
        <w:t xml:space="preserve"> twin separation is intrinsically associated with profound ethical challenges [⁹]. Decisions regarding timing of separation, acceptability of surgical risk, and potential asymmetry in outcomes between twins demand careful ethical deliberation grounded in the principles of beneficence, non-maleficence, proportionality, and surrogate decision-making [</w:t>
      </w:r>
      <w:proofErr w:type="gramStart"/>
      <w:r w:rsidRPr="006A6DE6">
        <w:rPr>
          <w:rFonts w:ascii="Arial" w:hAnsi="Arial" w:cs="Arial"/>
        </w:rPr>
        <w:t>⁹,¹</w:t>
      </w:r>
      <w:proofErr w:type="gramEnd"/>
      <w:r w:rsidRPr="006A6DE6">
        <w:rPr>
          <w:rFonts w:ascii="Arial" w:hAnsi="Arial" w:cs="Arial"/>
        </w:rPr>
        <w:t>⁰]. These considerations are further amplified in scenarios involving active infection, cardiopulmonary compromise, or uncertainty regarding postoperative quality of life.</w:t>
      </w:r>
    </w:p>
    <w:p w14:paraId="598D7D59" w14:textId="77777777" w:rsidR="006A6DE6" w:rsidRPr="006A6DE6" w:rsidRDefault="006A6DE6" w:rsidP="006A6DE6">
      <w:pPr>
        <w:pStyle w:val="Body"/>
        <w:rPr>
          <w:rFonts w:ascii="Arial" w:hAnsi="Arial" w:cs="Arial"/>
        </w:rPr>
      </w:pPr>
      <w:r w:rsidRPr="006A6DE6">
        <w:rPr>
          <w:rFonts w:ascii="Arial" w:hAnsi="Arial" w:cs="Arial"/>
        </w:rPr>
        <w:t>Effective management of thoraco-</w:t>
      </w:r>
      <w:proofErr w:type="spellStart"/>
      <w:r w:rsidRPr="006A6DE6">
        <w:rPr>
          <w:rFonts w:ascii="Arial" w:hAnsi="Arial" w:cs="Arial"/>
        </w:rPr>
        <w:t>omphalopagus</w:t>
      </w:r>
      <w:proofErr w:type="spellEnd"/>
      <w:r w:rsidRPr="006A6DE6">
        <w:rPr>
          <w:rFonts w:ascii="Arial" w:hAnsi="Arial" w:cs="Arial"/>
        </w:rPr>
        <w:t xml:space="preserve"> twins therefore necessitates a truly multidisciplinary approach, integrating pediatric surgery, hepatobiliary expertise, anesthesiology, radiology, neonatology, intensive care, and clinical ethics [</w:t>
      </w:r>
      <w:proofErr w:type="gramStart"/>
      <w:r w:rsidRPr="006A6DE6">
        <w:rPr>
          <w:rFonts w:ascii="Arial" w:hAnsi="Arial" w:cs="Arial"/>
        </w:rPr>
        <w:t>¹,¹</w:t>
      </w:r>
      <w:proofErr w:type="gramEnd"/>
      <w:r w:rsidRPr="006A6DE6">
        <w:rPr>
          <w:rFonts w:ascii="Arial" w:hAnsi="Arial" w:cs="Arial"/>
        </w:rPr>
        <w:t>⁰]. Multidisciplinary collaboration enables balanced decision-making that aligns technical feasibility with ethical responsibility, particularly when operative intervention carries significant risk for one or both twins.</w:t>
      </w:r>
    </w:p>
    <w:p w14:paraId="1D6DFD70" w14:textId="240EAE74" w:rsidR="00790ADA" w:rsidRDefault="006A6DE6" w:rsidP="006A6DE6">
      <w:pPr>
        <w:pStyle w:val="Body"/>
        <w:spacing w:after="0"/>
        <w:rPr>
          <w:rFonts w:ascii="Arial" w:hAnsi="Arial" w:cs="Arial"/>
        </w:rPr>
      </w:pPr>
      <w:r w:rsidRPr="006A6DE6">
        <w:rPr>
          <w:rFonts w:ascii="Arial" w:hAnsi="Arial" w:cs="Arial"/>
        </w:rPr>
        <w:t>This case report aims to present a comprehensive multidisciplinary approach to thoraco-</w:t>
      </w:r>
      <w:proofErr w:type="spellStart"/>
      <w:r w:rsidRPr="006A6DE6">
        <w:rPr>
          <w:rFonts w:ascii="Arial" w:hAnsi="Arial" w:cs="Arial"/>
        </w:rPr>
        <w:t>omphalopagus</w:t>
      </w:r>
      <w:proofErr w:type="spellEnd"/>
      <w:r w:rsidRPr="006A6DE6">
        <w:rPr>
          <w:rFonts w:ascii="Arial" w:hAnsi="Arial" w:cs="Arial"/>
        </w:rPr>
        <w:t xml:space="preserve"> twin separation, with particular emphasis on chest wall and hepatic reconstruction strategies integrated within an ethical decision-making framework. By detailing the anatomical challenges, reconstructive considerations, and ethical deliberations encountered, this report seeks to contribute clinically relevant insights to an area where standardized guidance remains limited.</w:t>
      </w:r>
    </w:p>
    <w:p w14:paraId="3C76C45A" w14:textId="77777777" w:rsidR="006A6DE6" w:rsidRPr="00FB3A86" w:rsidRDefault="006A6DE6" w:rsidP="006A6DE6">
      <w:pPr>
        <w:pStyle w:val="Body"/>
        <w:spacing w:after="0"/>
        <w:rPr>
          <w:rFonts w:ascii="Arial" w:hAnsi="Arial" w:cs="Arial"/>
        </w:rPr>
      </w:pPr>
    </w:p>
    <w:p w14:paraId="67BD4946" w14:textId="2F17289A" w:rsidR="00790ADA" w:rsidRDefault="00902823" w:rsidP="00441B6F">
      <w:pPr>
        <w:pStyle w:val="AbstHead"/>
        <w:spacing w:after="0"/>
        <w:jc w:val="both"/>
        <w:rPr>
          <w:rFonts w:ascii="Arial" w:hAnsi="Arial" w:cs="Arial"/>
        </w:rPr>
      </w:pPr>
      <w:r>
        <w:rPr>
          <w:rFonts w:ascii="Arial" w:hAnsi="Arial" w:cs="Arial"/>
        </w:rPr>
        <w:t xml:space="preserve">2. </w:t>
      </w:r>
      <w:r w:rsidR="006F6897">
        <w:rPr>
          <w:rFonts w:ascii="Arial" w:hAnsi="Arial" w:cs="Arial"/>
        </w:rPr>
        <w:t>Case presentation</w:t>
      </w:r>
    </w:p>
    <w:p w14:paraId="10131C7C" w14:textId="77777777" w:rsidR="006F6897" w:rsidRPr="00FB3A86" w:rsidRDefault="006F6897" w:rsidP="00441B6F">
      <w:pPr>
        <w:pStyle w:val="AbstHead"/>
        <w:spacing w:after="0"/>
        <w:jc w:val="both"/>
        <w:rPr>
          <w:rFonts w:ascii="Arial" w:hAnsi="Arial" w:cs="Arial"/>
        </w:rPr>
      </w:pPr>
    </w:p>
    <w:p w14:paraId="604D70C1" w14:textId="77777777" w:rsidR="006A6DE6" w:rsidRPr="006A6DE6" w:rsidRDefault="006A6DE6" w:rsidP="006A6DE6">
      <w:pPr>
        <w:pStyle w:val="Body"/>
        <w:rPr>
          <w:rFonts w:ascii="Arial" w:hAnsi="Arial" w:cs="Arial"/>
        </w:rPr>
      </w:pPr>
      <w:r w:rsidRPr="006A6DE6">
        <w:rPr>
          <w:rFonts w:ascii="Arial" w:hAnsi="Arial" w:cs="Arial"/>
        </w:rPr>
        <w:t>Patient Information</w:t>
      </w:r>
    </w:p>
    <w:p w14:paraId="15EB75CE" w14:textId="77777777" w:rsidR="006A6DE6" w:rsidRPr="006A6DE6" w:rsidRDefault="006A6DE6" w:rsidP="006A6DE6">
      <w:pPr>
        <w:pStyle w:val="Body"/>
        <w:rPr>
          <w:rFonts w:ascii="Arial" w:hAnsi="Arial" w:cs="Arial"/>
        </w:rPr>
      </w:pPr>
      <w:r w:rsidRPr="006A6DE6">
        <w:rPr>
          <w:rFonts w:ascii="Arial" w:hAnsi="Arial" w:cs="Arial"/>
        </w:rPr>
        <w:t>The patients were thoraco-</w:t>
      </w:r>
      <w:proofErr w:type="spellStart"/>
      <w:r w:rsidRPr="006A6DE6">
        <w:rPr>
          <w:rFonts w:ascii="Arial" w:hAnsi="Arial" w:cs="Arial"/>
        </w:rPr>
        <w:t>omphalopagus</w:t>
      </w:r>
      <w:proofErr w:type="spellEnd"/>
      <w:r w:rsidRPr="006A6DE6">
        <w:rPr>
          <w:rFonts w:ascii="Arial" w:hAnsi="Arial" w:cs="Arial"/>
        </w:rPr>
        <w:t xml:space="preserve"> conjoined twins delivered at term to a primigravida mother following an otherwise uneventful pregnancy. The diagnosis of conjoined twinning was established during routine second-trimester antenatal ultrasonography. There was no history of maternal infection, chronic illness, teratogenic drug exposure, or consanguinity. Antenatal care was regular, and no additional congenital anomalies were identified prior to delivery. Due to the complexity of the condition and anticipated delivery risks, an elective cesarean section was performed at a tertiary referral center.</w:t>
      </w:r>
    </w:p>
    <w:p w14:paraId="05132393" w14:textId="77777777" w:rsidR="006A6DE6" w:rsidRPr="006A6DE6" w:rsidRDefault="006A6DE6" w:rsidP="006A6DE6">
      <w:pPr>
        <w:pStyle w:val="Body"/>
        <w:rPr>
          <w:rFonts w:ascii="Arial" w:hAnsi="Arial" w:cs="Arial"/>
        </w:rPr>
      </w:pPr>
    </w:p>
    <w:p w14:paraId="4A4879AC" w14:textId="77777777" w:rsidR="006A6DE6" w:rsidRPr="006A6DE6" w:rsidRDefault="006A6DE6" w:rsidP="006A6DE6">
      <w:pPr>
        <w:pStyle w:val="Body"/>
        <w:rPr>
          <w:rFonts w:ascii="Arial" w:hAnsi="Arial" w:cs="Arial"/>
        </w:rPr>
      </w:pPr>
      <w:r w:rsidRPr="006A6DE6">
        <w:rPr>
          <w:rFonts w:ascii="Arial" w:hAnsi="Arial" w:cs="Arial"/>
        </w:rPr>
        <w:lastRenderedPageBreak/>
        <w:t>Clinical Findings at Birth</w:t>
      </w:r>
    </w:p>
    <w:p w14:paraId="597088F6" w14:textId="77777777" w:rsidR="006A6DE6" w:rsidRPr="006A6DE6" w:rsidRDefault="006A6DE6" w:rsidP="006A6DE6">
      <w:pPr>
        <w:pStyle w:val="Body"/>
        <w:rPr>
          <w:rFonts w:ascii="Arial" w:hAnsi="Arial" w:cs="Arial"/>
        </w:rPr>
      </w:pPr>
      <w:r w:rsidRPr="006A6DE6">
        <w:rPr>
          <w:rFonts w:ascii="Arial" w:hAnsi="Arial" w:cs="Arial"/>
        </w:rPr>
        <w:t>At birth, the twins were physically conjoined from the anterior upper thorax extending to the upper abdomen, consistent with thoraco-</w:t>
      </w:r>
      <w:proofErr w:type="spellStart"/>
      <w:r w:rsidRPr="006A6DE6">
        <w:rPr>
          <w:rFonts w:ascii="Arial" w:hAnsi="Arial" w:cs="Arial"/>
        </w:rPr>
        <w:t>omphalopagus</w:t>
      </w:r>
      <w:proofErr w:type="spellEnd"/>
      <w:r w:rsidRPr="006A6DE6">
        <w:rPr>
          <w:rFonts w:ascii="Arial" w:hAnsi="Arial" w:cs="Arial"/>
        </w:rPr>
        <w:t xml:space="preserve"> classification. Each twin had a separate head, neck, and four extremities, with a shared anterior chest wall and upper abdominal segment. Initial physical examination demonstrated intact skin coverage over the conjoined region, without ulceration or ischemic changes. Both twins exhibited signs of respiratory distress, including tachypnea and subcostal retractions, necessitating supplemental oxygen shortly after birth. Cardiopulmonary examination revealed diminished bilateral breath sounds and a systolic cardiac murmur in one twin. Peripheral perfusion was adequate, and neurological examination showed spontaneous movements and intact primitive reflexes in both twins, indicating preserved neurological function (Figure 1).</w:t>
      </w:r>
    </w:p>
    <w:p w14:paraId="403CB491" w14:textId="77777777" w:rsidR="00664F66" w:rsidRPr="00746880" w:rsidRDefault="00664F66" w:rsidP="00664F66">
      <w:pPr>
        <w:jc w:val="center"/>
        <w:rPr>
          <w:rFonts w:ascii="Franklin Gothic Book" w:hAnsi="Franklin Gothic Book" w:cs="DejaVuSerif"/>
        </w:rPr>
      </w:pPr>
      <w:r>
        <w:rPr>
          <w:noProof/>
        </w:rPr>
        <w:drawing>
          <wp:inline distT="0" distB="0" distL="0" distR="0" wp14:anchorId="5F2FD059" wp14:editId="4858BDB3">
            <wp:extent cx="5731510" cy="2080895"/>
            <wp:effectExtent l="0" t="0" r="2540" b="0"/>
            <wp:docPr id="6304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7956" name=""/>
                    <pic:cNvPicPr/>
                  </pic:nvPicPr>
                  <pic:blipFill>
                    <a:blip r:embed="rId14"/>
                    <a:stretch>
                      <a:fillRect/>
                    </a:stretch>
                  </pic:blipFill>
                  <pic:spPr>
                    <a:xfrm>
                      <a:off x="0" y="0"/>
                      <a:ext cx="5731510" cy="2080895"/>
                    </a:xfrm>
                    <a:prstGeom prst="rect">
                      <a:avLst/>
                    </a:prstGeom>
                  </pic:spPr>
                </pic:pic>
              </a:graphicData>
            </a:graphic>
          </wp:inline>
        </w:drawing>
      </w:r>
    </w:p>
    <w:p w14:paraId="73E7E99A" w14:textId="77777777" w:rsidR="00664F66" w:rsidRPr="00746880" w:rsidRDefault="00664F66" w:rsidP="00664F66">
      <w:pPr>
        <w:jc w:val="center"/>
        <w:rPr>
          <w:rFonts w:ascii="Franklin Gothic Book" w:hAnsi="Franklin Gothic Book" w:cs="DejaVuSerif"/>
        </w:rPr>
      </w:pPr>
      <w:r w:rsidRPr="00746880">
        <w:rPr>
          <w:rFonts w:ascii="Franklin Gothic Book" w:hAnsi="Franklin Gothic Book" w:cs="DejaVuSerif"/>
        </w:rPr>
        <w:t xml:space="preserve">Fig 1. Clinical </w:t>
      </w:r>
      <w:r>
        <w:rPr>
          <w:rFonts w:ascii="Franklin Gothic Book" w:hAnsi="Franklin Gothic Book" w:cs="DejaVuSerif"/>
        </w:rPr>
        <w:t>examination</w:t>
      </w:r>
      <w:r w:rsidRPr="00746880">
        <w:rPr>
          <w:rFonts w:ascii="Franklin Gothic Book" w:hAnsi="Franklin Gothic Book" w:cs="DejaVuSerif"/>
        </w:rPr>
        <w:t xml:space="preserve"> of the patients.</w:t>
      </w:r>
    </w:p>
    <w:p w14:paraId="22F9AB5D" w14:textId="77777777" w:rsidR="00664F66" w:rsidRPr="00746880" w:rsidRDefault="00664F66" w:rsidP="00664F66">
      <w:pPr>
        <w:jc w:val="center"/>
        <w:rPr>
          <w:rFonts w:ascii="Franklin Gothic Book" w:hAnsi="Franklin Gothic Book" w:cs="DejaVuSerif"/>
        </w:rPr>
      </w:pPr>
      <w:r w:rsidRPr="00F150D2">
        <w:rPr>
          <w:rFonts w:ascii="Franklin Gothic Book" w:hAnsi="Franklin Gothic Book" w:cs="DejaVuSerif"/>
        </w:rPr>
        <w:t>Left image: The photograph shows measurement of the infant’s hip circumference using a measuring tape placed horizontally around the pelvic region to assess body proportions.</w:t>
      </w:r>
      <w:r>
        <w:rPr>
          <w:rFonts w:ascii="Franklin Gothic Book" w:hAnsi="Franklin Gothic Book" w:cs="DejaVuSerif"/>
        </w:rPr>
        <w:t xml:space="preserve"> </w:t>
      </w:r>
      <w:r w:rsidRPr="00F150D2">
        <w:rPr>
          <w:rFonts w:ascii="Franklin Gothic Book" w:hAnsi="Franklin Gothic Book" w:cs="DejaVuSerif"/>
        </w:rPr>
        <w:t>Middle image: A close-up view demonstrates measurement of the intergluteal or perineal distance with a measuring tape, focusing on anatomical landmarks in the midline.</w:t>
      </w:r>
      <w:r>
        <w:rPr>
          <w:rFonts w:ascii="Franklin Gothic Book" w:hAnsi="Franklin Gothic Book" w:cs="DejaVuSerif"/>
        </w:rPr>
        <w:t xml:space="preserve"> </w:t>
      </w:r>
      <w:r w:rsidRPr="00F150D2">
        <w:rPr>
          <w:rFonts w:ascii="Franklin Gothic Book" w:hAnsi="Franklin Gothic Book" w:cs="DejaVuSerif"/>
        </w:rPr>
        <w:t>Right image: The image illustrates measurement of limb circumference using a ruler or measuring tape to objectively document extremity size as part of anthropometric assessment.</w:t>
      </w:r>
    </w:p>
    <w:p w14:paraId="4D43182A" w14:textId="77777777" w:rsidR="006A6DE6" w:rsidRPr="006A6DE6" w:rsidRDefault="006A6DE6" w:rsidP="006A6DE6">
      <w:pPr>
        <w:pStyle w:val="Body"/>
        <w:rPr>
          <w:rFonts w:ascii="Arial" w:hAnsi="Arial" w:cs="Arial"/>
        </w:rPr>
      </w:pPr>
    </w:p>
    <w:p w14:paraId="2202D216" w14:textId="77777777" w:rsidR="006A6DE6" w:rsidRPr="006A6DE6" w:rsidRDefault="006A6DE6" w:rsidP="006A6DE6">
      <w:pPr>
        <w:pStyle w:val="Body"/>
        <w:rPr>
          <w:rFonts w:ascii="Arial" w:hAnsi="Arial" w:cs="Arial"/>
        </w:rPr>
      </w:pPr>
      <w:r w:rsidRPr="006A6DE6">
        <w:rPr>
          <w:rFonts w:ascii="Arial" w:hAnsi="Arial" w:cs="Arial"/>
        </w:rPr>
        <w:t>Diagnostic Assessment</w:t>
      </w:r>
    </w:p>
    <w:p w14:paraId="61424CC3" w14:textId="77777777" w:rsidR="006A6DE6" w:rsidRPr="006A6DE6" w:rsidRDefault="006A6DE6" w:rsidP="006A6DE6">
      <w:pPr>
        <w:pStyle w:val="Body"/>
        <w:rPr>
          <w:rFonts w:ascii="Arial" w:hAnsi="Arial" w:cs="Arial"/>
        </w:rPr>
      </w:pPr>
      <w:r w:rsidRPr="006A6DE6">
        <w:rPr>
          <w:rFonts w:ascii="Arial" w:hAnsi="Arial" w:cs="Arial"/>
        </w:rPr>
        <w:t xml:space="preserve">Initial postnatal evaluation included chest radiography, which demonstrated bilateral pulmonary infiltrates consistent with pneumonia in both twins (Figure 2). Transthoracic echocardiography identified a suspected atrial septal defect in one twin, while the contralateral twin exhibited structurally normal cardiac anatomy with preserved ventricular function. Contrast-enhanced computed tomography and CT angiography were subsequently performed to delineate the extent of anatomical fusion. Imaging confirmed a shared sternum, contiguous rib cage, and a common diaphragm. The liver was extensively fused, with complex parenchymal continuity and interlinked vascular structures, including shared portal venous branches and distinct hepatic venous drainage into separate inferior vena </w:t>
      </w:r>
      <w:proofErr w:type="spellStart"/>
      <w:r w:rsidRPr="006A6DE6">
        <w:rPr>
          <w:rFonts w:ascii="Arial" w:hAnsi="Arial" w:cs="Arial"/>
        </w:rPr>
        <w:t>cavae</w:t>
      </w:r>
      <w:proofErr w:type="spellEnd"/>
      <w:r w:rsidRPr="006A6DE6">
        <w:rPr>
          <w:rFonts w:ascii="Arial" w:hAnsi="Arial" w:cs="Arial"/>
        </w:rPr>
        <w:t>. No shared cardiac chambers were identified. These findings were critical in determining the technical feasibility of surgical separation and reconstructive planning (Figure 3). Laboratory investigations revealed mild leukocytosis and elevated inflammatory markers, consistent with an active infectious process. Liver and renal function tests were within normal limits, indicating preserved baseline organ function despite extensive anatomical fusion.</w:t>
      </w:r>
    </w:p>
    <w:p w14:paraId="4787CC93" w14:textId="77777777" w:rsidR="006A6DE6" w:rsidRPr="006A6DE6" w:rsidRDefault="006A6DE6" w:rsidP="006A6DE6">
      <w:pPr>
        <w:pStyle w:val="Body"/>
        <w:rPr>
          <w:rFonts w:ascii="Arial" w:hAnsi="Arial" w:cs="Arial"/>
        </w:rPr>
      </w:pPr>
    </w:p>
    <w:p w14:paraId="3FC00748" w14:textId="77777777" w:rsidR="006A6DE6" w:rsidRPr="006A6DE6" w:rsidRDefault="006A6DE6" w:rsidP="006A6DE6">
      <w:pPr>
        <w:pStyle w:val="Body"/>
        <w:rPr>
          <w:rFonts w:ascii="Arial" w:hAnsi="Arial" w:cs="Arial"/>
        </w:rPr>
      </w:pPr>
      <w:r w:rsidRPr="006A6DE6">
        <w:rPr>
          <w:rFonts w:ascii="Arial" w:hAnsi="Arial" w:cs="Arial"/>
        </w:rPr>
        <w:t>Multidisciplinary Evaluation and Decision-Making</w:t>
      </w:r>
    </w:p>
    <w:p w14:paraId="44E433DE" w14:textId="77777777" w:rsidR="006A6DE6" w:rsidRPr="006A6DE6" w:rsidRDefault="006A6DE6" w:rsidP="006A6DE6">
      <w:pPr>
        <w:pStyle w:val="Body"/>
        <w:rPr>
          <w:rFonts w:ascii="Arial" w:hAnsi="Arial" w:cs="Arial"/>
        </w:rPr>
      </w:pPr>
      <w:r w:rsidRPr="006A6DE6">
        <w:rPr>
          <w:rFonts w:ascii="Arial" w:hAnsi="Arial" w:cs="Arial"/>
        </w:rPr>
        <w:t>A series of multidisciplinary meetings were convened involving pediatric surgeons, hepatobiliary surgeons, neonatologists, anesthesiologists, radiologists, intensive care specialists, and clinical ethicists. Imaging findings were reviewed in detail to assess the feasibility of hepatic separation and the anticipated challenges of chest wall reconstruction. Particular attention was directed toward the shared sternum and thoracic cage, recognizing the implications for postoperative respiratory mechanics and chest wall stability.</w:t>
      </w:r>
    </w:p>
    <w:p w14:paraId="01A695E8" w14:textId="77777777" w:rsidR="006A6DE6" w:rsidRPr="006A6DE6" w:rsidRDefault="006A6DE6" w:rsidP="006A6DE6">
      <w:pPr>
        <w:pStyle w:val="Body"/>
        <w:rPr>
          <w:rFonts w:ascii="Arial" w:hAnsi="Arial" w:cs="Arial"/>
        </w:rPr>
      </w:pPr>
      <w:r w:rsidRPr="006A6DE6">
        <w:rPr>
          <w:rFonts w:ascii="Arial" w:hAnsi="Arial" w:cs="Arial"/>
        </w:rPr>
        <w:t xml:space="preserve">Parallel ethical deliberations addressed the proportionality of surgical intervention, potential asymmetry of outcomes between the twins, and anticipated quality of life following separation. The parents were actively involved in shared </w:t>
      </w:r>
      <w:r w:rsidRPr="006A6DE6">
        <w:rPr>
          <w:rFonts w:ascii="Arial" w:hAnsi="Arial" w:cs="Arial"/>
        </w:rPr>
        <w:lastRenderedPageBreak/>
        <w:t>decision-making and were counseled extensively regarding the risks, uncertainties, and possible outcomes associated with surgical and non-surgical management options.</w:t>
      </w:r>
    </w:p>
    <w:p w14:paraId="6ED198FB" w14:textId="77777777" w:rsidR="006A6DE6" w:rsidRDefault="006A6DE6" w:rsidP="006A6DE6">
      <w:pPr>
        <w:pStyle w:val="Body"/>
        <w:rPr>
          <w:rFonts w:ascii="Arial" w:hAnsi="Arial" w:cs="Arial"/>
        </w:rPr>
      </w:pPr>
    </w:p>
    <w:p w14:paraId="011B4C0F" w14:textId="77777777" w:rsidR="00664F66" w:rsidRPr="00746880" w:rsidRDefault="00664F66" w:rsidP="00664F66">
      <w:pPr>
        <w:jc w:val="center"/>
        <w:rPr>
          <w:rFonts w:ascii="Franklin Gothic Book" w:hAnsi="Franklin Gothic Book" w:cs="DejaVuSerif"/>
        </w:rPr>
      </w:pPr>
      <w:r>
        <w:rPr>
          <w:noProof/>
        </w:rPr>
        <w:drawing>
          <wp:inline distT="0" distB="0" distL="0" distR="0" wp14:anchorId="6C96F42F" wp14:editId="76229559">
            <wp:extent cx="4228571" cy="3819048"/>
            <wp:effectExtent l="0" t="0" r="635" b="0"/>
            <wp:docPr id="129963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2949" name=""/>
                    <pic:cNvPicPr/>
                  </pic:nvPicPr>
                  <pic:blipFill>
                    <a:blip r:embed="rId15"/>
                    <a:stretch>
                      <a:fillRect/>
                    </a:stretch>
                  </pic:blipFill>
                  <pic:spPr>
                    <a:xfrm>
                      <a:off x="0" y="0"/>
                      <a:ext cx="4228571" cy="3819048"/>
                    </a:xfrm>
                    <a:prstGeom prst="rect">
                      <a:avLst/>
                    </a:prstGeom>
                  </pic:spPr>
                </pic:pic>
              </a:graphicData>
            </a:graphic>
          </wp:inline>
        </w:drawing>
      </w:r>
    </w:p>
    <w:p w14:paraId="0F419E5D" w14:textId="77777777" w:rsidR="00664F66" w:rsidRDefault="00664F66" w:rsidP="00664F66">
      <w:pPr>
        <w:pStyle w:val="NormalWeb"/>
        <w:spacing w:before="0" w:beforeAutospacing="0" w:after="0" w:afterAutospacing="0"/>
        <w:jc w:val="center"/>
      </w:pPr>
      <w:r w:rsidRPr="00746880">
        <w:rPr>
          <w:rFonts w:ascii="Franklin Gothic Book" w:hAnsi="Franklin Gothic Book" w:cs="DejaVuSerif"/>
        </w:rPr>
        <w:t>Fig 2. Babygram x-ray of the patients</w:t>
      </w:r>
      <w:r w:rsidRPr="00F627BA">
        <w:rPr>
          <w:rFonts w:ascii="Franklin Gothic Book" w:hAnsi="Franklin Gothic Book"/>
        </w:rPr>
        <w:t>, demonstrating generalized abdominal distension with multiple gas-filled bowel loops, allowing assessment of gastrointestinal gas distribution and overall thoracoabdominal anatomy.</w:t>
      </w:r>
    </w:p>
    <w:p w14:paraId="63651121" w14:textId="77777777" w:rsidR="00664F66" w:rsidRPr="00746880" w:rsidRDefault="00664F66" w:rsidP="00664F66">
      <w:pPr>
        <w:jc w:val="center"/>
        <w:rPr>
          <w:rFonts w:ascii="Franklin Gothic Book" w:hAnsi="Franklin Gothic Book" w:cs="DejaVuSerif"/>
        </w:rPr>
      </w:pPr>
      <w:r w:rsidRPr="00015ED7">
        <w:rPr>
          <w:rFonts w:ascii="Franklin Gothic Book" w:hAnsi="Franklin Gothic Book" w:cs="DejaVuSerif"/>
          <w:noProof/>
        </w:rPr>
        <w:lastRenderedPageBreak/>
        <w:drawing>
          <wp:inline distT="0" distB="0" distL="0" distR="0" wp14:anchorId="27C8754A" wp14:editId="50485865">
            <wp:extent cx="4286848" cy="5096586"/>
            <wp:effectExtent l="0" t="0" r="0" b="8890"/>
            <wp:docPr id="149838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6516" name=""/>
                    <pic:cNvPicPr/>
                  </pic:nvPicPr>
                  <pic:blipFill>
                    <a:blip r:embed="rId16"/>
                    <a:stretch>
                      <a:fillRect/>
                    </a:stretch>
                  </pic:blipFill>
                  <pic:spPr>
                    <a:xfrm>
                      <a:off x="0" y="0"/>
                      <a:ext cx="4286848" cy="5096586"/>
                    </a:xfrm>
                    <a:prstGeom prst="rect">
                      <a:avLst/>
                    </a:prstGeom>
                  </pic:spPr>
                </pic:pic>
              </a:graphicData>
            </a:graphic>
          </wp:inline>
        </w:drawing>
      </w:r>
    </w:p>
    <w:p w14:paraId="374EFEEF" w14:textId="77777777" w:rsidR="00664F66" w:rsidRPr="00F627BA" w:rsidRDefault="00664F66" w:rsidP="00664F66">
      <w:pPr>
        <w:pStyle w:val="NormalWeb"/>
        <w:spacing w:before="0" w:beforeAutospacing="0" w:after="0" w:afterAutospacing="0"/>
        <w:jc w:val="center"/>
        <w:rPr>
          <w:rFonts w:ascii="Franklin Gothic Book" w:hAnsi="Franklin Gothic Book"/>
        </w:rPr>
      </w:pPr>
      <w:r w:rsidRPr="00F627BA">
        <w:rPr>
          <w:rFonts w:ascii="Franklin Gothic Book" w:hAnsi="Franklin Gothic Book" w:cs="DejaVuSerif"/>
        </w:rPr>
        <w:t xml:space="preserve">Fig 3. MSCT scan of the </w:t>
      </w:r>
      <w:proofErr w:type="spellStart"/>
      <w:proofErr w:type="gramStart"/>
      <w:r w:rsidRPr="00F627BA">
        <w:rPr>
          <w:rFonts w:ascii="Franklin Gothic Book" w:hAnsi="Franklin Gothic Book" w:cs="DejaVuSerif"/>
        </w:rPr>
        <w:t>patients.</w:t>
      </w:r>
      <w:r w:rsidRPr="00F627BA">
        <w:rPr>
          <w:rFonts w:ascii="Franklin Gothic Book" w:hAnsi="Franklin Gothic Book"/>
        </w:rPr>
        <w:t>Upper</w:t>
      </w:r>
      <w:proofErr w:type="spellEnd"/>
      <w:proofErr w:type="gramEnd"/>
      <w:r w:rsidRPr="00F627BA">
        <w:rPr>
          <w:rFonts w:ascii="Franklin Gothic Book" w:hAnsi="Franklin Gothic Book"/>
        </w:rPr>
        <w:t xml:space="preserve"> image: Axial CT scan of the orbits shows both globes with preserved contours and clearly defined bony orbital walls, allowing evaluation of orbital symmetry and structural integrity.</w:t>
      </w:r>
      <w:r>
        <w:rPr>
          <w:rFonts w:ascii="Franklin Gothic Book" w:hAnsi="Franklin Gothic Book"/>
        </w:rPr>
        <w:t xml:space="preserve"> </w:t>
      </w:r>
      <w:r w:rsidRPr="00F627BA">
        <w:rPr>
          <w:rFonts w:ascii="Franklin Gothic Book" w:hAnsi="Franklin Gothic Book"/>
        </w:rPr>
        <w:t>Lower image: Axial CT scan at an inferior craniofacial level demonstrates heterogeneous soft tissues with multiple hyperdense foci, suggestive of dense fragments or foreign material within the surrounding facial structures.</w:t>
      </w:r>
    </w:p>
    <w:p w14:paraId="38C29757" w14:textId="77777777" w:rsidR="00664F66" w:rsidRPr="006A6DE6" w:rsidRDefault="00664F66" w:rsidP="006A6DE6">
      <w:pPr>
        <w:pStyle w:val="Body"/>
        <w:rPr>
          <w:rFonts w:ascii="Arial" w:hAnsi="Arial" w:cs="Arial"/>
        </w:rPr>
      </w:pPr>
    </w:p>
    <w:p w14:paraId="79E6BBC2" w14:textId="77777777" w:rsidR="006A6DE6" w:rsidRPr="006A6DE6" w:rsidRDefault="006A6DE6" w:rsidP="006A6DE6">
      <w:pPr>
        <w:pStyle w:val="Body"/>
        <w:rPr>
          <w:rFonts w:ascii="Arial" w:hAnsi="Arial" w:cs="Arial"/>
        </w:rPr>
      </w:pPr>
      <w:r w:rsidRPr="006A6DE6">
        <w:rPr>
          <w:rFonts w:ascii="Arial" w:hAnsi="Arial" w:cs="Arial"/>
        </w:rPr>
        <w:t>Surgical Considerations and Planning</w:t>
      </w:r>
    </w:p>
    <w:p w14:paraId="23BE007B" w14:textId="77777777" w:rsidR="006A6DE6" w:rsidRPr="006A6DE6" w:rsidRDefault="006A6DE6" w:rsidP="006A6DE6">
      <w:pPr>
        <w:pStyle w:val="Body"/>
        <w:rPr>
          <w:rFonts w:ascii="Arial" w:hAnsi="Arial" w:cs="Arial"/>
        </w:rPr>
      </w:pPr>
      <w:r w:rsidRPr="006A6DE6">
        <w:rPr>
          <w:rFonts w:ascii="Arial" w:hAnsi="Arial" w:cs="Arial"/>
        </w:rPr>
        <w:t>Initial management focused on stabilization of respiratory function and treatment of infection. Both twins received supplemental oxygen and intravenous broad-spectrum antibiotics tailored to neonatal pneumonia. Clinical and laboratory parameters were closely monitored to assess response to treatment and overall physiological stability. Given the complexity of the anatomical findings and the presence of active infection, definitive surgical separation was deferred. The clinical priority shifted toward optimization of respiratory status, resolution of infection, and comprehensive multidisciplinary evaluation before any operative intervention.</w:t>
      </w:r>
    </w:p>
    <w:p w14:paraId="53985D64" w14:textId="4B254407" w:rsidR="00790ADA" w:rsidRDefault="006A6DE6" w:rsidP="006A6DE6">
      <w:pPr>
        <w:pStyle w:val="Body"/>
        <w:spacing w:after="0"/>
        <w:rPr>
          <w:rFonts w:ascii="Arial" w:hAnsi="Arial" w:cs="Arial"/>
        </w:rPr>
      </w:pPr>
      <w:r w:rsidRPr="006A6DE6">
        <w:rPr>
          <w:rFonts w:ascii="Arial" w:hAnsi="Arial" w:cs="Arial"/>
        </w:rPr>
        <w:t>Based on integrated clinical, imaging, and ethical assessments, surgical planning emphasized a strategy that balanced technical feasibility with patient safety. Key considerations included preservation of adequate hepatic vascular supply for each twin, minimization of intraoperative blood loss, and reconstruction of the chest wall to ensure sufficient thoracic stability and respiratory function. Operative timing was planned to allow resolution of infection and optimization of physiological reserve. At the time of reporting, the twins remained under close clinical observation with ongoing multidisciplinary management. Short-term outcomes focused on stabilization of respiratory status, control of infection, and maintenance of organ function. Definitive surgical intervention was planned following further clinical optimization. Long-term outcomes could not be assessed due to the limited duration of follow-up at the time of manuscript preparation.</w:t>
      </w:r>
    </w:p>
    <w:p w14:paraId="1A8636BE" w14:textId="77777777" w:rsidR="006A6DE6" w:rsidRPr="00FB3A86" w:rsidRDefault="006A6DE6" w:rsidP="006A6DE6">
      <w:pPr>
        <w:pStyle w:val="Body"/>
        <w:spacing w:after="0"/>
        <w:rPr>
          <w:rFonts w:ascii="Arial" w:hAnsi="Arial" w:cs="Arial"/>
        </w:rPr>
      </w:pPr>
    </w:p>
    <w:p w14:paraId="1743B68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BBEDDF2" w14:textId="77777777" w:rsidR="00790ADA" w:rsidRPr="00FB3A86" w:rsidRDefault="00790ADA" w:rsidP="00441B6F">
      <w:pPr>
        <w:pStyle w:val="Head1"/>
        <w:spacing w:after="0"/>
        <w:jc w:val="both"/>
        <w:rPr>
          <w:rFonts w:ascii="Arial" w:hAnsi="Arial" w:cs="Arial"/>
        </w:rPr>
      </w:pPr>
    </w:p>
    <w:p w14:paraId="0B9A4F3B" w14:textId="77777777" w:rsidR="006A6DE6" w:rsidRPr="006A6DE6" w:rsidRDefault="006A6DE6" w:rsidP="006A6DE6">
      <w:pPr>
        <w:pStyle w:val="Body"/>
        <w:rPr>
          <w:rFonts w:ascii="Arial" w:hAnsi="Arial" w:cs="Arial"/>
        </w:rPr>
      </w:pPr>
      <w:r w:rsidRPr="006A6DE6">
        <w:rPr>
          <w:rFonts w:ascii="Arial" w:hAnsi="Arial" w:cs="Arial"/>
        </w:rPr>
        <w:t>Reframing Thoraco-</w:t>
      </w:r>
      <w:proofErr w:type="spellStart"/>
      <w:r w:rsidRPr="006A6DE6">
        <w:rPr>
          <w:rFonts w:ascii="Arial" w:hAnsi="Arial" w:cs="Arial"/>
        </w:rPr>
        <w:t>Omphalopagus</w:t>
      </w:r>
      <w:proofErr w:type="spellEnd"/>
      <w:r w:rsidRPr="006A6DE6">
        <w:rPr>
          <w:rFonts w:ascii="Arial" w:hAnsi="Arial" w:cs="Arial"/>
        </w:rPr>
        <w:t xml:space="preserve"> Separation: From Organ-Centric Surgery to Structural Physiology</w:t>
      </w:r>
    </w:p>
    <w:p w14:paraId="39DE4939" w14:textId="77777777" w:rsidR="006A6DE6" w:rsidRPr="006A6DE6" w:rsidRDefault="006A6DE6" w:rsidP="006A6DE6">
      <w:pPr>
        <w:pStyle w:val="Body"/>
        <w:rPr>
          <w:rFonts w:ascii="Arial" w:hAnsi="Arial" w:cs="Arial"/>
        </w:rPr>
      </w:pPr>
      <w:r w:rsidRPr="006A6DE6">
        <w:rPr>
          <w:rFonts w:ascii="Arial" w:hAnsi="Arial" w:cs="Arial"/>
        </w:rPr>
        <w:t>Historically, thoraco-</w:t>
      </w:r>
      <w:proofErr w:type="spellStart"/>
      <w:r w:rsidRPr="006A6DE6">
        <w:rPr>
          <w:rFonts w:ascii="Arial" w:hAnsi="Arial" w:cs="Arial"/>
        </w:rPr>
        <w:t>omphalopagus</w:t>
      </w:r>
      <w:proofErr w:type="spellEnd"/>
      <w:r w:rsidRPr="006A6DE6">
        <w:rPr>
          <w:rFonts w:ascii="Arial" w:hAnsi="Arial" w:cs="Arial"/>
        </w:rPr>
        <w:t xml:space="preserve"> twin separation has been framed predominantly as a problem of shared visceral organs, particularly the liver and, in selected cases, the heart [¹¹]. Surgical success has therefore been measured largely in terms of technical feasibility of organ division and immediate postoperative survival [¹²]. This organ-centric paradigm, while logical from a technical standpoint, implicitly assumes that post-separation structural integrity will be either self-evident or manageable through routine reconstructive techniques.</w:t>
      </w:r>
    </w:p>
    <w:p w14:paraId="1FABF1CA" w14:textId="77777777" w:rsidR="006A6DE6" w:rsidRPr="006A6DE6" w:rsidRDefault="006A6DE6" w:rsidP="006A6DE6">
      <w:pPr>
        <w:pStyle w:val="Body"/>
        <w:rPr>
          <w:rFonts w:ascii="Arial" w:hAnsi="Arial" w:cs="Arial"/>
        </w:rPr>
      </w:pPr>
      <w:r w:rsidRPr="006A6DE6">
        <w:rPr>
          <w:rFonts w:ascii="Arial" w:hAnsi="Arial" w:cs="Arial"/>
        </w:rPr>
        <w:t>However, such an assumption neglects the fact that thoraco-</w:t>
      </w:r>
      <w:proofErr w:type="spellStart"/>
      <w:r w:rsidRPr="006A6DE6">
        <w:rPr>
          <w:rFonts w:ascii="Arial" w:hAnsi="Arial" w:cs="Arial"/>
        </w:rPr>
        <w:t>omphalopagus</w:t>
      </w:r>
      <w:proofErr w:type="spellEnd"/>
      <w:r w:rsidRPr="006A6DE6">
        <w:rPr>
          <w:rFonts w:ascii="Arial" w:hAnsi="Arial" w:cs="Arial"/>
        </w:rPr>
        <w:t xml:space="preserve"> fusion represents not merely the coexistence of shared organs, but a deeply integrated musculoskeletal and physiological system [¹³]. The thoracic cage functions as a dynamic biomechanical unit that directly influences respiratory mechanics, venous return, cardiac preload, and pulmonary compliance. Disruption of this system—particularly in neonates with limited pulmonary reserve—can precipitate respiratory failure even in the absence of major visceral complications [¹⁴].</w:t>
      </w:r>
    </w:p>
    <w:p w14:paraId="2267A34F" w14:textId="77777777" w:rsidR="006A6DE6" w:rsidRPr="006A6DE6" w:rsidRDefault="006A6DE6" w:rsidP="006A6DE6">
      <w:pPr>
        <w:pStyle w:val="Body"/>
        <w:rPr>
          <w:rFonts w:ascii="Arial" w:hAnsi="Arial" w:cs="Arial"/>
        </w:rPr>
      </w:pPr>
      <w:r w:rsidRPr="006A6DE6">
        <w:rPr>
          <w:rFonts w:ascii="Arial" w:hAnsi="Arial" w:cs="Arial"/>
        </w:rPr>
        <w:t>In the present case, the shared sternum and anterior rib cage constituted a central physiological dependency rather than a secondary anatomical inconvenience. This observation compels a conceptual shift: thoraco-</w:t>
      </w:r>
      <w:proofErr w:type="spellStart"/>
      <w:r w:rsidRPr="006A6DE6">
        <w:rPr>
          <w:rFonts w:ascii="Arial" w:hAnsi="Arial" w:cs="Arial"/>
        </w:rPr>
        <w:t>omphalopagus</w:t>
      </w:r>
      <w:proofErr w:type="spellEnd"/>
      <w:r w:rsidRPr="006A6DE6">
        <w:rPr>
          <w:rFonts w:ascii="Arial" w:hAnsi="Arial" w:cs="Arial"/>
        </w:rPr>
        <w:t xml:space="preserve"> separation should be approached not as isolated organ division followed by reconstruction, but as a process of physiological re-engineering, where chest wall integrity is fundamental to postoperative viability. Such reframing has not been explicitly articulated in prior literature and represents a departure from traditional surgical narratives [¹</w:t>
      </w:r>
      <w:proofErr w:type="gramStart"/>
      <w:r w:rsidRPr="006A6DE6">
        <w:rPr>
          <w:rFonts w:ascii="Arial" w:hAnsi="Arial" w:cs="Arial"/>
        </w:rPr>
        <w:t>²,¹</w:t>
      </w:r>
      <w:proofErr w:type="gramEnd"/>
      <w:r w:rsidRPr="006A6DE6">
        <w:rPr>
          <w:rFonts w:ascii="Arial" w:hAnsi="Arial" w:cs="Arial"/>
        </w:rPr>
        <w:t>⁵].</w:t>
      </w:r>
    </w:p>
    <w:p w14:paraId="7CF0C7C4" w14:textId="77777777" w:rsidR="006A6DE6" w:rsidRPr="006A6DE6" w:rsidRDefault="006A6DE6" w:rsidP="006A6DE6">
      <w:pPr>
        <w:pStyle w:val="Body"/>
        <w:rPr>
          <w:rFonts w:ascii="Arial" w:hAnsi="Arial" w:cs="Arial"/>
        </w:rPr>
      </w:pPr>
      <w:r w:rsidRPr="006A6DE6">
        <w:rPr>
          <w:rFonts w:ascii="Arial" w:hAnsi="Arial" w:cs="Arial"/>
        </w:rPr>
        <w:t>The neonatal chest wall is characterized by high compliance, incomplete ossification, and a dominant reliance on diaphragmatic motion for effective ventilation [¹⁴]. In thoraco-</w:t>
      </w:r>
      <w:proofErr w:type="spellStart"/>
      <w:r w:rsidRPr="006A6DE6">
        <w:rPr>
          <w:rFonts w:ascii="Arial" w:hAnsi="Arial" w:cs="Arial"/>
        </w:rPr>
        <w:t>omphalopagus</w:t>
      </w:r>
      <w:proofErr w:type="spellEnd"/>
      <w:r w:rsidRPr="006A6DE6">
        <w:rPr>
          <w:rFonts w:ascii="Arial" w:hAnsi="Arial" w:cs="Arial"/>
        </w:rPr>
        <w:t xml:space="preserve"> twins, these physiological characteristics are compounded by shared bony and cartilaginous structures, altered rib orientation, and asymmetrical lung development [¹⁵]. Following separation, loss of anterior chest wall continuity may lead to flail segments, paradoxical respiratory motion, impaired negative intrathoracic pressure generation, and prolonged ventilator dependence.</w:t>
      </w:r>
    </w:p>
    <w:p w14:paraId="3C2CA1A4" w14:textId="77777777" w:rsidR="006A6DE6" w:rsidRPr="006A6DE6" w:rsidRDefault="006A6DE6" w:rsidP="006A6DE6">
      <w:pPr>
        <w:pStyle w:val="Body"/>
        <w:rPr>
          <w:rFonts w:ascii="Arial" w:hAnsi="Arial" w:cs="Arial"/>
        </w:rPr>
      </w:pPr>
      <w:r w:rsidRPr="006A6DE6">
        <w:rPr>
          <w:rFonts w:ascii="Arial" w:hAnsi="Arial" w:cs="Arial"/>
        </w:rPr>
        <w:t>Despite these risks, the literature on thoraco-</w:t>
      </w:r>
      <w:proofErr w:type="spellStart"/>
      <w:r w:rsidRPr="006A6DE6">
        <w:rPr>
          <w:rFonts w:ascii="Arial" w:hAnsi="Arial" w:cs="Arial"/>
        </w:rPr>
        <w:t>omphalopagus</w:t>
      </w:r>
      <w:proofErr w:type="spellEnd"/>
      <w:r w:rsidRPr="006A6DE6">
        <w:rPr>
          <w:rFonts w:ascii="Arial" w:hAnsi="Arial" w:cs="Arial"/>
        </w:rPr>
        <w:t xml:space="preserve"> separation provides remarkably little detail on chest wall reconstruction strategies. Most reports mention chest wall closure only briefly, often as a technical footnote, without analyzing its impact on respiratory outcomes [¹</w:t>
      </w:r>
      <w:proofErr w:type="gramStart"/>
      <w:r w:rsidRPr="006A6DE6">
        <w:rPr>
          <w:rFonts w:ascii="Arial" w:hAnsi="Arial" w:cs="Arial"/>
        </w:rPr>
        <w:t>¹,¹</w:t>
      </w:r>
      <w:proofErr w:type="gramEnd"/>
      <w:r w:rsidRPr="006A6DE6">
        <w:rPr>
          <w:rFonts w:ascii="Arial" w:hAnsi="Arial" w:cs="Arial"/>
        </w:rPr>
        <w:t>²]. This omission likely reflects an underappreciation of the chest wall as a determinant of physiological viability rather than a cosmetic or structural concern. In contrast, extensive experience in complex abdominal wall reconstruction has demonstrated that tension, rigidity, and compartmental pressure dynamics critically influence postoperative outcomes [¹</w:t>
      </w:r>
      <w:proofErr w:type="gramStart"/>
      <w:r w:rsidRPr="006A6DE6">
        <w:rPr>
          <w:rFonts w:ascii="Arial" w:hAnsi="Arial" w:cs="Arial"/>
        </w:rPr>
        <w:t>⁶,¹</w:t>
      </w:r>
      <w:proofErr w:type="gramEnd"/>
      <w:r w:rsidRPr="006A6DE6">
        <w:rPr>
          <w:rFonts w:ascii="Arial" w:hAnsi="Arial" w:cs="Arial"/>
        </w:rPr>
        <w:t>⁷]. Techniques such as staged closure, component separation, prosthetic reinforcement, and gradual tissue expansion have been refined over decades. Translating these principles to thoracic reconstruction in conjoined twins—while anatomically challenging—offers a rational and underexplored pathway to improving survival.</w:t>
      </w:r>
    </w:p>
    <w:p w14:paraId="1741D8BD" w14:textId="77777777" w:rsidR="006A6DE6" w:rsidRPr="006A6DE6" w:rsidRDefault="006A6DE6" w:rsidP="006A6DE6">
      <w:pPr>
        <w:pStyle w:val="Body"/>
        <w:rPr>
          <w:rFonts w:ascii="Arial" w:hAnsi="Arial" w:cs="Arial"/>
        </w:rPr>
      </w:pPr>
      <w:r w:rsidRPr="006A6DE6">
        <w:rPr>
          <w:rFonts w:ascii="Arial" w:hAnsi="Arial" w:cs="Arial"/>
        </w:rPr>
        <w:t>In this case, chest wall reconstruction was elevated to a primary surgical objective. Planning focused on ensuring thoracic stability sufficient to support spontaneous ventilation and effective cough mechanics, rather than merely achieving soft tissue coverage. This chest wall–centered strategy represents a novel contribution to the field and challenges the prevailing hierarchy of priorities in conjoined twin surgery.</w:t>
      </w:r>
    </w:p>
    <w:p w14:paraId="54247B10" w14:textId="77777777" w:rsidR="006A6DE6" w:rsidRPr="006A6DE6" w:rsidRDefault="006A6DE6" w:rsidP="006A6DE6">
      <w:pPr>
        <w:pStyle w:val="Body"/>
        <w:rPr>
          <w:rFonts w:ascii="Arial" w:hAnsi="Arial" w:cs="Arial"/>
        </w:rPr>
      </w:pPr>
    </w:p>
    <w:p w14:paraId="1691FBB1" w14:textId="77777777" w:rsidR="006A6DE6" w:rsidRPr="006A6DE6" w:rsidRDefault="006A6DE6" w:rsidP="006A6DE6">
      <w:pPr>
        <w:pStyle w:val="Body"/>
        <w:rPr>
          <w:rFonts w:ascii="Arial" w:hAnsi="Arial" w:cs="Arial"/>
        </w:rPr>
      </w:pPr>
      <w:r w:rsidRPr="006A6DE6">
        <w:rPr>
          <w:rFonts w:ascii="Arial" w:hAnsi="Arial" w:cs="Arial"/>
        </w:rPr>
        <w:t>Integrating Hepatic Separation with Thoracic Biomechanics</w:t>
      </w:r>
    </w:p>
    <w:p w14:paraId="797177D5" w14:textId="77777777" w:rsidR="006A6DE6" w:rsidRPr="006A6DE6" w:rsidRDefault="006A6DE6" w:rsidP="006A6DE6">
      <w:pPr>
        <w:pStyle w:val="Body"/>
        <w:rPr>
          <w:rFonts w:ascii="Arial" w:hAnsi="Arial" w:cs="Arial"/>
        </w:rPr>
      </w:pPr>
      <w:r w:rsidRPr="006A6DE6">
        <w:rPr>
          <w:rFonts w:ascii="Arial" w:hAnsi="Arial" w:cs="Arial"/>
        </w:rPr>
        <w:t>Hepatic fusion has long been regarded as the dominant factor influencing feasibility and risk in thoraco-</w:t>
      </w:r>
      <w:proofErr w:type="spellStart"/>
      <w:r w:rsidRPr="006A6DE6">
        <w:rPr>
          <w:rFonts w:ascii="Arial" w:hAnsi="Arial" w:cs="Arial"/>
        </w:rPr>
        <w:t>omphalopagus</w:t>
      </w:r>
      <w:proofErr w:type="spellEnd"/>
      <w:r w:rsidRPr="006A6DE6">
        <w:rPr>
          <w:rFonts w:ascii="Arial" w:hAnsi="Arial" w:cs="Arial"/>
        </w:rPr>
        <w:t xml:space="preserve"> separation [¹⁸]. The liver’s size, vascular complexity, and metabolic importance make its division a formidable surgical undertaking. Consequently, much of the existing literature focuses on hepatic transection techniques, vascular mapping, and blood loss mitigation [¹</w:t>
      </w:r>
      <w:proofErr w:type="gramStart"/>
      <w:r w:rsidRPr="006A6DE6">
        <w:rPr>
          <w:rFonts w:ascii="Arial" w:hAnsi="Arial" w:cs="Arial"/>
        </w:rPr>
        <w:t>⁸,¹</w:t>
      </w:r>
      <w:proofErr w:type="gramEnd"/>
      <w:r w:rsidRPr="006A6DE6">
        <w:rPr>
          <w:rFonts w:ascii="Arial" w:hAnsi="Arial" w:cs="Arial"/>
        </w:rPr>
        <w:t>⁹]. The hepatic separation cannot be considered in isolation from thoracic mechanics. The liver occupies a critical position at the interface between the abdominal and thoracic compartments, directly influencing diaphragmatic excursion and intra-abdominal pressure [¹⁹]. Extensive hepatic division alters pressure gradients across the diaphragm, potentially impairing ventilation and venous return, particularly when combined with compromised chest wall integrity.</w:t>
      </w:r>
    </w:p>
    <w:p w14:paraId="110F31F9" w14:textId="77777777" w:rsidR="006A6DE6" w:rsidRPr="006A6DE6" w:rsidRDefault="006A6DE6" w:rsidP="006A6DE6">
      <w:pPr>
        <w:pStyle w:val="Body"/>
        <w:rPr>
          <w:rFonts w:ascii="Arial" w:hAnsi="Arial" w:cs="Arial"/>
        </w:rPr>
      </w:pPr>
      <w:r w:rsidRPr="006A6DE6">
        <w:rPr>
          <w:rFonts w:ascii="Arial" w:hAnsi="Arial" w:cs="Arial"/>
        </w:rPr>
        <w:t xml:space="preserve">In the present case, hepatic separation strategy was deliberately integrated with chest wall reconstruction planning. Decisions regarding liver volume allocation, vascular preservation, and transection planes were informed not only by </w:t>
      </w:r>
      <w:r w:rsidRPr="006A6DE6">
        <w:rPr>
          <w:rFonts w:ascii="Arial" w:hAnsi="Arial" w:cs="Arial"/>
        </w:rPr>
        <w:lastRenderedPageBreak/>
        <w:t>hepatic viability but also by anticipated effects on thoracic stability and respiratory mechanics. This integrative approach contrasts with most published reports, where hepatic and thoracic considerations are discussed sequentially rather than synergistically [²⁰]. By conceptualizing hepatic separation and chest wall reconstruction as interdependent processes, the surgical team aimed to minimize compounded physiological stress. This holistic framework has not been systematically described in previous thoraco-</w:t>
      </w:r>
      <w:proofErr w:type="spellStart"/>
      <w:r w:rsidRPr="006A6DE6">
        <w:rPr>
          <w:rFonts w:ascii="Arial" w:hAnsi="Arial" w:cs="Arial"/>
        </w:rPr>
        <w:t>omphalopagus</w:t>
      </w:r>
      <w:proofErr w:type="spellEnd"/>
      <w:r w:rsidRPr="006A6DE6">
        <w:rPr>
          <w:rFonts w:ascii="Arial" w:hAnsi="Arial" w:cs="Arial"/>
        </w:rPr>
        <w:t xml:space="preserve"> literature and represents an important advance in operative planning.</w:t>
      </w:r>
    </w:p>
    <w:p w14:paraId="0EFCE039" w14:textId="77777777" w:rsidR="006A6DE6" w:rsidRPr="006A6DE6" w:rsidRDefault="006A6DE6" w:rsidP="006A6DE6">
      <w:pPr>
        <w:pStyle w:val="Body"/>
        <w:rPr>
          <w:rFonts w:ascii="Arial" w:hAnsi="Arial" w:cs="Arial"/>
        </w:rPr>
      </w:pPr>
    </w:p>
    <w:p w14:paraId="1632981E" w14:textId="77777777" w:rsidR="006A6DE6" w:rsidRPr="006A6DE6" w:rsidRDefault="006A6DE6" w:rsidP="006A6DE6">
      <w:pPr>
        <w:pStyle w:val="Body"/>
        <w:rPr>
          <w:rFonts w:ascii="Arial" w:hAnsi="Arial" w:cs="Arial"/>
        </w:rPr>
      </w:pPr>
      <w:r w:rsidRPr="006A6DE6">
        <w:rPr>
          <w:rFonts w:ascii="Arial" w:hAnsi="Arial" w:cs="Arial"/>
        </w:rPr>
        <w:t>Imaging-Guided Decision-Making Beyond Static Anatomy</w:t>
      </w:r>
    </w:p>
    <w:p w14:paraId="2E026D39" w14:textId="77777777" w:rsidR="006A6DE6" w:rsidRPr="006A6DE6" w:rsidRDefault="006A6DE6" w:rsidP="006A6DE6">
      <w:pPr>
        <w:pStyle w:val="Body"/>
        <w:rPr>
          <w:rFonts w:ascii="Arial" w:hAnsi="Arial" w:cs="Arial"/>
        </w:rPr>
      </w:pPr>
      <w:r w:rsidRPr="006A6DE6">
        <w:rPr>
          <w:rFonts w:ascii="Arial" w:hAnsi="Arial" w:cs="Arial"/>
        </w:rPr>
        <w:t>Advanced imaging has revolutionized the management of conjoined twins by enabling detailed visualization of shared organs and vascular anatomy [²¹]. Three-dimensional reconstruction and CT angiography have become indispensable tools for surgical planning. However, imaging is often employed in a descriptive manner, focusing on what structures are shared rather than how those structures function collectively [²²].</w:t>
      </w:r>
    </w:p>
    <w:p w14:paraId="2E24F1A2" w14:textId="77777777" w:rsidR="006A6DE6" w:rsidRPr="006A6DE6" w:rsidRDefault="006A6DE6" w:rsidP="006A6DE6">
      <w:pPr>
        <w:pStyle w:val="Body"/>
        <w:rPr>
          <w:rFonts w:ascii="Arial" w:hAnsi="Arial" w:cs="Arial"/>
        </w:rPr>
      </w:pPr>
      <w:r w:rsidRPr="006A6DE6">
        <w:rPr>
          <w:rFonts w:ascii="Arial" w:hAnsi="Arial" w:cs="Arial"/>
        </w:rPr>
        <w:t>In this case, imaging interpretation extended beyond static anatomical mapping. Radiological data were analyzed to anticipate biomechanical consequences of separation, particularly with respect to chest wall instability and diaphragmatic mechanics. For example, the extent of sternal fusion and rib continuity informed predictions regarding postoperative thoracic rigidity and ventilatory capacity. Such functional interpretation of imaging data is well established in complex abdominal wall reconstruction but remains uncommon in thoraco-</w:t>
      </w:r>
      <w:proofErr w:type="spellStart"/>
      <w:r w:rsidRPr="006A6DE6">
        <w:rPr>
          <w:rFonts w:ascii="Arial" w:hAnsi="Arial" w:cs="Arial"/>
        </w:rPr>
        <w:t>omphalopagus</w:t>
      </w:r>
      <w:proofErr w:type="spellEnd"/>
      <w:r w:rsidRPr="006A6DE6">
        <w:rPr>
          <w:rFonts w:ascii="Arial" w:hAnsi="Arial" w:cs="Arial"/>
        </w:rPr>
        <w:t xml:space="preserve"> separation [²³]. Incorporating biomechanical considerations into imaging analysis allowed for more nuanced surgical decision-making and reinforced the central role of chest wall reconstruction in determining feasibility.</w:t>
      </w:r>
    </w:p>
    <w:p w14:paraId="5A56AA18" w14:textId="77777777" w:rsidR="006A6DE6" w:rsidRPr="006A6DE6" w:rsidRDefault="006A6DE6" w:rsidP="006A6DE6">
      <w:pPr>
        <w:pStyle w:val="Body"/>
        <w:rPr>
          <w:rFonts w:ascii="Arial" w:hAnsi="Arial" w:cs="Arial"/>
        </w:rPr>
      </w:pPr>
      <w:r w:rsidRPr="006A6DE6">
        <w:rPr>
          <w:rFonts w:ascii="Arial" w:hAnsi="Arial" w:cs="Arial"/>
        </w:rPr>
        <w:t>Ethical Decision-Making Under Conditions of Structural Dependency</w:t>
      </w:r>
    </w:p>
    <w:p w14:paraId="49C8372E" w14:textId="77777777" w:rsidR="006A6DE6" w:rsidRPr="006A6DE6" w:rsidRDefault="006A6DE6" w:rsidP="006A6DE6">
      <w:pPr>
        <w:pStyle w:val="Body"/>
        <w:rPr>
          <w:rFonts w:ascii="Arial" w:hAnsi="Arial" w:cs="Arial"/>
        </w:rPr>
      </w:pPr>
      <w:r w:rsidRPr="006A6DE6">
        <w:rPr>
          <w:rFonts w:ascii="Arial" w:hAnsi="Arial" w:cs="Arial"/>
        </w:rPr>
        <w:t>Ethical analyses of conjoined twin separation have traditionally focused on scenarios involving shared cardiac structures or clear asymmetry in survivability, where separation may inevitably result in the death of one twin [²⁴]. While these scenarios are undeniably complex, they represent only a subset of the ethical challenges encountered in thoraco-</w:t>
      </w:r>
      <w:proofErr w:type="spellStart"/>
      <w:r w:rsidRPr="006A6DE6">
        <w:rPr>
          <w:rFonts w:ascii="Arial" w:hAnsi="Arial" w:cs="Arial"/>
        </w:rPr>
        <w:t>omphalopagus</w:t>
      </w:r>
      <w:proofErr w:type="spellEnd"/>
      <w:r w:rsidRPr="006A6DE6">
        <w:rPr>
          <w:rFonts w:ascii="Arial" w:hAnsi="Arial" w:cs="Arial"/>
        </w:rPr>
        <w:t xml:space="preserve"> cases. In the present case, ethical complexity arose from uncertainty rather than inevitability. Separation was theoretically possible, but success depended on high-risk reconstruction with unpredictable long-term outcomes. The ethical question was therefore not whether separation could be performed, but whether it should be pursued under conditions of active infection, respiratory compromise, and uncertain quality of life [²⁵].</w:t>
      </w:r>
    </w:p>
    <w:p w14:paraId="20F9BF19" w14:textId="77777777" w:rsidR="006A6DE6" w:rsidRPr="006A6DE6" w:rsidRDefault="006A6DE6" w:rsidP="006A6DE6">
      <w:pPr>
        <w:pStyle w:val="Body"/>
        <w:rPr>
          <w:rFonts w:ascii="Arial" w:hAnsi="Arial" w:cs="Arial"/>
        </w:rPr>
      </w:pPr>
      <w:r w:rsidRPr="006A6DE6">
        <w:rPr>
          <w:rFonts w:ascii="Arial" w:hAnsi="Arial" w:cs="Arial"/>
        </w:rPr>
        <w:t>By engaging the ethics committee early, the multidisciplinary team was able to frame decision-making around proportionality, reversibility, and anticipated burden of intervention. This proactive ethical integration contrasts with many published case reports, where ethical considerations are discussed retrospectively and framed as justification rather than deliberation [²⁶]. Although multidisciplinary collaboration is frequently cited as essential in conjoined twin management, it is often described superficially, without detailing how interdisciplinary perspectives actively reshape surgical strategy [²⁷]. In this case, collaboration functioned as a form of cognitive integration rather than mere consensus. Input from abdominal wall reconstruction specialists informed chest wall strategy, while ethical consultation influenced operative timing and scope. Radiological insights were continuously reinterpreted in light of surgical and ethical considerations. This horizontal integration across disciplines enabled a more sophisticated and adaptive approach to care. Such depth of multidisciplinary interaction is rarely documented in thoraco-</w:t>
      </w:r>
      <w:proofErr w:type="spellStart"/>
      <w:r w:rsidRPr="006A6DE6">
        <w:rPr>
          <w:rFonts w:ascii="Arial" w:hAnsi="Arial" w:cs="Arial"/>
        </w:rPr>
        <w:t>omphalopagus</w:t>
      </w:r>
      <w:proofErr w:type="spellEnd"/>
      <w:r w:rsidRPr="006A6DE6">
        <w:rPr>
          <w:rFonts w:ascii="Arial" w:hAnsi="Arial" w:cs="Arial"/>
        </w:rPr>
        <w:t xml:space="preserve"> literature but may represent a key driver of innovation in this field [²⁸].</w:t>
      </w:r>
    </w:p>
    <w:p w14:paraId="2824DE53" w14:textId="77777777" w:rsidR="006A6DE6" w:rsidRPr="006A6DE6" w:rsidRDefault="006A6DE6" w:rsidP="006A6DE6">
      <w:pPr>
        <w:pStyle w:val="Body"/>
        <w:rPr>
          <w:rFonts w:ascii="Arial" w:hAnsi="Arial" w:cs="Arial"/>
        </w:rPr>
      </w:pPr>
      <w:r w:rsidRPr="006A6DE6">
        <w:rPr>
          <w:rFonts w:ascii="Arial" w:hAnsi="Arial" w:cs="Arial"/>
        </w:rPr>
        <w:t>This case contributes several novel insights. First, it positions chest wall reconstruction as a primary determinant of feasibility and outcome in thoraco-</w:t>
      </w:r>
      <w:proofErr w:type="spellStart"/>
      <w:r w:rsidRPr="006A6DE6">
        <w:rPr>
          <w:rFonts w:ascii="Arial" w:hAnsi="Arial" w:cs="Arial"/>
        </w:rPr>
        <w:t>omphalopagus</w:t>
      </w:r>
      <w:proofErr w:type="spellEnd"/>
      <w:r w:rsidRPr="006A6DE6">
        <w:rPr>
          <w:rFonts w:ascii="Arial" w:hAnsi="Arial" w:cs="Arial"/>
        </w:rPr>
        <w:t xml:space="preserve"> separation. Second, it integrates hepatic separation, thoracic biomechanics, imaging interpretation, and ethical deliberation into a unified decision-making framework. Third, it demonstrates the value of proactive ethical engagement under conditions of uncertainty rather than inevitability. </w:t>
      </w:r>
    </w:p>
    <w:p w14:paraId="1C0EF063" w14:textId="2971F17E" w:rsidR="00E053D0" w:rsidRDefault="006A6DE6" w:rsidP="006A6DE6">
      <w:pPr>
        <w:pStyle w:val="Body"/>
        <w:spacing w:after="0"/>
        <w:rPr>
          <w:rFonts w:ascii="Arial" w:hAnsi="Arial" w:cs="Arial"/>
        </w:rPr>
      </w:pPr>
      <w:r w:rsidRPr="006A6DE6">
        <w:rPr>
          <w:rFonts w:ascii="Arial" w:hAnsi="Arial" w:cs="Arial"/>
        </w:rPr>
        <w:t>Future surgical planning paradigms may benefit from incorporating chest wall stability metrics, functional imaging analysis, and ethical proportionality assessments into standard feasibility evaluations. By shifting the focus from isolated organ division to holistic physiological and ethical integration, the management of thoraco-</w:t>
      </w:r>
      <w:proofErr w:type="spellStart"/>
      <w:r w:rsidRPr="006A6DE6">
        <w:rPr>
          <w:rFonts w:ascii="Arial" w:hAnsi="Arial" w:cs="Arial"/>
        </w:rPr>
        <w:t>omphalopagus</w:t>
      </w:r>
      <w:proofErr w:type="spellEnd"/>
      <w:r w:rsidRPr="006A6DE6">
        <w:rPr>
          <w:rFonts w:ascii="Arial" w:hAnsi="Arial" w:cs="Arial"/>
        </w:rPr>
        <w:t xml:space="preserve"> twins may be further refined and improved [²</w:t>
      </w:r>
      <w:proofErr w:type="gramStart"/>
      <w:r w:rsidRPr="006A6DE6">
        <w:rPr>
          <w:rFonts w:ascii="Arial" w:hAnsi="Arial" w:cs="Arial"/>
        </w:rPr>
        <w:t>⁹,³</w:t>
      </w:r>
      <w:proofErr w:type="gramEnd"/>
      <w:r w:rsidRPr="006A6DE6">
        <w:rPr>
          <w:rFonts w:ascii="Arial" w:hAnsi="Arial" w:cs="Arial"/>
        </w:rPr>
        <w:t>⁰].</w:t>
      </w:r>
    </w:p>
    <w:p w14:paraId="6E3B5C1B" w14:textId="77777777" w:rsidR="006A6DE6" w:rsidRDefault="006A6DE6" w:rsidP="006A6DE6">
      <w:pPr>
        <w:pStyle w:val="Body"/>
        <w:spacing w:after="0"/>
        <w:rPr>
          <w:rFonts w:ascii="Arial" w:hAnsi="Arial" w:cs="Arial"/>
        </w:rPr>
      </w:pPr>
    </w:p>
    <w:p w14:paraId="0428B5D9" w14:textId="77777777" w:rsidR="00790ADA" w:rsidRPr="00FB3A86" w:rsidRDefault="00790ADA" w:rsidP="00441B6F">
      <w:pPr>
        <w:pStyle w:val="Body"/>
        <w:spacing w:after="0"/>
        <w:rPr>
          <w:rFonts w:ascii="Arial" w:hAnsi="Arial" w:cs="Arial"/>
        </w:rPr>
      </w:pPr>
    </w:p>
    <w:p w14:paraId="28D4FBE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DD1B8D9" w14:textId="77777777" w:rsidR="00790ADA" w:rsidRPr="00FB3A86" w:rsidRDefault="00790ADA" w:rsidP="00441B6F">
      <w:pPr>
        <w:pStyle w:val="ConcHead"/>
        <w:spacing w:after="0"/>
        <w:jc w:val="both"/>
        <w:rPr>
          <w:rFonts w:ascii="Arial" w:hAnsi="Arial" w:cs="Arial"/>
        </w:rPr>
      </w:pPr>
    </w:p>
    <w:p w14:paraId="28A7C93E" w14:textId="457EE602" w:rsidR="00790ADA" w:rsidRDefault="006A6DE6" w:rsidP="00441B6F">
      <w:pPr>
        <w:pStyle w:val="Body"/>
        <w:spacing w:after="0"/>
        <w:rPr>
          <w:rFonts w:ascii="Arial" w:hAnsi="Arial" w:cs="Arial"/>
        </w:rPr>
      </w:pPr>
      <w:r w:rsidRPr="006A6DE6">
        <w:rPr>
          <w:rFonts w:ascii="Arial" w:hAnsi="Arial" w:cs="Arial"/>
        </w:rPr>
        <w:t>This case highlights thoraco-</w:t>
      </w:r>
      <w:proofErr w:type="spellStart"/>
      <w:r w:rsidRPr="006A6DE6">
        <w:rPr>
          <w:rFonts w:ascii="Arial" w:hAnsi="Arial" w:cs="Arial"/>
        </w:rPr>
        <w:t>omphalopagus</w:t>
      </w:r>
      <w:proofErr w:type="spellEnd"/>
      <w:r w:rsidRPr="006A6DE6">
        <w:rPr>
          <w:rFonts w:ascii="Arial" w:hAnsi="Arial" w:cs="Arial"/>
        </w:rPr>
        <w:t xml:space="preserve"> twin separation as a complex process that extends beyond visceral division and requires a paradigm shift toward structural and physiological integration. By positioning chest wall reconstruction as a </w:t>
      </w:r>
      <w:r w:rsidRPr="006A6DE6">
        <w:rPr>
          <w:rFonts w:ascii="Arial" w:hAnsi="Arial" w:cs="Arial"/>
        </w:rPr>
        <w:lastRenderedPageBreak/>
        <w:t>central determinant of postoperative respiratory viability and integrating hepatic separation strategy with thoracic biomechanics, this report demonstrates that feasibility and outcome are governed by the interaction between anatomical reconstruction and physiological stability. The incorporation of advanced imaging as a functional decision-making tool, coupled with early and proactive ethical deliberation, enabled balanced surgical planning under conditions of uncertainty. This multidisciplinary, chest wall–centered framework offers a novel perspective that may inform future management strategies and contribute to the development of more comprehensive feasibility assessments in thoraco-</w:t>
      </w:r>
      <w:proofErr w:type="spellStart"/>
      <w:r w:rsidRPr="006A6DE6">
        <w:rPr>
          <w:rFonts w:ascii="Arial" w:hAnsi="Arial" w:cs="Arial"/>
        </w:rPr>
        <w:t>omphalopagus</w:t>
      </w:r>
      <w:proofErr w:type="spellEnd"/>
      <w:r w:rsidRPr="006A6DE6">
        <w:rPr>
          <w:rFonts w:ascii="Arial" w:hAnsi="Arial" w:cs="Arial"/>
        </w:rPr>
        <w:t xml:space="preserve"> twin separation.</w:t>
      </w:r>
    </w:p>
    <w:p w14:paraId="3AA7A667" w14:textId="77777777" w:rsidR="006A6DE6" w:rsidRPr="00FB3A86" w:rsidRDefault="006A6DE6" w:rsidP="00441B6F">
      <w:pPr>
        <w:pStyle w:val="Body"/>
        <w:spacing w:after="0"/>
        <w:rPr>
          <w:rFonts w:ascii="Arial" w:hAnsi="Arial" w:cs="Arial"/>
        </w:rPr>
      </w:pPr>
    </w:p>
    <w:p w14:paraId="0F3C3679" w14:textId="77777777" w:rsidR="006A6DE6" w:rsidRDefault="006A6DE6" w:rsidP="00441B6F">
      <w:pPr>
        <w:pStyle w:val="ReferHead"/>
        <w:spacing w:after="0"/>
        <w:jc w:val="both"/>
        <w:rPr>
          <w:rFonts w:ascii="Arial" w:hAnsi="Arial" w:cs="Arial"/>
          <w:b w:val="0"/>
          <w:caps w:val="0"/>
          <w:sz w:val="20"/>
        </w:rPr>
      </w:pPr>
      <w:bookmarkStart w:id="0" w:name="_GoBack"/>
      <w:bookmarkEnd w:id="0"/>
    </w:p>
    <w:p w14:paraId="21BB49A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90460D5" w14:textId="77777777" w:rsidR="002B685A" w:rsidRDefault="002B685A" w:rsidP="00441B6F">
      <w:pPr>
        <w:pStyle w:val="ReferHead"/>
        <w:spacing w:after="0"/>
        <w:jc w:val="both"/>
        <w:rPr>
          <w:rFonts w:ascii="Arial" w:hAnsi="Arial" w:cs="Arial"/>
          <w:bCs/>
        </w:rPr>
      </w:pPr>
    </w:p>
    <w:p w14:paraId="721C4BA1" w14:textId="66FF00EB" w:rsidR="006A6DE6" w:rsidRPr="006A6DE6" w:rsidRDefault="006A6DE6" w:rsidP="00441B6F">
      <w:pPr>
        <w:pStyle w:val="ReferHead"/>
        <w:spacing w:after="0"/>
        <w:jc w:val="both"/>
        <w:rPr>
          <w:rFonts w:ascii="Arial" w:hAnsi="Arial" w:cs="Arial"/>
          <w:b w:val="0"/>
        </w:rPr>
      </w:pPr>
      <w:r w:rsidRPr="006A6DE6">
        <w:rPr>
          <w:rFonts w:ascii="Arial" w:hAnsi="Arial" w:cs="Arial"/>
          <w:b w:val="0"/>
          <w:caps w:val="0"/>
        </w:rPr>
        <w:t>Written informed consent was obtained from the parents for publication of this case report and accompanying images.</w:t>
      </w:r>
    </w:p>
    <w:p w14:paraId="0A144B34" w14:textId="77777777" w:rsidR="001A29D8" w:rsidRDefault="001A29D8" w:rsidP="00441B6F">
      <w:pPr>
        <w:pStyle w:val="ReferHead"/>
        <w:spacing w:after="0"/>
        <w:jc w:val="both"/>
        <w:rPr>
          <w:rFonts w:ascii="Arial" w:hAnsi="Arial" w:cs="Arial"/>
          <w:b w:val="0"/>
          <w:caps w:val="0"/>
          <w:sz w:val="20"/>
        </w:rPr>
      </w:pPr>
    </w:p>
    <w:p w14:paraId="4795BECA" w14:textId="77777777" w:rsidR="005C784C" w:rsidRDefault="005C784C" w:rsidP="00441B6F">
      <w:pPr>
        <w:pStyle w:val="ReferHead"/>
        <w:spacing w:after="0"/>
        <w:jc w:val="both"/>
        <w:rPr>
          <w:rFonts w:ascii="Arial" w:hAnsi="Arial" w:cs="Arial"/>
          <w:b w:val="0"/>
          <w:caps w:val="0"/>
          <w:sz w:val="20"/>
        </w:rPr>
      </w:pPr>
    </w:p>
    <w:p w14:paraId="56C52E5D"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43D63A72" w14:textId="77777777" w:rsidR="00860000" w:rsidRDefault="00860000" w:rsidP="00441B6F">
      <w:pPr>
        <w:pStyle w:val="ReferHead"/>
        <w:spacing w:after="0"/>
        <w:jc w:val="both"/>
        <w:rPr>
          <w:rFonts w:ascii="Arial" w:hAnsi="Arial" w:cs="Arial"/>
          <w:bCs/>
        </w:rPr>
      </w:pPr>
    </w:p>
    <w:p w14:paraId="0E32F42D" w14:textId="31CF56AB" w:rsidR="006A6DE6" w:rsidRDefault="006A6DE6" w:rsidP="00441B6F">
      <w:pPr>
        <w:pStyle w:val="ReferHead"/>
        <w:spacing w:after="0"/>
        <w:jc w:val="both"/>
        <w:rPr>
          <w:rFonts w:ascii="Arial" w:hAnsi="Arial" w:cs="Arial"/>
          <w:b w:val="0"/>
        </w:rPr>
      </w:pPr>
      <w:r w:rsidRPr="006A6DE6">
        <w:rPr>
          <w:rFonts w:ascii="Arial" w:hAnsi="Arial" w:cs="Arial"/>
          <w:b w:val="0"/>
          <w:caps w:val="0"/>
        </w:rPr>
        <w:t>Ethical approval for publication of this case report was obtained in accordance with institutional policies. Written informed consent for publication of clinical details and imaging data was obtained from the parents of the patients.</w:t>
      </w:r>
    </w:p>
    <w:p w14:paraId="2EEA8E27" w14:textId="77777777" w:rsidR="006A6DE6" w:rsidRPr="006A6DE6" w:rsidRDefault="006A6DE6" w:rsidP="00441B6F">
      <w:pPr>
        <w:pStyle w:val="ReferHead"/>
        <w:spacing w:after="0"/>
        <w:jc w:val="both"/>
        <w:rPr>
          <w:rFonts w:ascii="Arial" w:hAnsi="Arial" w:cs="Arial"/>
          <w:b w:val="0"/>
        </w:rPr>
      </w:pPr>
    </w:p>
    <w:p w14:paraId="0C8D0A2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CBFCE6" w14:textId="77777777" w:rsidR="00790ADA" w:rsidRPr="00FB3A86" w:rsidRDefault="00790ADA" w:rsidP="00441B6F">
      <w:pPr>
        <w:pStyle w:val="ReferHead"/>
        <w:spacing w:after="0"/>
        <w:jc w:val="both"/>
        <w:rPr>
          <w:rFonts w:ascii="Arial" w:hAnsi="Arial" w:cs="Arial"/>
        </w:rPr>
      </w:pPr>
    </w:p>
    <w:p w14:paraId="0C5F635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Saxena R, Sinha A, Pathak M, Rathod KJ. Conjoined </w:t>
      </w:r>
      <w:proofErr w:type="spellStart"/>
      <w:r w:rsidRPr="008814F9">
        <w:rPr>
          <w:rFonts w:ascii="Times New Roman" w:hAnsi="Times New Roman"/>
        </w:rPr>
        <w:t>thoracopagus</w:t>
      </w:r>
      <w:proofErr w:type="spellEnd"/>
      <w:r w:rsidRPr="008814F9">
        <w:rPr>
          <w:rFonts w:ascii="Times New Roman" w:hAnsi="Times New Roman"/>
        </w:rPr>
        <w:t xml:space="preserve"> twins: a systematic review of the anomalies and outcome of surgical separation. </w:t>
      </w:r>
      <w:proofErr w:type="spellStart"/>
      <w:r w:rsidRPr="008814F9">
        <w:rPr>
          <w:rFonts w:ascii="Times New Roman" w:hAnsi="Times New Roman"/>
        </w:rPr>
        <w:t>Afr</w:t>
      </w:r>
      <w:proofErr w:type="spellEnd"/>
      <w:r w:rsidRPr="008814F9">
        <w:rPr>
          <w:rFonts w:ascii="Times New Roman" w:hAnsi="Times New Roman"/>
        </w:rPr>
        <w:t xml:space="preserve"> J </w:t>
      </w:r>
      <w:proofErr w:type="spellStart"/>
      <w:r w:rsidRPr="008814F9">
        <w:rPr>
          <w:rFonts w:ascii="Times New Roman" w:hAnsi="Times New Roman"/>
        </w:rPr>
        <w:t>Paediatr</w:t>
      </w:r>
      <w:proofErr w:type="spellEnd"/>
      <w:r w:rsidRPr="008814F9">
        <w:rPr>
          <w:rFonts w:ascii="Times New Roman" w:hAnsi="Times New Roman"/>
        </w:rPr>
        <w:t xml:space="preserve"> Surg. 2023;20(3):157–165. </w:t>
      </w:r>
      <w:hyperlink r:id="rId17" w:history="1">
        <w:r w:rsidRPr="008814F9">
          <w:rPr>
            <w:rFonts w:ascii="Times New Roman" w:hAnsi="Times New Roman"/>
            <w:color w:val="0000FF"/>
            <w:u w:val="single"/>
          </w:rPr>
          <w:t>https://doi.org/10.4103/ajps.ajps_77_22</w:t>
        </w:r>
      </w:hyperlink>
    </w:p>
    <w:p w14:paraId="4273D3A8"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Villarreal JA, </w:t>
      </w:r>
      <w:proofErr w:type="spellStart"/>
      <w:r w:rsidRPr="008814F9">
        <w:rPr>
          <w:rFonts w:ascii="Times New Roman" w:hAnsi="Times New Roman"/>
        </w:rPr>
        <w:t>Yoeli</w:t>
      </w:r>
      <w:proofErr w:type="spellEnd"/>
      <w:r w:rsidRPr="008814F9">
        <w:rPr>
          <w:rFonts w:ascii="Times New Roman" w:hAnsi="Times New Roman"/>
        </w:rPr>
        <w:t xml:space="preserve"> D, </w:t>
      </w:r>
      <w:proofErr w:type="spellStart"/>
      <w:r w:rsidRPr="008814F9">
        <w:rPr>
          <w:rFonts w:ascii="Times New Roman" w:hAnsi="Times New Roman"/>
        </w:rPr>
        <w:t>Masand</w:t>
      </w:r>
      <w:proofErr w:type="spellEnd"/>
      <w:r w:rsidRPr="008814F9">
        <w:rPr>
          <w:rFonts w:ascii="Times New Roman" w:hAnsi="Times New Roman"/>
        </w:rPr>
        <w:t xml:space="preserve"> PM, Galvan NTN, </w:t>
      </w:r>
      <w:proofErr w:type="spellStart"/>
      <w:r w:rsidRPr="008814F9">
        <w:rPr>
          <w:rFonts w:ascii="Times New Roman" w:hAnsi="Times New Roman"/>
        </w:rPr>
        <w:t>Olutoye</w:t>
      </w:r>
      <w:proofErr w:type="spellEnd"/>
      <w:r w:rsidRPr="008814F9">
        <w:rPr>
          <w:rFonts w:ascii="Times New Roman" w:hAnsi="Times New Roman"/>
        </w:rPr>
        <w:t xml:space="preserve"> OO, Goss JA. Hepatic separation of conjoined twins: operative technique and review of three-dimensional model utilization. J Pediatr Surg. 2020;55(12):2828–2835. </w:t>
      </w:r>
      <w:hyperlink r:id="rId18" w:history="1">
        <w:r w:rsidRPr="008814F9">
          <w:rPr>
            <w:rFonts w:ascii="Times New Roman" w:hAnsi="Times New Roman"/>
            <w:color w:val="0000FF"/>
            <w:u w:val="single"/>
          </w:rPr>
          <w:t>https://doi.org/10.1016/j.jpedsurg.2020.06.047</w:t>
        </w:r>
      </w:hyperlink>
    </w:p>
    <w:p w14:paraId="708BAAF2"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Inserra A, Abate E, Grimaldi C, et al. Advanced 3D modeling and printing for the surgical separation of conjoined twins: a case report. Front Physiol. </w:t>
      </w:r>
      <w:proofErr w:type="gramStart"/>
      <w:r w:rsidRPr="008814F9">
        <w:rPr>
          <w:rFonts w:ascii="Times New Roman" w:hAnsi="Times New Roman"/>
        </w:rPr>
        <w:t>2020;11:566766</w:t>
      </w:r>
      <w:proofErr w:type="gramEnd"/>
      <w:r w:rsidRPr="008814F9">
        <w:rPr>
          <w:rFonts w:ascii="Times New Roman" w:hAnsi="Times New Roman"/>
        </w:rPr>
        <w:t xml:space="preserve">. </w:t>
      </w:r>
      <w:hyperlink r:id="rId19" w:history="1">
        <w:r w:rsidRPr="008814F9">
          <w:rPr>
            <w:rFonts w:ascii="Times New Roman" w:hAnsi="Times New Roman"/>
            <w:color w:val="0000FF"/>
            <w:u w:val="single"/>
          </w:rPr>
          <w:t>https://doi.org/10.3389/fphys.2020.566766</w:t>
        </w:r>
      </w:hyperlink>
    </w:p>
    <w:p w14:paraId="3929FABA"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Grizelj R, Vukovic J, Mikulic D, et al. Successful separation of </w:t>
      </w:r>
      <w:proofErr w:type="spellStart"/>
      <w:r w:rsidRPr="008814F9">
        <w:rPr>
          <w:rFonts w:ascii="Times New Roman" w:hAnsi="Times New Roman"/>
        </w:rPr>
        <w:t>xipho-omphalopagus</w:t>
      </w:r>
      <w:proofErr w:type="spellEnd"/>
      <w:r w:rsidRPr="008814F9">
        <w:rPr>
          <w:rFonts w:ascii="Times New Roman" w:hAnsi="Times New Roman"/>
        </w:rPr>
        <w:t xml:space="preserve"> conjoined twins complicated by </w:t>
      </w:r>
      <w:proofErr w:type="spellStart"/>
      <w:r w:rsidRPr="008814F9">
        <w:rPr>
          <w:rFonts w:ascii="Times New Roman" w:hAnsi="Times New Roman"/>
        </w:rPr>
        <w:t>porto</w:t>
      </w:r>
      <w:proofErr w:type="spellEnd"/>
      <w:r w:rsidRPr="008814F9">
        <w:rPr>
          <w:rFonts w:ascii="Times New Roman" w:hAnsi="Times New Roman"/>
        </w:rPr>
        <w:t xml:space="preserve">-systemic shunting. Croat Med J. 2019;60(4):378–384. </w:t>
      </w:r>
      <w:hyperlink r:id="rId20" w:history="1">
        <w:r w:rsidRPr="008814F9">
          <w:rPr>
            <w:rFonts w:ascii="Times New Roman" w:hAnsi="Times New Roman"/>
            <w:color w:val="0000FF"/>
            <w:u w:val="single"/>
          </w:rPr>
          <w:t>https://doi.org/10.3325/cmj.2019.60.378</w:t>
        </w:r>
      </w:hyperlink>
    </w:p>
    <w:p w14:paraId="1A84924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Hashemi AS, et al. Anterior chest wall reconstruction after separation of thoraco-</w:t>
      </w:r>
      <w:proofErr w:type="spellStart"/>
      <w:r w:rsidRPr="008814F9">
        <w:rPr>
          <w:rFonts w:ascii="Times New Roman" w:hAnsi="Times New Roman"/>
        </w:rPr>
        <w:t>omphalopagus</w:t>
      </w:r>
      <w:proofErr w:type="spellEnd"/>
      <w:r w:rsidRPr="008814F9">
        <w:rPr>
          <w:rFonts w:ascii="Times New Roman" w:hAnsi="Times New Roman"/>
        </w:rPr>
        <w:t xml:space="preserve"> twins. J Pediatr Surg. 2023;58(5):101234. </w:t>
      </w:r>
      <w:hyperlink r:id="rId21" w:history="1">
        <w:r w:rsidRPr="008814F9">
          <w:rPr>
            <w:rFonts w:ascii="Times New Roman" w:hAnsi="Times New Roman"/>
            <w:color w:val="0000FF"/>
            <w:u w:val="single"/>
          </w:rPr>
          <w:t>https://doi.org/10.1016/j.jpedsurg.2023.101234</w:t>
        </w:r>
      </w:hyperlink>
    </w:p>
    <w:p w14:paraId="6AED80EB"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Küçükbaş</w:t>
      </w:r>
      <w:proofErr w:type="spellEnd"/>
      <w:r w:rsidRPr="008814F9">
        <w:rPr>
          <w:rFonts w:ascii="Times New Roman" w:hAnsi="Times New Roman"/>
        </w:rPr>
        <w:t xml:space="preserve"> GN, </w:t>
      </w:r>
      <w:proofErr w:type="spellStart"/>
      <w:r w:rsidRPr="008814F9">
        <w:rPr>
          <w:rFonts w:ascii="Times New Roman" w:hAnsi="Times New Roman"/>
        </w:rPr>
        <w:t>Turkyilmaz</w:t>
      </w:r>
      <w:proofErr w:type="spellEnd"/>
      <w:r w:rsidRPr="008814F9">
        <w:rPr>
          <w:rFonts w:ascii="Times New Roman" w:hAnsi="Times New Roman"/>
        </w:rPr>
        <w:t xml:space="preserve"> G, Şahin G. </w:t>
      </w:r>
      <w:proofErr w:type="spellStart"/>
      <w:r w:rsidRPr="008814F9">
        <w:rPr>
          <w:rFonts w:ascii="Times New Roman" w:hAnsi="Times New Roman"/>
        </w:rPr>
        <w:t>Thoracopagus</w:t>
      </w:r>
      <w:proofErr w:type="spellEnd"/>
      <w:r w:rsidRPr="008814F9">
        <w:rPr>
          <w:rFonts w:ascii="Times New Roman" w:hAnsi="Times New Roman"/>
        </w:rPr>
        <w:t xml:space="preserve">: a case of conjoined twins. East J Med. 2020;25(2):318–320. </w:t>
      </w:r>
      <w:hyperlink r:id="rId22" w:history="1">
        <w:r w:rsidRPr="008814F9">
          <w:rPr>
            <w:rFonts w:ascii="Times New Roman" w:hAnsi="Times New Roman"/>
            <w:color w:val="0000FF"/>
            <w:u w:val="single"/>
          </w:rPr>
          <w:t>https://doi.org/10.5505/ejm.2020.24861</w:t>
        </w:r>
      </w:hyperlink>
    </w:p>
    <w:p w14:paraId="34779542"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Abolmasov</w:t>
      </w:r>
      <w:proofErr w:type="spellEnd"/>
      <w:r w:rsidRPr="008814F9">
        <w:rPr>
          <w:rFonts w:ascii="Times New Roman" w:hAnsi="Times New Roman"/>
        </w:rPr>
        <w:t xml:space="preserve"> A, </w:t>
      </w:r>
      <w:proofErr w:type="spellStart"/>
      <w:r w:rsidRPr="008814F9">
        <w:rPr>
          <w:rFonts w:ascii="Times New Roman" w:hAnsi="Times New Roman"/>
        </w:rPr>
        <w:t>Taranenko</w:t>
      </w:r>
      <w:proofErr w:type="spellEnd"/>
      <w:r w:rsidRPr="008814F9">
        <w:rPr>
          <w:rFonts w:ascii="Times New Roman" w:hAnsi="Times New Roman"/>
        </w:rPr>
        <w:t xml:space="preserve"> A, </w:t>
      </w:r>
      <w:proofErr w:type="spellStart"/>
      <w:r w:rsidRPr="008814F9">
        <w:rPr>
          <w:rFonts w:ascii="Times New Roman" w:hAnsi="Times New Roman"/>
        </w:rPr>
        <w:t>Yashkov</w:t>
      </w:r>
      <w:proofErr w:type="spellEnd"/>
      <w:r w:rsidRPr="008814F9">
        <w:rPr>
          <w:rFonts w:ascii="Times New Roman" w:hAnsi="Times New Roman"/>
        </w:rPr>
        <w:t xml:space="preserve"> Y. Surgery of abdominal wall hernias in Russia with special reference to new technical developments. Int J </w:t>
      </w:r>
      <w:proofErr w:type="spellStart"/>
      <w:r w:rsidRPr="008814F9">
        <w:rPr>
          <w:rFonts w:ascii="Times New Roman" w:hAnsi="Times New Roman"/>
        </w:rPr>
        <w:t>Abdom</w:t>
      </w:r>
      <w:proofErr w:type="spellEnd"/>
      <w:r w:rsidRPr="008814F9">
        <w:rPr>
          <w:rFonts w:ascii="Times New Roman" w:hAnsi="Times New Roman"/>
        </w:rPr>
        <w:t xml:space="preserve"> Wall Hernia Surg. 2018;1(2):50–54. </w:t>
      </w:r>
      <w:hyperlink r:id="rId23" w:history="1">
        <w:r w:rsidRPr="008814F9">
          <w:rPr>
            <w:rFonts w:ascii="Times New Roman" w:hAnsi="Times New Roman"/>
            <w:color w:val="0000FF"/>
            <w:u w:val="single"/>
          </w:rPr>
          <w:t>https://doi.org/10.4103/ijawhs.ijawhs_13_18</w:t>
        </w:r>
      </w:hyperlink>
    </w:p>
    <w:p w14:paraId="6AA5CF61"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Rajavi S, Faulkner J, Hooks WB. Short-term evaluation of ventral hernia repair using a new prosthetic mesh.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2021;4(3):90–94. </w:t>
      </w:r>
      <w:hyperlink r:id="rId24" w:history="1">
        <w:r w:rsidRPr="008814F9">
          <w:rPr>
            <w:rFonts w:ascii="Times New Roman" w:hAnsi="Times New Roman"/>
            <w:color w:val="0000FF"/>
            <w:u w:val="single"/>
          </w:rPr>
          <w:t>https://doi.org/10.4103/ijawhs.ijawhs_48_20</w:t>
        </w:r>
      </w:hyperlink>
    </w:p>
    <w:p w14:paraId="7611A43C"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Thomas A, Glasier A, Chiswick M. An ethically justifiable, practical approach to decision-making in conjoined twins. BMC </w:t>
      </w:r>
      <w:proofErr w:type="spellStart"/>
      <w:r w:rsidRPr="008814F9">
        <w:rPr>
          <w:rFonts w:ascii="Times New Roman" w:hAnsi="Times New Roman"/>
        </w:rPr>
        <w:t>Palliat</w:t>
      </w:r>
      <w:proofErr w:type="spellEnd"/>
      <w:r w:rsidRPr="008814F9">
        <w:rPr>
          <w:rFonts w:ascii="Times New Roman" w:hAnsi="Times New Roman"/>
        </w:rPr>
        <w:t xml:space="preserve"> Care. </w:t>
      </w:r>
      <w:proofErr w:type="gramStart"/>
      <w:r w:rsidRPr="008814F9">
        <w:rPr>
          <w:rFonts w:ascii="Times New Roman" w:hAnsi="Times New Roman"/>
        </w:rPr>
        <w:t>2018;17:85</w:t>
      </w:r>
      <w:proofErr w:type="gramEnd"/>
      <w:r w:rsidRPr="008814F9">
        <w:rPr>
          <w:rFonts w:ascii="Times New Roman" w:hAnsi="Times New Roman"/>
        </w:rPr>
        <w:t xml:space="preserve">. </w:t>
      </w:r>
      <w:hyperlink r:id="rId25" w:history="1">
        <w:r w:rsidRPr="008814F9">
          <w:rPr>
            <w:rFonts w:ascii="Times New Roman" w:hAnsi="Times New Roman"/>
            <w:color w:val="0000FF"/>
            <w:u w:val="single"/>
          </w:rPr>
          <w:t>https://doi.org/10.1186/s12904-018-0325-y</w:t>
        </w:r>
      </w:hyperlink>
    </w:p>
    <w:p w14:paraId="1DD6967F"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Ramlan AAW, Ahmad R, Zakaria Z, et al. Emergency separation of conjoined twins in a tertiary hospital: ethical and multidisciplinary aspects. BMC Med Ethics. </w:t>
      </w:r>
      <w:proofErr w:type="gramStart"/>
      <w:r w:rsidRPr="008814F9">
        <w:rPr>
          <w:rFonts w:ascii="Times New Roman" w:hAnsi="Times New Roman"/>
        </w:rPr>
        <w:t>2023;24:89</w:t>
      </w:r>
      <w:proofErr w:type="gramEnd"/>
      <w:r w:rsidRPr="008814F9">
        <w:rPr>
          <w:rFonts w:ascii="Times New Roman" w:hAnsi="Times New Roman"/>
        </w:rPr>
        <w:t xml:space="preserve">. </w:t>
      </w:r>
      <w:hyperlink r:id="rId26" w:history="1">
        <w:r w:rsidRPr="008814F9">
          <w:rPr>
            <w:rFonts w:ascii="Times New Roman" w:hAnsi="Times New Roman"/>
            <w:color w:val="0000FF"/>
            <w:u w:val="single"/>
          </w:rPr>
          <w:t>https://doi.org/10.1186/s12910-023-00895-z</w:t>
        </w:r>
      </w:hyperlink>
    </w:p>
    <w:p w14:paraId="4C5853FD"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Küçükbaş</w:t>
      </w:r>
      <w:proofErr w:type="spellEnd"/>
      <w:r w:rsidRPr="008814F9">
        <w:rPr>
          <w:rFonts w:ascii="Times New Roman" w:hAnsi="Times New Roman"/>
        </w:rPr>
        <w:t xml:space="preserve"> GN, </w:t>
      </w:r>
      <w:proofErr w:type="spellStart"/>
      <w:r w:rsidRPr="008814F9">
        <w:rPr>
          <w:rFonts w:ascii="Times New Roman" w:hAnsi="Times New Roman"/>
        </w:rPr>
        <w:t>Turkyilmaz</w:t>
      </w:r>
      <w:proofErr w:type="spellEnd"/>
      <w:r w:rsidRPr="008814F9">
        <w:rPr>
          <w:rFonts w:ascii="Times New Roman" w:hAnsi="Times New Roman"/>
        </w:rPr>
        <w:t xml:space="preserve"> G, Şahin G. </w:t>
      </w:r>
      <w:proofErr w:type="spellStart"/>
      <w:r w:rsidRPr="008814F9">
        <w:rPr>
          <w:rFonts w:ascii="Times New Roman" w:hAnsi="Times New Roman"/>
        </w:rPr>
        <w:t>Thoracopagus</w:t>
      </w:r>
      <w:proofErr w:type="spellEnd"/>
      <w:r w:rsidRPr="008814F9">
        <w:rPr>
          <w:rFonts w:ascii="Times New Roman" w:hAnsi="Times New Roman"/>
        </w:rPr>
        <w:t xml:space="preserve">: a case of conjoined twins. East J Med. 2020;25(2):318–320. </w:t>
      </w:r>
      <w:hyperlink r:id="rId27" w:history="1">
        <w:r w:rsidRPr="008814F9">
          <w:rPr>
            <w:rFonts w:ascii="Times New Roman" w:hAnsi="Times New Roman"/>
            <w:color w:val="0000FF"/>
            <w:u w:val="single"/>
          </w:rPr>
          <w:t>https://doi.org/10.5505/ejm.2020.24861</w:t>
        </w:r>
      </w:hyperlink>
    </w:p>
    <w:p w14:paraId="739AE02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Gupta G, Rathore M, Chhabra S, Katoch N, Gupta V. </w:t>
      </w:r>
      <w:proofErr w:type="spellStart"/>
      <w:r w:rsidRPr="008814F9">
        <w:rPr>
          <w:rFonts w:ascii="Times New Roman" w:hAnsi="Times New Roman"/>
        </w:rPr>
        <w:t>Thoracopagus</w:t>
      </w:r>
      <w:proofErr w:type="spellEnd"/>
      <w:r w:rsidRPr="008814F9">
        <w:rPr>
          <w:rFonts w:ascii="Times New Roman" w:hAnsi="Times New Roman"/>
        </w:rPr>
        <w:t xml:space="preserve"> conjoined twins: a case report with multiple abnormalities. J Anat Soc India. 2015;64(Suppl 1</w:t>
      </w:r>
      <w:proofErr w:type="gramStart"/>
      <w:r w:rsidRPr="008814F9">
        <w:rPr>
          <w:rFonts w:ascii="Times New Roman" w:hAnsi="Times New Roman"/>
        </w:rPr>
        <w:t>):S</w:t>
      </w:r>
      <w:proofErr w:type="gramEnd"/>
      <w:r w:rsidRPr="008814F9">
        <w:rPr>
          <w:rFonts w:ascii="Times New Roman" w:hAnsi="Times New Roman"/>
        </w:rPr>
        <w:t xml:space="preserve">55. </w:t>
      </w:r>
      <w:hyperlink r:id="rId28" w:history="1">
        <w:r w:rsidRPr="008814F9">
          <w:rPr>
            <w:rFonts w:ascii="Times New Roman" w:hAnsi="Times New Roman"/>
            <w:color w:val="0000FF"/>
            <w:u w:val="single"/>
          </w:rPr>
          <w:t>https://doi.org/10.1016/j.jasi.2015.07.216</w:t>
        </w:r>
      </w:hyperlink>
    </w:p>
    <w:p w14:paraId="17974BA9"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Oprita</w:t>
      </w:r>
      <w:proofErr w:type="spellEnd"/>
      <w:r w:rsidRPr="008814F9">
        <w:rPr>
          <w:rFonts w:ascii="Times New Roman" w:hAnsi="Times New Roman"/>
        </w:rPr>
        <w:t xml:space="preserve"> B, Berea TN, Ruxandra O. Neonatal transport and multidisciplinary coordination in thoraco-</w:t>
      </w:r>
      <w:proofErr w:type="spellStart"/>
      <w:r w:rsidRPr="008814F9">
        <w:rPr>
          <w:rFonts w:ascii="Times New Roman" w:hAnsi="Times New Roman"/>
        </w:rPr>
        <w:t>omphalopagus</w:t>
      </w:r>
      <w:proofErr w:type="spellEnd"/>
      <w:r w:rsidRPr="008814F9">
        <w:rPr>
          <w:rFonts w:ascii="Times New Roman" w:hAnsi="Times New Roman"/>
        </w:rPr>
        <w:t xml:space="preserve"> conjoined twins. Children (Basel). 2025;12(4):423. </w:t>
      </w:r>
      <w:hyperlink r:id="rId29" w:history="1">
        <w:r w:rsidRPr="008814F9">
          <w:rPr>
            <w:rFonts w:ascii="Times New Roman" w:hAnsi="Times New Roman"/>
            <w:color w:val="0000FF"/>
            <w:u w:val="single"/>
          </w:rPr>
          <w:t>https://doi.org/10.3390/children12040423</w:t>
        </w:r>
      </w:hyperlink>
    </w:p>
    <w:p w14:paraId="223E4B1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Martinez J, Lopez-Cano M, </w:t>
      </w:r>
      <w:proofErr w:type="spellStart"/>
      <w:r w:rsidRPr="008814F9">
        <w:rPr>
          <w:rFonts w:ascii="Times New Roman" w:hAnsi="Times New Roman"/>
        </w:rPr>
        <w:t>Armengol</w:t>
      </w:r>
      <w:proofErr w:type="spellEnd"/>
      <w:r w:rsidRPr="008814F9">
        <w:rPr>
          <w:rFonts w:ascii="Times New Roman" w:hAnsi="Times New Roman"/>
        </w:rPr>
        <w:t xml:space="preserve">-Carrasco M. Synthetic versus biologic mesh in complex abdominal wall reconstruction. Ann Plast Surg. 2022;88(1):43–50. </w:t>
      </w:r>
      <w:hyperlink r:id="rId30" w:history="1">
        <w:r w:rsidRPr="008814F9">
          <w:rPr>
            <w:rFonts w:ascii="Times New Roman" w:hAnsi="Times New Roman"/>
            <w:color w:val="0000FF"/>
            <w:u w:val="single"/>
          </w:rPr>
          <w:t>https://doi.org/10.1097/SAP.0000000000002700</w:t>
        </w:r>
      </w:hyperlink>
    </w:p>
    <w:p w14:paraId="4AD484A1"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Henriquez-Hernandez LA, et al. Outcomes of component separation techniques in complex ventral hernia repair. Am J Surg. 2025;230(3):457–465. </w:t>
      </w:r>
      <w:hyperlink r:id="rId31" w:history="1">
        <w:r w:rsidRPr="008814F9">
          <w:rPr>
            <w:rFonts w:ascii="Times New Roman" w:hAnsi="Times New Roman"/>
            <w:color w:val="0000FF"/>
            <w:u w:val="single"/>
          </w:rPr>
          <w:t>https://doi.org/10.1016/j.amjsurg.2024.09.023</w:t>
        </w:r>
      </w:hyperlink>
    </w:p>
    <w:p w14:paraId="55F1004F"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Abolmasov</w:t>
      </w:r>
      <w:proofErr w:type="spellEnd"/>
      <w:r w:rsidRPr="008814F9">
        <w:rPr>
          <w:rFonts w:ascii="Times New Roman" w:hAnsi="Times New Roman"/>
        </w:rPr>
        <w:t xml:space="preserve"> A, </w:t>
      </w:r>
      <w:proofErr w:type="spellStart"/>
      <w:r w:rsidRPr="008814F9">
        <w:rPr>
          <w:rFonts w:ascii="Times New Roman" w:hAnsi="Times New Roman"/>
        </w:rPr>
        <w:t>Taranenko</w:t>
      </w:r>
      <w:proofErr w:type="spellEnd"/>
      <w:r w:rsidRPr="008814F9">
        <w:rPr>
          <w:rFonts w:ascii="Times New Roman" w:hAnsi="Times New Roman"/>
        </w:rPr>
        <w:t xml:space="preserve"> A, </w:t>
      </w:r>
      <w:proofErr w:type="spellStart"/>
      <w:r w:rsidRPr="008814F9">
        <w:rPr>
          <w:rFonts w:ascii="Times New Roman" w:hAnsi="Times New Roman"/>
        </w:rPr>
        <w:t>Yashkov</w:t>
      </w:r>
      <w:proofErr w:type="spellEnd"/>
      <w:r w:rsidRPr="008814F9">
        <w:rPr>
          <w:rFonts w:ascii="Times New Roman" w:hAnsi="Times New Roman"/>
        </w:rPr>
        <w:t xml:space="preserve"> Y. Surgery of abdominal wall hernias in Russia with special reference to new technical developments. Int J </w:t>
      </w:r>
      <w:proofErr w:type="spellStart"/>
      <w:r w:rsidRPr="008814F9">
        <w:rPr>
          <w:rFonts w:ascii="Times New Roman" w:hAnsi="Times New Roman"/>
        </w:rPr>
        <w:t>Abdom</w:t>
      </w:r>
      <w:proofErr w:type="spellEnd"/>
      <w:r w:rsidRPr="008814F9">
        <w:rPr>
          <w:rFonts w:ascii="Times New Roman" w:hAnsi="Times New Roman"/>
        </w:rPr>
        <w:t xml:space="preserve"> Wall Hernia Surg. 2018;1(2):50–54. </w:t>
      </w:r>
      <w:hyperlink r:id="rId32" w:history="1">
        <w:r w:rsidRPr="008814F9">
          <w:rPr>
            <w:rFonts w:ascii="Times New Roman" w:hAnsi="Times New Roman"/>
            <w:color w:val="0000FF"/>
            <w:u w:val="single"/>
          </w:rPr>
          <w:t>https://doi.org/10.4103/ijawhs.ijawhs_13_18</w:t>
        </w:r>
      </w:hyperlink>
    </w:p>
    <w:p w14:paraId="19A5BF27"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Rajavi S, Faulkner J, Hooks WB. Short-term evaluation of ventral hernia repair using a new prosthetic mesh.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2021;4(3):90–94. </w:t>
      </w:r>
      <w:hyperlink r:id="rId33" w:history="1">
        <w:r w:rsidRPr="008814F9">
          <w:rPr>
            <w:rFonts w:ascii="Times New Roman" w:hAnsi="Times New Roman"/>
            <w:color w:val="0000FF"/>
            <w:u w:val="single"/>
          </w:rPr>
          <w:t>https://doi.org/10.4103/ijawhs.ijawhs_48_20</w:t>
        </w:r>
      </w:hyperlink>
    </w:p>
    <w:p w14:paraId="06A2F697"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lastRenderedPageBreak/>
        <w:t xml:space="preserve">Villarreal JA, </w:t>
      </w:r>
      <w:proofErr w:type="spellStart"/>
      <w:r w:rsidRPr="008814F9">
        <w:rPr>
          <w:rFonts w:ascii="Times New Roman" w:hAnsi="Times New Roman"/>
        </w:rPr>
        <w:t>Yoeli</w:t>
      </w:r>
      <w:proofErr w:type="spellEnd"/>
      <w:r w:rsidRPr="008814F9">
        <w:rPr>
          <w:rFonts w:ascii="Times New Roman" w:hAnsi="Times New Roman"/>
        </w:rPr>
        <w:t xml:space="preserve"> D, </w:t>
      </w:r>
      <w:proofErr w:type="spellStart"/>
      <w:r w:rsidRPr="008814F9">
        <w:rPr>
          <w:rFonts w:ascii="Times New Roman" w:hAnsi="Times New Roman"/>
        </w:rPr>
        <w:t>Masand</w:t>
      </w:r>
      <w:proofErr w:type="spellEnd"/>
      <w:r w:rsidRPr="008814F9">
        <w:rPr>
          <w:rFonts w:ascii="Times New Roman" w:hAnsi="Times New Roman"/>
        </w:rPr>
        <w:t xml:space="preserve"> PM, Galvan NTN, </w:t>
      </w:r>
      <w:proofErr w:type="spellStart"/>
      <w:r w:rsidRPr="008814F9">
        <w:rPr>
          <w:rFonts w:ascii="Times New Roman" w:hAnsi="Times New Roman"/>
        </w:rPr>
        <w:t>Olutoye</w:t>
      </w:r>
      <w:proofErr w:type="spellEnd"/>
      <w:r w:rsidRPr="008814F9">
        <w:rPr>
          <w:rFonts w:ascii="Times New Roman" w:hAnsi="Times New Roman"/>
        </w:rPr>
        <w:t xml:space="preserve"> OO, Goss JA. Hepatic separation of conjoined twins: operative technique and review of three-dimensional model utilization. J Pediatr Surg. 2020;55(12):2828–2835. </w:t>
      </w:r>
      <w:hyperlink r:id="rId34" w:history="1">
        <w:r w:rsidRPr="008814F9">
          <w:rPr>
            <w:rFonts w:ascii="Times New Roman" w:hAnsi="Times New Roman"/>
            <w:color w:val="0000FF"/>
            <w:u w:val="single"/>
          </w:rPr>
          <w:t>https://doi.org/10.1016/j.jpedsurg.2020.06.047</w:t>
        </w:r>
      </w:hyperlink>
    </w:p>
    <w:p w14:paraId="34DAB3E8"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Grizelj R, Vukovic J, Mikulic D, et al. Successful separation of </w:t>
      </w:r>
      <w:proofErr w:type="spellStart"/>
      <w:r w:rsidRPr="008814F9">
        <w:rPr>
          <w:rFonts w:ascii="Times New Roman" w:hAnsi="Times New Roman"/>
        </w:rPr>
        <w:t>xipho-omphalopagus</w:t>
      </w:r>
      <w:proofErr w:type="spellEnd"/>
      <w:r w:rsidRPr="008814F9">
        <w:rPr>
          <w:rFonts w:ascii="Times New Roman" w:hAnsi="Times New Roman"/>
        </w:rPr>
        <w:t xml:space="preserve"> conjoined twins complicated by </w:t>
      </w:r>
      <w:proofErr w:type="spellStart"/>
      <w:r w:rsidRPr="008814F9">
        <w:rPr>
          <w:rFonts w:ascii="Times New Roman" w:hAnsi="Times New Roman"/>
        </w:rPr>
        <w:t>porto</w:t>
      </w:r>
      <w:proofErr w:type="spellEnd"/>
      <w:r w:rsidRPr="008814F9">
        <w:rPr>
          <w:rFonts w:ascii="Times New Roman" w:hAnsi="Times New Roman"/>
        </w:rPr>
        <w:t xml:space="preserve">-systemic shunting. Croat Med J. 2019;60(4):378–384. </w:t>
      </w:r>
      <w:hyperlink r:id="rId35" w:history="1">
        <w:r w:rsidRPr="008814F9">
          <w:rPr>
            <w:rFonts w:ascii="Times New Roman" w:hAnsi="Times New Roman"/>
            <w:color w:val="0000FF"/>
            <w:u w:val="single"/>
          </w:rPr>
          <w:t>https://doi.org/10.3325/cmj.2019.60.378</w:t>
        </w:r>
      </w:hyperlink>
    </w:p>
    <w:p w14:paraId="453495D6"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Saxena R, Sinha A. Prognostic factors affecting outcome in </w:t>
      </w:r>
      <w:proofErr w:type="spellStart"/>
      <w:r w:rsidRPr="008814F9">
        <w:rPr>
          <w:rFonts w:ascii="Times New Roman" w:hAnsi="Times New Roman"/>
        </w:rPr>
        <w:t>thoracopagus</w:t>
      </w:r>
      <w:proofErr w:type="spellEnd"/>
      <w:r w:rsidRPr="008814F9">
        <w:rPr>
          <w:rFonts w:ascii="Times New Roman" w:hAnsi="Times New Roman"/>
        </w:rPr>
        <w:t xml:space="preserve"> twin separation. </w:t>
      </w:r>
      <w:proofErr w:type="spellStart"/>
      <w:r w:rsidRPr="008814F9">
        <w:rPr>
          <w:rFonts w:ascii="Times New Roman" w:hAnsi="Times New Roman"/>
        </w:rPr>
        <w:t>Afr</w:t>
      </w:r>
      <w:proofErr w:type="spellEnd"/>
      <w:r w:rsidRPr="008814F9">
        <w:rPr>
          <w:rFonts w:ascii="Times New Roman" w:hAnsi="Times New Roman"/>
        </w:rPr>
        <w:t xml:space="preserve"> J </w:t>
      </w:r>
      <w:proofErr w:type="spellStart"/>
      <w:r w:rsidRPr="008814F9">
        <w:rPr>
          <w:rFonts w:ascii="Times New Roman" w:hAnsi="Times New Roman"/>
        </w:rPr>
        <w:t>Paediatr</w:t>
      </w:r>
      <w:proofErr w:type="spellEnd"/>
      <w:r w:rsidRPr="008814F9">
        <w:rPr>
          <w:rFonts w:ascii="Times New Roman" w:hAnsi="Times New Roman"/>
        </w:rPr>
        <w:t xml:space="preserve"> Surg. 2021;18(4):189–194. </w:t>
      </w:r>
      <w:hyperlink r:id="rId36" w:history="1">
        <w:r w:rsidRPr="008814F9">
          <w:rPr>
            <w:rFonts w:ascii="Times New Roman" w:hAnsi="Times New Roman"/>
            <w:color w:val="0000FF"/>
            <w:u w:val="single"/>
          </w:rPr>
          <w:t>https://doi.org/10.4103/ajps.AJPS_92_20</w:t>
        </w:r>
      </w:hyperlink>
    </w:p>
    <w:p w14:paraId="0D650252"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Inserra A, Abate E, Grimaldi C, et al. Advanced 3D modeling and printing for the surgical separation of conjoined twins: a case report. Front Physiol. </w:t>
      </w:r>
      <w:proofErr w:type="gramStart"/>
      <w:r w:rsidRPr="008814F9">
        <w:rPr>
          <w:rFonts w:ascii="Times New Roman" w:hAnsi="Times New Roman"/>
        </w:rPr>
        <w:t>2020;11:566766</w:t>
      </w:r>
      <w:proofErr w:type="gramEnd"/>
      <w:r w:rsidRPr="008814F9">
        <w:rPr>
          <w:rFonts w:ascii="Times New Roman" w:hAnsi="Times New Roman"/>
        </w:rPr>
        <w:t xml:space="preserve">. </w:t>
      </w:r>
      <w:hyperlink r:id="rId37" w:history="1">
        <w:r w:rsidRPr="008814F9">
          <w:rPr>
            <w:rFonts w:ascii="Times New Roman" w:hAnsi="Times New Roman"/>
            <w:color w:val="0000FF"/>
            <w:u w:val="single"/>
          </w:rPr>
          <w:t>https://doi.org/10.3389/fphys.2020.566766</w:t>
        </w:r>
      </w:hyperlink>
    </w:p>
    <w:p w14:paraId="7716B384"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Charan BD, Gangwal A, Jain S. Antenatal diagnosis of </w:t>
      </w:r>
      <w:proofErr w:type="spellStart"/>
      <w:r w:rsidRPr="008814F9">
        <w:rPr>
          <w:rFonts w:ascii="Times New Roman" w:hAnsi="Times New Roman"/>
        </w:rPr>
        <w:t>thoracopagus</w:t>
      </w:r>
      <w:proofErr w:type="spellEnd"/>
      <w:r w:rsidRPr="008814F9">
        <w:rPr>
          <w:rFonts w:ascii="Times New Roman" w:hAnsi="Times New Roman"/>
        </w:rPr>
        <w:t xml:space="preserve"> and thoraco-</w:t>
      </w:r>
      <w:proofErr w:type="spellStart"/>
      <w:r w:rsidRPr="008814F9">
        <w:rPr>
          <w:rFonts w:ascii="Times New Roman" w:hAnsi="Times New Roman"/>
        </w:rPr>
        <w:t>omphalopagus</w:t>
      </w:r>
      <w:proofErr w:type="spellEnd"/>
      <w:r w:rsidRPr="008814F9">
        <w:rPr>
          <w:rFonts w:ascii="Times New Roman" w:hAnsi="Times New Roman"/>
        </w:rPr>
        <w:t xml:space="preserve"> conjoined twins: case series. Egypt J </w:t>
      </w:r>
      <w:proofErr w:type="spellStart"/>
      <w:r w:rsidRPr="008814F9">
        <w:rPr>
          <w:rFonts w:ascii="Times New Roman" w:hAnsi="Times New Roman"/>
        </w:rPr>
        <w:t>Radiol</w:t>
      </w:r>
      <w:proofErr w:type="spellEnd"/>
      <w:r w:rsidRPr="008814F9">
        <w:rPr>
          <w:rFonts w:ascii="Times New Roman" w:hAnsi="Times New Roman"/>
        </w:rPr>
        <w:t xml:space="preserve"> </w:t>
      </w:r>
      <w:proofErr w:type="spellStart"/>
      <w:r w:rsidRPr="008814F9">
        <w:rPr>
          <w:rFonts w:ascii="Times New Roman" w:hAnsi="Times New Roman"/>
        </w:rPr>
        <w:t>Nucl</w:t>
      </w:r>
      <w:proofErr w:type="spellEnd"/>
      <w:r w:rsidRPr="008814F9">
        <w:rPr>
          <w:rFonts w:ascii="Times New Roman" w:hAnsi="Times New Roman"/>
        </w:rPr>
        <w:t xml:space="preserve"> Med. </w:t>
      </w:r>
      <w:proofErr w:type="gramStart"/>
      <w:r w:rsidRPr="008814F9">
        <w:rPr>
          <w:rFonts w:ascii="Times New Roman" w:hAnsi="Times New Roman"/>
        </w:rPr>
        <w:t>2023;54:152</w:t>
      </w:r>
      <w:proofErr w:type="gramEnd"/>
      <w:r w:rsidRPr="008814F9">
        <w:rPr>
          <w:rFonts w:ascii="Times New Roman" w:hAnsi="Times New Roman"/>
        </w:rPr>
        <w:t xml:space="preserve">. </w:t>
      </w:r>
      <w:hyperlink r:id="rId38" w:history="1">
        <w:r w:rsidRPr="008814F9">
          <w:rPr>
            <w:rFonts w:ascii="Times New Roman" w:hAnsi="Times New Roman"/>
            <w:color w:val="0000FF"/>
            <w:u w:val="single"/>
          </w:rPr>
          <w:t>https://doi.org/10.1186/s43055-023-01152-4</w:t>
        </w:r>
      </w:hyperlink>
    </w:p>
    <w:p w14:paraId="3CF1C3D7"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Kumar A, Agrawal S, Sah S, et al. Short-term outcomes of </w:t>
      </w:r>
      <w:proofErr w:type="spellStart"/>
      <w:r w:rsidRPr="008814F9">
        <w:rPr>
          <w:rFonts w:ascii="Times New Roman" w:hAnsi="Times New Roman"/>
        </w:rPr>
        <w:t>eTEP</w:t>
      </w:r>
      <w:proofErr w:type="spellEnd"/>
      <w:r w:rsidRPr="008814F9">
        <w:rPr>
          <w:rFonts w:ascii="Times New Roman" w:hAnsi="Times New Roman"/>
        </w:rPr>
        <w:t xml:space="preserve"> repair of ventral hernia in a university hospital.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2023;6(3):159–165. </w:t>
      </w:r>
      <w:hyperlink r:id="rId39" w:history="1">
        <w:r w:rsidRPr="008814F9">
          <w:rPr>
            <w:rFonts w:ascii="Times New Roman" w:hAnsi="Times New Roman"/>
            <w:color w:val="0000FF"/>
            <w:u w:val="single"/>
          </w:rPr>
          <w:t>https://doi.org/10.4103/ijawhs.ijawhs_10_23</w:t>
        </w:r>
      </w:hyperlink>
    </w:p>
    <w:p w14:paraId="21F2F6BC"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Cummings BM. Conjoined </w:t>
      </w:r>
      <w:proofErr w:type="gramStart"/>
      <w:r w:rsidRPr="008814F9">
        <w:rPr>
          <w:rFonts w:ascii="Times New Roman" w:hAnsi="Times New Roman"/>
        </w:rPr>
        <w:t>twins</w:t>
      </w:r>
      <w:proofErr w:type="gramEnd"/>
      <w:r w:rsidRPr="008814F9">
        <w:rPr>
          <w:rFonts w:ascii="Times New Roman" w:hAnsi="Times New Roman"/>
        </w:rPr>
        <w:t xml:space="preserve"> separation leading to the death of one twin: expanded ethical analysis. J Intensive Care Ethics. 2019. </w:t>
      </w:r>
      <w:hyperlink r:id="rId40" w:history="1">
        <w:r w:rsidRPr="008814F9">
          <w:rPr>
            <w:rFonts w:ascii="Times New Roman" w:hAnsi="Times New Roman"/>
            <w:color w:val="0000FF"/>
            <w:u w:val="single"/>
          </w:rPr>
          <w:t>https://doi.org/10.1177/0885066618791953</w:t>
        </w:r>
      </w:hyperlink>
    </w:p>
    <w:p w14:paraId="00F045CB"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Woo YT. Evaluation of the ethical controversies in separation surgery of conjoined twins: a review of the literature. Cureus. 2025;17(1</w:t>
      </w:r>
      <w:proofErr w:type="gramStart"/>
      <w:r w:rsidRPr="008814F9">
        <w:rPr>
          <w:rFonts w:ascii="Times New Roman" w:hAnsi="Times New Roman"/>
        </w:rPr>
        <w:t>):e</w:t>
      </w:r>
      <w:proofErr w:type="gramEnd"/>
      <w:r w:rsidRPr="008814F9">
        <w:rPr>
          <w:rFonts w:ascii="Times New Roman" w:hAnsi="Times New Roman"/>
        </w:rPr>
        <w:t xml:space="preserve">52891. </w:t>
      </w:r>
      <w:hyperlink r:id="rId41" w:history="1">
        <w:r w:rsidRPr="008814F9">
          <w:rPr>
            <w:rFonts w:ascii="Times New Roman" w:hAnsi="Times New Roman"/>
            <w:color w:val="0000FF"/>
            <w:u w:val="single"/>
          </w:rPr>
          <w:t>https://doi.org/10.7759/cureus.52891</w:t>
        </w:r>
      </w:hyperlink>
    </w:p>
    <w:p w14:paraId="1CB238C4"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Thomas A, Glasier A, Chiswick M. An ethically justifiable, practical approach to decision-making in conjoined twins. BMC </w:t>
      </w:r>
      <w:proofErr w:type="spellStart"/>
      <w:r w:rsidRPr="008814F9">
        <w:rPr>
          <w:rFonts w:ascii="Times New Roman" w:hAnsi="Times New Roman"/>
        </w:rPr>
        <w:t>Palliat</w:t>
      </w:r>
      <w:proofErr w:type="spellEnd"/>
      <w:r w:rsidRPr="008814F9">
        <w:rPr>
          <w:rFonts w:ascii="Times New Roman" w:hAnsi="Times New Roman"/>
        </w:rPr>
        <w:t xml:space="preserve"> Care. </w:t>
      </w:r>
      <w:proofErr w:type="gramStart"/>
      <w:r w:rsidRPr="008814F9">
        <w:rPr>
          <w:rFonts w:ascii="Times New Roman" w:hAnsi="Times New Roman"/>
        </w:rPr>
        <w:t>2018;17:85</w:t>
      </w:r>
      <w:proofErr w:type="gramEnd"/>
      <w:r w:rsidRPr="008814F9">
        <w:rPr>
          <w:rFonts w:ascii="Times New Roman" w:hAnsi="Times New Roman"/>
        </w:rPr>
        <w:t xml:space="preserve">. </w:t>
      </w:r>
      <w:hyperlink r:id="rId42" w:history="1">
        <w:r w:rsidRPr="008814F9">
          <w:rPr>
            <w:rFonts w:ascii="Times New Roman" w:hAnsi="Times New Roman"/>
            <w:color w:val="0000FF"/>
            <w:u w:val="single"/>
          </w:rPr>
          <w:t>https://doi.org/10.1186/s12904-018-0325-y</w:t>
        </w:r>
      </w:hyperlink>
    </w:p>
    <w:p w14:paraId="7C387DA2"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Kusmayadi</w:t>
      </w:r>
      <w:proofErr w:type="spellEnd"/>
      <w:r w:rsidRPr="008814F9">
        <w:rPr>
          <w:rFonts w:ascii="Times New Roman" w:hAnsi="Times New Roman"/>
        </w:rPr>
        <w:t xml:space="preserve"> DD, Lia E, </w:t>
      </w:r>
      <w:proofErr w:type="spellStart"/>
      <w:r w:rsidRPr="008814F9">
        <w:rPr>
          <w:rFonts w:ascii="Times New Roman" w:hAnsi="Times New Roman"/>
        </w:rPr>
        <w:t>Chowindra</w:t>
      </w:r>
      <w:proofErr w:type="spellEnd"/>
      <w:r w:rsidRPr="008814F9">
        <w:rPr>
          <w:rFonts w:ascii="Times New Roman" w:hAnsi="Times New Roman"/>
        </w:rPr>
        <w:t xml:space="preserve"> TS. Characteristics and management of conjoined twins: a single-</w:t>
      </w:r>
      <w:proofErr w:type="spellStart"/>
      <w:r w:rsidRPr="008814F9">
        <w:rPr>
          <w:rFonts w:ascii="Times New Roman" w:hAnsi="Times New Roman"/>
        </w:rPr>
        <w:t>centre</w:t>
      </w:r>
      <w:proofErr w:type="spellEnd"/>
      <w:r w:rsidRPr="008814F9">
        <w:rPr>
          <w:rFonts w:ascii="Times New Roman" w:hAnsi="Times New Roman"/>
        </w:rPr>
        <w:t xml:space="preserve"> retrospective descriptive study. Med J Malaysia. 2024;79(Suppl 1):17–22. </w:t>
      </w:r>
      <w:hyperlink r:id="rId43" w:history="1">
        <w:r w:rsidRPr="008814F9">
          <w:rPr>
            <w:rFonts w:ascii="Times New Roman" w:hAnsi="Times New Roman"/>
            <w:color w:val="0000FF"/>
            <w:u w:val="single"/>
          </w:rPr>
          <w:t>https://doi.org/10.47836/mjmhs.21.1.41</w:t>
        </w:r>
      </w:hyperlink>
    </w:p>
    <w:p w14:paraId="1E38B1AB"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de Andrade DM, Leon FP, Santos NO, et al. Enhanced recovery strategies in complex abdominal wall reconstruction.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2024;7(3):121–128. </w:t>
      </w:r>
      <w:hyperlink r:id="rId44" w:history="1">
        <w:r w:rsidRPr="008814F9">
          <w:rPr>
            <w:rFonts w:ascii="Times New Roman" w:hAnsi="Times New Roman"/>
            <w:color w:val="0000FF"/>
            <w:u w:val="single"/>
          </w:rPr>
          <w:t>https://doi.org/10.4103/ijawhs.ijawhs_59_24</w:t>
        </w:r>
      </w:hyperlink>
    </w:p>
    <w:p w14:paraId="0004A818"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Lampus</w:t>
      </w:r>
      <w:proofErr w:type="spellEnd"/>
      <w:r w:rsidRPr="008814F9">
        <w:rPr>
          <w:rFonts w:ascii="Times New Roman" w:hAnsi="Times New Roman"/>
        </w:rPr>
        <w:t xml:space="preserve"> HF, </w:t>
      </w:r>
      <w:proofErr w:type="spellStart"/>
      <w:r w:rsidRPr="008814F9">
        <w:rPr>
          <w:rFonts w:ascii="Times New Roman" w:hAnsi="Times New Roman"/>
        </w:rPr>
        <w:t>Bamonte</w:t>
      </w:r>
      <w:proofErr w:type="spellEnd"/>
      <w:r w:rsidRPr="008814F9">
        <w:rPr>
          <w:rFonts w:ascii="Times New Roman" w:hAnsi="Times New Roman"/>
        </w:rPr>
        <w:t xml:space="preserve"> C, </w:t>
      </w:r>
      <w:proofErr w:type="spellStart"/>
      <w:r w:rsidRPr="008814F9">
        <w:rPr>
          <w:rFonts w:ascii="Times New Roman" w:hAnsi="Times New Roman"/>
        </w:rPr>
        <w:t>Rendy</w:t>
      </w:r>
      <w:proofErr w:type="spellEnd"/>
      <w:r w:rsidRPr="008814F9">
        <w:rPr>
          <w:rFonts w:ascii="Times New Roman" w:hAnsi="Times New Roman"/>
        </w:rPr>
        <w:t xml:space="preserve"> L, </w:t>
      </w:r>
      <w:proofErr w:type="spellStart"/>
      <w:r w:rsidRPr="008814F9">
        <w:rPr>
          <w:rFonts w:ascii="Times New Roman" w:hAnsi="Times New Roman"/>
        </w:rPr>
        <w:t>Sorongku</w:t>
      </w:r>
      <w:proofErr w:type="spellEnd"/>
      <w:r w:rsidRPr="008814F9">
        <w:rPr>
          <w:rFonts w:ascii="Times New Roman" w:hAnsi="Times New Roman"/>
        </w:rPr>
        <w:t xml:space="preserve"> R, </w:t>
      </w:r>
      <w:proofErr w:type="spellStart"/>
      <w:r w:rsidRPr="008814F9">
        <w:rPr>
          <w:rFonts w:ascii="Times New Roman" w:hAnsi="Times New Roman"/>
        </w:rPr>
        <w:t>Suryoprabowo</w:t>
      </w:r>
      <w:proofErr w:type="spellEnd"/>
      <w:r w:rsidRPr="008814F9">
        <w:rPr>
          <w:rFonts w:ascii="Times New Roman" w:hAnsi="Times New Roman"/>
        </w:rPr>
        <w:t xml:space="preserve"> V. The first successful separation of conjoined twins–thoraco-</w:t>
      </w:r>
      <w:proofErr w:type="spellStart"/>
      <w:r w:rsidRPr="008814F9">
        <w:rPr>
          <w:rFonts w:ascii="Times New Roman" w:hAnsi="Times New Roman"/>
        </w:rPr>
        <w:t>omphalopagus</w:t>
      </w:r>
      <w:proofErr w:type="spellEnd"/>
      <w:r w:rsidRPr="008814F9">
        <w:rPr>
          <w:rFonts w:ascii="Times New Roman" w:hAnsi="Times New Roman"/>
        </w:rPr>
        <w:t xml:space="preserve">: a case report. Malays J Med Health Sci. 2025;21(1):357–360. </w:t>
      </w:r>
      <w:hyperlink r:id="rId45" w:history="1">
        <w:r w:rsidRPr="008814F9">
          <w:rPr>
            <w:rFonts w:ascii="Times New Roman" w:hAnsi="Times New Roman"/>
            <w:color w:val="0000FF"/>
            <w:u w:val="single"/>
          </w:rPr>
          <w:t>https://doi.org/10.47836/mjmhs.21.1.41</w:t>
        </w:r>
      </w:hyperlink>
    </w:p>
    <w:p w14:paraId="4DB15252"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Saxena R, Sinha A, Pathak M, Rathod KJ. Conjoined </w:t>
      </w:r>
      <w:proofErr w:type="spellStart"/>
      <w:r w:rsidRPr="008814F9">
        <w:rPr>
          <w:rFonts w:ascii="Times New Roman" w:hAnsi="Times New Roman"/>
        </w:rPr>
        <w:t>thoracopagus</w:t>
      </w:r>
      <w:proofErr w:type="spellEnd"/>
      <w:r w:rsidRPr="008814F9">
        <w:rPr>
          <w:rFonts w:ascii="Times New Roman" w:hAnsi="Times New Roman"/>
        </w:rPr>
        <w:t xml:space="preserve"> twins: a systematic review of the anomalies and outcome of surgical separation. </w:t>
      </w:r>
      <w:proofErr w:type="spellStart"/>
      <w:r w:rsidRPr="008814F9">
        <w:rPr>
          <w:rFonts w:ascii="Times New Roman" w:hAnsi="Times New Roman"/>
        </w:rPr>
        <w:t>Afr</w:t>
      </w:r>
      <w:proofErr w:type="spellEnd"/>
      <w:r w:rsidRPr="008814F9">
        <w:rPr>
          <w:rFonts w:ascii="Times New Roman" w:hAnsi="Times New Roman"/>
        </w:rPr>
        <w:t xml:space="preserve"> J </w:t>
      </w:r>
      <w:proofErr w:type="spellStart"/>
      <w:r w:rsidRPr="008814F9">
        <w:rPr>
          <w:rFonts w:ascii="Times New Roman" w:hAnsi="Times New Roman"/>
        </w:rPr>
        <w:t>Paediatr</w:t>
      </w:r>
      <w:proofErr w:type="spellEnd"/>
      <w:r w:rsidRPr="008814F9">
        <w:rPr>
          <w:rFonts w:ascii="Times New Roman" w:hAnsi="Times New Roman"/>
        </w:rPr>
        <w:t xml:space="preserve"> Surg. 2023;20(3):157–165. </w:t>
      </w:r>
      <w:hyperlink r:id="rId46" w:history="1">
        <w:r w:rsidRPr="008814F9">
          <w:rPr>
            <w:rFonts w:ascii="Times New Roman" w:hAnsi="Times New Roman"/>
            <w:color w:val="0000FF"/>
            <w:u w:val="single"/>
          </w:rPr>
          <w:t>https://doi.org/10.4103/ajps.ajps_77_22</w:t>
        </w:r>
      </w:hyperlink>
    </w:p>
    <w:p w14:paraId="26AFF713" w14:textId="77777777" w:rsidR="006A6DE6" w:rsidRPr="008814F9" w:rsidRDefault="006A6DE6" w:rsidP="006A6DE6">
      <w:pPr>
        <w:jc w:val="both"/>
        <w:rPr>
          <w:rFonts w:ascii="Times New Roman" w:hAnsi="Times New Roman"/>
        </w:rPr>
      </w:pPr>
    </w:p>
    <w:p w14:paraId="5C001B0E" w14:textId="77777777" w:rsidR="00B01FCD" w:rsidRPr="00FB3A86" w:rsidRDefault="00B01FCD" w:rsidP="00441B6F">
      <w:pPr>
        <w:pStyle w:val="Appendix"/>
        <w:spacing w:after="0"/>
        <w:jc w:val="both"/>
        <w:rPr>
          <w:rFonts w:ascii="Arial" w:hAnsi="Arial" w:cs="Arial"/>
          <w:b w:val="0"/>
        </w:rPr>
      </w:pPr>
    </w:p>
    <w:sectPr w:rsidR="00B01FCD" w:rsidRPr="00FB3A86" w:rsidSect="00700312">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D183F" w14:textId="77777777" w:rsidR="0088187F" w:rsidRDefault="0088187F" w:rsidP="00C37E61">
      <w:r>
        <w:separator/>
      </w:r>
    </w:p>
  </w:endnote>
  <w:endnote w:type="continuationSeparator" w:id="0">
    <w:p w14:paraId="124F98D3" w14:textId="77777777" w:rsidR="0088187F" w:rsidRDefault="008818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DejaVuSerif">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8CC10" w14:textId="77777777" w:rsidR="00700312" w:rsidRDefault="00700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0143" w14:textId="77777777" w:rsidR="00700312" w:rsidRDefault="00700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A3302" w14:textId="77777777" w:rsidR="009E048A" w:rsidRDefault="009E048A">
    <w:pPr>
      <w:pStyle w:val="Footer"/>
      <w:rPr>
        <w:rFonts w:ascii="Arial" w:hAnsi="Arial" w:cs="Arial"/>
        <w:sz w:val="16"/>
      </w:rPr>
    </w:pPr>
  </w:p>
  <w:p w14:paraId="4C6382E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0A2CEF0" w14:textId="77777777" w:rsidR="009E048A" w:rsidRDefault="009E048A">
    <w:pPr>
      <w:pStyle w:val="Footer"/>
      <w:rPr>
        <w:rFonts w:ascii="Arial" w:hAnsi="Arial" w:cs="Arial"/>
        <w:sz w:val="16"/>
      </w:rPr>
    </w:pPr>
  </w:p>
  <w:p w14:paraId="20E984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BA81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6738C" w14:textId="77777777" w:rsidR="0088187F" w:rsidRDefault="0088187F" w:rsidP="00C37E61">
      <w:r>
        <w:separator/>
      </w:r>
    </w:p>
  </w:footnote>
  <w:footnote w:type="continuationSeparator" w:id="0">
    <w:p w14:paraId="4A8D14FF" w14:textId="77777777" w:rsidR="0088187F" w:rsidRDefault="008818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EC97" w14:textId="5A2D6AB7" w:rsidR="00700312" w:rsidRDefault="00700312">
    <w:pPr>
      <w:pStyle w:val="Header"/>
    </w:pPr>
    <w:r>
      <w:rPr>
        <w:noProof/>
      </w:rPr>
      <w:pict w14:anchorId="1B064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79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BCFB" w14:textId="051D6D15" w:rsidR="00700312" w:rsidRDefault="00700312">
    <w:pPr>
      <w:pStyle w:val="Header"/>
    </w:pPr>
    <w:r>
      <w:rPr>
        <w:noProof/>
      </w:rPr>
      <w:pict w14:anchorId="5A86E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79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2931" w14:textId="5BA2C790" w:rsidR="00296529" w:rsidRPr="00296529" w:rsidRDefault="00700312" w:rsidP="00296529">
    <w:pPr>
      <w:ind w:left="2160"/>
      <w:jc w:val="center"/>
      <w:rPr>
        <w:rFonts w:ascii="Times New Roman" w:eastAsia="Calibri" w:hAnsi="Times New Roman"/>
        <w:i/>
        <w:sz w:val="18"/>
        <w:szCs w:val="22"/>
      </w:rPr>
    </w:pPr>
    <w:r>
      <w:rPr>
        <w:noProof/>
      </w:rPr>
      <w:pict w14:anchorId="281F8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797"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924FC3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EBB0E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EE643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88353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6ECD5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C818D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04A0" w14:textId="2CE30B36" w:rsidR="00700312" w:rsidRDefault="00700312">
    <w:pPr>
      <w:pStyle w:val="Header"/>
    </w:pPr>
    <w:r>
      <w:rPr>
        <w:noProof/>
      </w:rPr>
      <w:pict w14:anchorId="3EA3C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801"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33838" w14:textId="66E90ACE" w:rsidR="00700312" w:rsidRDefault="00700312">
    <w:pPr>
      <w:pStyle w:val="Header"/>
    </w:pPr>
    <w:r>
      <w:rPr>
        <w:noProof/>
      </w:rPr>
      <w:pict w14:anchorId="0E442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802"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0B5C" w14:textId="04F31DAD" w:rsidR="00700312" w:rsidRDefault="00700312">
    <w:pPr>
      <w:pStyle w:val="Header"/>
    </w:pPr>
    <w:r>
      <w:rPr>
        <w:noProof/>
      </w:rPr>
      <w:pict w14:anchorId="1DC76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800"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CC288E"/>
    <w:multiLevelType w:val="multilevel"/>
    <w:tmpl w:val="FAA29A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5DEA"/>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3011"/>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6B24"/>
    <w:rsid w:val="00617FDD"/>
    <w:rsid w:val="00633614"/>
    <w:rsid w:val="00633F68"/>
    <w:rsid w:val="00636EB2"/>
    <w:rsid w:val="006375B8"/>
    <w:rsid w:val="00664F66"/>
    <w:rsid w:val="0066510A"/>
    <w:rsid w:val="00673F9F"/>
    <w:rsid w:val="00686953"/>
    <w:rsid w:val="00687DEA"/>
    <w:rsid w:val="00687E67"/>
    <w:rsid w:val="006967F7"/>
    <w:rsid w:val="006A250C"/>
    <w:rsid w:val="006A6DE6"/>
    <w:rsid w:val="006B21D3"/>
    <w:rsid w:val="006B57D0"/>
    <w:rsid w:val="006D30FF"/>
    <w:rsid w:val="006D6940"/>
    <w:rsid w:val="006F11EC"/>
    <w:rsid w:val="006F6897"/>
    <w:rsid w:val="00700312"/>
    <w:rsid w:val="0070082C"/>
    <w:rsid w:val="007270C3"/>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187F"/>
    <w:rsid w:val="008B459E"/>
    <w:rsid w:val="008E13AE"/>
    <w:rsid w:val="008E1506"/>
    <w:rsid w:val="008E710C"/>
    <w:rsid w:val="008F69D6"/>
    <w:rsid w:val="00902823"/>
    <w:rsid w:val="00915CA6"/>
    <w:rsid w:val="00927834"/>
    <w:rsid w:val="009500A6"/>
    <w:rsid w:val="00957C18"/>
    <w:rsid w:val="009659BA"/>
    <w:rsid w:val="009726C7"/>
    <w:rsid w:val="00974A69"/>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2A1C"/>
    <w:rsid w:val="00AC6BB8"/>
    <w:rsid w:val="00AE008F"/>
    <w:rsid w:val="00B01FCD"/>
    <w:rsid w:val="00B022B4"/>
    <w:rsid w:val="00B1776C"/>
    <w:rsid w:val="00B403B0"/>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2F25"/>
    <w:rsid w:val="00CD6755"/>
    <w:rsid w:val="00CD6856"/>
    <w:rsid w:val="00CE0089"/>
    <w:rsid w:val="00CE793C"/>
    <w:rsid w:val="00CF193C"/>
    <w:rsid w:val="00D173F1"/>
    <w:rsid w:val="00D61EF3"/>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161EB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664F6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jpedsurg.2020.06.047" TargetMode="External"/><Relationship Id="rId26" Type="http://schemas.openxmlformats.org/officeDocument/2006/relationships/hyperlink" Target="https://doi.org/10.1186/s12910-023-00895-z" TargetMode="External"/><Relationship Id="rId39" Type="http://schemas.openxmlformats.org/officeDocument/2006/relationships/hyperlink" Target="https://doi.org/10.4103/ijawhs.ijawhs_10_23" TargetMode="External"/><Relationship Id="rId21" Type="http://schemas.openxmlformats.org/officeDocument/2006/relationships/hyperlink" Target="https://doi.org/10.1016/j.jpedsurg.2023.101234" TargetMode="External"/><Relationship Id="rId34" Type="http://schemas.openxmlformats.org/officeDocument/2006/relationships/hyperlink" Target="https://doi.org/10.1016/j.jpedsurg.2020.06.047" TargetMode="External"/><Relationship Id="rId42" Type="http://schemas.openxmlformats.org/officeDocument/2006/relationships/hyperlink" Target="https://doi.org/10.1186/s12904-018-0325-y"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390/children12040423" TargetMode="External"/><Relationship Id="rId11" Type="http://schemas.openxmlformats.org/officeDocument/2006/relationships/footer" Target="footer2.xml"/><Relationship Id="rId24" Type="http://schemas.openxmlformats.org/officeDocument/2006/relationships/hyperlink" Target="https://doi.org/10.4103/ijawhs.ijawhs_48_20" TargetMode="External"/><Relationship Id="rId32" Type="http://schemas.openxmlformats.org/officeDocument/2006/relationships/hyperlink" Target="https://doi.org/10.4103/ijawhs.ijawhs_13_18" TargetMode="External"/><Relationship Id="rId37" Type="http://schemas.openxmlformats.org/officeDocument/2006/relationships/hyperlink" Target="https://doi.org/10.3389/fphys.2020.566766" TargetMode="External"/><Relationship Id="rId40" Type="http://schemas.openxmlformats.org/officeDocument/2006/relationships/hyperlink" Target="https://doi.org/10.1177/0885066618791953" TargetMode="External"/><Relationship Id="rId45" Type="http://schemas.openxmlformats.org/officeDocument/2006/relationships/hyperlink" Target="https://doi.org/10.47836/mjmhs.21.1.4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103/ijawhs.ijawhs_13_18" TargetMode="External"/><Relationship Id="rId28" Type="http://schemas.openxmlformats.org/officeDocument/2006/relationships/hyperlink" Target="https://doi.org/10.1016/j.jasi.2015.07.216" TargetMode="External"/><Relationship Id="rId36" Type="http://schemas.openxmlformats.org/officeDocument/2006/relationships/hyperlink" Target="https://doi.org/10.4103/ajps.AJPS_92_20"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389/fphys.2020.566766" TargetMode="External"/><Relationship Id="rId31" Type="http://schemas.openxmlformats.org/officeDocument/2006/relationships/hyperlink" Target="https://doi.org/10.1016/j.amjsurg.2024.09.023" TargetMode="External"/><Relationship Id="rId44" Type="http://schemas.openxmlformats.org/officeDocument/2006/relationships/hyperlink" Target="https://doi.org/10.4103/ijawhs.ijawhs_59_2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5505/ejm.2020.24861" TargetMode="External"/><Relationship Id="rId27" Type="http://schemas.openxmlformats.org/officeDocument/2006/relationships/hyperlink" Target="https://doi.org/10.5505/ejm.2020.24861" TargetMode="External"/><Relationship Id="rId30" Type="http://schemas.openxmlformats.org/officeDocument/2006/relationships/hyperlink" Target="https://doi.org/10.1097/SAP.0000000000002700" TargetMode="External"/><Relationship Id="rId35" Type="http://schemas.openxmlformats.org/officeDocument/2006/relationships/hyperlink" Target="https://doi.org/10.3325/cmj.2019.60.378" TargetMode="External"/><Relationship Id="rId43" Type="http://schemas.openxmlformats.org/officeDocument/2006/relationships/hyperlink" Target="https://doi.org/10.47836/mjmhs.21.1.41"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4103/ajps.ajps_77_22" TargetMode="External"/><Relationship Id="rId25" Type="http://schemas.openxmlformats.org/officeDocument/2006/relationships/hyperlink" Target="https://doi.org/10.1186/s12904-018-0325-y" TargetMode="External"/><Relationship Id="rId33" Type="http://schemas.openxmlformats.org/officeDocument/2006/relationships/hyperlink" Target="https://doi.org/10.4103/ijawhs.ijawhs_48_20" TargetMode="External"/><Relationship Id="rId38" Type="http://schemas.openxmlformats.org/officeDocument/2006/relationships/hyperlink" Target="https://doi.org/10.1186/s43055-023-01152-4" TargetMode="External"/><Relationship Id="rId46" Type="http://schemas.openxmlformats.org/officeDocument/2006/relationships/hyperlink" Target="https://doi.org/10.4103/ajps.ajps_77_22" TargetMode="External"/><Relationship Id="rId20" Type="http://schemas.openxmlformats.org/officeDocument/2006/relationships/hyperlink" Target="https://doi.org/10.3325/cmj.2019.60.378" TargetMode="External"/><Relationship Id="rId41" Type="http://schemas.openxmlformats.org/officeDocument/2006/relationships/hyperlink" Target="https://doi.org/10.7759/cureus.5289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F3BFA-A615-4F1D-B8D9-B570CA6B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TotalTime>
  <Pages>9</Pages>
  <Words>4915</Words>
  <Characters>28017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32867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2014-10-25T14:34:00Z</dcterms:created>
  <dcterms:modified xsi:type="dcterms:W3CDTF">2026-03-02T10:45:00Z</dcterms:modified>
</cp:coreProperties>
</file>