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C212" w14:textId="598A5318" w:rsidR="004919B6" w:rsidRDefault="004919B6" w:rsidP="00853802">
      <w:pPr>
        <w:jc w:val="both"/>
        <w:rPr>
          <w:rFonts w:ascii="Times New Roman" w:hAnsi="Times New Roman" w:cs="Times New Roman"/>
          <w:b/>
          <w:bCs/>
          <w:sz w:val="24"/>
          <w:szCs w:val="24"/>
        </w:rPr>
      </w:pPr>
      <w:r w:rsidRPr="004919B6">
        <w:rPr>
          <w:rFonts w:ascii="Times New Roman" w:hAnsi="Times New Roman" w:cs="Times New Roman"/>
          <w:b/>
          <w:bCs/>
          <w:sz w:val="24"/>
          <w:szCs w:val="24"/>
        </w:rPr>
        <w:t>Participatory Approaches in Natural Resource Management: A Socio-Economic Perspective</w:t>
      </w:r>
      <w:r w:rsidR="000A7282">
        <w:rPr>
          <w:rFonts w:ascii="Times New Roman" w:hAnsi="Times New Roman" w:cs="Times New Roman"/>
          <w:b/>
          <w:bCs/>
          <w:sz w:val="24"/>
          <w:szCs w:val="24"/>
        </w:rPr>
        <w:t xml:space="preserve"> </w:t>
      </w:r>
      <w:r w:rsidRPr="004919B6">
        <w:rPr>
          <w:rFonts w:ascii="Times New Roman" w:hAnsi="Times New Roman" w:cs="Times New Roman"/>
          <w:b/>
          <w:bCs/>
          <w:sz w:val="24"/>
          <w:szCs w:val="24"/>
        </w:rPr>
        <w:t>Review</w:t>
      </w:r>
    </w:p>
    <w:p w14:paraId="0469809D" w14:textId="77777777" w:rsidR="004C15AD" w:rsidRDefault="004C15AD" w:rsidP="00853802">
      <w:pPr>
        <w:jc w:val="both"/>
        <w:rPr>
          <w:rFonts w:ascii="Times New Roman" w:hAnsi="Times New Roman" w:cs="Times New Roman"/>
          <w:b/>
          <w:bCs/>
          <w:sz w:val="24"/>
          <w:szCs w:val="24"/>
        </w:rPr>
      </w:pPr>
    </w:p>
    <w:p w14:paraId="2D57DC17" w14:textId="77777777" w:rsidR="004C15AD" w:rsidRPr="002B620C" w:rsidRDefault="004C15AD">
      <w:pPr>
        <w:rPr>
          <w:rFonts w:ascii="Times New Roman" w:hAnsi="Times New Roman" w:cs="Times New Roman"/>
          <w:b/>
          <w:bCs/>
          <w:color w:val="2F5496" w:themeColor="accent1" w:themeShade="BF"/>
          <w:sz w:val="24"/>
          <w:szCs w:val="24"/>
        </w:rPr>
      </w:pPr>
      <w:bookmarkStart w:id="0" w:name="_GoBack"/>
      <w:bookmarkEnd w:id="0"/>
    </w:p>
    <w:p w14:paraId="7B489EAD" w14:textId="18CFAF60" w:rsidR="004919B6" w:rsidRDefault="004919B6" w:rsidP="002A6B9E">
      <w:pPr>
        <w:pBdr>
          <w:bottom w:val="single" w:sz="12" w:space="1" w:color="auto"/>
        </w:pBdr>
        <w:rPr>
          <w:rFonts w:ascii="Times New Roman" w:hAnsi="Times New Roman" w:cs="Times New Roman"/>
          <w:b/>
          <w:bCs/>
          <w:sz w:val="24"/>
          <w:szCs w:val="24"/>
        </w:rPr>
      </w:pPr>
      <w:r>
        <w:rPr>
          <w:rFonts w:ascii="Times New Roman" w:hAnsi="Times New Roman" w:cs="Times New Roman"/>
          <w:b/>
          <w:bCs/>
          <w:sz w:val="24"/>
          <w:szCs w:val="24"/>
        </w:rPr>
        <w:t>Abstract</w:t>
      </w:r>
    </w:p>
    <w:p w14:paraId="22230094" w14:textId="0C6BAC6E" w:rsidR="004919B6" w:rsidRPr="004919B6" w:rsidRDefault="00E6605C" w:rsidP="004919B6">
      <w:pPr>
        <w:jc w:val="both"/>
        <w:rPr>
          <w:rFonts w:ascii="Times New Roman" w:hAnsi="Times New Roman" w:cs="Times New Roman"/>
          <w:sz w:val="24"/>
          <w:szCs w:val="24"/>
        </w:rPr>
      </w:pPr>
      <w:r w:rsidRPr="00E6605C">
        <w:rPr>
          <w:rFonts w:ascii="Times New Roman" w:hAnsi="Times New Roman" w:cs="Times New Roman"/>
          <w:sz w:val="24"/>
          <w:szCs w:val="24"/>
        </w:rPr>
        <w:t>The management of natural resources has become a burning issue with the growing cases of environmental degradation, climatic changes and the lack of livelihoods especially in forest based and rural areas. Participatory methods in natural resources management have also been suggested as an inclusive and sustainable alternative in response to this to focus on the inclusion of local communities in the process of making decisions and governance. This review paper discusses the participatory strategies in natural resource management in socio economic perspective, particularly forestry. By relying on the theoretical frameworks pertaining to common property resources, collective action, and social capital, the paper integrates the findings of national and global research on participatory forestry, community forest management, and community-based natural resources management. This review identifies that participatory model like Joint Forest Management, community forestry and social forestry has been effective in ameliorating forest condition and at the same time enhancing the livelihoods of the rural population. Engagement in forest conservation, forest plantations and collection of non-timber forest products would offer them wages as well as additional income, thus making them less vulnerable in the face of forest-dependent households. The review also highlights how inclusive participation, especially of women and the marginalised makes social equity strong and enhances better governance results. The review finds that participatory methods are a potential channel in attaining sustainable management of natural resources and socio-economic development. It also highlights the existence of a research gap to micro-level and quantitative assess socio-economic outcomes which indicates the necessity of future research(s) combining livelihood analysis with institutional and governance measure</w:t>
      </w:r>
      <w:r w:rsidR="004919B6" w:rsidRPr="004919B6">
        <w:rPr>
          <w:rFonts w:ascii="Times New Roman" w:hAnsi="Times New Roman" w:cs="Times New Roman"/>
          <w:sz w:val="24"/>
          <w:szCs w:val="24"/>
        </w:rPr>
        <w:t>.</w:t>
      </w:r>
    </w:p>
    <w:p w14:paraId="24B7F0D0" w14:textId="6F1EECA8" w:rsidR="004919B6" w:rsidRPr="002A6B9E" w:rsidRDefault="002A6B9E">
      <w:pPr>
        <w:rPr>
          <w:rFonts w:ascii="Times New Roman" w:hAnsi="Times New Roman" w:cs="Times New Roman"/>
          <w:sz w:val="24"/>
          <w:szCs w:val="24"/>
        </w:rPr>
      </w:pPr>
      <w:r w:rsidRPr="002A6B9E">
        <w:rPr>
          <w:rFonts w:ascii="Times New Roman" w:hAnsi="Times New Roman" w:cs="Times New Roman"/>
          <w:sz w:val="24"/>
          <w:szCs w:val="24"/>
        </w:rPr>
        <w:t>Keywords: Participatory approach, natural resource management, community forestry, socio-economic impact, sustainability</w:t>
      </w:r>
    </w:p>
    <w:p w14:paraId="27B162DB" w14:textId="1071D78C" w:rsidR="004919B6" w:rsidRDefault="00F852C8">
      <w:pPr>
        <w:pBdr>
          <w:bottom w:val="single" w:sz="12" w:space="1" w:color="auto"/>
        </w:pBdr>
        <w:rPr>
          <w:rFonts w:ascii="Times New Roman" w:hAnsi="Times New Roman" w:cs="Times New Roman"/>
          <w:b/>
          <w:bCs/>
          <w:sz w:val="24"/>
          <w:szCs w:val="24"/>
        </w:rPr>
      </w:pPr>
      <w:r>
        <w:rPr>
          <w:rFonts w:ascii="Times New Roman" w:hAnsi="Times New Roman" w:cs="Times New Roman"/>
          <w:b/>
          <w:bCs/>
          <w:sz w:val="24"/>
          <w:szCs w:val="24"/>
        </w:rPr>
        <w:t>1.</w:t>
      </w:r>
      <w:r w:rsidR="002A6B9E">
        <w:rPr>
          <w:rFonts w:ascii="Times New Roman" w:hAnsi="Times New Roman" w:cs="Times New Roman"/>
          <w:b/>
          <w:bCs/>
          <w:sz w:val="24"/>
          <w:szCs w:val="24"/>
        </w:rPr>
        <w:t>Introduction:</w:t>
      </w:r>
    </w:p>
    <w:p w14:paraId="2194E724" w14:textId="0BD2032B" w:rsidR="005D2F1B" w:rsidRPr="00B90A69" w:rsidRDefault="005D2F1B" w:rsidP="002A6B9E">
      <w:pPr>
        <w:jc w:val="both"/>
        <w:rPr>
          <w:rFonts w:ascii="Times New Roman" w:hAnsi="Times New Roman" w:cs="Times New Roman"/>
          <w:b/>
          <w:bCs/>
          <w:sz w:val="24"/>
          <w:szCs w:val="24"/>
        </w:rPr>
      </w:pPr>
      <w:r w:rsidRPr="00B90A69">
        <w:rPr>
          <w:rFonts w:ascii="Times New Roman" w:hAnsi="Times New Roman" w:cs="Times New Roman"/>
          <w:b/>
          <w:bCs/>
          <w:sz w:val="24"/>
          <w:szCs w:val="24"/>
        </w:rPr>
        <w:t>1.1 Background</w:t>
      </w:r>
    </w:p>
    <w:p w14:paraId="01F147A6" w14:textId="0445F087"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Rural livelihoods and ecological stability are built upon natural resources like forests, land, water and biodiversity especially in the developing nations where a huge percentage of the society relies directly on the resources as a source of subsistence and income (FAO, 2010). Particularly forest ecosystems offer various goods and services such as fuelwood, fodder, timber, non-timber forest products and environmental services such as carbon sequestration and watershed functions (Arnold, 2001). Nevertheless, natural resources have been degraded massively due to rapid population increase, deforestation, over exploitation and climate variability which has created a lot of problems in terms of sustainability and rural wellbeing (FAO, 2012).</w:t>
      </w:r>
    </w:p>
    <w:p w14:paraId="2056515F" w14:textId="63E9C3FD"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lastRenderedPageBreak/>
        <w:t>Traditionally, the management of natural resources was largely controlled by centralized and state-based policies, which adopted regulation and protection by placing top-down administrative tools (Chambers, 1994). Although these methods were supposed to be resource saving, they were not sustainable in the long-term because of lack of direct engagement of the local communities, poor implementation and disregard of the indigenous knowledge systems (Agrawal and Gibson, 1999). Conflicts, illegal extraction and degradation as opposed to conservation were common phenomena in the forestry sector where communities that depended on forests were often excluded (Poffenberger, 1996).</w:t>
      </w:r>
    </w:p>
    <w:p w14:paraId="2A7C677B" w14:textId="77777777"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To these shortcomings, a new form of natural resource management came into focus in the form of participatory approaches which focuses on decentralization, community engagement, and shared responsibility (Pretty, 1995). Participatory Natural Resource Management (PNRM) does not treat local people as users of resources but as managers and custodians of the natural resources (Uphoff, 1992). This is based on the theory of common property resources that holds that shared efforts through collective action and locally developed institutions can effectively manage shared resources where there are correct rules and incentives (Ostrom, 1990).</w:t>
      </w:r>
    </w:p>
    <w:p w14:paraId="5FF48D5D" w14:textId="6B7E2547" w:rsid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One of the most eminent areas where participatory approaches have been used is in forestry. Joint Forest Management (JFM), community forest management and social forestry are some of the institutional arrangements that have been adopted in various countries such as India to encourage interaction between the forest department and the communities (Sundar </w:t>
      </w:r>
      <w:r w:rsidR="00B4579A" w:rsidRPr="00B4579A">
        <w:rPr>
          <w:rFonts w:ascii="Times New Roman" w:hAnsi="Times New Roman" w:cs="Times New Roman"/>
          <w:i/>
          <w:sz w:val="24"/>
          <w:szCs w:val="24"/>
        </w:rPr>
        <w:t>et al.</w:t>
      </w:r>
      <w:r w:rsidRPr="00E6605C">
        <w:rPr>
          <w:rFonts w:ascii="Times New Roman" w:hAnsi="Times New Roman" w:cs="Times New Roman"/>
          <w:sz w:val="24"/>
          <w:szCs w:val="24"/>
        </w:rPr>
        <w:t xml:space="preserve">, 2001). These are attempts to enhance the forest status as well as to support the livelihoods of the forest dependent families (Pagdee </w:t>
      </w:r>
      <w:r w:rsidR="00B4579A" w:rsidRPr="00B4579A">
        <w:rPr>
          <w:rFonts w:ascii="Times New Roman" w:hAnsi="Times New Roman" w:cs="Times New Roman"/>
          <w:i/>
          <w:sz w:val="24"/>
          <w:szCs w:val="24"/>
        </w:rPr>
        <w:t>et al.</w:t>
      </w:r>
      <w:r w:rsidRPr="00E6605C">
        <w:rPr>
          <w:rFonts w:ascii="Times New Roman" w:hAnsi="Times New Roman" w:cs="Times New Roman"/>
          <w:sz w:val="24"/>
          <w:szCs w:val="24"/>
        </w:rPr>
        <w:t>, 2006). The empirical evidence shows that participatory forestry has helped in regeneration of forests, decrease in illegal practices and increased accessibility of forest based resources by the local communities (FAO, 2010).</w:t>
      </w:r>
    </w:p>
    <w:p w14:paraId="3780BF33" w14:textId="0F490D29" w:rsidR="00331055" w:rsidRPr="00331055" w:rsidRDefault="00331055" w:rsidP="00E6605C">
      <w:pPr>
        <w:jc w:val="both"/>
        <w:rPr>
          <w:rFonts w:ascii="Times New Roman" w:hAnsi="Times New Roman" w:cs="Times New Roman"/>
          <w:b/>
          <w:bCs/>
          <w:sz w:val="24"/>
          <w:szCs w:val="24"/>
        </w:rPr>
      </w:pPr>
      <w:r w:rsidRPr="00331055">
        <w:rPr>
          <w:rFonts w:ascii="Times New Roman" w:hAnsi="Times New Roman" w:cs="Times New Roman"/>
          <w:b/>
          <w:bCs/>
          <w:sz w:val="24"/>
          <w:szCs w:val="24"/>
        </w:rPr>
        <w:t xml:space="preserve">1.2 </w:t>
      </w:r>
      <w:r w:rsidR="00E6605C">
        <w:rPr>
          <w:rFonts w:ascii="Times New Roman" w:hAnsi="Times New Roman" w:cs="Times New Roman"/>
          <w:b/>
          <w:bCs/>
          <w:sz w:val="24"/>
          <w:szCs w:val="24"/>
        </w:rPr>
        <w:t>S</w:t>
      </w:r>
      <w:r w:rsidRPr="00331055">
        <w:rPr>
          <w:rFonts w:ascii="Times New Roman" w:hAnsi="Times New Roman" w:cs="Times New Roman"/>
          <w:b/>
          <w:bCs/>
          <w:sz w:val="24"/>
          <w:szCs w:val="24"/>
        </w:rPr>
        <w:t>ocio-economic perspective</w:t>
      </w:r>
    </w:p>
    <w:p w14:paraId="3052E4A9" w14:textId="1529A57A"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Participatory natural resource management when viewed through the lens of socio-economic perspective does not only amount to keeping the environment clean, but it also means making money, creating employment, reducing poverty, and attempting to level the playing field (Meinzen-Dick </w:t>
      </w:r>
      <w:r w:rsidR="00B4579A" w:rsidRPr="00B4579A">
        <w:rPr>
          <w:rFonts w:ascii="Times New Roman" w:hAnsi="Times New Roman" w:cs="Times New Roman"/>
          <w:i/>
          <w:sz w:val="24"/>
          <w:szCs w:val="24"/>
        </w:rPr>
        <w:t>et al.</w:t>
      </w:r>
      <w:r w:rsidRPr="00E6605C">
        <w:rPr>
          <w:rFonts w:ascii="Times New Roman" w:hAnsi="Times New Roman" w:cs="Times New Roman"/>
          <w:sz w:val="24"/>
          <w:szCs w:val="24"/>
        </w:rPr>
        <w:t>, 2004). When individuals are engaged in the activities such as protecting forests, plantation work or collecting non-timber forest products, they can receive a wage and also take home some additional cash. The reason is that that dual income helps in sustaining families as well as making them less vulnerable and also makes them more secure particularly in rural locations (Arnold, 2001). Besides, watershed and forestry-oriented programs tend to decrease seasonal migration and increase food security (Kerr, 2002).</w:t>
      </w:r>
    </w:p>
    <w:p w14:paraId="771AE728" w14:textId="77777777" w:rsidR="00E6605C" w:rsidRPr="00E6605C" w:rsidRDefault="00E6605C" w:rsidP="00E6605C">
      <w:pPr>
        <w:jc w:val="both"/>
        <w:rPr>
          <w:rFonts w:ascii="Times New Roman" w:hAnsi="Times New Roman" w:cs="Times New Roman"/>
          <w:sz w:val="24"/>
          <w:szCs w:val="24"/>
        </w:rPr>
      </w:pPr>
    </w:p>
    <w:p w14:paraId="79FDDF2E" w14:textId="629BB8F5"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The other important aspect of this entire concept is that all individuals ought to be at the table. Research indicates that women and the marginalized groups gain more when they enter into the management of the forests because the general governance improves and the utilization of the resources becomes sustainable (Agarwal, 2010). The women in decision making positions not only serve the purpose of conserving the forests better, </w:t>
      </w:r>
      <w:r w:rsidRPr="00E6605C">
        <w:rPr>
          <w:rFonts w:ascii="Times New Roman" w:hAnsi="Times New Roman" w:cs="Times New Roman"/>
          <w:sz w:val="24"/>
          <w:szCs w:val="24"/>
        </w:rPr>
        <w:lastRenderedPageBreak/>
        <w:t>but also improve household welfare, which is a social benefit of inclusive governance at a greater level (Pretty and Ward, 2001).</w:t>
      </w:r>
    </w:p>
    <w:p w14:paraId="7A478433" w14:textId="0B1374D6"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Although it is evident that the merits are obvious, the number of bumps along the road remains quite large. The real challenges include weak institutions, disproportional involvement, elite grab -it-all impressions, and absence of policy support (Agrawal and Gibson, 1999). Very often, participation is only an illusion, and does not make much of a difference, hence damaging the possible socio-economic effect (World Bank, 2007). </w:t>
      </w:r>
    </w:p>
    <w:p w14:paraId="55629070" w14:textId="2D599A6B" w:rsidR="00331055" w:rsidRDefault="00331055" w:rsidP="002A6B9E">
      <w:pPr>
        <w:jc w:val="both"/>
        <w:rPr>
          <w:rFonts w:ascii="Times New Roman" w:hAnsi="Times New Roman" w:cs="Times New Roman"/>
          <w:b/>
          <w:bCs/>
          <w:sz w:val="24"/>
          <w:szCs w:val="24"/>
        </w:rPr>
      </w:pPr>
      <w:r w:rsidRPr="00331055">
        <w:rPr>
          <w:rFonts w:ascii="Times New Roman" w:hAnsi="Times New Roman" w:cs="Times New Roman"/>
          <w:b/>
          <w:bCs/>
          <w:sz w:val="24"/>
          <w:szCs w:val="24"/>
        </w:rPr>
        <w:t>1.3 Forest Cover Trend in India</w:t>
      </w:r>
    </w:p>
    <w:p w14:paraId="4D8F6C7C" w14:textId="6AD6020B" w:rsidR="00331055" w:rsidRDefault="00331055" w:rsidP="002A6B9E">
      <w:pPr>
        <w:jc w:val="both"/>
        <w:rPr>
          <w:rFonts w:ascii="Times New Roman" w:hAnsi="Times New Roman" w:cs="Times New Roman"/>
          <w:b/>
          <w:bCs/>
          <w:sz w:val="24"/>
          <w:szCs w:val="24"/>
        </w:rPr>
      </w:pPr>
      <w:r w:rsidRPr="00331055">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31055">
        <w:rPr>
          <w:rFonts w:ascii="Times New Roman" w:hAnsi="Times New Roman" w:cs="Times New Roman"/>
          <w:b/>
          <w:bCs/>
          <w:sz w:val="24"/>
          <w:szCs w:val="24"/>
        </w:rPr>
        <w:t>: India Forest Cover Trend (ISFR 2021 vs ISFR 2023)</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701"/>
        <w:gridCol w:w="1843"/>
        <w:gridCol w:w="2549"/>
      </w:tblGrid>
      <w:tr w:rsidR="00331055" w:rsidRPr="00331055" w14:paraId="1BF53968" w14:textId="77777777" w:rsidTr="00331055">
        <w:trPr>
          <w:trHeight w:val="472"/>
          <w:tblHeader/>
        </w:trPr>
        <w:tc>
          <w:tcPr>
            <w:tcW w:w="2263" w:type="dxa"/>
            <w:vAlign w:val="center"/>
            <w:hideMark/>
          </w:tcPr>
          <w:p w14:paraId="00CE209A"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Indicator</w:t>
            </w:r>
          </w:p>
        </w:tc>
        <w:tc>
          <w:tcPr>
            <w:tcW w:w="1701" w:type="dxa"/>
            <w:vAlign w:val="center"/>
            <w:hideMark/>
          </w:tcPr>
          <w:p w14:paraId="7EC56039" w14:textId="77777777" w:rsidR="00331055" w:rsidRPr="00331055" w:rsidRDefault="00331055" w:rsidP="00331055">
            <w:pPr>
              <w:jc w:val="center"/>
              <w:rPr>
                <w:rFonts w:ascii="Times New Roman" w:hAnsi="Times New Roman" w:cs="Times New Roman"/>
                <w:b/>
                <w:bCs/>
              </w:rPr>
            </w:pPr>
            <w:r w:rsidRPr="00331055">
              <w:rPr>
                <w:rFonts w:ascii="Times New Roman" w:hAnsi="Times New Roman" w:cs="Times New Roman"/>
                <w:b/>
                <w:bCs/>
              </w:rPr>
              <w:t>ISFR 2021</w:t>
            </w:r>
          </w:p>
        </w:tc>
        <w:tc>
          <w:tcPr>
            <w:tcW w:w="1843" w:type="dxa"/>
            <w:vAlign w:val="center"/>
            <w:hideMark/>
          </w:tcPr>
          <w:p w14:paraId="75097852" w14:textId="77777777" w:rsidR="00331055" w:rsidRPr="00331055" w:rsidRDefault="00331055" w:rsidP="00331055">
            <w:pPr>
              <w:jc w:val="center"/>
              <w:rPr>
                <w:rFonts w:ascii="Times New Roman" w:hAnsi="Times New Roman" w:cs="Times New Roman"/>
                <w:b/>
                <w:bCs/>
              </w:rPr>
            </w:pPr>
            <w:r w:rsidRPr="00331055">
              <w:rPr>
                <w:rFonts w:ascii="Times New Roman" w:hAnsi="Times New Roman" w:cs="Times New Roman"/>
                <w:b/>
                <w:bCs/>
              </w:rPr>
              <w:t>ISFR 2023</w:t>
            </w:r>
          </w:p>
        </w:tc>
        <w:tc>
          <w:tcPr>
            <w:tcW w:w="2549" w:type="dxa"/>
            <w:vAlign w:val="center"/>
            <w:hideMark/>
          </w:tcPr>
          <w:p w14:paraId="0759D2B6" w14:textId="6AE09D0D" w:rsidR="00331055" w:rsidRPr="00331055" w:rsidRDefault="00331055" w:rsidP="00331055">
            <w:pPr>
              <w:jc w:val="center"/>
              <w:rPr>
                <w:rFonts w:ascii="Times New Roman" w:hAnsi="Times New Roman" w:cs="Times New Roman"/>
                <w:b/>
                <w:bCs/>
              </w:rPr>
            </w:pPr>
            <w:r w:rsidRPr="00331055">
              <w:rPr>
                <w:rFonts w:ascii="Times New Roman" w:hAnsi="Times New Roman" w:cs="Times New Roman"/>
                <w:b/>
                <w:bCs/>
              </w:rPr>
              <w:t>Change (2021–23)</w:t>
            </w:r>
          </w:p>
        </w:tc>
      </w:tr>
      <w:tr w:rsidR="00331055" w:rsidRPr="00331055" w14:paraId="700B9D72" w14:textId="77777777" w:rsidTr="00331055">
        <w:trPr>
          <w:trHeight w:val="456"/>
        </w:trPr>
        <w:tc>
          <w:tcPr>
            <w:tcW w:w="2263" w:type="dxa"/>
            <w:vAlign w:val="center"/>
            <w:hideMark/>
          </w:tcPr>
          <w:p w14:paraId="29A8017B"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Forest Cover</w:t>
            </w:r>
          </w:p>
        </w:tc>
        <w:tc>
          <w:tcPr>
            <w:tcW w:w="1701" w:type="dxa"/>
            <w:vAlign w:val="center"/>
            <w:hideMark/>
          </w:tcPr>
          <w:p w14:paraId="04AF943C" w14:textId="51248DD6" w:rsidR="00331055" w:rsidRDefault="00331055" w:rsidP="00331055">
            <w:pPr>
              <w:jc w:val="center"/>
              <w:rPr>
                <w:rFonts w:ascii="Times New Roman" w:hAnsi="Times New Roman" w:cs="Times New Roman"/>
              </w:rPr>
            </w:pPr>
            <w:r w:rsidRPr="00331055">
              <w:rPr>
                <w:rFonts w:ascii="Times New Roman" w:hAnsi="Times New Roman" w:cs="Times New Roman"/>
              </w:rPr>
              <w:t>7,13,789 km</w:t>
            </w:r>
            <w:r w:rsidR="00853802" w:rsidRPr="00853802">
              <w:rPr>
                <w:rFonts w:ascii="Times New Roman" w:hAnsi="Times New Roman" w:cs="Times New Roman"/>
                <w:vertAlign w:val="superscript"/>
              </w:rPr>
              <w:t>2</w:t>
            </w:r>
          </w:p>
          <w:p w14:paraId="2D4D9617" w14:textId="45F5E06D"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(21.71%)</w:t>
            </w:r>
          </w:p>
        </w:tc>
        <w:tc>
          <w:tcPr>
            <w:tcW w:w="1843" w:type="dxa"/>
            <w:vAlign w:val="center"/>
            <w:hideMark/>
          </w:tcPr>
          <w:p w14:paraId="66BC54D0" w14:textId="530E4A2D" w:rsidR="00331055" w:rsidRDefault="00331055" w:rsidP="00331055">
            <w:pPr>
              <w:jc w:val="center"/>
              <w:rPr>
                <w:rFonts w:ascii="Times New Roman" w:hAnsi="Times New Roman" w:cs="Times New Roman"/>
              </w:rPr>
            </w:pPr>
            <w:r w:rsidRPr="00331055">
              <w:rPr>
                <w:rFonts w:ascii="Times New Roman" w:hAnsi="Times New Roman" w:cs="Times New Roman"/>
              </w:rPr>
              <w:t>7,15,343 km</w:t>
            </w:r>
            <w:r w:rsidR="00853802" w:rsidRPr="00853802">
              <w:rPr>
                <w:rFonts w:ascii="Times New Roman" w:hAnsi="Times New Roman" w:cs="Times New Roman"/>
                <w:vertAlign w:val="superscript"/>
              </w:rPr>
              <w:t>2</w:t>
            </w:r>
          </w:p>
          <w:p w14:paraId="1483B1FF" w14:textId="5ED68515"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(21.76%)</w:t>
            </w:r>
          </w:p>
        </w:tc>
        <w:tc>
          <w:tcPr>
            <w:tcW w:w="2549" w:type="dxa"/>
            <w:vAlign w:val="center"/>
            <w:hideMark/>
          </w:tcPr>
          <w:p w14:paraId="1B503B9C" w14:textId="7C3D5973" w:rsidR="00331055" w:rsidRPr="00331055" w:rsidRDefault="00331055" w:rsidP="00331055">
            <w:pPr>
              <w:jc w:val="center"/>
              <w:rPr>
                <w:rFonts w:ascii="Times New Roman" w:hAnsi="Times New Roman" w:cs="Times New Roman"/>
              </w:rPr>
            </w:pPr>
            <w:r w:rsidRPr="00331055">
              <w:rPr>
                <w:rFonts w:ascii="Times New Roman" w:hAnsi="Times New Roman" w:cs="Times New Roman"/>
              </w:rPr>
              <w:t>+156 km</w:t>
            </w:r>
            <w:r w:rsidR="00853802" w:rsidRPr="00853802">
              <w:rPr>
                <w:rFonts w:ascii="Times New Roman" w:hAnsi="Times New Roman" w:cs="Times New Roman"/>
                <w:vertAlign w:val="superscript"/>
              </w:rPr>
              <w:t>2</w:t>
            </w:r>
          </w:p>
        </w:tc>
      </w:tr>
      <w:tr w:rsidR="00331055" w:rsidRPr="00331055" w14:paraId="1DAA53A0" w14:textId="77777777" w:rsidTr="00331055">
        <w:trPr>
          <w:trHeight w:val="472"/>
        </w:trPr>
        <w:tc>
          <w:tcPr>
            <w:tcW w:w="2263" w:type="dxa"/>
            <w:vAlign w:val="center"/>
            <w:hideMark/>
          </w:tcPr>
          <w:p w14:paraId="08A40D16"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Tree Cover</w:t>
            </w:r>
          </w:p>
        </w:tc>
        <w:tc>
          <w:tcPr>
            <w:tcW w:w="1701" w:type="dxa"/>
            <w:vAlign w:val="center"/>
            <w:hideMark/>
          </w:tcPr>
          <w:p w14:paraId="06A3ECED" w14:textId="581D6075" w:rsidR="00331055" w:rsidRDefault="00331055" w:rsidP="00331055">
            <w:pPr>
              <w:jc w:val="center"/>
              <w:rPr>
                <w:rFonts w:ascii="Times New Roman" w:hAnsi="Times New Roman" w:cs="Times New Roman"/>
              </w:rPr>
            </w:pPr>
            <w:r w:rsidRPr="00331055">
              <w:rPr>
                <w:rFonts w:ascii="Times New Roman" w:hAnsi="Times New Roman" w:cs="Times New Roman"/>
              </w:rPr>
              <w:t>1,04,723 km</w:t>
            </w:r>
            <w:r w:rsidR="00853802" w:rsidRPr="00853802">
              <w:rPr>
                <w:rFonts w:ascii="Times New Roman" w:hAnsi="Times New Roman" w:cs="Times New Roman"/>
                <w:vertAlign w:val="superscript"/>
              </w:rPr>
              <w:t>2</w:t>
            </w:r>
          </w:p>
          <w:p w14:paraId="1896C369" w14:textId="59FB02AA"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(2.91%)</w:t>
            </w:r>
          </w:p>
        </w:tc>
        <w:tc>
          <w:tcPr>
            <w:tcW w:w="1843" w:type="dxa"/>
            <w:vAlign w:val="center"/>
            <w:hideMark/>
          </w:tcPr>
          <w:p w14:paraId="649450C0" w14:textId="4BC35B55" w:rsidR="00331055" w:rsidRDefault="00331055" w:rsidP="00331055">
            <w:pPr>
              <w:jc w:val="center"/>
              <w:rPr>
                <w:rFonts w:ascii="Times New Roman" w:hAnsi="Times New Roman" w:cs="Times New Roman"/>
              </w:rPr>
            </w:pPr>
            <w:r w:rsidRPr="00331055">
              <w:rPr>
                <w:rFonts w:ascii="Times New Roman" w:hAnsi="Times New Roman" w:cs="Times New Roman"/>
              </w:rPr>
              <w:t>1,12,014 km</w:t>
            </w:r>
            <w:r w:rsidR="00853802" w:rsidRPr="00853802">
              <w:rPr>
                <w:rFonts w:ascii="Times New Roman" w:hAnsi="Times New Roman" w:cs="Times New Roman"/>
                <w:vertAlign w:val="superscript"/>
              </w:rPr>
              <w:t>2</w:t>
            </w:r>
          </w:p>
          <w:p w14:paraId="6AD35262" w14:textId="0DA21F35" w:rsidR="00331055" w:rsidRPr="00331055" w:rsidRDefault="00331055" w:rsidP="00331055">
            <w:pPr>
              <w:jc w:val="center"/>
              <w:rPr>
                <w:rFonts w:ascii="Times New Roman" w:hAnsi="Times New Roman" w:cs="Times New Roman"/>
              </w:rPr>
            </w:pPr>
            <w:r w:rsidRPr="00331055">
              <w:rPr>
                <w:rFonts w:ascii="Times New Roman" w:hAnsi="Times New Roman" w:cs="Times New Roman"/>
              </w:rPr>
              <w:t>(3.41%)</w:t>
            </w:r>
          </w:p>
        </w:tc>
        <w:tc>
          <w:tcPr>
            <w:tcW w:w="2549" w:type="dxa"/>
            <w:vAlign w:val="center"/>
            <w:hideMark/>
          </w:tcPr>
          <w:p w14:paraId="480C5F21" w14:textId="5D444BCE" w:rsidR="00331055" w:rsidRPr="00331055" w:rsidRDefault="00331055" w:rsidP="00331055">
            <w:pPr>
              <w:jc w:val="center"/>
              <w:rPr>
                <w:rFonts w:ascii="Times New Roman" w:hAnsi="Times New Roman" w:cs="Times New Roman"/>
              </w:rPr>
            </w:pPr>
            <w:r w:rsidRPr="00331055">
              <w:rPr>
                <w:rFonts w:ascii="Times New Roman" w:hAnsi="Times New Roman" w:cs="Times New Roman"/>
              </w:rPr>
              <w:t>+1,289 km</w:t>
            </w:r>
            <w:r w:rsidR="00853802" w:rsidRPr="00853802">
              <w:rPr>
                <w:rFonts w:ascii="Times New Roman" w:hAnsi="Times New Roman" w:cs="Times New Roman"/>
                <w:vertAlign w:val="superscript"/>
              </w:rPr>
              <w:t>2</w:t>
            </w:r>
          </w:p>
        </w:tc>
      </w:tr>
      <w:tr w:rsidR="00331055" w:rsidRPr="00331055" w14:paraId="67935948" w14:textId="77777777" w:rsidTr="00331055">
        <w:trPr>
          <w:trHeight w:val="456"/>
        </w:trPr>
        <w:tc>
          <w:tcPr>
            <w:tcW w:w="2263" w:type="dxa"/>
            <w:vAlign w:val="center"/>
            <w:hideMark/>
          </w:tcPr>
          <w:p w14:paraId="2A56E46A"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Forest + Tree Cover</w:t>
            </w:r>
          </w:p>
        </w:tc>
        <w:tc>
          <w:tcPr>
            <w:tcW w:w="1701" w:type="dxa"/>
            <w:vAlign w:val="center"/>
            <w:hideMark/>
          </w:tcPr>
          <w:p w14:paraId="7522B02A" w14:textId="60CC2AC6" w:rsidR="00331055" w:rsidRDefault="00331055" w:rsidP="00331055">
            <w:pPr>
              <w:jc w:val="center"/>
              <w:rPr>
                <w:rFonts w:ascii="Times New Roman" w:hAnsi="Times New Roman" w:cs="Times New Roman"/>
              </w:rPr>
            </w:pPr>
            <w:r w:rsidRPr="00331055">
              <w:rPr>
                <w:rFonts w:ascii="Times New Roman" w:hAnsi="Times New Roman" w:cs="Times New Roman"/>
              </w:rPr>
              <w:t>8,18,512 km</w:t>
            </w:r>
            <w:r w:rsidR="00853802" w:rsidRPr="00853802">
              <w:rPr>
                <w:rFonts w:ascii="Times New Roman" w:hAnsi="Times New Roman" w:cs="Times New Roman"/>
                <w:vertAlign w:val="superscript"/>
              </w:rPr>
              <w:t>2</w:t>
            </w:r>
          </w:p>
          <w:p w14:paraId="62856E54" w14:textId="59C4FCCA"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(24.62%)</w:t>
            </w:r>
          </w:p>
        </w:tc>
        <w:tc>
          <w:tcPr>
            <w:tcW w:w="1843" w:type="dxa"/>
            <w:vAlign w:val="center"/>
            <w:hideMark/>
          </w:tcPr>
          <w:p w14:paraId="4FE31411" w14:textId="02D888DF" w:rsidR="00331055" w:rsidRDefault="00331055" w:rsidP="00331055">
            <w:pPr>
              <w:jc w:val="center"/>
              <w:rPr>
                <w:rFonts w:ascii="Times New Roman" w:hAnsi="Times New Roman" w:cs="Times New Roman"/>
              </w:rPr>
            </w:pPr>
            <w:r w:rsidRPr="00331055">
              <w:rPr>
                <w:rFonts w:ascii="Times New Roman" w:hAnsi="Times New Roman" w:cs="Times New Roman"/>
              </w:rPr>
              <w:t>8,27,357 km</w:t>
            </w:r>
            <w:r w:rsidR="00853802" w:rsidRPr="00853802">
              <w:rPr>
                <w:rFonts w:ascii="Times New Roman" w:hAnsi="Times New Roman" w:cs="Times New Roman"/>
                <w:vertAlign w:val="superscript"/>
              </w:rPr>
              <w:t>2</w:t>
            </w:r>
          </w:p>
          <w:p w14:paraId="33E672B8" w14:textId="28EAB9B5"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(25.17%)</w:t>
            </w:r>
          </w:p>
        </w:tc>
        <w:tc>
          <w:tcPr>
            <w:tcW w:w="2549" w:type="dxa"/>
            <w:vAlign w:val="center"/>
            <w:hideMark/>
          </w:tcPr>
          <w:p w14:paraId="2ACBCD65" w14:textId="7DB9B20A" w:rsidR="00331055" w:rsidRPr="00331055" w:rsidRDefault="00331055" w:rsidP="00331055">
            <w:pPr>
              <w:jc w:val="center"/>
              <w:rPr>
                <w:rFonts w:ascii="Times New Roman" w:hAnsi="Times New Roman" w:cs="Times New Roman"/>
              </w:rPr>
            </w:pPr>
            <w:r w:rsidRPr="00331055">
              <w:rPr>
                <w:rFonts w:ascii="Times New Roman" w:hAnsi="Times New Roman" w:cs="Times New Roman"/>
              </w:rPr>
              <w:t>+1,445 km</w:t>
            </w:r>
            <w:r w:rsidR="00853802" w:rsidRPr="00853802">
              <w:rPr>
                <w:rFonts w:ascii="Times New Roman" w:hAnsi="Times New Roman" w:cs="Times New Roman"/>
                <w:vertAlign w:val="superscript"/>
              </w:rPr>
              <w:t>2</w:t>
            </w:r>
          </w:p>
        </w:tc>
      </w:tr>
    </w:tbl>
    <w:p w14:paraId="48EB00C8" w14:textId="625CBF0D" w:rsidR="00331055" w:rsidRDefault="00B4579A" w:rsidP="00331055">
      <w:pPr>
        <w:jc w:val="both"/>
        <w:rPr>
          <w:rFonts w:ascii="Times New Roman" w:hAnsi="Times New Roman" w:cs="Times New Roman"/>
          <w:b/>
          <w:bCs/>
          <w:sz w:val="24"/>
          <w:szCs w:val="24"/>
        </w:rPr>
      </w:pPr>
      <w:r w:rsidRPr="00331055">
        <w:rPr>
          <w:rFonts w:ascii="Times New Roman" w:hAnsi="Times New Roman" w:cs="Times New Roman"/>
          <w:b/>
          <w:bCs/>
          <w:noProof/>
          <w:sz w:val="24"/>
          <w:szCs w:val="24"/>
        </w:rPr>
        <w:drawing>
          <wp:anchor distT="0" distB="0" distL="114300" distR="114300" simplePos="0" relativeHeight="251659264" behindDoc="0" locked="0" layoutInCell="1" allowOverlap="1" wp14:anchorId="0F16571C" wp14:editId="1CA40A2A">
            <wp:simplePos x="0" y="0"/>
            <wp:positionH relativeFrom="column">
              <wp:posOffset>748811</wp:posOffset>
            </wp:positionH>
            <wp:positionV relativeFrom="paragraph">
              <wp:posOffset>360729</wp:posOffset>
            </wp:positionV>
            <wp:extent cx="3611245" cy="2676525"/>
            <wp:effectExtent l="0" t="0" r="8255" b="9525"/>
            <wp:wrapTopAndBottom/>
            <wp:docPr id="1427877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rotWithShape="1">
                    <a:blip r:embed="rId7">
                      <a:extLst>
                        <a:ext uri="{28A0092B-C50C-407E-A947-70E740481C1C}">
                          <a14:useLocalDpi xmlns:a14="http://schemas.microsoft.com/office/drawing/2010/main" val="0"/>
                        </a:ext>
                      </a:extLst>
                    </a:blip>
                    <a:srcRect t="5421"/>
                    <a:stretch/>
                  </pic:blipFill>
                  <pic:spPr bwMode="auto">
                    <a:xfrm>
                      <a:off x="0" y="0"/>
                      <a:ext cx="3611245" cy="2676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1055" w:rsidRPr="00331055">
        <w:rPr>
          <w:rFonts w:ascii="Times New Roman" w:hAnsi="Times New Roman" w:cs="Times New Roman"/>
          <w:b/>
          <w:bCs/>
          <w:sz w:val="24"/>
          <w:szCs w:val="24"/>
        </w:rPr>
        <w:t xml:space="preserve">Sources: India State of Forest Report 2021 </w:t>
      </w:r>
      <w:r w:rsidR="00371CB1">
        <w:rPr>
          <w:rFonts w:ascii="Times New Roman" w:hAnsi="Times New Roman" w:cs="Times New Roman"/>
          <w:b/>
          <w:bCs/>
          <w:sz w:val="24"/>
          <w:szCs w:val="24"/>
        </w:rPr>
        <w:t>and</w:t>
      </w:r>
      <w:r w:rsidR="00331055" w:rsidRPr="00331055">
        <w:rPr>
          <w:rFonts w:ascii="Times New Roman" w:hAnsi="Times New Roman" w:cs="Times New Roman"/>
          <w:b/>
          <w:bCs/>
          <w:sz w:val="24"/>
          <w:szCs w:val="24"/>
        </w:rPr>
        <w:t xml:space="preserve"> 2023 (FSI).</w:t>
      </w:r>
    </w:p>
    <w:p w14:paraId="78B61A88" w14:textId="759716D9" w:rsidR="00331055" w:rsidRPr="007F2DAC" w:rsidRDefault="00331055" w:rsidP="002A6B9E">
      <w:pPr>
        <w:jc w:val="both"/>
        <w:rPr>
          <w:rFonts w:ascii="Times New Roman" w:hAnsi="Times New Roman" w:cs="Times New Roman"/>
          <w:b/>
          <w:bCs/>
        </w:rPr>
      </w:pPr>
      <w:r w:rsidRPr="007F2DAC">
        <w:rPr>
          <w:rFonts w:ascii="Times New Roman" w:hAnsi="Times New Roman" w:cs="Times New Roman"/>
          <w:b/>
          <w:bCs/>
        </w:rPr>
        <w:t>Fig 1. Trend in India’s forest cover based on ISFR 2021 and ISFR 2023 (FSI).</w:t>
      </w:r>
    </w:p>
    <w:p w14:paraId="5ED90DB5" w14:textId="77777777" w:rsidR="002B620C" w:rsidRPr="00331055" w:rsidRDefault="002B620C" w:rsidP="002A6B9E">
      <w:pPr>
        <w:jc w:val="both"/>
        <w:rPr>
          <w:rFonts w:ascii="Times New Roman" w:hAnsi="Times New Roman" w:cs="Times New Roman"/>
          <w:b/>
          <w:bCs/>
          <w:sz w:val="24"/>
          <w:szCs w:val="24"/>
        </w:rPr>
      </w:pPr>
    </w:p>
    <w:p w14:paraId="51332C32" w14:textId="348149AB" w:rsidR="00050D73" w:rsidRDefault="00F852C8" w:rsidP="00050D73">
      <w:pPr>
        <w:pBdr>
          <w:bottom w:val="single" w:sz="12" w:space="1" w:color="auto"/>
        </w:pBd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050D73" w:rsidRPr="00050D73">
        <w:rPr>
          <w:rFonts w:ascii="Times New Roman" w:hAnsi="Times New Roman" w:cs="Times New Roman"/>
          <w:b/>
          <w:bCs/>
          <w:sz w:val="24"/>
          <w:szCs w:val="24"/>
        </w:rPr>
        <w:t>Conceptual and Theoretical Framework</w:t>
      </w:r>
    </w:p>
    <w:p w14:paraId="3333494A" w14:textId="77777777" w:rsidR="00050D73" w:rsidRPr="00050D73" w:rsidRDefault="00050D73" w:rsidP="00050D73">
      <w:pPr>
        <w:jc w:val="both"/>
        <w:rPr>
          <w:rFonts w:ascii="Times New Roman" w:hAnsi="Times New Roman" w:cs="Times New Roman"/>
          <w:b/>
          <w:bCs/>
          <w:sz w:val="24"/>
          <w:szCs w:val="24"/>
        </w:rPr>
      </w:pPr>
      <w:r w:rsidRPr="00050D73">
        <w:rPr>
          <w:rFonts w:ascii="Times New Roman" w:hAnsi="Times New Roman" w:cs="Times New Roman"/>
          <w:b/>
          <w:bCs/>
          <w:sz w:val="24"/>
          <w:szCs w:val="24"/>
        </w:rPr>
        <w:t>2.1 Participatory Approach in Natural Resource Management</w:t>
      </w:r>
    </w:p>
    <w:p w14:paraId="542E5555" w14:textId="785819D2"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Participatory strategies in the realm of natural resources management revolve entirely around involving local communities, resource users, and other parties in the process of </w:t>
      </w:r>
      <w:r w:rsidRPr="0003759D">
        <w:rPr>
          <w:rFonts w:ascii="Times New Roman" w:hAnsi="Times New Roman" w:cs="Times New Roman"/>
          <w:sz w:val="24"/>
          <w:szCs w:val="24"/>
        </w:rPr>
        <w:lastRenderedPageBreak/>
        <w:t>making decisions, and this process includes planning, actual implementation and monitoring of the same (Chambers, 1994). In contrast to the top-down style with which we are used to, this model recognizes that local people possess good indigenous knowledge of years of engagement with the surrounding (Pretty, 1995). Also, participation increases local ownership, accountability and compliance, which are vital in management of forests as well as common resources (Uphoff, 1992).</w:t>
      </w:r>
    </w:p>
    <w:p w14:paraId="4FBA577C" w14:textId="77777777"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In the case of forestry, these participatory practices are aimed at integrating conservation objectives and daily livelihoods of people reliant on the forest (FAO, 2010). This will reduce the conflicts between forest departments and the locals by drawing the communities into the protection and management processes, and yet, pushing sustainable utilization of resources (Agrawal and Gibson, 1999). Participation is not only a consult, but a collective responsibility and authentic decision-making.</w:t>
      </w:r>
    </w:p>
    <w:p w14:paraId="78CFFCBF" w14:textId="68459036"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2.2 Participatory Rural Appraisal (PRA) as a Tool for Participation</w:t>
      </w:r>
    </w:p>
    <w:p w14:paraId="619A6AA1" w14:textId="77777777"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Participatory Rural Appraisal (PRA) is a popular model of methodology that was developed to make communities participate in the developmental and managerial processes of natural resources (Chambers, 1994). Some of the tools used by PRA to allow the local communities to be able to analyze their socio-economic and environmental conditions are: resource mapping, seasonal calendars, transect walks and focus group discussion (Cornwall, 2008). These tools assist in the identification of local priorities, resource limitations as well as possible management approaches.</w:t>
      </w:r>
    </w:p>
    <w:p w14:paraId="360326B5" w14:textId="77777777"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PRA has also played a pivotal role in the inclusion of community views in the process of forest planning and monitoring in the context of the forestry and natural resource management (FAO, 2010). PRA can be used to improve transparency, facilitate trust between communities and institutions, as well as improve local power to action (Pretty, 1995). PRA is therefore an expedient basis through which the application of participatory strategies can be applied in management of forestry-based natural resources.</w:t>
      </w:r>
    </w:p>
    <w:p w14:paraId="15EE7DDB" w14:textId="2F6AF9F0"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2.3 Common Property Resource (CPR) Theory</w:t>
      </w:r>
    </w:p>
    <w:p w14:paraId="1A808E8C" w14:textId="77777777"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Participatory natural resource management has a close relationship with the Common Property Resource (CPR) theory as its theoretical basis. Forests, grazing lands, and water bodies are examples of CPRs which are difficult to exclude and cannot be subtracted (Ostrom, 1990). The common belief was that common resources are bound to be overexploited but this assumption has not been proved right by empirical data.</w:t>
      </w:r>
    </w:p>
    <w:p w14:paraId="409EB391" w14:textId="77777777"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Ostrom (1990) showed that the local communities can manage the common resources in a sustainable manner by specifying rules, making decisions together and by having effective monitoring measures. Community-based management systems in the forestry have indicated that collective action can prevent the degradation of resources when socially embedded institutions that are locally legitimate are present and in place (Agrawal and Gibson, 1999). CPR theory therefore gives a good reason behind the participatory approaches, as the local government and the collective responsibility plays a significant role in the sustainability of resources.</w:t>
      </w:r>
    </w:p>
    <w:p w14:paraId="303B23A8" w14:textId="1F9C0CAB"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2.4 Social Capital and Collective Action</w:t>
      </w:r>
    </w:p>
    <w:p w14:paraId="3DE0F8EB" w14:textId="77777777"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lastRenderedPageBreak/>
        <w:t>Social capital which can be defined as networks, norms as well as trusts that enable coordination and collaboration are very important in participatory natural resource management (Pretty and Ward, 2001). When social capital is high, collective action is increased because social capital reduces the cost of transactions, increases cooperation and enhances conflict management systems (Uphoff, 1992). Trust among the community members, and between the communities and the institutions is necessary in forestry-based systems to achieve long-term conservation results.</w:t>
      </w:r>
    </w:p>
    <w:p w14:paraId="5A8BBF5B" w14:textId="6486AC78"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Research has shown that in societies with good social cohesion and well-functioning local institutions, participatory forestry programmes have a higher success rate (Pagdee </w:t>
      </w:r>
      <w:r w:rsidR="00B4579A" w:rsidRPr="00B4579A">
        <w:rPr>
          <w:rFonts w:ascii="Times New Roman" w:hAnsi="Times New Roman" w:cs="Times New Roman"/>
          <w:i/>
          <w:sz w:val="24"/>
          <w:szCs w:val="24"/>
        </w:rPr>
        <w:t>et al.</w:t>
      </w:r>
      <w:r w:rsidRPr="0003759D">
        <w:rPr>
          <w:rFonts w:ascii="Times New Roman" w:hAnsi="Times New Roman" w:cs="Times New Roman"/>
          <w:sz w:val="24"/>
          <w:szCs w:val="24"/>
        </w:rPr>
        <w:t xml:space="preserve">, 2006). Social capital allows collective action that enforces rules addressing forest protection, controls extraction of resources, and allocates benefits equally (Meinzen-Dick </w:t>
      </w:r>
      <w:r w:rsidR="00B4579A" w:rsidRPr="00B4579A">
        <w:rPr>
          <w:rFonts w:ascii="Times New Roman" w:hAnsi="Times New Roman" w:cs="Times New Roman"/>
          <w:i/>
          <w:sz w:val="24"/>
          <w:szCs w:val="24"/>
        </w:rPr>
        <w:t>et al.</w:t>
      </w:r>
      <w:r w:rsidRPr="0003759D">
        <w:rPr>
          <w:rFonts w:ascii="Times New Roman" w:hAnsi="Times New Roman" w:cs="Times New Roman"/>
          <w:sz w:val="24"/>
          <w:szCs w:val="24"/>
        </w:rPr>
        <w:t>, 2004). Thus, social capital is a facilitating phenomenon between participation and sustainable socio-economic and environmental impacts.</w:t>
      </w:r>
    </w:p>
    <w:p w14:paraId="5D6E4AFB" w14:textId="4FCF30B0"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2.5 Institutional Framework and Governance</w:t>
      </w:r>
    </w:p>
    <w:p w14:paraId="6B3F7472" w14:textId="77777777" w:rsidR="00050D73" w:rsidRPr="00050D73" w:rsidRDefault="00050D73" w:rsidP="00050D73">
      <w:pPr>
        <w:jc w:val="both"/>
        <w:rPr>
          <w:rFonts w:ascii="Times New Roman" w:hAnsi="Times New Roman" w:cs="Times New Roman"/>
          <w:sz w:val="24"/>
          <w:szCs w:val="24"/>
        </w:rPr>
      </w:pPr>
      <w:r w:rsidRPr="00050D73">
        <w:rPr>
          <w:rFonts w:ascii="Times New Roman" w:hAnsi="Times New Roman" w:cs="Times New Roman"/>
          <w:sz w:val="24"/>
          <w:szCs w:val="24"/>
        </w:rPr>
        <w:t>Institutions play a central role in shaping participatory natural resource management outcomes. Local institutions such as forest protection committees, village councils, and user groups provide organizational platforms for participation and collective decision-making (Uphoff, 1992). Effective institutional arrangements clarify roles and responsibilities, establish benefit-sharing mechanisms, and ensure accountability (FAO, 2010).</w:t>
      </w:r>
    </w:p>
    <w:p w14:paraId="032810DC" w14:textId="7CD9BA78" w:rsidR="00050D73" w:rsidRPr="00050D73" w:rsidRDefault="00050D73" w:rsidP="00050D73">
      <w:pPr>
        <w:jc w:val="both"/>
        <w:rPr>
          <w:rFonts w:ascii="Times New Roman" w:hAnsi="Times New Roman" w:cs="Times New Roman"/>
          <w:sz w:val="24"/>
          <w:szCs w:val="24"/>
        </w:rPr>
      </w:pPr>
      <w:r w:rsidRPr="00050D73">
        <w:rPr>
          <w:rFonts w:ascii="Times New Roman" w:hAnsi="Times New Roman" w:cs="Times New Roman"/>
          <w:sz w:val="24"/>
          <w:szCs w:val="24"/>
        </w:rPr>
        <w:t xml:space="preserve">In the forestry sector, institutional frameworks like Joint Forest Management illustrate how formal state institutions and informal community institutions can collaborate for resource governance (Poffenberger, 1996). However, weak institutional capacity and lack of legal empowerment often limit meaningful participation (Agrawal </w:t>
      </w:r>
      <w:r w:rsidR="00371CB1">
        <w:rPr>
          <w:rFonts w:ascii="Times New Roman" w:hAnsi="Times New Roman" w:cs="Times New Roman"/>
          <w:sz w:val="24"/>
          <w:szCs w:val="24"/>
        </w:rPr>
        <w:t>and</w:t>
      </w:r>
      <w:r w:rsidRPr="00050D73">
        <w:rPr>
          <w:rFonts w:ascii="Times New Roman" w:hAnsi="Times New Roman" w:cs="Times New Roman"/>
          <w:sz w:val="24"/>
          <w:szCs w:val="24"/>
        </w:rPr>
        <w:t xml:space="preserve"> Gibson, 1999). Strengthening institutional frameworks is therefore essential for translating participatory principles into tangible socio-economic benefits.</w:t>
      </w:r>
    </w:p>
    <w:p w14:paraId="1E5CF7DF" w14:textId="45019553" w:rsidR="00050D73" w:rsidRDefault="00050D73" w:rsidP="0003784E">
      <w:pPr>
        <w:jc w:val="both"/>
        <w:rPr>
          <w:rFonts w:ascii="Times New Roman" w:hAnsi="Times New Roman" w:cs="Times New Roman"/>
          <w:b/>
          <w:bCs/>
          <w:sz w:val="24"/>
          <w:szCs w:val="24"/>
        </w:rPr>
      </w:pPr>
      <w:r w:rsidRPr="00050D73">
        <w:rPr>
          <w:rFonts w:ascii="Times New Roman" w:hAnsi="Times New Roman" w:cs="Times New Roman"/>
          <w:b/>
          <w:bCs/>
          <w:sz w:val="24"/>
          <w:szCs w:val="24"/>
        </w:rPr>
        <w:t xml:space="preserve">2.6 </w:t>
      </w:r>
      <w:r w:rsidR="0003784E" w:rsidRPr="0003784E">
        <w:rPr>
          <w:rFonts w:ascii="Times New Roman" w:hAnsi="Times New Roman" w:cs="Times New Roman"/>
          <w:b/>
          <w:bCs/>
          <w:sz w:val="24"/>
          <w:szCs w:val="24"/>
        </w:rPr>
        <w:t>Levels of Participation</w:t>
      </w:r>
    </w:p>
    <w:p w14:paraId="03BD83F8"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The Ladder of citizen participation by Arnstein (1969) offers an incisive model on which to gauge how well or how deeply people engage in the processes of governance. The model takes the conceptualization of participation as a spectrum of redistribution of power where a non-participation to full citizen control can be seen in participation. Arnstein (1969) distinguishes between eight levels in three groups; non-participation (manipulation, therapy), tokenism (informing, consultation, placation), and citizen power (partnership, delegated power, citizen control). This model emphasizes that simple consultation or information exchange is not meaning to be involved in the decision-making process unless there is true sharing of power.</w:t>
      </w:r>
    </w:p>
    <w:p w14:paraId="0B5E5144" w14:textId="2714201A" w:rsidR="00794449" w:rsidRDefault="00902584" w:rsidP="00794449">
      <w:pPr>
        <w:jc w:val="both"/>
        <w:rPr>
          <w:rFonts w:ascii="Times New Roman" w:hAnsi="Times New Roman" w:cs="Times New Roman"/>
          <w:sz w:val="24"/>
          <w:szCs w:val="24"/>
        </w:rPr>
      </w:pPr>
      <w:r w:rsidRPr="0003784E">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422190AE" wp14:editId="626530A2">
            <wp:simplePos x="0" y="0"/>
            <wp:positionH relativeFrom="column">
              <wp:posOffset>1306195</wp:posOffset>
            </wp:positionH>
            <wp:positionV relativeFrom="paragraph">
              <wp:posOffset>1280160</wp:posOffset>
            </wp:positionV>
            <wp:extent cx="2974975" cy="3495675"/>
            <wp:effectExtent l="0" t="0" r="0" b="9525"/>
            <wp:wrapTopAndBottom/>
            <wp:docPr id="47798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85239" name=""/>
                    <pic:cNvPicPr/>
                  </pic:nvPicPr>
                  <pic:blipFill>
                    <a:blip r:embed="rId8">
                      <a:extLst>
                        <a:ext uri="{28A0092B-C50C-407E-A947-70E740481C1C}">
                          <a14:useLocalDpi xmlns:a14="http://schemas.microsoft.com/office/drawing/2010/main" val="0"/>
                        </a:ext>
                      </a:extLst>
                    </a:blip>
                    <a:stretch>
                      <a:fillRect/>
                    </a:stretch>
                  </pic:blipFill>
                  <pic:spPr>
                    <a:xfrm>
                      <a:off x="0" y="0"/>
                      <a:ext cx="2974975" cy="3495675"/>
                    </a:xfrm>
                    <a:prstGeom prst="rect">
                      <a:avLst/>
                    </a:prstGeom>
                  </pic:spPr>
                </pic:pic>
              </a:graphicData>
            </a:graphic>
            <wp14:sizeRelH relativeFrom="margin">
              <wp14:pctWidth>0</wp14:pctWidth>
            </wp14:sizeRelH>
            <wp14:sizeRelV relativeFrom="margin">
              <wp14:pctHeight>0</wp14:pctHeight>
            </wp14:sizeRelV>
          </wp:anchor>
        </w:drawing>
      </w:r>
      <w:r w:rsidR="00794449" w:rsidRPr="00794449">
        <w:rPr>
          <w:rFonts w:ascii="Times New Roman" w:hAnsi="Times New Roman" w:cs="Times New Roman"/>
          <w:sz w:val="24"/>
          <w:szCs w:val="24"/>
        </w:rPr>
        <w:t>When applied to the context of participatory natural resource management, especially forestry, the typology provided by Arnstein can be used as an analytical tool that helps distinguish between the symbolic participation and the arrangement of power-sharing. Most of the forestry projects termed to be participatory are mainly at the consultation stage where the communities are consulted but they have no power to make decisions (Agrawal and Gibson, 1999).</w:t>
      </w:r>
    </w:p>
    <w:p w14:paraId="79A8B7E2" w14:textId="3CF5CE85" w:rsidR="00794449" w:rsidRPr="007F2DAC" w:rsidRDefault="0003784E" w:rsidP="007F2DAC">
      <w:pPr>
        <w:jc w:val="center"/>
        <w:rPr>
          <w:rFonts w:ascii="Times New Roman" w:hAnsi="Times New Roman" w:cs="Times New Roman"/>
          <w:b/>
          <w:bCs/>
        </w:rPr>
      </w:pPr>
      <w:r w:rsidRPr="007F2DAC">
        <w:rPr>
          <w:rFonts w:ascii="Times New Roman" w:hAnsi="Times New Roman" w:cs="Times New Roman"/>
          <w:b/>
          <w:bCs/>
        </w:rPr>
        <w:t>Fig</w:t>
      </w:r>
      <w:r w:rsidR="00902584" w:rsidRPr="007F2DAC">
        <w:rPr>
          <w:rFonts w:ascii="Times New Roman" w:hAnsi="Times New Roman" w:cs="Times New Roman"/>
          <w:b/>
          <w:bCs/>
        </w:rPr>
        <w:t>.</w:t>
      </w:r>
      <w:r w:rsidRPr="007F2DAC">
        <w:rPr>
          <w:rFonts w:ascii="Times New Roman" w:hAnsi="Times New Roman" w:cs="Times New Roman"/>
          <w:b/>
          <w:bCs/>
        </w:rPr>
        <w:t xml:space="preserve"> </w:t>
      </w:r>
      <w:r w:rsidR="00204538" w:rsidRPr="007F2DAC">
        <w:rPr>
          <w:rFonts w:ascii="Times New Roman" w:hAnsi="Times New Roman" w:cs="Times New Roman"/>
          <w:b/>
          <w:bCs/>
        </w:rPr>
        <w:t>2</w:t>
      </w:r>
      <w:r w:rsidRPr="007F2DAC">
        <w:rPr>
          <w:rFonts w:ascii="Times New Roman" w:hAnsi="Times New Roman" w:cs="Times New Roman"/>
          <w:b/>
          <w:bCs/>
        </w:rPr>
        <w:t>. Eight rungs on the ladder of citizen participation</w:t>
      </w:r>
    </w:p>
    <w:p w14:paraId="69F084D6" w14:textId="77777777" w:rsidR="00A726F6" w:rsidRDefault="00A726F6" w:rsidP="00A726F6">
      <w:pPr>
        <w:pBdr>
          <w:bottom w:val="single" w:sz="12" w:space="1" w:color="auto"/>
        </w:pBdr>
        <w:rPr>
          <w:rFonts w:ascii="Times New Roman" w:hAnsi="Times New Roman" w:cs="Times New Roman"/>
          <w:b/>
          <w:bCs/>
          <w:sz w:val="24"/>
          <w:szCs w:val="24"/>
        </w:rPr>
      </w:pPr>
      <w:r w:rsidRPr="00A726F6">
        <w:rPr>
          <w:rFonts w:ascii="Times New Roman" w:hAnsi="Times New Roman" w:cs="Times New Roman"/>
          <w:b/>
          <w:bCs/>
          <w:sz w:val="24"/>
          <w:szCs w:val="24"/>
        </w:rPr>
        <w:t>3. Participatory Approaches in Forestry</w:t>
      </w:r>
    </w:p>
    <w:p w14:paraId="15A32040" w14:textId="380F5C5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Policy Shift and Institutional Reform: There was a shift in the policy and institutional reform of the company.</w:t>
      </w:r>
      <w:r>
        <w:rPr>
          <w:rFonts w:ascii="Times New Roman" w:hAnsi="Times New Roman" w:cs="Times New Roman"/>
          <w:sz w:val="24"/>
          <w:szCs w:val="24"/>
        </w:rPr>
        <w:t xml:space="preserve"> </w:t>
      </w:r>
      <w:r w:rsidRPr="00794449">
        <w:rPr>
          <w:rFonts w:ascii="Times New Roman" w:hAnsi="Times New Roman" w:cs="Times New Roman"/>
          <w:sz w:val="24"/>
          <w:szCs w:val="24"/>
        </w:rPr>
        <w:t xml:space="preserve">In India, the historical nature of forestry has been centralized involving forest departments playing main authority in management, regulation as well as deriving revenue (Sundar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2001). This kind of centralized system tended to marginalize the community that relied on forest and restricted participation in the decision making. Exclusionary policies were also a contributor to conflicts, loss of resources and poor local stewardship over time.</w:t>
      </w:r>
    </w:p>
    <w:p w14:paraId="2E1904F4"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A major policy change happened with the National Forest Policy of 1988 which acknowledged the role of community in the protection and regeneration of forests (FAO, 2010). This reform saw the shift of the revenue-based forestry to the conservation approach which focused on the local participation. Participatory Forest Management (PFM) was developed in this context as an institutional process aimed at fostering the cooperation between the state agencies and communities (Balooni, 2002). Although the reform heralded decentralization, the degree of real transfer of power was to be found differently in the different regions in relation to the level of administrative commitment and institutional design (Agrawal and Gibson, 1999). Therefore, participatory forestry in India is a structural change and a developing governance trial.</w:t>
      </w:r>
    </w:p>
    <w:p w14:paraId="10DFC5FB" w14:textId="77777777" w:rsidR="00794449" w:rsidRPr="00794449" w:rsidRDefault="00794449" w:rsidP="00794449">
      <w:pPr>
        <w:jc w:val="both"/>
        <w:rPr>
          <w:rFonts w:ascii="Times New Roman" w:hAnsi="Times New Roman" w:cs="Times New Roman"/>
          <w:b/>
          <w:bCs/>
          <w:sz w:val="24"/>
          <w:szCs w:val="24"/>
        </w:rPr>
      </w:pPr>
      <w:r w:rsidRPr="00794449">
        <w:rPr>
          <w:rFonts w:ascii="Times New Roman" w:hAnsi="Times New Roman" w:cs="Times New Roman"/>
          <w:b/>
          <w:bCs/>
          <w:sz w:val="24"/>
          <w:szCs w:val="24"/>
        </w:rPr>
        <w:lastRenderedPageBreak/>
        <w:t>3.2 Joint Forest Management (JFM)</w:t>
      </w:r>
    </w:p>
    <w:p w14:paraId="2CF59B38" w14:textId="3ED82459" w:rsidR="004116C4"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The most evident institutional model of participatory forestry in India is Joint Forest Management (JFM). JFM was developed in the early 1990s as a form of cooperation between forest departments and village-level institutions to protect and regenerate forests (Poffenberger, 1996). Village forest committees under this arrangement have the roles of monitoring, guarding and helping in regeneration activities. In exchange, communities are available to non-timber forest products (NTFPs) and may in other situations share in timber revenues.</w:t>
      </w:r>
      <w:r>
        <w:rPr>
          <w:rFonts w:ascii="Times New Roman" w:hAnsi="Times New Roman" w:cs="Times New Roman"/>
          <w:sz w:val="24"/>
          <w:szCs w:val="24"/>
        </w:rPr>
        <w:t xml:space="preserve"> </w:t>
      </w:r>
    </w:p>
    <w:p w14:paraId="2374D0E7" w14:textId="26D03E75" w:rsidR="00587227" w:rsidRPr="00587227" w:rsidRDefault="00587227" w:rsidP="00794449">
      <w:pPr>
        <w:jc w:val="both"/>
        <w:rPr>
          <w:rFonts w:ascii="Times New Roman" w:hAnsi="Times New Roman" w:cs="Times New Roman"/>
          <w:b/>
          <w:bCs/>
          <w:sz w:val="24"/>
          <w:szCs w:val="24"/>
          <w:lang w:val="en-US"/>
        </w:rPr>
      </w:pPr>
      <w:r w:rsidRPr="00587227">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w:t>
      </w:r>
      <w:r w:rsidRPr="00587227">
        <w:rPr>
          <w:rFonts w:ascii="Times New Roman" w:hAnsi="Times New Roman" w:cs="Times New Roman"/>
          <w:b/>
          <w:bCs/>
          <w:sz w:val="24"/>
          <w:szCs w:val="24"/>
          <w:lang w:val="en-US"/>
        </w:rPr>
        <w:t>2: Number and Area (ha) of Sacred Groves (SG) and Joint Forest Management (JFM) Committees in Different States of India</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5"/>
        <w:gridCol w:w="1497"/>
        <w:gridCol w:w="2303"/>
        <w:gridCol w:w="2089"/>
      </w:tblGrid>
      <w:tr w:rsidR="00587227" w:rsidRPr="00EC011D" w14:paraId="0C658779" w14:textId="77777777" w:rsidTr="00587227">
        <w:trPr>
          <w:trHeight w:hRule="exact" w:val="876"/>
        </w:trPr>
        <w:tc>
          <w:tcPr>
            <w:tcW w:w="2155" w:type="dxa"/>
            <w:hideMark/>
          </w:tcPr>
          <w:p w14:paraId="41EAEDEF" w14:textId="77777777" w:rsidR="004116C4" w:rsidRPr="00EC011D" w:rsidRDefault="004116C4" w:rsidP="0097070E">
            <w:pPr>
              <w:rPr>
                <w:rFonts w:ascii="Times New Roman" w:hAnsi="Times New Roman" w:cs="Times New Roman"/>
                <w:b/>
                <w:lang w:val="en-US"/>
              </w:rPr>
            </w:pPr>
            <w:r w:rsidRPr="00EC011D">
              <w:rPr>
                <w:rFonts w:ascii="Times New Roman" w:hAnsi="Times New Roman" w:cs="Times New Roman"/>
                <w:b/>
                <w:lang w:val="en-US"/>
              </w:rPr>
              <w:t>State</w:t>
            </w:r>
          </w:p>
        </w:tc>
        <w:tc>
          <w:tcPr>
            <w:tcW w:w="1497" w:type="dxa"/>
            <w:hideMark/>
          </w:tcPr>
          <w:p w14:paraId="6CB6B580" w14:textId="77777777" w:rsidR="004116C4" w:rsidRPr="00EC011D" w:rsidRDefault="004116C4" w:rsidP="0097070E">
            <w:pPr>
              <w:rPr>
                <w:rFonts w:ascii="Times New Roman" w:hAnsi="Times New Roman" w:cs="Times New Roman"/>
                <w:b/>
                <w:lang w:val="en-US"/>
              </w:rPr>
            </w:pPr>
            <w:r w:rsidRPr="00EC011D">
              <w:rPr>
                <w:rFonts w:ascii="Times New Roman" w:hAnsi="Times New Roman" w:cs="Times New Roman"/>
                <w:b/>
                <w:lang w:val="en-US"/>
              </w:rPr>
              <w:t>No. of SG (Area, ha)</w:t>
            </w:r>
          </w:p>
        </w:tc>
        <w:tc>
          <w:tcPr>
            <w:tcW w:w="2303" w:type="dxa"/>
            <w:hideMark/>
          </w:tcPr>
          <w:p w14:paraId="385DDADF" w14:textId="77777777" w:rsidR="004116C4" w:rsidRPr="00EC011D" w:rsidRDefault="004116C4" w:rsidP="0097070E">
            <w:pPr>
              <w:rPr>
                <w:rFonts w:ascii="Times New Roman" w:hAnsi="Times New Roman" w:cs="Times New Roman"/>
                <w:b/>
                <w:lang w:val="en-US"/>
              </w:rPr>
            </w:pPr>
            <w:r w:rsidRPr="00EC011D">
              <w:rPr>
                <w:rFonts w:ascii="Times New Roman" w:hAnsi="Times New Roman" w:cs="Times New Roman"/>
                <w:b/>
                <w:lang w:val="en-US"/>
              </w:rPr>
              <w:t>No. of Conservation Reserves/Community Reserves</w:t>
            </w:r>
          </w:p>
        </w:tc>
        <w:tc>
          <w:tcPr>
            <w:tcW w:w="2089" w:type="dxa"/>
            <w:hideMark/>
          </w:tcPr>
          <w:p w14:paraId="03A28218" w14:textId="77777777" w:rsidR="004116C4" w:rsidRPr="00EC011D" w:rsidRDefault="004116C4" w:rsidP="0097070E">
            <w:pPr>
              <w:rPr>
                <w:rFonts w:ascii="Times New Roman" w:hAnsi="Times New Roman" w:cs="Times New Roman"/>
                <w:b/>
                <w:lang w:val="en-US"/>
              </w:rPr>
            </w:pPr>
            <w:r w:rsidRPr="00EC011D">
              <w:rPr>
                <w:rFonts w:ascii="Times New Roman" w:hAnsi="Times New Roman" w:cs="Times New Roman"/>
                <w:b/>
                <w:lang w:val="en-US"/>
              </w:rPr>
              <w:t>No. of JFM Committee (Area, ha)</w:t>
            </w:r>
          </w:p>
        </w:tc>
      </w:tr>
      <w:tr w:rsidR="00587227" w:rsidRPr="00EC011D" w14:paraId="1CAF3A94" w14:textId="77777777" w:rsidTr="00587227">
        <w:trPr>
          <w:trHeight w:hRule="exact" w:val="397"/>
        </w:trPr>
        <w:tc>
          <w:tcPr>
            <w:tcW w:w="2155" w:type="dxa"/>
            <w:hideMark/>
          </w:tcPr>
          <w:p w14:paraId="2E0ADBA4"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Andhra Pradesh</w:t>
            </w:r>
          </w:p>
        </w:tc>
        <w:tc>
          <w:tcPr>
            <w:tcW w:w="1497" w:type="dxa"/>
            <w:hideMark/>
          </w:tcPr>
          <w:p w14:paraId="7198DC45"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800</w:t>
            </w:r>
          </w:p>
        </w:tc>
        <w:tc>
          <w:tcPr>
            <w:tcW w:w="2303" w:type="dxa"/>
            <w:hideMark/>
          </w:tcPr>
          <w:p w14:paraId="10473E07"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182348D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7606 (1679084)</w:t>
            </w:r>
          </w:p>
        </w:tc>
      </w:tr>
      <w:tr w:rsidR="00587227" w:rsidRPr="00EC011D" w14:paraId="51D6749A" w14:textId="77777777" w:rsidTr="00587227">
        <w:trPr>
          <w:trHeight w:hRule="exact" w:val="397"/>
        </w:trPr>
        <w:tc>
          <w:tcPr>
            <w:tcW w:w="2155" w:type="dxa"/>
            <w:hideMark/>
          </w:tcPr>
          <w:p w14:paraId="0966EFA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Arunachal Pradesh</w:t>
            </w:r>
          </w:p>
        </w:tc>
        <w:tc>
          <w:tcPr>
            <w:tcW w:w="1497" w:type="dxa"/>
            <w:hideMark/>
          </w:tcPr>
          <w:p w14:paraId="4D046967"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101</w:t>
            </w:r>
          </w:p>
        </w:tc>
        <w:tc>
          <w:tcPr>
            <w:tcW w:w="2303" w:type="dxa"/>
            <w:hideMark/>
          </w:tcPr>
          <w:p w14:paraId="3D4C73CD"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39036214"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13 (5810)</w:t>
            </w:r>
          </w:p>
        </w:tc>
      </w:tr>
      <w:tr w:rsidR="00587227" w:rsidRPr="00EC011D" w14:paraId="5CC39321" w14:textId="77777777" w:rsidTr="00587227">
        <w:trPr>
          <w:trHeight w:hRule="exact" w:val="397"/>
        </w:trPr>
        <w:tc>
          <w:tcPr>
            <w:tcW w:w="2155" w:type="dxa"/>
            <w:hideMark/>
          </w:tcPr>
          <w:p w14:paraId="2B4421E5"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Assam</w:t>
            </w:r>
          </w:p>
        </w:tc>
        <w:tc>
          <w:tcPr>
            <w:tcW w:w="1497" w:type="dxa"/>
            <w:hideMark/>
          </w:tcPr>
          <w:p w14:paraId="6FD521E2"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40</w:t>
            </w:r>
          </w:p>
        </w:tc>
        <w:tc>
          <w:tcPr>
            <w:tcW w:w="2303" w:type="dxa"/>
            <w:hideMark/>
          </w:tcPr>
          <w:p w14:paraId="5E81D72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3628F81F"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245 (6970)</w:t>
            </w:r>
          </w:p>
        </w:tc>
      </w:tr>
      <w:tr w:rsidR="00587227" w:rsidRPr="00EC011D" w14:paraId="31E8F5E8" w14:textId="77777777" w:rsidTr="00587227">
        <w:trPr>
          <w:trHeight w:hRule="exact" w:val="397"/>
        </w:trPr>
        <w:tc>
          <w:tcPr>
            <w:tcW w:w="2155" w:type="dxa"/>
            <w:hideMark/>
          </w:tcPr>
          <w:p w14:paraId="55F038F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Bihar</w:t>
            </w:r>
          </w:p>
        </w:tc>
        <w:tc>
          <w:tcPr>
            <w:tcW w:w="1497" w:type="dxa"/>
            <w:hideMark/>
          </w:tcPr>
          <w:p w14:paraId="7BC67614"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303" w:type="dxa"/>
            <w:hideMark/>
          </w:tcPr>
          <w:p w14:paraId="07ACE45D"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0EC18A72"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296 (504602.5)</w:t>
            </w:r>
          </w:p>
        </w:tc>
      </w:tr>
      <w:tr w:rsidR="00587227" w:rsidRPr="00EC011D" w14:paraId="3C2D50DE" w14:textId="77777777" w:rsidTr="00587227">
        <w:trPr>
          <w:trHeight w:hRule="exact" w:val="397"/>
        </w:trPr>
        <w:tc>
          <w:tcPr>
            <w:tcW w:w="2155" w:type="dxa"/>
            <w:hideMark/>
          </w:tcPr>
          <w:p w14:paraId="512E8B7D"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Chhattisgarh</w:t>
            </w:r>
          </w:p>
        </w:tc>
        <w:tc>
          <w:tcPr>
            <w:tcW w:w="1497" w:type="dxa"/>
            <w:hideMark/>
          </w:tcPr>
          <w:p w14:paraId="01AA1BD2"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600</w:t>
            </w:r>
          </w:p>
        </w:tc>
        <w:tc>
          <w:tcPr>
            <w:tcW w:w="2303" w:type="dxa"/>
            <w:hideMark/>
          </w:tcPr>
          <w:p w14:paraId="75F9FFDB"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12D97A1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6412 (3391305.31)</w:t>
            </w:r>
          </w:p>
        </w:tc>
      </w:tr>
      <w:tr w:rsidR="00587227" w:rsidRPr="00EC011D" w14:paraId="6F8269D8" w14:textId="77777777" w:rsidTr="00587227">
        <w:trPr>
          <w:trHeight w:hRule="exact" w:val="397"/>
        </w:trPr>
        <w:tc>
          <w:tcPr>
            <w:tcW w:w="2155" w:type="dxa"/>
            <w:hideMark/>
          </w:tcPr>
          <w:p w14:paraId="31843B4D"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Goa</w:t>
            </w:r>
          </w:p>
        </w:tc>
        <w:tc>
          <w:tcPr>
            <w:tcW w:w="1497" w:type="dxa"/>
            <w:hideMark/>
          </w:tcPr>
          <w:p w14:paraId="38E3CCF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303" w:type="dxa"/>
            <w:hideMark/>
          </w:tcPr>
          <w:p w14:paraId="163B1153"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73145EB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26 (13000)</w:t>
            </w:r>
          </w:p>
        </w:tc>
      </w:tr>
      <w:tr w:rsidR="00587227" w:rsidRPr="00EC011D" w14:paraId="7C083DFC" w14:textId="77777777" w:rsidTr="00587227">
        <w:trPr>
          <w:trHeight w:hRule="exact" w:val="397"/>
        </w:trPr>
        <w:tc>
          <w:tcPr>
            <w:tcW w:w="2155" w:type="dxa"/>
            <w:hideMark/>
          </w:tcPr>
          <w:p w14:paraId="79237BE0"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Gujarat</w:t>
            </w:r>
          </w:p>
        </w:tc>
        <w:tc>
          <w:tcPr>
            <w:tcW w:w="1497" w:type="dxa"/>
            <w:hideMark/>
          </w:tcPr>
          <w:p w14:paraId="61543CA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29</w:t>
            </w:r>
          </w:p>
        </w:tc>
        <w:tc>
          <w:tcPr>
            <w:tcW w:w="2303" w:type="dxa"/>
            <w:hideMark/>
          </w:tcPr>
          <w:p w14:paraId="77A8C63C"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w:t>
            </w:r>
          </w:p>
        </w:tc>
        <w:tc>
          <w:tcPr>
            <w:tcW w:w="2089" w:type="dxa"/>
            <w:hideMark/>
          </w:tcPr>
          <w:p w14:paraId="20C9E2A3"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1237 (138015.19)</w:t>
            </w:r>
          </w:p>
        </w:tc>
      </w:tr>
      <w:tr w:rsidR="00587227" w:rsidRPr="00EC011D" w14:paraId="099426FA" w14:textId="77777777" w:rsidTr="00587227">
        <w:trPr>
          <w:trHeight w:hRule="exact" w:val="397"/>
        </w:trPr>
        <w:tc>
          <w:tcPr>
            <w:tcW w:w="2155" w:type="dxa"/>
            <w:hideMark/>
          </w:tcPr>
          <w:p w14:paraId="633EE44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Haryana</w:t>
            </w:r>
          </w:p>
        </w:tc>
        <w:tc>
          <w:tcPr>
            <w:tcW w:w="1497" w:type="dxa"/>
            <w:hideMark/>
          </w:tcPr>
          <w:p w14:paraId="7EC8822F"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248</w:t>
            </w:r>
          </w:p>
        </w:tc>
        <w:tc>
          <w:tcPr>
            <w:tcW w:w="2303" w:type="dxa"/>
            <w:hideMark/>
          </w:tcPr>
          <w:p w14:paraId="6D3731B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w:t>
            </w:r>
          </w:p>
        </w:tc>
        <w:tc>
          <w:tcPr>
            <w:tcW w:w="2089" w:type="dxa"/>
            <w:hideMark/>
          </w:tcPr>
          <w:p w14:paraId="797B485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471 (65852.42)</w:t>
            </w:r>
          </w:p>
        </w:tc>
      </w:tr>
      <w:tr w:rsidR="00587227" w:rsidRPr="00EC011D" w14:paraId="1E8F12E3" w14:textId="77777777" w:rsidTr="00587227">
        <w:trPr>
          <w:trHeight w:hRule="exact" w:val="397"/>
        </w:trPr>
        <w:tc>
          <w:tcPr>
            <w:tcW w:w="2155" w:type="dxa"/>
            <w:hideMark/>
          </w:tcPr>
          <w:p w14:paraId="13A7FCCB"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Himachal Pradesh</w:t>
            </w:r>
          </w:p>
        </w:tc>
        <w:tc>
          <w:tcPr>
            <w:tcW w:w="1497" w:type="dxa"/>
            <w:hideMark/>
          </w:tcPr>
          <w:p w14:paraId="2E99C58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329</w:t>
            </w:r>
          </w:p>
        </w:tc>
        <w:tc>
          <w:tcPr>
            <w:tcW w:w="2303" w:type="dxa"/>
            <w:hideMark/>
          </w:tcPr>
          <w:p w14:paraId="5C3B6DFC"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6EF7413F"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914 (111247.2)</w:t>
            </w:r>
          </w:p>
        </w:tc>
      </w:tr>
      <w:tr w:rsidR="00587227" w:rsidRPr="00EC011D" w14:paraId="1D882955" w14:textId="77777777" w:rsidTr="00587227">
        <w:trPr>
          <w:trHeight w:hRule="exact" w:val="397"/>
        </w:trPr>
        <w:tc>
          <w:tcPr>
            <w:tcW w:w="2155" w:type="dxa"/>
            <w:hideMark/>
          </w:tcPr>
          <w:p w14:paraId="71D451D3"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J &amp; K</w:t>
            </w:r>
          </w:p>
        </w:tc>
        <w:tc>
          <w:tcPr>
            <w:tcW w:w="1497" w:type="dxa"/>
            <w:hideMark/>
          </w:tcPr>
          <w:p w14:paraId="7953F0CD"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303" w:type="dxa"/>
            <w:hideMark/>
          </w:tcPr>
          <w:p w14:paraId="2449F112"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34</w:t>
            </w:r>
          </w:p>
        </w:tc>
        <w:tc>
          <w:tcPr>
            <w:tcW w:w="2089" w:type="dxa"/>
            <w:hideMark/>
          </w:tcPr>
          <w:p w14:paraId="43B1F81C"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1895 (79546)</w:t>
            </w:r>
          </w:p>
        </w:tc>
      </w:tr>
      <w:tr w:rsidR="00587227" w:rsidRPr="00EC011D" w14:paraId="003E0E25" w14:textId="77777777" w:rsidTr="00587227">
        <w:trPr>
          <w:trHeight w:hRule="exact" w:val="397"/>
        </w:trPr>
        <w:tc>
          <w:tcPr>
            <w:tcW w:w="2155" w:type="dxa"/>
            <w:hideMark/>
          </w:tcPr>
          <w:p w14:paraId="0BA66F95"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Jharkhand</w:t>
            </w:r>
          </w:p>
        </w:tc>
        <w:tc>
          <w:tcPr>
            <w:tcW w:w="1497" w:type="dxa"/>
            <w:hideMark/>
          </w:tcPr>
          <w:p w14:paraId="0B13687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21</w:t>
            </w:r>
          </w:p>
        </w:tc>
        <w:tc>
          <w:tcPr>
            <w:tcW w:w="2303" w:type="dxa"/>
            <w:hideMark/>
          </w:tcPr>
          <w:p w14:paraId="029B860F"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2372A559"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1379 (430463)</w:t>
            </w:r>
          </w:p>
        </w:tc>
      </w:tr>
      <w:tr w:rsidR="00587227" w:rsidRPr="00EC011D" w14:paraId="416049CB" w14:textId="77777777" w:rsidTr="00587227">
        <w:trPr>
          <w:trHeight w:hRule="exact" w:val="397"/>
        </w:trPr>
        <w:tc>
          <w:tcPr>
            <w:tcW w:w="2155" w:type="dxa"/>
            <w:hideMark/>
          </w:tcPr>
          <w:p w14:paraId="67B15E82"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Karnataka</w:t>
            </w:r>
          </w:p>
        </w:tc>
        <w:tc>
          <w:tcPr>
            <w:tcW w:w="1497" w:type="dxa"/>
            <w:hideMark/>
          </w:tcPr>
          <w:p w14:paraId="1A837C7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1424</w:t>
            </w:r>
          </w:p>
        </w:tc>
        <w:tc>
          <w:tcPr>
            <w:tcW w:w="2303" w:type="dxa"/>
            <w:hideMark/>
          </w:tcPr>
          <w:p w14:paraId="414BB8C7"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w:t>
            </w:r>
          </w:p>
        </w:tc>
        <w:tc>
          <w:tcPr>
            <w:tcW w:w="2089" w:type="dxa"/>
            <w:hideMark/>
          </w:tcPr>
          <w:p w14:paraId="10FC7D51"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2620 (185000)</w:t>
            </w:r>
          </w:p>
        </w:tc>
      </w:tr>
      <w:tr w:rsidR="00587227" w:rsidRPr="00EC011D" w14:paraId="7D214182" w14:textId="77777777" w:rsidTr="00587227">
        <w:trPr>
          <w:trHeight w:hRule="exact" w:val="397"/>
        </w:trPr>
        <w:tc>
          <w:tcPr>
            <w:tcW w:w="2155" w:type="dxa"/>
            <w:hideMark/>
          </w:tcPr>
          <w:p w14:paraId="25FBC185"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Kerala</w:t>
            </w:r>
          </w:p>
        </w:tc>
        <w:tc>
          <w:tcPr>
            <w:tcW w:w="1497" w:type="dxa"/>
            <w:hideMark/>
          </w:tcPr>
          <w:p w14:paraId="463BDDD0"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2000 (500)</w:t>
            </w:r>
          </w:p>
        </w:tc>
        <w:tc>
          <w:tcPr>
            <w:tcW w:w="2303" w:type="dxa"/>
            <w:hideMark/>
          </w:tcPr>
          <w:p w14:paraId="01B94DE2"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3CED77FF"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32 (4994.7)</w:t>
            </w:r>
          </w:p>
        </w:tc>
      </w:tr>
      <w:tr w:rsidR="00587227" w:rsidRPr="00EC011D" w14:paraId="33905A91" w14:textId="77777777" w:rsidTr="00587227">
        <w:trPr>
          <w:trHeight w:hRule="exact" w:val="397"/>
        </w:trPr>
        <w:tc>
          <w:tcPr>
            <w:tcW w:w="2155" w:type="dxa"/>
            <w:hideMark/>
          </w:tcPr>
          <w:p w14:paraId="7FDB2131"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Madhya Pradesh</w:t>
            </w:r>
          </w:p>
        </w:tc>
        <w:tc>
          <w:tcPr>
            <w:tcW w:w="1497" w:type="dxa"/>
            <w:hideMark/>
          </w:tcPr>
          <w:p w14:paraId="14955681"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275</w:t>
            </w:r>
          </w:p>
        </w:tc>
        <w:tc>
          <w:tcPr>
            <w:tcW w:w="2303" w:type="dxa"/>
            <w:hideMark/>
          </w:tcPr>
          <w:p w14:paraId="4024568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4D182D5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9203 (4125837)</w:t>
            </w:r>
          </w:p>
        </w:tc>
      </w:tr>
      <w:tr w:rsidR="00587227" w:rsidRPr="00EC011D" w14:paraId="3E58B2EF" w14:textId="77777777" w:rsidTr="00587227">
        <w:trPr>
          <w:trHeight w:hRule="exact" w:val="397"/>
        </w:trPr>
        <w:tc>
          <w:tcPr>
            <w:tcW w:w="2155" w:type="dxa"/>
            <w:hideMark/>
          </w:tcPr>
          <w:p w14:paraId="43EF3F19"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Maharashtra</w:t>
            </w:r>
          </w:p>
        </w:tc>
        <w:tc>
          <w:tcPr>
            <w:tcW w:w="1497" w:type="dxa"/>
            <w:hideMark/>
          </w:tcPr>
          <w:p w14:paraId="4C54746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1600</w:t>
            </w:r>
          </w:p>
        </w:tc>
        <w:tc>
          <w:tcPr>
            <w:tcW w:w="2303" w:type="dxa"/>
            <w:hideMark/>
          </w:tcPr>
          <w:p w14:paraId="5F036B5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w:t>
            </w:r>
          </w:p>
        </w:tc>
        <w:tc>
          <w:tcPr>
            <w:tcW w:w="2089" w:type="dxa"/>
            <w:hideMark/>
          </w:tcPr>
          <w:p w14:paraId="2139B81B"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2153 (686688)</w:t>
            </w:r>
          </w:p>
        </w:tc>
      </w:tr>
      <w:tr w:rsidR="00587227" w:rsidRPr="00EC011D" w14:paraId="390DC3B7" w14:textId="77777777" w:rsidTr="00587227">
        <w:trPr>
          <w:trHeight w:hRule="exact" w:val="397"/>
        </w:trPr>
        <w:tc>
          <w:tcPr>
            <w:tcW w:w="2155" w:type="dxa"/>
            <w:hideMark/>
          </w:tcPr>
          <w:p w14:paraId="6BD54D7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Manipur</w:t>
            </w:r>
          </w:p>
        </w:tc>
        <w:tc>
          <w:tcPr>
            <w:tcW w:w="1497" w:type="dxa"/>
            <w:hideMark/>
          </w:tcPr>
          <w:p w14:paraId="7109DBD8"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365</w:t>
            </w:r>
          </w:p>
        </w:tc>
        <w:tc>
          <w:tcPr>
            <w:tcW w:w="2303" w:type="dxa"/>
            <w:hideMark/>
          </w:tcPr>
          <w:p w14:paraId="2243D300"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1F025F4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58 (10500)</w:t>
            </w:r>
          </w:p>
        </w:tc>
      </w:tr>
      <w:tr w:rsidR="00587227" w:rsidRPr="00EC011D" w14:paraId="1B23080C" w14:textId="77777777" w:rsidTr="00587227">
        <w:trPr>
          <w:trHeight w:hRule="exact" w:val="397"/>
        </w:trPr>
        <w:tc>
          <w:tcPr>
            <w:tcW w:w="2155" w:type="dxa"/>
            <w:hideMark/>
          </w:tcPr>
          <w:p w14:paraId="601A21AA"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Meghalaya</w:t>
            </w:r>
          </w:p>
        </w:tc>
        <w:tc>
          <w:tcPr>
            <w:tcW w:w="1497" w:type="dxa"/>
            <w:hideMark/>
          </w:tcPr>
          <w:p w14:paraId="658A5CF5"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79 (26,326)</w:t>
            </w:r>
          </w:p>
        </w:tc>
        <w:tc>
          <w:tcPr>
            <w:tcW w:w="2303" w:type="dxa"/>
            <w:hideMark/>
          </w:tcPr>
          <w:p w14:paraId="081D19EB"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28</w:t>
            </w:r>
          </w:p>
        </w:tc>
        <w:tc>
          <w:tcPr>
            <w:tcW w:w="2089" w:type="dxa"/>
            <w:hideMark/>
          </w:tcPr>
          <w:p w14:paraId="5F7809F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r>
      <w:tr w:rsidR="00587227" w:rsidRPr="00EC011D" w14:paraId="3E19A94A" w14:textId="77777777" w:rsidTr="00587227">
        <w:trPr>
          <w:trHeight w:hRule="exact" w:val="397"/>
        </w:trPr>
        <w:tc>
          <w:tcPr>
            <w:tcW w:w="2155" w:type="dxa"/>
            <w:hideMark/>
          </w:tcPr>
          <w:p w14:paraId="29F87A7E"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Mizoram</w:t>
            </w:r>
          </w:p>
        </w:tc>
        <w:tc>
          <w:tcPr>
            <w:tcW w:w="1497" w:type="dxa"/>
            <w:hideMark/>
          </w:tcPr>
          <w:p w14:paraId="3C800E3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303" w:type="dxa"/>
            <w:hideMark/>
          </w:tcPr>
          <w:p w14:paraId="17AE10AD"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0BC27546"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129 (12740)</w:t>
            </w:r>
          </w:p>
        </w:tc>
      </w:tr>
      <w:tr w:rsidR="004116C4" w:rsidRPr="00EC011D" w14:paraId="6418CE53" w14:textId="77777777" w:rsidTr="00587227">
        <w:trPr>
          <w:trHeight w:hRule="exact" w:val="397"/>
        </w:trPr>
        <w:tc>
          <w:tcPr>
            <w:tcW w:w="2155" w:type="dxa"/>
            <w:hideMark/>
          </w:tcPr>
          <w:p w14:paraId="798051D3"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Nagaland</w:t>
            </w:r>
          </w:p>
        </w:tc>
        <w:tc>
          <w:tcPr>
            <w:tcW w:w="1497" w:type="dxa"/>
            <w:hideMark/>
          </w:tcPr>
          <w:p w14:paraId="4ACFF29A"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303" w:type="dxa"/>
            <w:hideMark/>
          </w:tcPr>
          <w:p w14:paraId="269AEDF7"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w:t>
            </w:r>
          </w:p>
        </w:tc>
        <w:tc>
          <w:tcPr>
            <w:tcW w:w="2089" w:type="dxa"/>
            <w:hideMark/>
          </w:tcPr>
          <w:p w14:paraId="20A7E56A" w14:textId="77777777" w:rsidR="004116C4" w:rsidRPr="00EC011D" w:rsidRDefault="004116C4" w:rsidP="0097070E">
            <w:pPr>
              <w:rPr>
                <w:rFonts w:ascii="Times New Roman" w:hAnsi="Times New Roman" w:cs="Times New Roman"/>
                <w:lang w:val="en-US"/>
              </w:rPr>
            </w:pPr>
            <w:r w:rsidRPr="00EC011D">
              <w:rPr>
                <w:rFonts w:ascii="Times New Roman" w:hAnsi="Times New Roman" w:cs="Times New Roman"/>
                <w:lang w:val="en-US"/>
              </w:rPr>
              <w:t>55 (150000)</w:t>
            </w:r>
          </w:p>
        </w:tc>
      </w:tr>
      <w:tr w:rsidR="00587227" w:rsidRPr="00EC011D" w14:paraId="29F4CDF4" w14:textId="77777777" w:rsidTr="00587227">
        <w:trPr>
          <w:trHeight w:hRule="exact" w:val="397"/>
        </w:trPr>
        <w:tc>
          <w:tcPr>
            <w:tcW w:w="2155" w:type="dxa"/>
          </w:tcPr>
          <w:p w14:paraId="1B907779" w14:textId="24258BC9" w:rsidR="00587227" w:rsidRPr="00EC011D" w:rsidRDefault="00587227" w:rsidP="00587227">
            <w:pPr>
              <w:rPr>
                <w:rFonts w:ascii="Times New Roman" w:hAnsi="Times New Roman" w:cs="Times New Roman"/>
                <w:lang w:val="en-US"/>
              </w:rPr>
            </w:pPr>
            <w:r w:rsidRPr="00EC011D">
              <w:rPr>
                <w:lang w:val="en-US"/>
              </w:rPr>
              <w:t>Orissa</w:t>
            </w:r>
          </w:p>
        </w:tc>
        <w:tc>
          <w:tcPr>
            <w:tcW w:w="1497" w:type="dxa"/>
          </w:tcPr>
          <w:p w14:paraId="10442B1C" w14:textId="4F706B7F" w:rsidR="00587227" w:rsidRPr="00EC011D" w:rsidRDefault="00587227" w:rsidP="00587227">
            <w:pPr>
              <w:rPr>
                <w:rFonts w:ascii="Times New Roman" w:hAnsi="Times New Roman" w:cs="Times New Roman"/>
                <w:lang w:val="en-US"/>
              </w:rPr>
            </w:pPr>
            <w:r w:rsidRPr="00EC011D">
              <w:rPr>
                <w:lang w:val="en-US"/>
              </w:rPr>
              <w:t>322 (50)</w:t>
            </w:r>
          </w:p>
        </w:tc>
        <w:tc>
          <w:tcPr>
            <w:tcW w:w="2303" w:type="dxa"/>
          </w:tcPr>
          <w:p w14:paraId="223695F5" w14:textId="26D8B9EF" w:rsidR="00587227" w:rsidRPr="00EC011D" w:rsidRDefault="00587227" w:rsidP="00587227">
            <w:pPr>
              <w:rPr>
                <w:rFonts w:ascii="Times New Roman" w:hAnsi="Times New Roman" w:cs="Times New Roman"/>
                <w:lang w:val="en-US"/>
              </w:rPr>
            </w:pPr>
            <w:r w:rsidRPr="00EC011D">
              <w:rPr>
                <w:lang w:val="en-US"/>
              </w:rPr>
              <w:t>–</w:t>
            </w:r>
          </w:p>
        </w:tc>
        <w:tc>
          <w:tcPr>
            <w:tcW w:w="2089" w:type="dxa"/>
          </w:tcPr>
          <w:p w14:paraId="2323A81B" w14:textId="6361D4A6" w:rsidR="00587227" w:rsidRPr="00EC011D" w:rsidRDefault="00587227" w:rsidP="00587227">
            <w:pPr>
              <w:rPr>
                <w:rFonts w:ascii="Times New Roman" w:hAnsi="Times New Roman" w:cs="Times New Roman"/>
                <w:lang w:val="en-US"/>
              </w:rPr>
            </w:pPr>
            <w:r w:rsidRPr="00EC011D">
              <w:rPr>
                <w:lang w:val="en-US"/>
              </w:rPr>
              <w:t>12317 (783467)</w:t>
            </w:r>
          </w:p>
        </w:tc>
      </w:tr>
      <w:tr w:rsidR="00587227" w:rsidRPr="00EC011D" w14:paraId="2ECEDEE7" w14:textId="77777777" w:rsidTr="00587227">
        <w:trPr>
          <w:trHeight w:hRule="exact" w:val="397"/>
        </w:trPr>
        <w:tc>
          <w:tcPr>
            <w:tcW w:w="2155" w:type="dxa"/>
          </w:tcPr>
          <w:p w14:paraId="62238179" w14:textId="3B27C171" w:rsidR="00587227" w:rsidRPr="00EC011D" w:rsidRDefault="00587227" w:rsidP="00587227">
            <w:pPr>
              <w:rPr>
                <w:rFonts w:ascii="Times New Roman" w:hAnsi="Times New Roman" w:cs="Times New Roman"/>
                <w:lang w:val="en-US"/>
              </w:rPr>
            </w:pPr>
            <w:r w:rsidRPr="00EC011D">
              <w:rPr>
                <w:lang w:val="en-US"/>
              </w:rPr>
              <w:t>Punjab</w:t>
            </w:r>
          </w:p>
        </w:tc>
        <w:tc>
          <w:tcPr>
            <w:tcW w:w="1497" w:type="dxa"/>
          </w:tcPr>
          <w:p w14:paraId="072AE16B" w14:textId="7F34DD6B" w:rsidR="00587227" w:rsidRPr="00EC011D" w:rsidRDefault="00587227" w:rsidP="00587227">
            <w:pPr>
              <w:rPr>
                <w:rFonts w:ascii="Times New Roman" w:hAnsi="Times New Roman" w:cs="Times New Roman"/>
                <w:lang w:val="en-US"/>
              </w:rPr>
            </w:pPr>
            <w:r w:rsidRPr="00EC011D">
              <w:rPr>
                <w:lang w:val="en-US"/>
              </w:rPr>
              <w:t>–</w:t>
            </w:r>
          </w:p>
        </w:tc>
        <w:tc>
          <w:tcPr>
            <w:tcW w:w="2303" w:type="dxa"/>
          </w:tcPr>
          <w:p w14:paraId="13166CE9" w14:textId="2A1F5C1E" w:rsidR="00587227" w:rsidRPr="00EC011D" w:rsidRDefault="00587227" w:rsidP="00587227">
            <w:pPr>
              <w:rPr>
                <w:rFonts w:ascii="Times New Roman" w:hAnsi="Times New Roman" w:cs="Times New Roman"/>
                <w:lang w:val="en-US"/>
              </w:rPr>
            </w:pPr>
            <w:r w:rsidRPr="00EC011D">
              <w:rPr>
                <w:lang w:val="en-US"/>
              </w:rPr>
              <w:t>1</w:t>
            </w:r>
          </w:p>
        </w:tc>
        <w:tc>
          <w:tcPr>
            <w:tcW w:w="2089" w:type="dxa"/>
          </w:tcPr>
          <w:p w14:paraId="5E5CF278" w14:textId="101DA353" w:rsidR="00587227" w:rsidRPr="00EC011D" w:rsidRDefault="00587227" w:rsidP="00587227">
            <w:pPr>
              <w:rPr>
                <w:rFonts w:ascii="Times New Roman" w:hAnsi="Times New Roman" w:cs="Times New Roman"/>
                <w:lang w:val="en-US"/>
              </w:rPr>
            </w:pPr>
            <w:r w:rsidRPr="00EC011D">
              <w:rPr>
                <w:lang w:val="en-US"/>
              </w:rPr>
              <w:t>188 (97193.4)</w:t>
            </w:r>
          </w:p>
        </w:tc>
      </w:tr>
      <w:tr w:rsidR="00587227" w:rsidRPr="00EC011D" w14:paraId="4DAE23E1" w14:textId="77777777" w:rsidTr="00587227">
        <w:trPr>
          <w:trHeight w:hRule="exact" w:val="397"/>
        </w:trPr>
        <w:tc>
          <w:tcPr>
            <w:tcW w:w="2155" w:type="dxa"/>
          </w:tcPr>
          <w:p w14:paraId="2F3BA73B" w14:textId="5C0F5203" w:rsidR="00587227" w:rsidRPr="00EC011D" w:rsidRDefault="00587227" w:rsidP="00587227">
            <w:pPr>
              <w:rPr>
                <w:rFonts w:ascii="Times New Roman" w:hAnsi="Times New Roman" w:cs="Times New Roman"/>
                <w:lang w:val="en-US"/>
              </w:rPr>
            </w:pPr>
            <w:r w:rsidRPr="00EC011D">
              <w:rPr>
                <w:lang w:val="en-US"/>
              </w:rPr>
              <w:t>Rajasthan</w:t>
            </w:r>
          </w:p>
        </w:tc>
        <w:tc>
          <w:tcPr>
            <w:tcW w:w="1497" w:type="dxa"/>
          </w:tcPr>
          <w:p w14:paraId="1E8B547C" w14:textId="52CA1308" w:rsidR="00587227" w:rsidRPr="00EC011D" w:rsidRDefault="00587227" w:rsidP="00587227">
            <w:pPr>
              <w:rPr>
                <w:rFonts w:ascii="Times New Roman" w:hAnsi="Times New Roman" w:cs="Times New Roman"/>
                <w:lang w:val="en-US"/>
              </w:rPr>
            </w:pPr>
            <w:r w:rsidRPr="00EC011D">
              <w:rPr>
                <w:lang w:val="en-US"/>
              </w:rPr>
              <w:t>9 (158)</w:t>
            </w:r>
          </w:p>
        </w:tc>
        <w:tc>
          <w:tcPr>
            <w:tcW w:w="2303" w:type="dxa"/>
          </w:tcPr>
          <w:p w14:paraId="6234C88D" w14:textId="2D4900DC" w:rsidR="00587227" w:rsidRPr="00EC011D" w:rsidRDefault="00587227" w:rsidP="00587227">
            <w:pPr>
              <w:rPr>
                <w:rFonts w:ascii="Times New Roman" w:hAnsi="Times New Roman" w:cs="Times New Roman"/>
                <w:lang w:val="en-US"/>
              </w:rPr>
            </w:pPr>
            <w:r w:rsidRPr="00EC011D">
              <w:rPr>
                <w:lang w:val="en-US"/>
              </w:rPr>
              <w:t>3</w:t>
            </w:r>
          </w:p>
        </w:tc>
        <w:tc>
          <w:tcPr>
            <w:tcW w:w="2089" w:type="dxa"/>
          </w:tcPr>
          <w:p w14:paraId="1DFEA935" w14:textId="64B2C16D" w:rsidR="00587227" w:rsidRPr="00EC011D" w:rsidRDefault="00587227" w:rsidP="00587227">
            <w:pPr>
              <w:rPr>
                <w:rFonts w:ascii="Times New Roman" w:hAnsi="Times New Roman" w:cs="Times New Roman"/>
                <w:lang w:val="en-US"/>
              </w:rPr>
            </w:pPr>
            <w:r w:rsidRPr="00EC011D">
              <w:rPr>
                <w:lang w:val="en-US"/>
              </w:rPr>
              <w:t>3042 (309336)</w:t>
            </w:r>
          </w:p>
        </w:tc>
      </w:tr>
      <w:tr w:rsidR="00587227" w:rsidRPr="00EC011D" w14:paraId="34889A4F" w14:textId="77777777" w:rsidTr="00587227">
        <w:trPr>
          <w:trHeight w:hRule="exact" w:val="397"/>
        </w:trPr>
        <w:tc>
          <w:tcPr>
            <w:tcW w:w="2155" w:type="dxa"/>
          </w:tcPr>
          <w:p w14:paraId="78D250BE" w14:textId="38B353B5" w:rsidR="00587227" w:rsidRPr="00EC011D" w:rsidRDefault="00587227" w:rsidP="00587227">
            <w:pPr>
              <w:rPr>
                <w:rFonts w:ascii="Times New Roman" w:hAnsi="Times New Roman" w:cs="Times New Roman"/>
                <w:lang w:val="en-US"/>
              </w:rPr>
            </w:pPr>
            <w:r w:rsidRPr="00EC011D">
              <w:rPr>
                <w:lang w:val="en-US"/>
              </w:rPr>
              <w:t>Sikkim</w:t>
            </w:r>
          </w:p>
        </w:tc>
        <w:tc>
          <w:tcPr>
            <w:tcW w:w="1497" w:type="dxa"/>
          </w:tcPr>
          <w:p w14:paraId="37708F4C" w14:textId="529F09D0" w:rsidR="00587227" w:rsidRPr="00EC011D" w:rsidRDefault="00587227" w:rsidP="00587227">
            <w:pPr>
              <w:rPr>
                <w:rFonts w:ascii="Times New Roman" w:hAnsi="Times New Roman" w:cs="Times New Roman"/>
                <w:lang w:val="en-US"/>
              </w:rPr>
            </w:pPr>
            <w:r w:rsidRPr="00EC011D">
              <w:rPr>
                <w:lang w:val="en-US"/>
              </w:rPr>
              <w:t>56</w:t>
            </w:r>
          </w:p>
        </w:tc>
        <w:tc>
          <w:tcPr>
            <w:tcW w:w="2303" w:type="dxa"/>
          </w:tcPr>
          <w:p w14:paraId="74361D44" w14:textId="3A486035" w:rsidR="00587227" w:rsidRPr="00EC011D" w:rsidRDefault="00587227" w:rsidP="00587227">
            <w:pPr>
              <w:rPr>
                <w:rFonts w:ascii="Times New Roman" w:hAnsi="Times New Roman" w:cs="Times New Roman"/>
                <w:lang w:val="en-US"/>
              </w:rPr>
            </w:pPr>
            <w:r w:rsidRPr="00EC011D">
              <w:rPr>
                <w:lang w:val="en-US"/>
              </w:rPr>
              <w:t>–</w:t>
            </w:r>
          </w:p>
        </w:tc>
        <w:tc>
          <w:tcPr>
            <w:tcW w:w="2089" w:type="dxa"/>
          </w:tcPr>
          <w:p w14:paraId="5B0D9E8E" w14:textId="059F9D76" w:rsidR="00587227" w:rsidRPr="00EC011D" w:rsidRDefault="00587227" w:rsidP="00587227">
            <w:pPr>
              <w:rPr>
                <w:rFonts w:ascii="Times New Roman" w:hAnsi="Times New Roman" w:cs="Times New Roman"/>
                <w:lang w:val="en-US"/>
              </w:rPr>
            </w:pPr>
            <w:r w:rsidRPr="00EC011D">
              <w:rPr>
                <w:lang w:val="en-US"/>
              </w:rPr>
              <w:t>158 (600)</w:t>
            </w:r>
          </w:p>
        </w:tc>
      </w:tr>
    </w:tbl>
    <w:p w14:paraId="04F7303E" w14:textId="3CE5873A" w:rsidR="004116C4" w:rsidRPr="00587227" w:rsidRDefault="00587227" w:rsidP="00587227">
      <w:pPr>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587227">
        <w:rPr>
          <w:rFonts w:ascii="Times New Roman" w:hAnsi="Times New Roman" w:cs="Times New Roman"/>
          <w:i/>
          <w:iCs/>
          <w:sz w:val="24"/>
          <w:szCs w:val="24"/>
        </w:rPr>
        <w:t>Continued….</w:t>
      </w:r>
      <w:r w:rsidR="004116C4" w:rsidRPr="00587227">
        <w:rPr>
          <w:rFonts w:ascii="Times New Roman" w:hAnsi="Times New Roman" w:cs="Times New Roman"/>
          <w:i/>
          <w:i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4"/>
        <w:gridCol w:w="1650"/>
        <w:gridCol w:w="2432"/>
        <w:gridCol w:w="2096"/>
      </w:tblGrid>
      <w:tr w:rsidR="00587227" w:rsidRPr="00587227" w14:paraId="1498CEED" w14:textId="77777777" w:rsidTr="00587227">
        <w:trPr>
          <w:trHeight w:hRule="exact" w:val="871"/>
        </w:trPr>
        <w:tc>
          <w:tcPr>
            <w:tcW w:w="2074" w:type="dxa"/>
          </w:tcPr>
          <w:p w14:paraId="21E4A47E" w14:textId="1B6DDD05" w:rsidR="00587227" w:rsidRPr="00587227" w:rsidRDefault="00587227" w:rsidP="00587227">
            <w:pPr>
              <w:rPr>
                <w:rFonts w:ascii="Times New Roman" w:hAnsi="Times New Roman" w:cs="Times New Roman"/>
                <w:lang w:val="en-US"/>
              </w:rPr>
            </w:pPr>
            <w:r w:rsidRPr="00EC011D">
              <w:rPr>
                <w:rFonts w:ascii="Times New Roman" w:hAnsi="Times New Roman" w:cs="Times New Roman"/>
                <w:b/>
                <w:lang w:val="en-US"/>
              </w:rPr>
              <w:lastRenderedPageBreak/>
              <w:t>State</w:t>
            </w:r>
          </w:p>
        </w:tc>
        <w:tc>
          <w:tcPr>
            <w:tcW w:w="1650" w:type="dxa"/>
          </w:tcPr>
          <w:p w14:paraId="5B873CCE" w14:textId="60C4CA87" w:rsidR="00587227" w:rsidRPr="00587227" w:rsidRDefault="00587227" w:rsidP="00587227">
            <w:pPr>
              <w:rPr>
                <w:rFonts w:ascii="Times New Roman" w:hAnsi="Times New Roman" w:cs="Times New Roman"/>
                <w:lang w:val="en-US"/>
              </w:rPr>
            </w:pPr>
            <w:r w:rsidRPr="00EC011D">
              <w:rPr>
                <w:rFonts w:ascii="Times New Roman" w:hAnsi="Times New Roman" w:cs="Times New Roman"/>
                <w:b/>
                <w:lang w:val="en-US"/>
              </w:rPr>
              <w:t>No. of SG (Area, ha)</w:t>
            </w:r>
          </w:p>
        </w:tc>
        <w:tc>
          <w:tcPr>
            <w:tcW w:w="2432" w:type="dxa"/>
          </w:tcPr>
          <w:p w14:paraId="6E348C2A" w14:textId="789A8258" w:rsidR="00587227" w:rsidRPr="00587227" w:rsidRDefault="00587227" w:rsidP="00587227">
            <w:pPr>
              <w:rPr>
                <w:rFonts w:ascii="Times New Roman" w:hAnsi="Times New Roman" w:cs="Times New Roman"/>
                <w:lang w:val="en-US"/>
              </w:rPr>
            </w:pPr>
            <w:r w:rsidRPr="00EC011D">
              <w:rPr>
                <w:rFonts w:ascii="Times New Roman" w:hAnsi="Times New Roman" w:cs="Times New Roman"/>
                <w:b/>
                <w:lang w:val="en-US"/>
              </w:rPr>
              <w:t>No. of Conservation Reserves/Community Reserves</w:t>
            </w:r>
          </w:p>
        </w:tc>
        <w:tc>
          <w:tcPr>
            <w:tcW w:w="2096" w:type="dxa"/>
          </w:tcPr>
          <w:p w14:paraId="70F22596" w14:textId="5A8759FC" w:rsidR="00587227" w:rsidRPr="00587227" w:rsidRDefault="00587227" w:rsidP="00587227">
            <w:pPr>
              <w:rPr>
                <w:rFonts w:ascii="Times New Roman" w:hAnsi="Times New Roman" w:cs="Times New Roman"/>
                <w:lang w:val="en-US"/>
              </w:rPr>
            </w:pPr>
            <w:r w:rsidRPr="00EC011D">
              <w:rPr>
                <w:rFonts w:ascii="Times New Roman" w:hAnsi="Times New Roman" w:cs="Times New Roman"/>
                <w:b/>
                <w:lang w:val="en-US"/>
              </w:rPr>
              <w:t>No. of JFM Committee (Area, ha)</w:t>
            </w:r>
          </w:p>
        </w:tc>
      </w:tr>
      <w:tr w:rsidR="00587227" w:rsidRPr="00587227" w14:paraId="630C07B3" w14:textId="77777777" w:rsidTr="00587227">
        <w:trPr>
          <w:trHeight w:hRule="exact" w:val="397"/>
        </w:trPr>
        <w:tc>
          <w:tcPr>
            <w:tcW w:w="2074" w:type="dxa"/>
            <w:hideMark/>
          </w:tcPr>
          <w:p w14:paraId="7C613A9E"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Tamil Nadu</w:t>
            </w:r>
          </w:p>
        </w:tc>
        <w:tc>
          <w:tcPr>
            <w:tcW w:w="1650" w:type="dxa"/>
            <w:hideMark/>
          </w:tcPr>
          <w:p w14:paraId="3912AF6B"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503 (127)</w:t>
            </w:r>
          </w:p>
        </w:tc>
        <w:tc>
          <w:tcPr>
            <w:tcW w:w="2432" w:type="dxa"/>
            <w:hideMark/>
          </w:tcPr>
          <w:p w14:paraId="1CE064A1"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1</w:t>
            </w:r>
          </w:p>
        </w:tc>
        <w:tc>
          <w:tcPr>
            <w:tcW w:w="2096" w:type="dxa"/>
            <w:hideMark/>
          </w:tcPr>
          <w:p w14:paraId="67813646"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799 (299389)</w:t>
            </w:r>
          </w:p>
        </w:tc>
      </w:tr>
      <w:tr w:rsidR="00587227" w:rsidRPr="00587227" w14:paraId="23B6FCDF" w14:textId="77777777" w:rsidTr="00587227">
        <w:trPr>
          <w:trHeight w:hRule="exact" w:val="397"/>
        </w:trPr>
        <w:tc>
          <w:tcPr>
            <w:tcW w:w="2074" w:type="dxa"/>
            <w:hideMark/>
          </w:tcPr>
          <w:p w14:paraId="5F9049EC"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Tripura</w:t>
            </w:r>
          </w:p>
        </w:tc>
        <w:tc>
          <w:tcPr>
            <w:tcW w:w="1650" w:type="dxa"/>
            <w:hideMark/>
          </w:tcPr>
          <w:p w14:paraId="3D70D227"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w:t>
            </w:r>
          </w:p>
        </w:tc>
        <w:tc>
          <w:tcPr>
            <w:tcW w:w="2432" w:type="dxa"/>
            <w:hideMark/>
          </w:tcPr>
          <w:p w14:paraId="2C3AFFD4"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w:t>
            </w:r>
          </w:p>
        </w:tc>
        <w:tc>
          <w:tcPr>
            <w:tcW w:w="2096" w:type="dxa"/>
            <w:hideMark/>
          </w:tcPr>
          <w:p w14:paraId="6E7543CD"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160 (23476.79)</w:t>
            </w:r>
          </w:p>
        </w:tc>
      </w:tr>
      <w:tr w:rsidR="00587227" w:rsidRPr="00587227" w14:paraId="75ADCA84" w14:textId="77777777" w:rsidTr="00587227">
        <w:trPr>
          <w:trHeight w:hRule="exact" w:val="397"/>
        </w:trPr>
        <w:tc>
          <w:tcPr>
            <w:tcW w:w="2074" w:type="dxa"/>
            <w:hideMark/>
          </w:tcPr>
          <w:p w14:paraId="3E0FB1FB"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Uttar Pradesh</w:t>
            </w:r>
          </w:p>
        </w:tc>
        <w:tc>
          <w:tcPr>
            <w:tcW w:w="1650" w:type="dxa"/>
            <w:hideMark/>
          </w:tcPr>
          <w:p w14:paraId="7B2BC225"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6 (5500)</w:t>
            </w:r>
          </w:p>
        </w:tc>
        <w:tc>
          <w:tcPr>
            <w:tcW w:w="2432" w:type="dxa"/>
            <w:hideMark/>
          </w:tcPr>
          <w:p w14:paraId="58C40F15"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w:t>
            </w:r>
          </w:p>
        </w:tc>
        <w:tc>
          <w:tcPr>
            <w:tcW w:w="2096" w:type="dxa"/>
            <w:hideMark/>
          </w:tcPr>
          <w:p w14:paraId="74838C64"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502 (45025.44)</w:t>
            </w:r>
          </w:p>
        </w:tc>
      </w:tr>
      <w:tr w:rsidR="00587227" w:rsidRPr="00587227" w14:paraId="4F5ABB9C" w14:textId="77777777" w:rsidTr="00587227">
        <w:trPr>
          <w:trHeight w:hRule="exact" w:val="397"/>
        </w:trPr>
        <w:tc>
          <w:tcPr>
            <w:tcW w:w="2074" w:type="dxa"/>
            <w:hideMark/>
          </w:tcPr>
          <w:p w14:paraId="273F2344"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Uttarakhand</w:t>
            </w:r>
          </w:p>
        </w:tc>
        <w:tc>
          <w:tcPr>
            <w:tcW w:w="1650" w:type="dxa"/>
            <w:hideMark/>
          </w:tcPr>
          <w:p w14:paraId="3C389E2D"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18</w:t>
            </w:r>
          </w:p>
        </w:tc>
        <w:tc>
          <w:tcPr>
            <w:tcW w:w="2432" w:type="dxa"/>
            <w:hideMark/>
          </w:tcPr>
          <w:p w14:paraId="63190035"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2</w:t>
            </w:r>
          </w:p>
        </w:tc>
        <w:tc>
          <w:tcPr>
            <w:tcW w:w="2096" w:type="dxa"/>
            <w:hideMark/>
          </w:tcPr>
          <w:p w14:paraId="5129E59E"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7435 (606608)</w:t>
            </w:r>
          </w:p>
        </w:tc>
      </w:tr>
      <w:tr w:rsidR="00587227" w:rsidRPr="00587227" w14:paraId="64151444" w14:textId="77777777" w:rsidTr="00587227">
        <w:trPr>
          <w:trHeight w:hRule="exact" w:val="397"/>
        </w:trPr>
        <w:tc>
          <w:tcPr>
            <w:tcW w:w="2074" w:type="dxa"/>
            <w:hideMark/>
          </w:tcPr>
          <w:p w14:paraId="66DC2803"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West Bengal</w:t>
            </w:r>
          </w:p>
        </w:tc>
        <w:tc>
          <w:tcPr>
            <w:tcW w:w="1650" w:type="dxa"/>
            <w:hideMark/>
          </w:tcPr>
          <w:p w14:paraId="26F7DADA"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670</w:t>
            </w:r>
          </w:p>
        </w:tc>
        <w:tc>
          <w:tcPr>
            <w:tcW w:w="2432" w:type="dxa"/>
            <w:hideMark/>
          </w:tcPr>
          <w:p w14:paraId="0D9395EB"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w:t>
            </w:r>
          </w:p>
        </w:tc>
        <w:tc>
          <w:tcPr>
            <w:tcW w:w="2096" w:type="dxa"/>
            <w:hideMark/>
          </w:tcPr>
          <w:p w14:paraId="71EB1F1A" w14:textId="77777777" w:rsidR="00587227" w:rsidRPr="00EC011D" w:rsidRDefault="00587227" w:rsidP="0097070E">
            <w:pPr>
              <w:rPr>
                <w:rFonts w:ascii="Times New Roman" w:hAnsi="Times New Roman" w:cs="Times New Roman"/>
                <w:lang w:val="en-US"/>
              </w:rPr>
            </w:pPr>
            <w:r w:rsidRPr="00EC011D">
              <w:rPr>
                <w:rFonts w:ascii="Times New Roman" w:hAnsi="Times New Roman" w:cs="Times New Roman"/>
                <w:lang w:val="en-US"/>
              </w:rPr>
              <w:t>3545 (488095)</w:t>
            </w:r>
          </w:p>
        </w:tc>
      </w:tr>
    </w:tbl>
    <w:p w14:paraId="5269C5DA" w14:textId="21D85629" w:rsidR="00794449" w:rsidRPr="00587227" w:rsidRDefault="00587227" w:rsidP="00794449">
      <w:pPr>
        <w:jc w:val="both"/>
        <w:rPr>
          <w:rFonts w:ascii="Times New Roman" w:hAnsi="Times New Roman" w:cs="Times New Roman"/>
          <w:sz w:val="24"/>
          <w:szCs w:val="24"/>
          <w:lang w:val="en-US"/>
        </w:rPr>
      </w:pPr>
      <w:r w:rsidRPr="00587227">
        <w:rPr>
          <w:rFonts w:ascii="Times New Roman" w:hAnsi="Times New Roman" w:cs="Times New Roman"/>
          <w:i/>
          <w:sz w:val="24"/>
          <w:szCs w:val="24"/>
          <w:lang w:val="en-US"/>
        </w:rPr>
        <w:t>Sources:</w:t>
      </w:r>
      <w:r w:rsidRPr="00587227">
        <w:rPr>
          <w:rFonts w:ascii="Times New Roman" w:hAnsi="Times New Roman" w:cs="Times New Roman"/>
          <w:sz w:val="24"/>
          <w:szCs w:val="24"/>
          <w:lang w:val="en-US"/>
        </w:rPr>
        <w:t>Srivastava 1994, NAEB 1995, Rajendraprasad 1995, Rao 199</w:t>
      </w:r>
      <w:r w:rsidRPr="00587227">
        <w:rPr>
          <w:rFonts w:ascii="Times New Roman" w:hAnsi="Times New Roman" w:cs="Times New Roman"/>
          <w:sz w:val="24"/>
          <w:szCs w:val="24"/>
          <w:u w:val="single"/>
          <w:lang w:val="en-US"/>
        </w:rPr>
        <w:t xml:space="preserve">6, Deb </w:t>
      </w:r>
      <w:r w:rsidRPr="00587227">
        <w:rPr>
          <w:rFonts w:ascii="Times New Roman" w:hAnsi="Times New Roman" w:cs="Times New Roman"/>
          <w:i/>
          <w:sz w:val="24"/>
          <w:szCs w:val="24"/>
          <w:u w:val="single"/>
          <w:lang w:val="en-US"/>
        </w:rPr>
        <w:t xml:space="preserve">et al. </w:t>
      </w:r>
      <w:r w:rsidRPr="00587227">
        <w:rPr>
          <w:rFonts w:ascii="Times New Roman" w:hAnsi="Times New Roman" w:cs="Times New Roman"/>
          <w:sz w:val="24"/>
          <w:szCs w:val="24"/>
          <w:u w:val="single"/>
          <w:lang w:val="en-US"/>
        </w:rPr>
        <w:t>1997</w:t>
      </w:r>
      <w:r w:rsidRPr="00587227">
        <w:rPr>
          <w:rFonts w:ascii="Times New Roman" w:hAnsi="Times New Roman" w:cs="Times New Roman"/>
          <w:sz w:val="24"/>
          <w:szCs w:val="24"/>
          <w:lang w:val="en-US"/>
        </w:rPr>
        <w:t xml:space="preserve">, Malhotra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1997, Amrithalingam 1998, Sinha and Maikhuri 1998, Jha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1998, Chandran and Gadgil 199</w:t>
      </w:r>
      <w:r w:rsidRPr="00587227">
        <w:rPr>
          <w:rFonts w:ascii="Times New Roman" w:hAnsi="Times New Roman" w:cs="Times New Roman"/>
          <w:sz w:val="24"/>
          <w:szCs w:val="24"/>
          <w:u w:val="single"/>
          <w:lang w:val="en-US"/>
        </w:rPr>
        <w:t xml:space="preserve">8, Tiwari </w:t>
      </w:r>
      <w:r w:rsidRPr="00587227">
        <w:rPr>
          <w:rFonts w:ascii="Times New Roman" w:hAnsi="Times New Roman" w:cs="Times New Roman"/>
          <w:i/>
          <w:sz w:val="24"/>
          <w:szCs w:val="24"/>
          <w:u w:val="single"/>
          <w:lang w:val="en-US"/>
        </w:rPr>
        <w:t xml:space="preserve">et al. </w:t>
      </w:r>
      <w:r w:rsidRPr="00587227">
        <w:rPr>
          <w:rFonts w:ascii="Times New Roman" w:hAnsi="Times New Roman" w:cs="Times New Roman"/>
          <w:sz w:val="24"/>
          <w:szCs w:val="24"/>
          <w:u w:val="single"/>
          <w:lang w:val="en-US"/>
        </w:rPr>
        <w:t>1998</w:t>
      </w:r>
      <w:r w:rsidRPr="00587227">
        <w:rPr>
          <w:rFonts w:ascii="Times New Roman" w:hAnsi="Times New Roman" w:cs="Times New Roman"/>
          <w:sz w:val="24"/>
          <w:szCs w:val="24"/>
          <w:lang w:val="en-US"/>
        </w:rPr>
        <w:t xml:space="preserve">, Gupta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2000, Marine Carrin 2000, Chatterjee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2000a, 2000b, Saigal 2001, DTE 2003, Khumbongyam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2004</w:t>
      </w:r>
      <w:r w:rsidRPr="00587227">
        <w:rPr>
          <w:rFonts w:ascii="Times New Roman" w:hAnsi="Times New Roman" w:cs="Times New Roman"/>
          <w:sz w:val="24"/>
          <w:szCs w:val="24"/>
          <w:u w:val="single"/>
          <w:lang w:val="en-US"/>
        </w:rPr>
        <w:t>,</w:t>
      </w:r>
      <w:r w:rsidRPr="00587227">
        <w:rPr>
          <w:rFonts w:ascii="Times New Roman" w:hAnsi="Times New Roman" w:cs="Times New Roman"/>
          <w:sz w:val="24"/>
          <w:szCs w:val="24"/>
          <w:lang w:val="en-US"/>
        </w:rPr>
        <w:t xml:space="preserve"> </w:t>
      </w:r>
      <w:r w:rsidRPr="00587227">
        <w:rPr>
          <w:rFonts w:ascii="Times New Roman" w:hAnsi="Times New Roman" w:cs="Times New Roman"/>
          <w:sz w:val="24"/>
          <w:szCs w:val="24"/>
          <w:u w:val="single"/>
          <w:lang w:val="en-US"/>
        </w:rPr>
        <w:t xml:space="preserve">Waghchaure </w:t>
      </w:r>
      <w:r w:rsidRPr="00587227">
        <w:rPr>
          <w:rFonts w:ascii="Times New Roman" w:hAnsi="Times New Roman" w:cs="Times New Roman"/>
          <w:i/>
          <w:sz w:val="24"/>
          <w:szCs w:val="24"/>
          <w:u w:val="single"/>
          <w:lang w:val="en-US"/>
        </w:rPr>
        <w:t xml:space="preserve">et al. </w:t>
      </w:r>
      <w:r w:rsidRPr="00587227">
        <w:rPr>
          <w:rFonts w:ascii="Times New Roman" w:hAnsi="Times New Roman" w:cs="Times New Roman"/>
          <w:sz w:val="24"/>
          <w:szCs w:val="24"/>
          <w:u w:val="single"/>
          <w:lang w:val="en-US"/>
        </w:rPr>
        <w:t>2006</w:t>
      </w:r>
      <w:r w:rsidRPr="00587227">
        <w:rPr>
          <w:rFonts w:ascii="Times New Roman" w:hAnsi="Times New Roman" w:cs="Times New Roman"/>
          <w:sz w:val="24"/>
          <w:szCs w:val="24"/>
          <w:lang w:val="en-US"/>
        </w:rPr>
        <w:t xml:space="preserve">, Anthwal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2006, Khan </w:t>
      </w:r>
      <w:r w:rsidRPr="00587227">
        <w:rPr>
          <w:rFonts w:ascii="Times New Roman" w:hAnsi="Times New Roman" w:cs="Times New Roman"/>
          <w:i/>
          <w:sz w:val="24"/>
          <w:szCs w:val="24"/>
          <w:lang w:val="en-US"/>
        </w:rPr>
        <w:t>et al</w:t>
      </w:r>
      <w:r w:rsidRPr="00587227">
        <w:rPr>
          <w:rFonts w:ascii="Times New Roman" w:hAnsi="Times New Roman" w:cs="Times New Roman"/>
          <w:sz w:val="24"/>
          <w:szCs w:val="24"/>
          <w:lang w:val="en-US"/>
        </w:rPr>
        <w:t>. 2007, MOEF 2014)</w:t>
      </w:r>
    </w:p>
    <w:p w14:paraId="65AEC833" w14:textId="4AE4D211"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 xml:space="preserve">The JFM model is a reflection of a co-management model whereby the responsibilities are shared but the ultimate power in many cases rests with the forest department (Balooni, 2002). This give and take strategy tries to bring the conservation goals and livelihood goals in line with each other. Empirical evidence shows that JFM has helped to increase forest area and village participation in various areas (Sundar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2001). Community incentive on forest protection will tend to improve whereby institutional arrangements are clear and there are well-established mechanisms of sharing the rewards.</w:t>
      </w:r>
    </w:p>
    <w:p w14:paraId="3608D0E5" w14:textId="5391F1D0" w:rsidR="004116C4"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The levels of involvement whilst at JFM though differ significantly. In most instances, local communities are involved but do not have much decision-making power over the management strategies or sharing of the revenues (Agrawal and Gibson, 1999). These kinds of arrangements are limited decentralization, as they involve mere procedures but not substantive participation. Institutional clarity, fair distribution of benefits and level of empowerment of communities vested in the governing structures are therefore critical to the effectiveness of JFM.</w:t>
      </w:r>
    </w:p>
    <w:p w14:paraId="170F1433" w14:textId="77777777" w:rsidR="00794449" w:rsidRPr="00794449" w:rsidRDefault="00794449" w:rsidP="00794449">
      <w:pPr>
        <w:jc w:val="both"/>
        <w:rPr>
          <w:rFonts w:ascii="Times New Roman" w:hAnsi="Times New Roman" w:cs="Times New Roman"/>
          <w:b/>
          <w:bCs/>
          <w:sz w:val="24"/>
          <w:szCs w:val="24"/>
        </w:rPr>
      </w:pPr>
      <w:r w:rsidRPr="00794449">
        <w:rPr>
          <w:rFonts w:ascii="Times New Roman" w:hAnsi="Times New Roman" w:cs="Times New Roman"/>
          <w:b/>
          <w:bCs/>
          <w:sz w:val="24"/>
          <w:szCs w:val="24"/>
        </w:rPr>
        <w:t>3.3 Community Forestry and Social Forestry.</w:t>
      </w:r>
    </w:p>
    <w:p w14:paraId="38869E67" w14:textId="255F4566"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 xml:space="preserve">Community Forest Management (CFM) is a decentralized approach where the local populations are given the major role in managing the forests. As a theory based on the ideas of common property resource, CFM focuses on collective action, rules that have been developed locally, and monitoring systems that are provided by communities (Ostrom, 1990). In contrast to JFM, where both the state agencies and the agencies share the same authority, in CFM, local institutions get a lot of autonomy. It is argued that in many instances forests under strict social institutions tend to experience better conservation results because of greater social cohesion and accountability (Pagdee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2006).</w:t>
      </w:r>
    </w:p>
    <w:p w14:paraId="1F779FE6" w14:textId="49DB6DBE"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 xml:space="preserve">Institutional capacity and social capital, however, is the determinant of the success of community forestry. Collective action can be compromised in a situation where there are internal inequalities, or in a situation where the governing apparatus is weak (Meinzen-Dick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xml:space="preserve">, 2004). Accordingly, CFM is more deeply decentralized, but the </w:t>
      </w:r>
      <w:r w:rsidRPr="00794449">
        <w:rPr>
          <w:rFonts w:ascii="Times New Roman" w:hAnsi="Times New Roman" w:cs="Times New Roman"/>
          <w:sz w:val="24"/>
          <w:szCs w:val="24"/>
        </w:rPr>
        <w:lastRenderedPageBreak/>
        <w:t>results of such a system become possible depending on the local socio-political situation.</w:t>
      </w:r>
    </w:p>
    <w:p w14:paraId="4B3E0329"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In contrast, social forestry programs emphasize much more the increase in the number of trees outside the conventional forest through the plantation programs in the community and private lands (FAO, 2010). The programs are meant to mitigate the stress on the natural forests and create job opportunities and supply fodder and fuelwood materials. Social forestry unites environment and social-economic targets by connecting afforestation and livelihood purposes (Arnold, 2001). Nevertheless, the long-term success requires the institutional support and obvious benefit-sharing schemes.</w:t>
      </w:r>
    </w:p>
    <w:p w14:paraId="250C161C" w14:textId="0FF15A99" w:rsidR="00794449" w:rsidRPr="00794449" w:rsidRDefault="00794449" w:rsidP="00794449">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794449">
        <w:rPr>
          <w:rFonts w:ascii="Times New Roman" w:hAnsi="Times New Roman" w:cs="Times New Roman"/>
          <w:b/>
          <w:bCs/>
          <w:sz w:val="24"/>
          <w:szCs w:val="24"/>
        </w:rPr>
        <w:t>Participatory Forestry as a Critical Assessment.</w:t>
      </w:r>
    </w:p>
    <w:p w14:paraId="5BB8FE52"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Despite the major institutional change brought about by participatory forestry, the level of participation and quality determines its success. Arnstein (1969) model is used to differentiate token participation and actual sharing of power since consultation in itself is not equal to empowerment. In other forestry schemes the involvement is still restricted to advisory functions with the state authorities holding strategic decisions (Agrawal and Gibson, 1999). These arrangements can undermine ownership of communities and the sustainability in the long term.</w:t>
      </w:r>
    </w:p>
    <w:p w14:paraId="63017AEF" w14:textId="6C54C0FD"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 xml:space="preserve">There are also other problems which are elite capture, unequal distribution of benefits and lack of strong institutional enforcement mechanisms (Meinzen-Dick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2004). These will weaken the collective action and jeopardize the socio-economic outcomes. As a result, the enhancement of local institutions, transparency, and inclusive participation is necessary to transform the principles of participation into governance reforms.</w:t>
      </w:r>
    </w:p>
    <w:p w14:paraId="3C677C48" w14:textId="405488CE" w:rsid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In general, participatory strategies in forestry are a substantial shift in centralized management incorporating a conservation goal, as well as community participation. Their socio-economic efficacy however, cannot just rely on formal inclusion but the extent to which there is real power, institutional responsibility and equitable distribution of benefits in the governance systems.</w:t>
      </w:r>
    </w:p>
    <w:p w14:paraId="38E43519" w14:textId="6EC2E2FC" w:rsidR="00A726F6" w:rsidRPr="00794449" w:rsidRDefault="00A726F6" w:rsidP="00794449">
      <w:pPr>
        <w:jc w:val="both"/>
        <w:rPr>
          <w:rFonts w:ascii="Times New Roman" w:hAnsi="Times New Roman" w:cs="Times New Roman"/>
          <w:b/>
          <w:bCs/>
          <w:sz w:val="24"/>
          <w:szCs w:val="24"/>
        </w:rPr>
      </w:pPr>
      <w:r w:rsidRPr="00794449">
        <w:rPr>
          <w:rFonts w:ascii="Times New Roman" w:hAnsi="Times New Roman" w:cs="Times New Roman"/>
          <w:b/>
          <w:bCs/>
          <w:sz w:val="24"/>
          <w:szCs w:val="24"/>
        </w:rPr>
        <w:t xml:space="preserve">Table </w:t>
      </w:r>
      <w:r w:rsidR="00587227">
        <w:rPr>
          <w:rFonts w:ascii="Times New Roman" w:hAnsi="Times New Roman" w:cs="Times New Roman"/>
          <w:b/>
          <w:bCs/>
          <w:sz w:val="24"/>
          <w:szCs w:val="24"/>
        </w:rPr>
        <w:t>3</w:t>
      </w:r>
      <w:r w:rsidRPr="00794449">
        <w:rPr>
          <w:rFonts w:ascii="Times New Roman" w:hAnsi="Times New Roman" w:cs="Times New Roman"/>
          <w:b/>
          <w:bCs/>
          <w:sz w:val="24"/>
          <w:szCs w:val="24"/>
        </w:rPr>
        <w:t>: Comparison of Participatory Forestry Models</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51"/>
        <w:gridCol w:w="2779"/>
        <w:gridCol w:w="2298"/>
        <w:gridCol w:w="1750"/>
      </w:tblGrid>
      <w:tr w:rsidR="00A726F6" w:rsidRPr="00587227" w14:paraId="66E81EFF" w14:textId="77777777" w:rsidTr="00587227">
        <w:trPr>
          <w:trHeight w:hRule="exact" w:val="507"/>
          <w:tblHeader/>
          <w:jc w:val="center"/>
        </w:trPr>
        <w:tc>
          <w:tcPr>
            <w:tcW w:w="1751" w:type="dxa"/>
            <w:vAlign w:val="center"/>
            <w:hideMark/>
          </w:tcPr>
          <w:p w14:paraId="433B8595"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Feature</w:t>
            </w:r>
          </w:p>
        </w:tc>
        <w:tc>
          <w:tcPr>
            <w:tcW w:w="2779" w:type="dxa"/>
            <w:vAlign w:val="center"/>
            <w:hideMark/>
          </w:tcPr>
          <w:p w14:paraId="5D808DF4"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JFM</w:t>
            </w:r>
          </w:p>
        </w:tc>
        <w:tc>
          <w:tcPr>
            <w:tcW w:w="2298" w:type="dxa"/>
            <w:vAlign w:val="center"/>
            <w:hideMark/>
          </w:tcPr>
          <w:p w14:paraId="27D2A7E7"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CFM</w:t>
            </w:r>
          </w:p>
        </w:tc>
        <w:tc>
          <w:tcPr>
            <w:tcW w:w="1750" w:type="dxa"/>
            <w:vAlign w:val="center"/>
            <w:hideMark/>
          </w:tcPr>
          <w:p w14:paraId="57800FB9"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Social Forestry</w:t>
            </w:r>
          </w:p>
        </w:tc>
      </w:tr>
      <w:tr w:rsidR="00A726F6" w:rsidRPr="00587227" w14:paraId="385439E4" w14:textId="77777777" w:rsidTr="00587227">
        <w:trPr>
          <w:trHeight w:hRule="exact" w:val="507"/>
          <w:jc w:val="center"/>
        </w:trPr>
        <w:tc>
          <w:tcPr>
            <w:tcW w:w="1751" w:type="dxa"/>
            <w:vAlign w:val="center"/>
            <w:hideMark/>
          </w:tcPr>
          <w:p w14:paraId="71FA00F7"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Control Structure</w:t>
            </w:r>
          </w:p>
        </w:tc>
        <w:tc>
          <w:tcPr>
            <w:tcW w:w="2779" w:type="dxa"/>
            <w:vAlign w:val="center"/>
            <w:hideMark/>
          </w:tcPr>
          <w:p w14:paraId="1F03E5E4"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Shared (Dept + Community)</w:t>
            </w:r>
          </w:p>
        </w:tc>
        <w:tc>
          <w:tcPr>
            <w:tcW w:w="2298" w:type="dxa"/>
            <w:vAlign w:val="center"/>
            <w:hideMark/>
          </w:tcPr>
          <w:p w14:paraId="73970D81"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Community-led</w:t>
            </w:r>
          </w:p>
        </w:tc>
        <w:tc>
          <w:tcPr>
            <w:tcW w:w="1750" w:type="dxa"/>
            <w:vAlign w:val="center"/>
            <w:hideMark/>
          </w:tcPr>
          <w:p w14:paraId="04EDF81E"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Govt-supported</w:t>
            </w:r>
          </w:p>
        </w:tc>
      </w:tr>
      <w:tr w:rsidR="00A726F6" w:rsidRPr="00587227" w14:paraId="1F61D077" w14:textId="77777777" w:rsidTr="00587227">
        <w:trPr>
          <w:trHeight w:hRule="exact" w:val="507"/>
          <w:jc w:val="center"/>
        </w:trPr>
        <w:tc>
          <w:tcPr>
            <w:tcW w:w="1751" w:type="dxa"/>
            <w:vAlign w:val="center"/>
            <w:hideMark/>
          </w:tcPr>
          <w:p w14:paraId="123DB300"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Decision Authority</w:t>
            </w:r>
          </w:p>
        </w:tc>
        <w:tc>
          <w:tcPr>
            <w:tcW w:w="2779" w:type="dxa"/>
            <w:vAlign w:val="center"/>
            <w:hideMark/>
          </w:tcPr>
          <w:p w14:paraId="6408D24D"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Moderate</w:t>
            </w:r>
          </w:p>
        </w:tc>
        <w:tc>
          <w:tcPr>
            <w:tcW w:w="2298" w:type="dxa"/>
            <w:vAlign w:val="center"/>
            <w:hideMark/>
          </w:tcPr>
          <w:p w14:paraId="4178C2DE"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High</w:t>
            </w:r>
          </w:p>
        </w:tc>
        <w:tc>
          <w:tcPr>
            <w:tcW w:w="1750" w:type="dxa"/>
            <w:vAlign w:val="center"/>
            <w:hideMark/>
          </w:tcPr>
          <w:p w14:paraId="50D891E5"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Limited</w:t>
            </w:r>
          </w:p>
        </w:tc>
      </w:tr>
      <w:tr w:rsidR="00A726F6" w:rsidRPr="00587227" w14:paraId="12AE6EDD" w14:textId="77777777" w:rsidTr="00587227">
        <w:trPr>
          <w:trHeight w:hRule="exact" w:val="507"/>
          <w:jc w:val="center"/>
        </w:trPr>
        <w:tc>
          <w:tcPr>
            <w:tcW w:w="1751" w:type="dxa"/>
            <w:vAlign w:val="center"/>
            <w:hideMark/>
          </w:tcPr>
          <w:p w14:paraId="068729A5"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Benefit Sharing</w:t>
            </w:r>
          </w:p>
        </w:tc>
        <w:tc>
          <w:tcPr>
            <w:tcW w:w="2779" w:type="dxa"/>
            <w:vAlign w:val="center"/>
            <w:hideMark/>
          </w:tcPr>
          <w:p w14:paraId="0A554C34"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Yes</w:t>
            </w:r>
          </w:p>
        </w:tc>
        <w:tc>
          <w:tcPr>
            <w:tcW w:w="2298" w:type="dxa"/>
            <w:vAlign w:val="center"/>
            <w:hideMark/>
          </w:tcPr>
          <w:p w14:paraId="05590F48"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Yes</w:t>
            </w:r>
          </w:p>
        </w:tc>
        <w:tc>
          <w:tcPr>
            <w:tcW w:w="1750" w:type="dxa"/>
            <w:vAlign w:val="center"/>
            <w:hideMark/>
          </w:tcPr>
          <w:p w14:paraId="44ABECF6"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Partial</w:t>
            </w:r>
          </w:p>
        </w:tc>
      </w:tr>
      <w:tr w:rsidR="00A726F6" w:rsidRPr="00587227" w14:paraId="21526080" w14:textId="77777777" w:rsidTr="00587227">
        <w:trPr>
          <w:trHeight w:hRule="exact" w:val="637"/>
          <w:jc w:val="center"/>
        </w:trPr>
        <w:tc>
          <w:tcPr>
            <w:tcW w:w="1751" w:type="dxa"/>
            <w:vAlign w:val="center"/>
            <w:hideMark/>
          </w:tcPr>
          <w:p w14:paraId="48DFD16D"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Institutional Role</w:t>
            </w:r>
          </w:p>
        </w:tc>
        <w:tc>
          <w:tcPr>
            <w:tcW w:w="2779" w:type="dxa"/>
            <w:vAlign w:val="center"/>
            <w:hideMark/>
          </w:tcPr>
          <w:p w14:paraId="4D7224D4"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Formal committees</w:t>
            </w:r>
          </w:p>
        </w:tc>
        <w:tc>
          <w:tcPr>
            <w:tcW w:w="2298" w:type="dxa"/>
            <w:vAlign w:val="center"/>
            <w:hideMark/>
          </w:tcPr>
          <w:p w14:paraId="2EFBB7E0"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Informal/Local institutions</w:t>
            </w:r>
          </w:p>
        </w:tc>
        <w:tc>
          <w:tcPr>
            <w:tcW w:w="1750" w:type="dxa"/>
            <w:vAlign w:val="center"/>
            <w:hideMark/>
          </w:tcPr>
          <w:p w14:paraId="09C9E492"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Govt + Community</w:t>
            </w:r>
          </w:p>
        </w:tc>
      </w:tr>
      <w:tr w:rsidR="00A726F6" w:rsidRPr="00587227" w14:paraId="62EE8400" w14:textId="77777777" w:rsidTr="00587227">
        <w:trPr>
          <w:trHeight w:hRule="exact" w:val="663"/>
          <w:jc w:val="center"/>
        </w:trPr>
        <w:tc>
          <w:tcPr>
            <w:tcW w:w="1751" w:type="dxa"/>
            <w:vAlign w:val="center"/>
            <w:hideMark/>
          </w:tcPr>
          <w:p w14:paraId="704CCF76"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Participation Level</w:t>
            </w:r>
          </w:p>
        </w:tc>
        <w:tc>
          <w:tcPr>
            <w:tcW w:w="2779" w:type="dxa"/>
            <w:vAlign w:val="center"/>
            <w:hideMark/>
          </w:tcPr>
          <w:p w14:paraId="4DBFCE37"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Partnership/Consultative</w:t>
            </w:r>
          </w:p>
        </w:tc>
        <w:tc>
          <w:tcPr>
            <w:tcW w:w="2298" w:type="dxa"/>
            <w:vAlign w:val="center"/>
            <w:hideMark/>
          </w:tcPr>
          <w:p w14:paraId="5256E0A2"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Higher autonomy</w:t>
            </w:r>
          </w:p>
        </w:tc>
        <w:tc>
          <w:tcPr>
            <w:tcW w:w="1750" w:type="dxa"/>
            <w:vAlign w:val="center"/>
            <w:hideMark/>
          </w:tcPr>
          <w:p w14:paraId="69F479B8"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Program-based</w:t>
            </w:r>
          </w:p>
        </w:tc>
      </w:tr>
    </w:tbl>
    <w:p w14:paraId="37B850A4" w14:textId="77777777" w:rsidR="00253262" w:rsidRDefault="00253262" w:rsidP="00A726F6">
      <w:pPr>
        <w:rPr>
          <w:rFonts w:ascii="Times New Roman" w:hAnsi="Times New Roman" w:cs="Times New Roman"/>
          <w:sz w:val="24"/>
          <w:szCs w:val="24"/>
        </w:rPr>
      </w:pPr>
    </w:p>
    <w:p w14:paraId="24ED2FD9" w14:textId="77777777" w:rsidR="002D4601" w:rsidRDefault="002D4601" w:rsidP="00A726F6">
      <w:pPr>
        <w:rPr>
          <w:rFonts w:ascii="Times New Roman" w:hAnsi="Times New Roman" w:cs="Times New Roman"/>
          <w:sz w:val="24"/>
          <w:szCs w:val="24"/>
        </w:rPr>
      </w:pPr>
    </w:p>
    <w:p w14:paraId="2F72A79B" w14:textId="77777777" w:rsidR="00253262" w:rsidRDefault="00253262" w:rsidP="00253262">
      <w:pPr>
        <w:pBdr>
          <w:bottom w:val="single" w:sz="12" w:space="1" w:color="auto"/>
        </w:pBdr>
        <w:jc w:val="both"/>
        <w:rPr>
          <w:rFonts w:ascii="Times New Roman" w:hAnsi="Times New Roman" w:cs="Times New Roman"/>
          <w:b/>
          <w:bCs/>
          <w:sz w:val="24"/>
          <w:szCs w:val="24"/>
        </w:rPr>
      </w:pPr>
      <w:r w:rsidRPr="00253262">
        <w:rPr>
          <w:rFonts w:ascii="Times New Roman" w:hAnsi="Times New Roman" w:cs="Times New Roman"/>
          <w:b/>
          <w:bCs/>
          <w:sz w:val="24"/>
          <w:szCs w:val="24"/>
        </w:rPr>
        <w:t>4. Socio-Economic Impacts and Institutional Constraints of Participatory Forestry</w:t>
      </w:r>
    </w:p>
    <w:p w14:paraId="1E545CFF" w14:textId="77777777"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4.1 Income and Livelihood Results.</w:t>
      </w:r>
    </w:p>
    <w:p w14:paraId="25805B6F" w14:textId="68106BD1"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The idea behind participatory forestry initiatives was to restore the situation in the forest as well as to boost livelihood security of forest-dependent communities. Joint Forest Management (JFM) programs have led to non-timber forest products (NTFP), wage work on plantation and protection timber work and, in select instances, a share of revenue earned through timber extraction (Poffenberger, 1996). Experimental results in Madhya Pradesh indicate that decentralized forest management practices enhanced the regeneration of forests and lowered the protection expenditures (Somanathan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1999). Better forest condition was indirectly beneficial in terms of livelihoods by way of improved availability of fuelwood, fodder, and minor forest produce.</w:t>
      </w:r>
    </w:p>
    <w:p w14:paraId="48407F06" w14:textId="3440D2EF"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Nevertheless, the level of income gains in different regions differs with the effectiveness of the institution and clarity of benefits sharing (Behera, 2009). In other regions, financial gains are still small and seasonal with less impact on transformation of livelihoods. Evidence of participation in the forest management, in particular, is also obtained internationally, that is, it is clear that participatory forest management allows improving livelihood assets, although, in most cases, they do not replace primary sources of income (Girma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2022). Therefore, participatory forestry has the propensity of enhancing resilience of livelihoods but not to produce large income growth.</w:t>
      </w:r>
    </w:p>
    <w:p w14:paraId="6D55F0E1" w14:textId="6C114842"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 xml:space="preserve">4.2 </w:t>
      </w:r>
      <w:r>
        <w:rPr>
          <w:rFonts w:ascii="Times New Roman" w:hAnsi="Times New Roman" w:cs="Times New Roman"/>
          <w:b/>
          <w:bCs/>
          <w:sz w:val="24"/>
          <w:szCs w:val="24"/>
        </w:rPr>
        <w:t>Employment and Resources Access</w:t>
      </w:r>
    </w:p>
    <w:p w14:paraId="1506D091" w14:textId="77777777"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Participatory forestry provides jobs mainly in protection of forests, regeneration processes, nursery work and plantation. In social forestry projects, the local communities are involved in afforestation activities in the degraded lands and this also creates short term wage jobs (Arnold, 2001). NTFPs are also important when it comes to subsistence and participation in small-scale markets.</w:t>
      </w:r>
    </w:p>
    <w:p w14:paraId="417C02A6" w14:textId="6AD16A59"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Nevertheless, employment perks tend to be skewed. Indian research indicates that in some cases, economically stronger households are able to seize more benefits because they have a superior approach to committee networks and decision-making (Samarin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2003). Similar conclusions are reflected in international analyses, which say that the rate of participation also depends on the group membership, vulnerability, and institutional inclusion mechanisms (Mbeche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Participatory forestry thus increases the access to resources but the sharing of employment is a long-standing challenge.</w:t>
      </w:r>
    </w:p>
    <w:p w14:paraId="4D7E6814" w14:textId="77777777"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4.3 Gender and Social Inclusion</w:t>
      </w:r>
    </w:p>
    <w:p w14:paraId="056BB5F0" w14:textId="77777777"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The issue of gender inclusion is one of the dimensions of socio-economic impact that is acute. In India, it is shown that when women are members of the forest governance committees, there should be a positive relationship between participation in the forest and the effectiveness of forest protection and better adherence to conservation norms </w:t>
      </w:r>
      <w:r w:rsidRPr="00CE3051">
        <w:rPr>
          <w:rFonts w:ascii="Times New Roman" w:hAnsi="Times New Roman" w:cs="Times New Roman"/>
          <w:sz w:val="24"/>
          <w:szCs w:val="24"/>
        </w:rPr>
        <w:lastRenderedPageBreak/>
        <w:t>(Agarwal, 2010). The women are normally very knowledgeable about the ecological aspects and they are at the heart of the NTFP collection and are thus important to involved in sustainable management.</w:t>
      </w:r>
    </w:p>
    <w:p w14:paraId="102F7688" w14:textId="67CC637D"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Although the policy has stipulated that women should be represented, the effective decision-making power of women is still low in most of the settings. The international studies of recent years also point as to the fact that women are increasingly represented in the institutions of participation in the forest, however, their real influence on the key strategic choices is limited by the socio-cultural norms (Zangmo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2024). Therefore, formal inclusion does not necessarily invest into substantive empowerment, and the process of meaningful participation needs institutional reorganization and social change.</w:t>
      </w:r>
    </w:p>
    <w:p w14:paraId="07E2F7AE" w14:textId="77777777"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4.4 Institutional and Governance Constraints.</w:t>
      </w:r>
    </w:p>
    <w:p w14:paraId="0D306712" w14:textId="54C201F3" w:rsid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sz w:val="24"/>
          <w:szCs w:val="24"/>
        </w:rPr>
        <w:t>Although the potential of participatory forestry has been established to be ecological and socio-economic, institutional problems and governance challenges often restrict its applicability. Initial transnational evaluations found the communication and extension gaps to be the most common limiting factors among groups of the stakeholders (Lawrence and Green, 2003). The lack of coordination in the participatory systems is observed in the disparity between the priorities of resource users and development professionals on research and management issues as a whole.</w:t>
      </w:r>
    </w:p>
    <w:p w14:paraId="41B49B00" w14:textId="2D593D50" w:rsidR="00253262" w:rsidRPr="003E7B06" w:rsidRDefault="00253262" w:rsidP="00CE3051">
      <w:pPr>
        <w:jc w:val="both"/>
        <w:rPr>
          <w:rFonts w:ascii="Times New Roman" w:hAnsi="Times New Roman" w:cs="Times New Roman"/>
          <w:sz w:val="24"/>
          <w:szCs w:val="24"/>
        </w:rPr>
      </w:pPr>
      <w:r w:rsidRPr="00253262">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587227">
        <w:rPr>
          <w:rFonts w:ascii="Times New Roman" w:hAnsi="Times New Roman" w:cs="Times New Roman"/>
          <w:b/>
          <w:bCs/>
          <w:sz w:val="24"/>
          <w:szCs w:val="24"/>
        </w:rPr>
        <w:t>4</w:t>
      </w:r>
      <w:r w:rsidRPr="00253262">
        <w:rPr>
          <w:rFonts w:ascii="Times New Roman" w:hAnsi="Times New Roman" w:cs="Times New Roman"/>
          <w:b/>
          <w:bCs/>
          <w:sz w:val="24"/>
          <w:szCs w:val="24"/>
        </w:rPr>
        <w:t xml:space="preserve">. Stakeholder-ranked research priorities across six countries in participatory forest management (Lawrence </w:t>
      </w:r>
      <w:r w:rsidR="00371CB1">
        <w:rPr>
          <w:rFonts w:ascii="Times New Roman" w:hAnsi="Times New Roman" w:cs="Times New Roman"/>
          <w:b/>
          <w:bCs/>
          <w:sz w:val="24"/>
          <w:szCs w:val="24"/>
        </w:rPr>
        <w:t>and</w:t>
      </w:r>
      <w:r w:rsidRPr="00253262">
        <w:rPr>
          <w:rFonts w:ascii="Times New Roman" w:hAnsi="Times New Roman" w:cs="Times New Roman"/>
          <w:b/>
          <w:bCs/>
          <w:sz w:val="24"/>
          <w:szCs w:val="24"/>
        </w:rPr>
        <w:t xml:space="preserve"> Green, 2003).</w:t>
      </w:r>
    </w:p>
    <w:tbl>
      <w:tblPr>
        <w:tblStyle w:val="TableGrid"/>
        <w:tblW w:w="8629" w:type="dxa"/>
        <w:tblLook w:val="04A0" w:firstRow="1" w:lastRow="0" w:firstColumn="1" w:lastColumn="0" w:noHBand="0" w:noVBand="1"/>
      </w:tblPr>
      <w:tblGrid>
        <w:gridCol w:w="1219"/>
        <w:gridCol w:w="1398"/>
        <w:gridCol w:w="1514"/>
        <w:gridCol w:w="1563"/>
        <w:gridCol w:w="1563"/>
        <w:gridCol w:w="1818"/>
      </w:tblGrid>
      <w:tr w:rsidR="000D71DF" w:rsidRPr="000D71DF" w14:paraId="00A53E20" w14:textId="77777777" w:rsidTr="00B4579A">
        <w:trPr>
          <w:trHeight w:val="193"/>
        </w:trPr>
        <w:tc>
          <w:tcPr>
            <w:tcW w:w="1159" w:type="dxa"/>
          </w:tcPr>
          <w:p w14:paraId="4CA441A1" w14:textId="2A94B9D1" w:rsidR="00253262" w:rsidRPr="000D71DF" w:rsidRDefault="00253262" w:rsidP="00253262">
            <w:pPr>
              <w:jc w:val="both"/>
              <w:rPr>
                <w:rFonts w:ascii="Times New Roman" w:hAnsi="Times New Roman" w:cs="Times New Roman"/>
                <w:b/>
                <w:bCs/>
              </w:rPr>
            </w:pPr>
            <w:r w:rsidRPr="000D71DF">
              <w:rPr>
                <w:rFonts w:ascii="Times New Roman" w:hAnsi="Times New Roman" w:cs="Times New Roman"/>
                <w:b/>
              </w:rPr>
              <w:t>B</w:t>
            </w:r>
            <w:r w:rsidRPr="000D71DF">
              <w:rPr>
                <w:rFonts w:ascii="Times New Roman" w:hAnsi="Times New Roman" w:cs="Times New Roman"/>
                <w:b/>
                <w:spacing w:val="-23"/>
              </w:rPr>
              <w:t xml:space="preserve"> </w:t>
            </w:r>
            <w:r w:rsidRPr="000D71DF">
              <w:rPr>
                <w:rFonts w:ascii="Times New Roman" w:hAnsi="Times New Roman" w:cs="Times New Roman"/>
                <w:b/>
                <w:spacing w:val="-2"/>
              </w:rPr>
              <w:t>razil</w:t>
            </w:r>
          </w:p>
        </w:tc>
        <w:tc>
          <w:tcPr>
            <w:tcW w:w="1329" w:type="dxa"/>
          </w:tcPr>
          <w:p w14:paraId="54768D70" w14:textId="26A95F6B" w:rsidR="00253262" w:rsidRPr="000D71DF" w:rsidRDefault="00253262" w:rsidP="00253262">
            <w:pPr>
              <w:jc w:val="both"/>
              <w:rPr>
                <w:rFonts w:ascii="Times New Roman" w:hAnsi="Times New Roman" w:cs="Times New Roman"/>
                <w:b/>
                <w:bCs/>
              </w:rPr>
            </w:pPr>
            <w:r w:rsidRPr="000D71DF">
              <w:rPr>
                <w:rFonts w:ascii="Times New Roman" w:hAnsi="Times New Roman" w:cs="Times New Roman"/>
                <w:b/>
                <w:spacing w:val="-2"/>
              </w:rPr>
              <w:t>Bolivia</w:t>
            </w:r>
          </w:p>
        </w:tc>
        <w:tc>
          <w:tcPr>
            <w:tcW w:w="1440" w:type="dxa"/>
          </w:tcPr>
          <w:p w14:paraId="631CD442" w14:textId="4ABE5334" w:rsidR="00253262" w:rsidRPr="000D71DF" w:rsidRDefault="00253262" w:rsidP="00253262">
            <w:pPr>
              <w:jc w:val="both"/>
              <w:rPr>
                <w:rFonts w:ascii="Times New Roman" w:hAnsi="Times New Roman" w:cs="Times New Roman"/>
                <w:b/>
                <w:bCs/>
              </w:rPr>
            </w:pPr>
            <w:r w:rsidRPr="000D71DF">
              <w:rPr>
                <w:rFonts w:ascii="Times New Roman" w:hAnsi="Times New Roman" w:cs="Times New Roman"/>
                <w:b/>
                <w:spacing w:val="8"/>
              </w:rPr>
              <w:t>Nepal</w:t>
            </w:r>
          </w:p>
        </w:tc>
        <w:tc>
          <w:tcPr>
            <w:tcW w:w="1486" w:type="dxa"/>
          </w:tcPr>
          <w:p w14:paraId="6407C842" w14:textId="028AC8BD" w:rsidR="00253262" w:rsidRPr="000D71DF" w:rsidRDefault="00253262" w:rsidP="00253262">
            <w:pPr>
              <w:jc w:val="both"/>
              <w:rPr>
                <w:rFonts w:ascii="Times New Roman" w:hAnsi="Times New Roman" w:cs="Times New Roman"/>
                <w:b/>
                <w:bCs/>
              </w:rPr>
            </w:pPr>
            <w:r w:rsidRPr="000D71DF">
              <w:rPr>
                <w:rFonts w:ascii="Times New Roman" w:hAnsi="Times New Roman" w:cs="Times New Roman"/>
                <w:b/>
                <w:spacing w:val="-2"/>
              </w:rPr>
              <w:t>India</w:t>
            </w:r>
          </w:p>
        </w:tc>
        <w:tc>
          <w:tcPr>
            <w:tcW w:w="1486" w:type="dxa"/>
          </w:tcPr>
          <w:p w14:paraId="199A757A" w14:textId="21439BC8" w:rsidR="00253262" w:rsidRPr="000D71DF" w:rsidRDefault="00253262" w:rsidP="00253262">
            <w:pPr>
              <w:jc w:val="both"/>
              <w:rPr>
                <w:rFonts w:ascii="Times New Roman" w:hAnsi="Times New Roman" w:cs="Times New Roman"/>
                <w:b/>
                <w:bCs/>
              </w:rPr>
            </w:pPr>
            <w:r w:rsidRPr="000D71DF">
              <w:rPr>
                <w:rFonts w:ascii="Times New Roman" w:hAnsi="Times New Roman" w:cs="Times New Roman"/>
                <w:b/>
              </w:rPr>
              <w:t>Philippine</w:t>
            </w:r>
            <w:r w:rsidRPr="000D71DF">
              <w:rPr>
                <w:rFonts w:ascii="Times New Roman" w:hAnsi="Times New Roman" w:cs="Times New Roman"/>
                <w:b/>
                <w:spacing w:val="-16"/>
              </w:rPr>
              <w:t xml:space="preserve"> </w:t>
            </w:r>
            <w:r w:rsidRPr="000D71DF">
              <w:rPr>
                <w:rFonts w:ascii="Times New Roman" w:hAnsi="Times New Roman" w:cs="Times New Roman"/>
                <w:b/>
                <w:spacing w:val="-10"/>
              </w:rPr>
              <w:t>s</w:t>
            </w:r>
          </w:p>
        </w:tc>
        <w:tc>
          <w:tcPr>
            <w:tcW w:w="1729" w:type="dxa"/>
          </w:tcPr>
          <w:p w14:paraId="55999991" w14:textId="39BC0613" w:rsidR="00253262" w:rsidRPr="000D71DF" w:rsidRDefault="00253262" w:rsidP="00253262">
            <w:pPr>
              <w:jc w:val="both"/>
              <w:rPr>
                <w:rFonts w:ascii="Times New Roman" w:hAnsi="Times New Roman" w:cs="Times New Roman"/>
                <w:b/>
                <w:bCs/>
              </w:rPr>
            </w:pPr>
            <w:r w:rsidRPr="000D71DF">
              <w:rPr>
                <w:rFonts w:ascii="Times New Roman" w:hAnsi="Times New Roman" w:cs="Times New Roman"/>
                <w:b/>
                <w:spacing w:val="-2"/>
              </w:rPr>
              <w:t>Tanzania</w:t>
            </w:r>
          </w:p>
        </w:tc>
      </w:tr>
      <w:tr w:rsidR="000D71DF" w:rsidRPr="000D71DF" w14:paraId="5D43CA8B" w14:textId="77777777" w:rsidTr="00B4579A">
        <w:trPr>
          <w:trHeight w:val="1596"/>
        </w:trPr>
        <w:tc>
          <w:tcPr>
            <w:tcW w:w="1159" w:type="dxa"/>
          </w:tcPr>
          <w:p w14:paraId="5E4CFB0F" w14:textId="7D41DD24"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1.</w:t>
            </w:r>
            <w:r w:rsidRPr="000D71DF">
              <w:rPr>
                <w:rFonts w:ascii="Times New Roman" w:hAnsi="Times New Roman" w:cs="Times New Roman"/>
                <w:spacing w:val="29"/>
              </w:rPr>
              <w:t xml:space="preserve"> </w:t>
            </w:r>
            <w:r w:rsidRPr="000D71DF">
              <w:rPr>
                <w:rFonts w:ascii="Times New Roman" w:hAnsi="Times New Roman" w:cs="Times New Roman"/>
                <w:spacing w:val="7"/>
              </w:rPr>
              <w:t>Market</w:t>
            </w:r>
          </w:p>
        </w:tc>
        <w:tc>
          <w:tcPr>
            <w:tcW w:w="1329" w:type="dxa"/>
          </w:tcPr>
          <w:p w14:paraId="62CDB0E7" w14:textId="2DF9A0EC" w:rsidR="00253262" w:rsidRPr="000D71DF" w:rsidRDefault="00253262" w:rsidP="003E7B06">
            <w:pPr>
              <w:pStyle w:val="TableParagraph"/>
              <w:spacing w:before="45"/>
              <w:ind w:left="30"/>
              <w:jc w:val="center"/>
            </w:pPr>
            <w:r w:rsidRPr="000D71DF">
              <w:t>1</w:t>
            </w:r>
            <w:r w:rsidR="003E7B06" w:rsidRPr="000D71DF">
              <w:t>.</w:t>
            </w:r>
            <w:r w:rsidRPr="000D71DF">
              <w:rPr>
                <w:spacing w:val="-2"/>
              </w:rPr>
              <w:t>Market</w:t>
            </w:r>
          </w:p>
          <w:p w14:paraId="08086D75" w14:textId="77777777" w:rsidR="00253262" w:rsidRPr="000D71DF" w:rsidRDefault="00253262" w:rsidP="003E7B06">
            <w:pPr>
              <w:pStyle w:val="TableParagraph"/>
              <w:spacing w:before="11"/>
              <w:ind w:left="54"/>
              <w:jc w:val="center"/>
            </w:pPr>
            <w:r w:rsidRPr="000D71DF">
              <w:rPr>
                <w:spacing w:val="-10"/>
              </w:rPr>
              <w:t>+</w:t>
            </w:r>
          </w:p>
          <w:p w14:paraId="465BC552" w14:textId="77777777" w:rsidR="00253262" w:rsidRPr="000D71DF" w:rsidRDefault="00253262" w:rsidP="003E7B06">
            <w:pPr>
              <w:pStyle w:val="TableParagraph"/>
              <w:spacing w:before="10" w:line="256" w:lineRule="auto"/>
              <w:ind w:left="40"/>
              <w:jc w:val="center"/>
            </w:pPr>
            <w:r w:rsidRPr="000D71DF">
              <w:rPr>
                <w:spacing w:val="-2"/>
              </w:rPr>
              <w:t xml:space="preserve">Organisation </w:t>
            </w:r>
            <w:r w:rsidRPr="000D71DF">
              <w:rPr>
                <w:spacing w:val="-4"/>
              </w:rPr>
              <w:t>and</w:t>
            </w:r>
          </w:p>
          <w:p w14:paraId="49ADADE2" w14:textId="77777777" w:rsidR="00253262" w:rsidRPr="000D71DF" w:rsidRDefault="00253262" w:rsidP="003E7B06">
            <w:pPr>
              <w:pStyle w:val="TableParagraph"/>
              <w:spacing w:before="0" w:line="252" w:lineRule="auto"/>
              <w:ind w:left="54" w:hanging="15"/>
              <w:jc w:val="center"/>
            </w:pPr>
            <w:r w:rsidRPr="000D71DF">
              <w:rPr>
                <w:spacing w:val="-2"/>
              </w:rPr>
              <w:t>decision- making</w:t>
            </w:r>
          </w:p>
          <w:p w14:paraId="26F4A1CD" w14:textId="77777777" w:rsidR="00253262" w:rsidRPr="000D71DF" w:rsidRDefault="00253262" w:rsidP="003E7B06">
            <w:pPr>
              <w:pStyle w:val="TableParagraph"/>
              <w:spacing w:before="0" w:line="194" w:lineRule="exact"/>
              <w:ind w:left="54"/>
              <w:jc w:val="center"/>
            </w:pPr>
            <w:r w:rsidRPr="000D71DF">
              <w:rPr>
                <w:spacing w:val="-10"/>
              </w:rPr>
              <w:t>+</w:t>
            </w:r>
          </w:p>
          <w:p w14:paraId="4A485973" w14:textId="11F00221"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spacing w:val="-2"/>
              </w:rPr>
              <w:t>Sustainability</w:t>
            </w:r>
          </w:p>
        </w:tc>
        <w:tc>
          <w:tcPr>
            <w:tcW w:w="1440" w:type="dxa"/>
          </w:tcPr>
          <w:p w14:paraId="549C5E67" w14:textId="3F8E587F"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spacing w:val="-2"/>
              </w:rPr>
              <w:t xml:space="preserve">1.Communic- </w:t>
            </w:r>
            <w:r w:rsidRPr="000D71DF">
              <w:rPr>
                <w:rFonts w:ascii="Times New Roman" w:hAnsi="Times New Roman" w:cs="Times New Roman"/>
              </w:rPr>
              <w:t xml:space="preserve">ation and </w:t>
            </w:r>
            <w:r w:rsidRPr="000D71DF">
              <w:rPr>
                <w:rFonts w:ascii="Times New Roman" w:hAnsi="Times New Roman" w:cs="Times New Roman"/>
                <w:spacing w:val="-2"/>
              </w:rPr>
              <w:t>extension</w:t>
            </w:r>
          </w:p>
        </w:tc>
        <w:tc>
          <w:tcPr>
            <w:tcW w:w="1486" w:type="dxa"/>
          </w:tcPr>
          <w:p w14:paraId="0DDE7627" w14:textId="1C297BFD"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spacing w:val="-2"/>
              </w:rPr>
              <w:t xml:space="preserve">1.Communic- </w:t>
            </w:r>
            <w:r w:rsidRPr="000D71DF">
              <w:rPr>
                <w:rFonts w:ascii="Times New Roman" w:hAnsi="Times New Roman" w:cs="Times New Roman"/>
              </w:rPr>
              <w:t>ation</w:t>
            </w:r>
            <w:r w:rsidR="003E7B06" w:rsidRPr="000D71DF">
              <w:rPr>
                <w:rFonts w:ascii="Times New Roman" w:hAnsi="Times New Roman" w:cs="Times New Roman"/>
              </w:rPr>
              <w:t xml:space="preserve"> </w:t>
            </w:r>
            <w:r w:rsidRPr="000D71DF">
              <w:rPr>
                <w:rFonts w:ascii="Times New Roman" w:hAnsi="Times New Roman" w:cs="Times New Roman"/>
              </w:rPr>
              <w:t xml:space="preserve">and </w:t>
            </w:r>
            <w:r w:rsidRPr="000D71DF">
              <w:rPr>
                <w:rFonts w:ascii="Times New Roman" w:hAnsi="Times New Roman" w:cs="Times New Roman"/>
                <w:spacing w:val="-2"/>
              </w:rPr>
              <w:t>extension</w:t>
            </w:r>
          </w:p>
        </w:tc>
        <w:tc>
          <w:tcPr>
            <w:tcW w:w="1486" w:type="dxa"/>
          </w:tcPr>
          <w:p w14:paraId="5B9FE039" w14:textId="77777777" w:rsidR="00253262" w:rsidRPr="000D71DF" w:rsidRDefault="00253262" w:rsidP="00253262">
            <w:pPr>
              <w:jc w:val="both"/>
              <w:rPr>
                <w:rFonts w:ascii="Times New Roman" w:hAnsi="Times New Roman" w:cs="Times New Roman"/>
                <w:spacing w:val="-2"/>
              </w:rPr>
            </w:pPr>
            <w:r w:rsidRPr="000D71DF">
              <w:rPr>
                <w:rFonts w:ascii="Times New Roman" w:hAnsi="Times New Roman" w:cs="Times New Roman"/>
              </w:rPr>
              <w:t>1.</w:t>
            </w:r>
            <w:r w:rsidRPr="000D71DF">
              <w:rPr>
                <w:rFonts w:ascii="Times New Roman" w:hAnsi="Times New Roman" w:cs="Times New Roman"/>
                <w:spacing w:val="29"/>
              </w:rPr>
              <w:t xml:space="preserve"> </w:t>
            </w:r>
            <w:r w:rsidRPr="000D71DF">
              <w:rPr>
                <w:rFonts w:ascii="Times New Roman" w:hAnsi="Times New Roman" w:cs="Times New Roman"/>
                <w:spacing w:val="-2"/>
              </w:rPr>
              <w:t>Ecology</w:t>
            </w:r>
          </w:p>
          <w:p w14:paraId="2A677CC1" w14:textId="564CE47A" w:rsidR="003E7B06" w:rsidRPr="000D71DF" w:rsidRDefault="003E7B06" w:rsidP="00253262">
            <w:pPr>
              <w:jc w:val="both"/>
              <w:rPr>
                <w:rFonts w:ascii="Times New Roman" w:hAnsi="Times New Roman" w:cs="Times New Roman"/>
                <w:b/>
                <w:bCs/>
              </w:rPr>
            </w:pPr>
          </w:p>
        </w:tc>
        <w:tc>
          <w:tcPr>
            <w:tcW w:w="1729" w:type="dxa"/>
          </w:tcPr>
          <w:p w14:paraId="5F29AFA2" w14:textId="7DA47649"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1</w:t>
            </w:r>
            <w:r w:rsidR="003E7B06" w:rsidRPr="000D71DF">
              <w:rPr>
                <w:rFonts w:ascii="Times New Roman" w:hAnsi="Times New Roman" w:cs="Times New Roman"/>
              </w:rPr>
              <w:t>.</w:t>
            </w:r>
            <w:r w:rsidRPr="000D71DF">
              <w:rPr>
                <w:rFonts w:ascii="Times New Roman" w:hAnsi="Times New Roman" w:cs="Times New Roman"/>
              </w:rPr>
              <w:t>Tenure+</w:t>
            </w:r>
            <w:r w:rsidRPr="000D71DF">
              <w:rPr>
                <w:rFonts w:ascii="Times New Roman" w:hAnsi="Times New Roman" w:cs="Times New Roman"/>
                <w:spacing w:val="-2"/>
              </w:rPr>
              <w:t>Conflict</w:t>
            </w:r>
          </w:p>
        </w:tc>
      </w:tr>
      <w:tr w:rsidR="000D71DF" w:rsidRPr="000D71DF" w14:paraId="076ADFAE" w14:textId="77777777" w:rsidTr="00B4579A">
        <w:trPr>
          <w:trHeight w:val="607"/>
        </w:trPr>
        <w:tc>
          <w:tcPr>
            <w:tcW w:w="1159" w:type="dxa"/>
          </w:tcPr>
          <w:p w14:paraId="35EAE289" w14:textId="551C2EC1" w:rsidR="00253262" w:rsidRPr="000D71DF" w:rsidRDefault="00253262" w:rsidP="003E7B06">
            <w:pPr>
              <w:pStyle w:val="TableParagraph"/>
              <w:spacing w:before="37"/>
              <w:ind w:left="0"/>
              <w:jc w:val="center"/>
            </w:pPr>
            <w:r w:rsidRPr="000D71DF">
              <w:t>2</w:t>
            </w:r>
            <w:r w:rsidR="003E7B06" w:rsidRPr="000D71DF">
              <w:t>.</w:t>
            </w:r>
            <w:r w:rsidRPr="000D71DF">
              <w:rPr>
                <w:spacing w:val="-2"/>
              </w:rPr>
              <w:t>Ecology</w:t>
            </w:r>
          </w:p>
          <w:p w14:paraId="0F016BE0" w14:textId="77777777" w:rsidR="00253262" w:rsidRPr="000D71DF" w:rsidRDefault="00253262" w:rsidP="003E7B06">
            <w:pPr>
              <w:pStyle w:val="TableParagraph"/>
              <w:spacing w:before="11"/>
              <w:ind w:left="49"/>
              <w:jc w:val="center"/>
            </w:pPr>
            <w:r w:rsidRPr="000D71DF">
              <w:rPr>
                <w:spacing w:val="-10"/>
              </w:rPr>
              <w:t>+</w:t>
            </w:r>
          </w:p>
          <w:p w14:paraId="0CBE1788" w14:textId="44943C81"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spacing w:val="-2"/>
              </w:rPr>
              <w:t>Silviculture</w:t>
            </w:r>
          </w:p>
        </w:tc>
        <w:tc>
          <w:tcPr>
            <w:tcW w:w="1329" w:type="dxa"/>
          </w:tcPr>
          <w:p w14:paraId="7399787F" w14:textId="77777777" w:rsidR="00253262" w:rsidRPr="000D71DF" w:rsidRDefault="00253262" w:rsidP="003E7B06">
            <w:pPr>
              <w:jc w:val="center"/>
              <w:rPr>
                <w:rFonts w:ascii="Times New Roman" w:hAnsi="Times New Roman" w:cs="Times New Roman"/>
                <w:b/>
                <w:bCs/>
              </w:rPr>
            </w:pPr>
          </w:p>
        </w:tc>
        <w:tc>
          <w:tcPr>
            <w:tcW w:w="1440" w:type="dxa"/>
          </w:tcPr>
          <w:p w14:paraId="61B093E6" w14:textId="05E1E953"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2.</w:t>
            </w:r>
            <w:r w:rsidRPr="000D71DF">
              <w:rPr>
                <w:rFonts w:ascii="Times New Roman" w:hAnsi="Times New Roman" w:cs="Times New Roman"/>
                <w:spacing w:val="29"/>
              </w:rPr>
              <w:t xml:space="preserve"> </w:t>
            </w:r>
            <w:r w:rsidRPr="000D71DF">
              <w:rPr>
                <w:rFonts w:ascii="Times New Roman" w:hAnsi="Times New Roman" w:cs="Times New Roman"/>
                <w:spacing w:val="-2"/>
              </w:rPr>
              <w:t>Silviculture</w:t>
            </w:r>
          </w:p>
        </w:tc>
        <w:tc>
          <w:tcPr>
            <w:tcW w:w="1486" w:type="dxa"/>
          </w:tcPr>
          <w:p w14:paraId="4E26D0D2" w14:textId="015CF29C"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2.</w:t>
            </w:r>
            <w:r w:rsidR="003E7B06" w:rsidRPr="000D71DF">
              <w:rPr>
                <w:rFonts w:ascii="Times New Roman" w:hAnsi="Times New Roman" w:cs="Times New Roman"/>
                <w:spacing w:val="4"/>
              </w:rPr>
              <w:t>Monitoring and Evaluation</w:t>
            </w:r>
          </w:p>
        </w:tc>
        <w:tc>
          <w:tcPr>
            <w:tcW w:w="1486" w:type="dxa"/>
          </w:tcPr>
          <w:p w14:paraId="4225E234" w14:textId="31D19BDF" w:rsidR="00253262" w:rsidRPr="000D71DF" w:rsidRDefault="00253262" w:rsidP="00253262">
            <w:pPr>
              <w:jc w:val="both"/>
              <w:rPr>
                <w:rFonts w:ascii="Times New Roman" w:hAnsi="Times New Roman" w:cs="Times New Roman"/>
                <w:b/>
                <w:bCs/>
              </w:rPr>
            </w:pPr>
            <w:r w:rsidRPr="000D71DF">
              <w:rPr>
                <w:rFonts w:ascii="Times New Roman" w:hAnsi="Times New Roman" w:cs="Times New Roman"/>
              </w:rPr>
              <w:t>2.</w:t>
            </w:r>
            <w:r w:rsidRPr="000D71DF">
              <w:rPr>
                <w:rFonts w:ascii="Times New Roman" w:hAnsi="Times New Roman" w:cs="Times New Roman"/>
                <w:spacing w:val="-2"/>
              </w:rPr>
              <w:t>Sustainability</w:t>
            </w:r>
          </w:p>
        </w:tc>
        <w:tc>
          <w:tcPr>
            <w:tcW w:w="1729" w:type="dxa"/>
          </w:tcPr>
          <w:p w14:paraId="4263BD88" w14:textId="77777777" w:rsidR="00253262" w:rsidRPr="000D71DF" w:rsidRDefault="00253262" w:rsidP="003E7B06">
            <w:pPr>
              <w:jc w:val="center"/>
              <w:rPr>
                <w:rFonts w:ascii="Times New Roman" w:hAnsi="Times New Roman" w:cs="Times New Roman"/>
                <w:b/>
                <w:bCs/>
              </w:rPr>
            </w:pPr>
          </w:p>
        </w:tc>
      </w:tr>
      <w:tr w:rsidR="000D71DF" w:rsidRPr="000D71DF" w14:paraId="45E82344" w14:textId="77777777" w:rsidTr="00B4579A">
        <w:trPr>
          <w:trHeight w:val="963"/>
        </w:trPr>
        <w:tc>
          <w:tcPr>
            <w:tcW w:w="1159" w:type="dxa"/>
          </w:tcPr>
          <w:p w14:paraId="2A13BE73" w14:textId="77777777" w:rsidR="00253262" w:rsidRPr="000D71DF" w:rsidRDefault="00253262" w:rsidP="003E7B06">
            <w:pPr>
              <w:jc w:val="center"/>
              <w:rPr>
                <w:rFonts w:ascii="Times New Roman" w:hAnsi="Times New Roman" w:cs="Times New Roman"/>
                <w:b/>
                <w:bCs/>
              </w:rPr>
            </w:pPr>
          </w:p>
        </w:tc>
        <w:tc>
          <w:tcPr>
            <w:tcW w:w="1329" w:type="dxa"/>
          </w:tcPr>
          <w:p w14:paraId="527E0A02" w14:textId="77777777" w:rsidR="00253262" w:rsidRPr="000D71DF" w:rsidRDefault="00253262" w:rsidP="003E7B06">
            <w:pPr>
              <w:jc w:val="center"/>
              <w:rPr>
                <w:rFonts w:ascii="Times New Roman" w:hAnsi="Times New Roman" w:cs="Times New Roman"/>
                <w:b/>
                <w:bCs/>
              </w:rPr>
            </w:pPr>
          </w:p>
        </w:tc>
        <w:tc>
          <w:tcPr>
            <w:tcW w:w="1440" w:type="dxa"/>
          </w:tcPr>
          <w:p w14:paraId="4852CC76" w14:textId="4C01B3FC"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3.Organisation and</w:t>
            </w:r>
            <w:r w:rsidRPr="000D71DF">
              <w:rPr>
                <w:rFonts w:ascii="Times New Roman" w:hAnsi="Times New Roman" w:cs="Times New Roman"/>
                <w:spacing w:val="40"/>
              </w:rPr>
              <w:t xml:space="preserve"> </w:t>
            </w:r>
            <w:r w:rsidRPr="000D71DF">
              <w:rPr>
                <w:rFonts w:ascii="Times New Roman" w:hAnsi="Times New Roman" w:cs="Times New Roman"/>
              </w:rPr>
              <w:t xml:space="preserve">decision- </w:t>
            </w:r>
            <w:r w:rsidRPr="000D71DF">
              <w:rPr>
                <w:rFonts w:ascii="Times New Roman" w:hAnsi="Times New Roman" w:cs="Times New Roman"/>
                <w:spacing w:val="-2"/>
              </w:rPr>
              <w:t>making</w:t>
            </w:r>
          </w:p>
        </w:tc>
        <w:tc>
          <w:tcPr>
            <w:tcW w:w="1486" w:type="dxa"/>
          </w:tcPr>
          <w:p w14:paraId="2B7AADA0" w14:textId="6200E2FE"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3.</w:t>
            </w:r>
            <w:r w:rsidRPr="000D71DF">
              <w:rPr>
                <w:rFonts w:ascii="Times New Roman" w:hAnsi="Times New Roman" w:cs="Times New Roman"/>
                <w:spacing w:val="-2"/>
              </w:rPr>
              <w:t>Sustainability</w:t>
            </w:r>
          </w:p>
        </w:tc>
        <w:tc>
          <w:tcPr>
            <w:tcW w:w="1486" w:type="dxa"/>
          </w:tcPr>
          <w:p w14:paraId="1C63960A" w14:textId="5155969F" w:rsidR="00253262" w:rsidRPr="000D71DF" w:rsidRDefault="00253262" w:rsidP="00253262">
            <w:pPr>
              <w:jc w:val="both"/>
              <w:rPr>
                <w:rFonts w:ascii="Times New Roman" w:hAnsi="Times New Roman" w:cs="Times New Roman"/>
                <w:b/>
                <w:bCs/>
              </w:rPr>
            </w:pPr>
            <w:r w:rsidRPr="000D71DF">
              <w:rPr>
                <w:rFonts w:ascii="Times New Roman" w:hAnsi="Times New Roman" w:cs="Times New Roman"/>
              </w:rPr>
              <w:t xml:space="preserve">3.Communic- ation and </w:t>
            </w:r>
            <w:r w:rsidRPr="000D71DF">
              <w:rPr>
                <w:rFonts w:ascii="Times New Roman" w:hAnsi="Times New Roman" w:cs="Times New Roman"/>
                <w:spacing w:val="-2"/>
              </w:rPr>
              <w:t>extension</w:t>
            </w:r>
          </w:p>
        </w:tc>
        <w:tc>
          <w:tcPr>
            <w:tcW w:w="1729" w:type="dxa"/>
          </w:tcPr>
          <w:p w14:paraId="337FB8FA" w14:textId="51FAE229"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3. Communic- ation</w:t>
            </w:r>
            <w:r w:rsidR="003E7B06" w:rsidRPr="000D71DF">
              <w:rPr>
                <w:rFonts w:ascii="Times New Roman" w:hAnsi="Times New Roman" w:cs="Times New Roman"/>
              </w:rPr>
              <w:t xml:space="preserve"> </w:t>
            </w:r>
            <w:r w:rsidRPr="000D71DF">
              <w:rPr>
                <w:rFonts w:ascii="Times New Roman" w:hAnsi="Times New Roman" w:cs="Times New Roman"/>
              </w:rPr>
              <w:t>and</w:t>
            </w:r>
            <w:r w:rsidR="003E7B06" w:rsidRPr="000D71DF">
              <w:rPr>
                <w:rFonts w:ascii="Times New Roman" w:hAnsi="Times New Roman" w:cs="Times New Roman"/>
              </w:rPr>
              <w:t xml:space="preserve"> </w:t>
            </w:r>
            <w:r w:rsidRPr="000D71DF">
              <w:rPr>
                <w:rFonts w:ascii="Times New Roman" w:hAnsi="Times New Roman" w:cs="Times New Roman"/>
                <w:spacing w:val="-2"/>
              </w:rPr>
              <w:t>extension</w:t>
            </w:r>
          </w:p>
        </w:tc>
      </w:tr>
      <w:tr w:rsidR="000D71DF" w:rsidRPr="000D71DF" w14:paraId="5452107E" w14:textId="77777777" w:rsidTr="00B4579A">
        <w:trPr>
          <w:trHeight w:val="963"/>
        </w:trPr>
        <w:tc>
          <w:tcPr>
            <w:tcW w:w="1159" w:type="dxa"/>
          </w:tcPr>
          <w:p w14:paraId="70311552" w14:textId="39A29403"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Policy</w:t>
            </w:r>
          </w:p>
        </w:tc>
        <w:tc>
          <w:tcPr>
            <w:tcW w:w="1329" w:type="dxa"/>
          </w:tcPr>
          <w:p w14:paraId="260BDF01" w14:textId="2D150E88"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Policy</w:t>
            </w:r>
          </w:p>
        </w:tc>
        <w:tc>
          <w:tcPr>
            <w:tcW w:w="1440" w:type="dxa"/>
          </w:tcPr>
          <w:p w14:paraId="3076F8B7" w14:textId="1BDB5046"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Policy</w:t>
            </w:r>
          </w:p>
        </w:tc>
        <w:tc>
          <w:tcPr>
            <w:tcW w:w="1486" w:type="dxa"/>
          </w:tcPr>
          <w:p w14:paraId="5F3045AB" w14:textId="5B803F15"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
              </w:rPr>
              <w:t>Silviculture</w:t>
            </w:r>
          </w:p>
        </w:tc>
        <w:tc>
          <w:tcPr>
            <w:tcW w:w="1486" w:type="dxa"/>
          </w:tcPr>
          <w:p w14:paraId="59ED8C02" w14:textId="5F7079C2" w:rsidR="00253262" w:rsidRPr="000D71DF" w:rsidRDefault="00253262" w:rsidP="00253262">
            <w:pPr>
              <w:jc w:val="both"/>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Silviculture</w:t>
            </w:r>
          </w:p>
        </w:tc>
        <w:tc>
          <w:tcPr>
            <w:tcW w:w="1729" w:type="dxa"/>
          </w:tcPr>
          <w:p w14:paraId="09210F3B" w14:textId="57FBE4F6" w:rsidR="00253262" w:rsidRPr="000D71DF" w:rsidRDefault="00253262" w:rsidP="003E7B06">
            <w:pPr>
              <w:jc w:val="center"/>
              <w:rPr>
                <w:rFonts w:ascii="Times New Roman" w:hAnsi="Times New Roman" w:cs="Times New Roman"/>
                <w:b/>
                <w:bCs/>
              </w:rPr>
            </w:pPr>
            <w:r w:rsidRPr="000D71DF">
              <w:rPr>
                <w:rFonts w:ascii="Times New Roman" w:hAnsi="Times New Roman" w:cs="Times New Roman"/>
              </w:rPr>
              <w:t>4.Organisation and</w:t>
            </w:r>
            <w:r w:rsidRPr="000D71DF">
              <w:rPr>
                <w:rFonts w:ascii="Times New Roman" w:hAnsi="Times New Roman" w:cs="Times New Roman"/>
                <w:spacing w:val="40"/>
              </w:rPr>
              <w:t xml:space="preserve"> </w:t>
            </w:r>
            <w:r w:rsidRPr="000D71DF">
              <w:rPr>
                <w:rFonts w:ascii="Times New Roman" w:hAnsi="Times New Roman" w:cs="Times New Roman"/>
              </w:rPr>
              <w:t xml:space="preserve">decision- </w:t>
            </w:r>
            <w:r w:rsidRPr="000D71DF">
              <w:rPr>
                <w:rFonts w:ascii="Times New Roman" w:hAnsi="Times New Roman" w:cs="Times New Roman"/>
                <w:spacing w:val="-2"/>
              </w:rPr>
              <w:t>making</w:t>
            </w:r>
          </w:p>
        </w:tc>
      </w:tr>
    </w:tbl>
    <w:p w14:paraId="48AB1462" w14:textId="29C10D86"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The table</w:t>
      </w:r>
      <w:r w:rsidR="003E7B06">
        <w:rPr>
          <w:rFonts w:ascii="Times New Roman" w:hAnsi="Times New Roman" w:cs="Times New Roman"/>
          <w:sz w:val="24"/>
          <w:szCs w:val="24"/>
        </w:rPr>
        <w:t xml:space="preserve"> </w:t>
      </w:r>
      <w:r w:rsidR="00CE3051">
        <w:rPr>
          <w:rFonts w:ascii="Times New Roman" w:hAnsi="Times New Roman" w:cs="Times New Roman"/>
          <w:sz w:val="24"/>
          <w:szCs w:val="24"/>
        </w:rPr>
        <w:t>3</w:t>
      </w:r>
      <w:r w:rsidRPr="00253262">
        <w:rPr>
          <w:rFonts w:ascii="Times New Roman" w:hAnsi="Times New Roman" w:cs="Times New Roman"/>
          <w:sz w:val="24"/>
          <w:szCs w:val="24"/>
        </w:rPr>
        <w:t xml:space="preserve"> illustrates that communication, policy clarity, organisational capacity, and tenure issues consistently emerge as high-priority concerns. These findings suggest that participatory forestry challenges are deeply institutional rather than purely ecological.</w:t>
      </w:r>
    </w:p>
    <w:p w14:paraId="6639D515" w14:textId="6A7A1FAC"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 xml:space="preserve">Indian case studies reinforce this conclusion. Behera (2009) highlights that social capital and NGO involvement significantly influence JFM performance. Conversely, </w:t>
      </w:r>
      <w:r w:rsidRPr="00253262">
        <w:rPr>
          <w:rFonts w:ascii="Times New Roman" w:hAnsi="Times New Roman" w:cs="Times New Roman"/>
          <w:sz w:val="24"/>
          <w:szCs w:val="24"/>
        </w:rPr>
        <w:lastRenderedPageBreak/>
        <w:t xml:space="preserve">studies in Odisha reveal that elite capture and inadequate transparency undermine collective decision-making (Sarin </w:t>
      </w:r>
      <w:r w:rsidR="00B4579A" w:rsidRPr="00B4579A">
        <w:rPr>
          <w:rFonts w:ascii="Times New Roman" w:hAnsi="Times New Roman" w:cs="Times New Roman"/>
          <w:i/>
          <w:sz w:val="24"/>
          <w:szCs w:val="24"/>
        </w:rPr>
        <w:t>et al.</w:t>
      </w:r>
      <w:r w:rsidRPr="00253262">
        <w:rPr>
          <w:rFonts w:ascii="Times New Roman" w:hAnsi="Times New Roman" w:cs="Times New Roman"/>
          <w:sz w:val="24"/>
          <w:szCs w:val="24"/>
        </w:rPr>
        <w:t>, 2003). According to Arnstein’s (1969) participation framework, many forestry initiatives operate at the level of consultation rather than genuine partnership, limiting community empowerment.</w:t>
      </w:r>
    </w:p>
    <w:p w14:paraId="6E597B7D" w14:textId="77777777" w:rsidR="00253262" w:rsidRPr="00253262" w:rsidRDefault="00253262" w:rsidP="00253262">
      <w:pPr>
        <w:jc w:val="both"/>
        <w:rPr>
          <w:rFonts w:ascii="Times New Roman" w:hAnsi="Times New Roman" w:cs="Times New Roman"/>
          <w:b/>
          <w:bCs/>
          <w:sz w:val="24"/>
          <w:szCs w:val="24"/>
        </w:rPr>
      </w:pPr>
      <w:r w:rsidRPr="00253262">
        <w:rPr>
          <w:rFonts w:ascii="Times New Roman" w:hAnsi="Times New Roman" w:cs="Times New Roman"/>
          <w:b/>
          <w:bCs/>
          <w:sz w:val="24"/>
          <w:szCs w:val="24"/>
        </w:rPr>
        <w:t>4.5 Synthesis: Linking Participation to Socio-Economic Outcomes</w:t>
      </w:r>
    </w:p>
    <w:p w14:paraId="79E34E96" w14:textId="1DB13340"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 xml:space="preserve">The evidence suggests that participatory forestry generates positive but context-dependent socio-economic outcomes. Improved forest condition often enhances livelihood security through greater resource availability, yet transformative economic gains remain limited without strong institutional support (Girma </w:t>
      </w:r>
      <w:r w:rsidR="00B4579A" w:rsidRPr="00B4579A">
        <w:rPr>
          <w:rFonts w:ascii="Times New Roman" w:hAnsi="Times New Roman" w:cs="Times New Roman"/>
          <w:i/>
          <w:sz w:val="24"/>
          <w:szCs w:val="24"/>
        </w:rPr>
        <w:t>et al.</w:t>
      </w:r>
      <w:r w:rsidRPr="00253262">
        <w:rPr>
          <w:rFonts w:ascii="Times New Roman" w:hAnsi="Times New Roman" w:cs="Times New Roman"/>
          <w:sz w:val="24"/>
          <w:szCs w:val="24"/>
        </w:rPr>
        <w:t>, 2022). Gender inclusion improves governance outcomes but requires deeper empowerment beyond symbolic representation (Agarwal, 2010).</w:t>
      </w:r>
    </w:p>
    <w:p w14:paraId="204ACB27" w14:textId="77777777"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Institutional strength emerges as the central mediating variable linking participation and socio-economic impact. Where benefit-sharing arrangements are transparent, communication effective, and local institutions accountable, participatory forestry contributes to both ecological sustainability and rural welfare. Conversely, weak governance structures and limited power redistribution reduce participation to procedural compliance.</w:t>
      </w:r>
    </w:p>
    <w:p w14:paraId="3766ABAC" w14:textId="78D4B61B" w:rsidR="00214B59" w:rsidRDefault="00204538" w:rsidP="00214B59">
      <w:pPr>
        <w:pBdr>
          <w:bottom w:val="single" w:sz="12" w:space="1" w:color="auto"/>
        </w:pBd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204538">
        <w:rPr>
          <w:rFonts w:ascii="Times New Roman" w:hAnsi="Times New Roman" w:cs="Times New Roman"/>
          <w:b/>
          <w:bCs/>
          <w:sz w:val="24"/>
          <w:szCs w:val="24"/>
        </w:rPr>
        <w:t>Challenges of Community-Based Natural Resource Management</w:t>
      </w:r>
    </w:p>
    <w:p w14:paraId="37C4E426" w14:textId="44ABE0F6" w:rsidR="00CE3051" w:rsidRPr="00CE3051" w:rsidRDefault="00CE3051" w:rsidP="00214B59">
      <w:pPr>
        <w:jc w:val="both"/>
        <w:rPr>
          <w:rFonts w:ascii="Times New Roman" w:hAnsi="Times New Roman" w:cs="Times New Roman"/>
          <w:b/>
          <w:bCs/>
          <w:sz w:val="24"/>
          <w:szCs w:val="24"/>
        </w:rPr>
      </w:pPr>
      <w:r w:rsidRPr="00CE3051">
        <w:rPr>
          <w:rFonts w:ascii="Times New Roman" w:hAnsi="Times New Roman" w:cs="Times New Roman"/>
          <w:b/>
          <w:bCs/>
          <w:sz w:val="24"/>
          <w:szCs w:val="24"/>
        </w:rPr>
        <w:t>5.1 Scale Mismatch and Boundary Limitations.</w:t>
      </w:r>
    </w:p>
    <w:p w14:paraId="177147F8" w14:textId="7225114F"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The ecological systems and livelihood practices usually go beyond the administrative boundaries, unlike the community-based approaches which have a clear administrative boundary. Pastoral rangeland evidence demonstrates that hard demarcation of territory can provide conflicts with historic mobility behaviour, which generates inter-community tensions and diminishes adaptive capacity (Robinson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Such a scale imbalance restricts good governance of resources under open and interconnected landscape.</w:t>
      </w:r>
    </w:p>
    <w:p w14:paraId="6FE2B77A" w14:textId="77777777"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5.2 Tenure Insecurity and Ineffective Enforcement.</w:t>
      </w:r>
    </w:p>
    <w:p w14:paraId="67A5C0F9" w14:textId="4A4AF896"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The communities are given part time rights to management in most CBNRM setups yet no real powers to control who accesses and who does not use the resources. The incentives to conserve over the long term are weakened by the deficiency of tenure security and weak enforcement (Robinson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With decentralization but lack of relevant power devolution, according to Agrawal and Gibson (1999), the result is not substantive participation but symbolic one.</w:t>
      </w:r>
    </w:p>
    <w:p w14:paraId="5CE901D2" w14:textId="77777777"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5.3 Intracommunity Inequality and Elite Capture.</w:t>
      </w:r>
    </w:p>
    <w:p w14:paraId="71F7CEAC" w14:textId="694242BC"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Communities are not homogeneous structures; reflecting the participation and benefit allocation are internal differences, in terms of wealth, caste, gender and political power (Agrawal and Gibson, 1999). Inequalities in accessing the benefits of forests and elite capture undermine institutional legitimacy and trust. Research has shown that transparency and equal share in benefits are key factors to effective community forestry (Pagdee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2006).</w:t>
      </w:r>
    </w:p>
    <w:p w14:paraId="4AC08037" w14:textId="77777777"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lastRenderedPageBreak/>
        <w:t>5.4 Fragmentation of Governance and Weak Multi-Level Co-ordination.</w:t>
      </w:r>
    </w:p>
    <w:p w14:paraId="56038ED4" w14:textId="5E0D2B57"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The localized governance systems might be inadequate in the ecological processes that extend beyond the boundaries of a community. Robinson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(2021) assert that there is a necessity to have horizontally flexible and multi-level governance structures that incorporate the community institutions into upper administrative structures. In the absence of such co-ordination, local organizations cannot effectively deal with cross-boundary pressures and external intrusions.</w:t>
      </w:r>
    </w:p>
    <w:p w14:paraId="618B347A" w14:textId="62866C72"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 xml:space="preserve">5.5 </w:t>
      </w:r>
      <w:r w:rsidR="00B4579A">
        <w:rPr>
          <w:rFonts w:ascii="Times New Roman" w:hAnsi="Times New Roman" w:cs="Times New Roman"/>
          <w:b/>
          <w:bCs/>
          <w:sz w:val="24"/>
          <w:szCs w:val="24"/>
        </w:rPr>
        <w:t>Monitoring</w:t>
      </w:r>
      <w:r w:rsidRPr="00CE3051">
        <w:rPr>
          <w:rFonts w:ascii="Times New Roman" w:hAnsi="Times New Roman" w:cs="Times New Roman"/>
          <w:b/>
          <w:bCs/>
          <w:sz w:val="24"/>
          <w:szCs w:val="24"/>
        </w:rPr>
        <w:t xml:space="preserve"> and Accountability </w:t>
      </w:r>
      <w:r w:rsidR="00B4579A">
        <w:rPr>
          <w:rFonts w:ascii="Times New Roman" w:hAnsi="Times New Roman" w:cs="Times New Roman"/>
          <w:b/>
          <w:bCs/>
          <w:sz w:val="24"/>
          <w:szCs w:val="24"/>
        </w:rPr>
        <w:t>Constraints</w:t>
      </w:r>
    </w:p>
    <w:p w14:paraId="52B198B0" w14:textId="77777777" w:rsidR="002B0789"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The participatory frameworks do not have strong monitoring and evaluation (M&amp;E) systems which curtail systematic evaluation of ecological and socio-economic outputs. This is because weak accountability structures cause a lack of transparency, and this can undermine the motivation of the community in the long run (Lawrence and Green, 2003).</w:t>
      </w:r>
    </w:p>
    <w:p w14:paraId="1DE4150D" w14:textId="5D85885B" w:rsidR="002B0789" w:rsidRDefault="00204538" w:rsidP="007F2DAC">
      <w:pPr>
        <w:pBdr>
          <w:bottom w:val="single" w:sz="12" w:space="1" w:color="auto"/>
        </w:pBdr>
        <w:jc w:val="both"/>
        <w:rPr>
          <w:rFonts w:ascii="Times New Roman" w:hAnsi="Times New Roman" w:cs="Times New Roman"/>
          <w:sz w:val="24"/>
          <w:szCs w:val="24"/>
        </w:rPr>
      </w:pPr>
      <w:r>
        <w:rPr>
          <w:rFonts w:ascii="Times New Roman" w:hAnsi="Times New Roman" w:cs="Times New Roman"/>
          <w:b/>
          <w:bCs/>
          <w:sz w:val="24"/>
          <w:szCs w:val="24"/>
        </w:rPr>
        <w:t>6</w:t>
      </w:r>
      <w:r w:rsidR="000D71DF" w:rsidRPr="000D71DF">
        <w:rPr>
          <w:rFonts w:ascii="Times New Roman" w:hAnsi="Times New Roman" w:cs="Times New Roman"/>
          <w:b/>
          <w:bCs/>
          <w:sz w:val="24"/>
          <w:szCs w:val="24"/>
        </w:rPr>
        <w:t>.Research Gaps</w:t>
      </w:r>
    </w:p>
    <w:p w14:paraId="5BBF69C0" w14:textId="56F43E75" w:rsidR="00214B59" w:rsidRDefault="00CE3051" w:rsidP="002B0789">
      <w:pPr>
        <w:rPr>
          <w:rFonts w:ascii="Times New Roman" w:hAnsi="Times New Roman" w:cs="Times New Roman"/>
          <w:b/>
          <w:bCs/>
          <w:sz w:val="24"/>
          <w:szCs w:val="24"/>
        </w:rPr>
      </w:pPr>
      <w:r w:rsidRPr="00CE3051">
        <w:rPr>
          <w:rFonts w:ascii="Times New Roman" w:hAnsi="Times New Roman" w:cs="Times New Roman"/>
          <w:b/>
          <w:bCs/>
          <w:sz w:val="24"/>
          <w:szCs w:val="24"/>
        </w:rPr>
        <w:t>6.1 Empirical Gap</w:t>
      </w:r>
    </w:p>
    <w:p w14:paraId="694095C1" w14:textId="746181D9"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Despite the extensive researches on participatory forest management, there is a dearth of empirical evidence on long-term socio-economic transformation. A number of reports of enhancement in forest regeneration and short-term livelihood resilience (Somanathan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1999; Girma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2022) are written. Nonetheless, longitudinal evidence evaluating long-term income gain, asset accumulation and inter-generational welfare performance of forest-dependent families is lacking. Most of the literature is based on cross-sectional surveys or short-term project analysis, which limit the knowledge of structural economic change. Therefore, the causal relationship between participatory governance, environmental enhancement and sustainable socio-economic development is under-examined.</w:t>
      </w:r>
    </w:p>
    <w:p w14:paraId="6DBDF184" w14:textId="77777777"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6.2 Methodological Gap</w:t>
      </w:r>
    </w:p>
    <w:p w14:paraId="2AE73E14" w14:textId="11816D59"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Studies that have been done so far often consider participation as a dichotomous institutional variable instead of assessing its depth and quality. Though the programs are referred to as participatory, little research has viewed the extent of decision-making authority relayed to communities systematically. The levels of participation suggested by Arnstein (1969) are consultation and real citizen control, but little data is empirically operationalized in forestry research. In addition, research designs frequently have weak implementation of monitoring and evaluation (M</w:t>
      </w:r>
      <w:r>
        <w:rPr>
          <w:rFonts w:ascii="Times New Roman" w:hAnsi="Times New Roman" w:cs="Times New Roman"/>
          <w:sz w:val="24"/>
          <w:szCs w:val="24"/>
        </w:rPr>
        <w:t xml:space="preserve"> </w:t>
      </w:r>
      <w:r w:rsidRPr="00CE3051">
        <w:rPr>
          <w:rFonts w:ascii="Times New Roman" w:hAnsi="Times New Roman" w:cs="Times New Roman"/>
          <w:sz w:val="24"/>
          <w:szCs w:val="24"/>
        </w:rPr>
        <w:t>and</w:t>
      </w:r>
      <w:r>
        <w:rPr>
          <w:rFonts w:ascii="Times New Roman" w:hAnsi="Times New Roman" w:cs="Times New Roman"/>
          <w:sz w:val="24"/>
          <w:szCs w:val="24"/>
        </w:rPr>
        <w:t xml:space="preserve"> </w:t>
      </w:r>
      <w:r w:rsidRPr="00CE3051">
        <w:rPr>
          <w:rFonts w:ascii="Times New Roman" w:hAnsi="Times New Roman" w:cs="Times New Roman"/>
          <w:sz w:val="24"/>
          <w:szCs w:val="24"/>
        </w:rPr>
        <w:t>E) mechanisms to decrease comparability and reliability of research results (Lawrence and Green, 2003). Standardized participation indices and mixed-method frameworks of ecological, institutional, and socio-economic indicators are needed.</w:t>
      </w:r>
    </w:p>
    <w:p w14:paraId="0445591D" w14:textId="77777777"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6.3 Institutional Gap</w:t>
      </w:r>
    </w:p>
    <w:p w14:paraId="3D3D1EFB" w14:textId="77777777"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Despite the fact that the institutional reform is the most fundamental aspect of participatory forestry, the analysis of intra-community power dynamics and sustainability of its governance has not been thoroughly examined. Research has shown that collective action may be compromised by elite capture, poor transparency and </w:t>
      </w:r>
      <w:r w:rsidRPr="00CE3051">
        <w:rPr>
          <w:rFonts w:ascii="Times New Roman" w:hAnsi="Times New Roman" w:cs="Times New Roman"/>
          <w:sz w:val="24"/>
          <w:szCs w:val="24"/>
        </w:rPr>
        <w:lastRenderedPageBreak/>
        <w:t>uncertain benefit-sharing arrangements (Samarin and Raynor, 2006). Longitudinal institutional studies of changing governance structures are however, few. In addition, the combination of participatory forestry and adaptive governance and climate-responsive institutional design are not well investigated (Tiki, 2025). Enhancing institutional accountability and assessing the sustainability of governance is an important area of research.</w:t>
      </w:r>
    </w:p>
    <w:p w14:paraId="75B3ECB9" w14:textId="5C8FDBE4" w:rsidR="002B0789" w:rsidRDefault="00204538" w:rsidP="002B0789">
      <w:pPr>
        <w:pBdr>
          <w:bottom w:val="single" w:sz="12" w:space="1" w:color="auto"/>
        </w:pBdr>
        <w:jc w:val="both"/>
        <w:rPr>
          <w:rFonts w:ascii="Times New Roman" w:hAnsi="Times New Roman" w:cs="Times New Roman"/>
          <w:b/>
          <w:bCs/>
          <w:sz w:val="24"/>
          <w:szCs w:val="24"/>
        </w:rPr>
      </w:pPr>
      <w:r>
        <w:rPr>
          <w:rFonts w:ascii="Times New Roman" w:hAnsi="Times New Roman" w:cs="Times New Roman"/>
          <w:b/>
          <w:bCs/>
          <w:sz w:val="24"/>
          <w:szCs w:val="24"/>
        </w:rPr>
        <w:t>7</w:t>
      </w:r>
      <w:r w:rsidR="000D71DF" w:rsidRPr="000D71DF">
        <w:rPr>
          <w:rFonts w:ascii="Times New Roman" w:hAnsi="Times New Roman" w:cs="Times New Roman"/>
          <w:b/>
          <w:bCs/>
          <w:sz w:val="24"/>
          <w:szCs w:val="24"/>
        </w:rPr>
        <w:t>. Future Directions</w:t>
      </w:r>
    </w:p>
    <w:p w14:paraId="69E3D468" w14:textId="0B357319"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7.1 Enhancement of Empirical and Longitudinal Research</w:t>
      </w:r>
    </w:p>
    <w:p w14:paraId="64587A96" w14:textId="41FE290F"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The future studies in participatory forestry should focus more on longitudinal and mixed-method research where ecological, institutional, and socio-economic indicators are put into consideration. Although short-term evaluations show that there are positive changes in the condition of forests and the resilience of livelihoods (Girma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2022), the long-term growth of income and economic transformation of the structural nature are not studied to an adequate degree. The longitudinal household panel designs and impact evaluation design would help in giving a better understanding of whether participatory governance generates lasting welfare gains. The combination of forest cover analysis and household asset tracking can be used to explain the long-term outcomes of socio-economic outcomes.</w:t>
      </w:r>
    </w:p>
    <w:p w14:paraId="3163C068" w14:textId="1C8D4F37"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7.2 Me</w:t>
      </w:r>
      <w:r w:rsidR="00902584">
        <w:rPr>
          <w:rFonts w:ascii="Times New Roman" w:hAnsi="Times New Roman" w:cs="Times New Roman"/>
          <w:b/>
          <w:bCs/>
          <w:sz w:val="24"/>
          <w:szCs w:val="24"/>
        </w:rPr>
        <w:t>asuring</w:t>
      </w:r>
      <w:r w:rsidRPr="00CE3051">
        <w:rPr>
          <w:rFonts w:ascii="Times New Roman" w:hAnsi="Times New Roman" w:cs="Times New Roman"/>
          <w:b/>
          <w:bCs/>
          <w:sz w:val="24"/>
          <w:szCs w:val="24"/>
        </w:rPr>
        <w:t xml:space="preserve"> of Depth of Participation and Quality of Governance</w:t>
      </w:r>
    </w:p>
    <w:p w14:paraId="5AD92F8B" w14:textId="77777777"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The further research needs to go beyond the systematic categorization of participatory programs and create quantifiable measures of depth of participation and empowerment. It is important to distinguish between consultation-based models and real-life power-sharing arrangements with the help of graded participation frameworks, including the one developed by Arnstein (1969). The creation of participation indices that determine the power of decision making, transparency and accountability would ensure better comparative study between regions. Enhancing the reliability of institutions may be enhanced by increasing monitoring and evaluation (M and E) systems by participating in data collection and digital governance tools (Lawrence and Green, 2003).</w:t>
      </w:r>
    </w:p>
    <w:p w14:paraId="5901D890" w14:textId="7424AF3E" w:rsidR="00CE3051" w:rsidRPr="00902584" w:rsidRDefault="00CE3051" w:rsidP="002B0789">
      <w:pPr>
        <w:jc w:val="both"/>
        <w:rPr>
          <w:rFonts w:ascii="Times New Roman" w:hAnsi="Times New Roman" w:cs="Times New Roman"/>
          <w:b/>
          <w:bCs/>
          <w:sz w:val="24"/>
          <w:szCs w:val="24"/>
        </w:rPr>
      </w:pPr>
      <w:r w:rsidRPr="00902584">
        <w:rPr>
          <w:rFonts w:ascii="Times New Roman" w:hAnsi="Times New Roman" w:cs="Times New Roman"/>
          <w:b/>
          <w:bCs/>
          <w:sz w:val="24"/>
          <w:szCs w:val="24"/>
        </w:rPr>
        <w:t>7.3 Improving Institutional Accountability and Fairness</w:t>
      </w:r>
    </w:p>
    <w:p w14:paraId="36DDE9D3" w14:textId="3A1D030C"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The future policy and research directions must be aimed at building up the local institutional capacity and equitable mechanisms of sharing benefits. There is reason to believe that collective action can be deteriorated by elite capture and poor transparency (Agrawal and Gibson, 1999; Sarin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2003). The institutional reforms must include clear rules, grievance redress, and an inclusive structure of governance that boosts the participation of the marginalized groups. The institutional design that is gender sensitive is especially essential because substantive inclusion of women has been linked to better results in forest governance (Agarwal, 2010).</w:t>
      </w:r>
    </w:p>
    <w:p w14:paraId="7A601180" w14:textId="1C6C11DD" w:rsidR="00CE3051" w:rsidRPr="00CE3051" w:rsidRDefault="00CE3051" w:rsidP="002B0789">
      <w:pPr>
        <w:jc w:val="both"/>
        <w:rPr>
          <w:rFonts w:ascii="Times New Roman" w:hAnsi="Times New Roman" w:cs="Times New Roman"/>
          <w:sz w:val="24"/>
          <w:szCs w:val="24"/>
        </w:rPr>
      </w:pPr>
      <w:r w:rsidRPr="00902584">
        <w:rPr>
          <w:rFonts w:ascii="Times New Roman" w:hAnsi="Times New Roman" w:cs="Times New Roman"/>
          <w:b/>
          <w:bCs/>
          <w:sz w:val="24"/>
          <w:szCs w:val="24"/>
        </w:rPr>
        <w:t xml:space="preserve">7.4 </w:t>
      </w:r>
      <w:r w:rsidR="00902584">
        <w:rPr>
          <w:rFonts w:ascii="Times New Roman" w:hAnsi="Times New Roman" w:cs="Times New Roman"/>
          <w:b/>
          <w:bCs/>
          <w:sz w:val="24"/>
          <w:szCs w:val="24"/>
        </w:rPr>
        <w:t>Integrating</w:t>
      </w:r>
      <w:r w:rsidRPr="00902584">
        <w:rPr>
          <w:rFonts w:ascii="Times New Roman" w:hAnsi="Times New Roman" w:cs="Times New Roman"/>
          <w:b/>
          <w:bCs/>
          <w:sz w:val="24"/>
          <w:szCs w:val="24"/>
        </w:rPr>
        <w:t xml:space="preserve"> Climate Resilience and Adaptive Governance</w:t>
      </w:r>
    </w:p>
    <w:p w14:paraId="528C5123" w14:textId="77777777"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Participatory forestry needs to be more and more consistent with new challenges in the environmental sphere, in particular, climate change and ecosystem service valuation. New adaptive governance systems that integrate climate resilience, carbon finance </w:t>
      </w:r>
      <w:r w:rsidRPr="00CE3051">
        <w:rPr>
          <w:rFonts w:ascii="Times New Roman" w:hAnsi="Times New Roman" w:cs="Times New Roman"/>
          <w:sz w:val="24"/>
          <w:szCs w:val="24"/>
        </w:rPr>
        <w:lastRenderedPageBreak/>
        <w:t>tools, and biodiversity protection approaches need to be explored (Tiki, 2025). Participatory forest management in the context of climate mitigation initiatives like the REDD+ and community-based adaptation programs might help to improve the long-term sustainability. Studies are needed on the responsiveness of local institutions to migration, integration in the market and environmental diversity.</w:t>
      </w:r>
    </w:p>
    <w:p w14:paraId="6C118C72" w14:textId="4E737256" w:rsidR="00CE3051" w:rsidRPr="00902584" w:rsidRDefault="00902584" w:rsidP="002B0789">
      <w:pPr>
        <w:jc w:val="both"/>
        <w:rPr>
          <w:rFonts w:ascii="Times New Roman" w:hAnsi="Times New Roman" w:cs="Times New Roman"/>
          <w:b/>
          <w:bCs/>
          <w:sz w:val="24"/>
          <w:szCs w:val="24"/>
        </w:rPr>
      </w:pPr>
      <w:r w:rsidRPr="00902584">
        <w:rPr>
          <w:rFonts w:ascii="Times New Roman" w:hAnsi="Times New Roman" w:cs="Times New Roman"/>
          <w:b/>
          <w:bCs/>
          <w:sz w:val="24"/>
          <w:szCs w:val="24"/>
        </w:rPr>
        <w:t>7.5</w:t>
      </w:r>
      <w:r w:rsidR="00CE3051" w:rsidRPr="00902584">
        <w:rPr>
          <w:rFonts w:ascii="Times New Roman" w:hAnsi="Times New Roman" w:cs="Times New Roman"/>
          <w:b/>
          <w:bCs/>
          <w:sz w:val="24"/>
          <w:szCs w:val="24"/>
        </w:rPr>
        <w:t xml:space="preserve"> </w:t>
      </w:r>
      <w:r>
        <w:rPr>
          <w:rFonts w:ascii="Times New Roman" w:hAnsi="Times New Roman" w:cs="Times New Roman"/>
          <w:b/>
          <w:bCs/>
          <w:sz w:val="24"/>
          <w:szCs w:val="24"/>
        </w:rPr>
        <w:t>Promoting</w:t>
      </w:r>
      <w:r w:rsidR="00CE3051" w:rsidRPr="00902584">
        <w:rPr>
          <w:rFonts w:ascii="Times New Roman" w:hAnsi="Times New Roman" w:cs="Times New Roman"/>
          <w:b/>
          <w:bCs/>
          <w:sz w:val="24"/>
          <w:szCs w:val="24"/>
        </w:rPr>
        <w:t xml:space="preserve"> Interregional Comparative Research</w:t>
      </w:r>
    </w:p>
    <w:p w14:paraId="2709C505" w14:textId="59FB3870" w:rsidR="00902584"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More comparative studies within the Indian, African, and Southeast Asian contexts should be conducted in order to create transferable principles of governance and acknowledge the contextual diversity. The variations in the security of tenure, administrative decentralization and social-cultural dynamics affect the outcomes of participation (Behera, 2009; Mbeche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Standardized socio-economic and institutional indicators used in cross-country studies would enhance generalization in the theory and policy creation.</w:t>
      </w:r>
    </w:p>
    <w:p w14:paraId="118386B4" w14:textId="12AAC936" w:rsidR="007F2DAC" w:rsidRDefault="00B95951" w:rsidP="007F2DAC">
      <w:pPr>
        <w:pBdr>
          <w:bottom w:val="single" w:sz="12" w:space="1" w:color="auto"/>
        </w:pBdr>
        <w:jc w:val="both"/>
        <w:rPr>
          <w:rFonts w:ascii="Times New Roman" w:hAnsi="Times New Roman" w:cs="Times New Roman"/>
          <w:b/>
          <w:bCs/>
          <w:sz w:val="24"/>
          <w:szCs w:val="24"/>
        </w:rPr>
      </w:pPr>
      <w:r w:rsidRPr="00B95951">
        <w:rPr>
          <w:rFonts w:ascii="Times New Roman" w:hAnsi="Times New Roman" w:cs="Times New Roman"/>
          <w:b/>
          <w:bCs/>
          <w:sz w:val="24"/>
          <w:szCs w:val="24"/>
        </w:rPr>
        <w:t>References:</w:t>
      </w:r>
    </w:p>
    <w:p w14:paraId="10DD1C79" w14:textId="0FEC9D34"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Agarwal, B. 2010. Gender and green governance: The political economy of women’s presence within and beyond community forestry. Oxford University Press.</w:t>
      </w:r>
    </w:p>
    <w:p w14:paraId="0D9A0BA0" w14:textId="5091EB94"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Agrawal, A.,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Gibson, C. C. 1999. Enchantment and disenchantment: The role of community in natural resource conservation. World Development, 27(4), 629–649.</w:t>
      </w:r>
    </w:p>
    <w:p w14:paraId="69BCBF68" w14:textId="7BCFDBCA"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Ali, S. M., Mohamed, A. M.,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Nyang’au, S. 2025. Assessment of Socio-Economic and Ecological Impacts of Community-Based Natural Resource Management. East African Journal of Environment and Natural Resources.</w:t>
      </w:r>
    </w:p>
    <w:p w14:paraId="0907E129" w14:textId="730FF1DC"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Arnold, J. E. M. 2001. Forestry, poverty and livelihoods. International Forestry Review, 3(3), 199–207.</w:t>
      </w:r>
    </w:p>
    <w:p w14:paraId="0E559659" w14:textId="399B67A6"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Arnstein, S. R. 1969. A ladder of citizen participation. Journal of the American Institute of Planners, 35(4), 216–224.</w:t>
      </w:r>
    </w:p>
    <w:p w14:paraId="04758D82" w14:textId="77777777"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Balooni, K., 2002. Participatory Forest Management in India-An Analysis of Policy Trends amid ‘Management Change. Policy Trend Report, 2002, pp.88-113.</w:t>
      </w:r>
    </w:p>
    <w:p w14:paraId="2CC2580B" w14:textId="1C699AE3"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Biswas, P.K., 2003. Forest, people and livelihoods: The need for participatory management. In XII World Forestry Congress, Quebec City, Canada. </w:t>
      </w:r>
    </w:p>
    <w:p w14:paraId="36B87118" w14:textId="5E0D89A8"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Chambers, R. 1994. Participatory rural appraisal (PRA): Analysis of experience. World Development, 22(9), 1253–1268.</w:t>
      </w:r>
    </w:p>
    <w:p w14:paraId="5CD76A0D" w14:textId="2FA72223"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Cornwall, A. 2008. Unpacking participation: Models, meanings and practices. Community Development Journal, 43(3), 269–283.</w:t>
      </w:r>
    </w:p>
    <w:p w14:paraId="4F0C67BD" w14:textId="47E9D930"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Fabricius, C., Koch, E., Magome, H.,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Turner, S. 2004. Rights, resources and rural development: Community-based natural resource management in Southern Africa. Earthscan Publications.</w:t>
      </w:r>
    </w:p>
    <w:p w14:paraId="29F49088" w14:textId="6C92C3D1"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FAO. 2010. Participatory forest management: A strategy for sustainable forest management. Food and Agriculture Organization of the United Nations.</w:t>
      </w:r>
    </w:p>
    <w:p w14:paraId="26598733" w14:textId="240B2E6D"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lastRenderedPageBreak/>
        <w:t>FAO. 2012. Community forestry and livelihood improvement. Food and Agriculture Organization of the United Nations.</w:t>
      </w:r>
    </w:p>
    <w:p w14:paraId="53A4888B" w14:textId="28D67237" w:rsidR="00331055"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FAO. 2022. Participatory natural resource management and climate resilience. Food and Agriculture Organization of the United Nations.</w:t>
      </w:r>
    </w:p>
    <w:p w14:paraId="511D995D" w14:textId="28DF525E" w:rsidR="00902584" w:rsidRPr="00371CB1" w:rsidRDefault="00902584" w:rsidP="00331055">
      <w:pPr>
        <w:jc w:val="both"/>
        <w:rPr>
          <w:rFonts w:ascii="Times New Roman" w:hAnsi="Times New Roman" w:cs="Times New Roman"/>
          <w:sz w:val="24"/>
          <w:szCs w:val="24"/>
        </w:rPr>
      </w:pPr>
      <w:r w:rsidRPr="00902584">
        <w:rPr>
          <w:rFonts w:ascii="Times New Roman" w:hAnsi="Times New Roman" w:cs="Times New Roman"/>
          <w:sz w:val="24"/>
          <w:szCs w:val="24"/>
        </w:rPr>
        <w:t>Girma, G., Melka, Y., Haileslassie, A. and Mekuria, W., 2023. Participatory forest management for improving livelihood assets and mitigating forest degradation: Lesson drawn from the Central Rift Valley, Ethiopia. Current Research in Environmental Sustainability, 5, p.100205.</w:t>
      </w:r>
    </w:p>
    <w:p w14:paraId="6A170E3E" w14:textId="01F49C0C"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ICRISAT. 2011. Watershed management for improving productivity and livelihoods. International Crops Research Institute for the Semi-Arid Tropics.</w:t>
      </w:r>
    </w:p>
    <w:p w14:paraId="118A40E2" w14:textId="17A2C3A8"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IDRC. 2010. Community-based natural resource management and rural livelihoods. International Development Research Centre.</w:t>
      </w:r>
    </w:p>
    <w:p w14:paraId="7FE7E834" w14:textId="4E043AF7"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Joshi, P. K., Jha, A. K., Wani, S. P., Joshi, L.,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Shiyani, R. L. 2005. Meta-analysis to assess impact of watershed program and people’s participation. Comprehensive Assessment Research Report, International Water Management Institute.</w:t>
      </w:r>
    </w:p>
    <w:p w14:paraId="7EC40561" w14:textId="1507A0F8"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Kerr, J. 2002. Watershed development, environmental services, and poverty alleviation in India. World Development, 30(8), 1387–1400.</w:t>
      </w:r>
    </w:p>
    <w:p w14:paraId="410F490F" w14:textId="5EC4A2DD"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Mbeche, R., Ateka, J., Herrmann, R.,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Grote, U.2021. Understanding forest users’ participation in participatory forest management. Forest Policy and Economics.</w:t>
      </w:r>
    </w:p>
    <w:p w14:paraId="027290CE" w14:textId="446BAF6E"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Meinzen-Dick, R., Di Gregorio, M.,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McCarthy, N. 2004. Methods for studying collective action in rural development. Agricultural Systems, 82(3), 197–214.</w:t>
      </w:r>
    </w:p>
    <w:p w14:paraId="0029E5D6" w14:textId="16C9ADD3"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Ostrom, E. 1990. Governing the commons: The evolution of institutions for collective action. Cambridge University Press.</w:t>
      </w:r>
    </w:p>
    <w:p w14:paraId="626302A8" w14:textId="6A46E436"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Pagdee, A., Kim, Y. S.,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Daugherty, P. J. 2006. What makes community forest management successful: A meta-study. Society and Natural Resources, 19(1), 33–52.</w:t>
      </w:r>
    </w:p>
    <w:p w14:paraId="0B69D58C" w14:textId="731518CF"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Poffenberger, M. 1996. Communities and forest management in South Asia. IUCN Publications.</w:t>
      </w:r>
    </w:p>
    <w:p w14:paraId="7632225D" w14:textId="5798FBC0"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Pretty, J. N. 1995. Participatory learning for sustainable agriculture. World Development, 23(8), 1247–1263.</w:t>
      </w:r>
    </w:p>
    <w:p w14:paraId="7C5D4710" w14:textId="28C334EE"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Pretty, J. N.,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Ward, H. 2001. Social capital and the environment. World Development, 29(2), 209–227.</w:t>
      </w:r>
    </w:p>
    <w:p w14:paraId="217C25A1" w14:textId="7BFC6277" w:rsidR="00331055"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Reed, M. S. 201</w:t>
      </w:r>
      <w:r w:rsidR="00204538">
        <w:rPr>
          <w:rFonts w:ascii="Times New Roman" w:hAnsi="Times New Roman" w:cs="Times New Roman"/>
          <w:sz w:val="24"/>
          <w:szCs w:val="24"/>
        </w:rPr>
        <w:t>8</w:t>
      </w:r>
      <w:r w:rsidRPr="00371CB1">
        <w:rPr>
          <w:rFonts w:ascii="Times New Roman" w:hAnsi="Times New Roman" w:cs="Times New Roman"/>
          <w:sz w:val="24"/>
          <w:szCs w:val="24"/>
        </w:rPr>
        <w:t>. Participatory environmental governance: A literature review. Biological Conservation, 223, 1–15.</w:t>
      </w:r>
    </w:p>
    <w:p w14:paraId="1F610CF1" w14:textId="561EF82A" w:rsidR="00204538" w:rsidRPr="00371CB1" w:rsidRDefault="00204538" w:rsidP="00331055">
      <w:pPr>
        <w:jc w:val="both"/>
        <w:rPr>
          <w:rFonts w:ascii="Times New Roman" w:hAnsi="Times New Roman" w:cs="Times New Roman"/>
          <w:sz w:val="24"/>
          <w:szCs w:val="24"/>
        </w:rPr>
      </w:pPr>
      <w:r w:rsidRPr="00204538">
        <w:rPr>
          <w:rFonts w:ascii="Times New Roman" w:hAnsi="Times New Roman" w:cs="Times New Roman"/>
          <w:sz w:val="24"/>
          <w:szCs w:val="24"/>
        </w:rPr>
        <w:t>Robinson, L.W., Eba, B., Flintan, F., Frija, A., Nganga, I.N., Ontiri, E.M., Sghaier, M., Abdu, N.H. and Moiko, S.S., 2021. The challenges of community-based natural resource management in pastoral rangelands. Society &amp; Natural Resources, </w:t>
      </w:r>
      <w:r w:rsidRPr="00204538">
        <w:rPr>
          <w:rFonts w:ascii="Times New Roman" w:hAnsi="Times New Roman" w:cs="Times New Roman"/>
          <w:i/>
          <w:iCs/>
          <w:sz w:val="24"/>
          <w:szCs w:val="24"/>
        </w:rPr>
        <w:t>34</w:t>
      </w:r>
      <w:r w:rsidRPr="00204538">
        <w:rPr>
          <w:rFonts w:ascii="Times New Roman" w:hAnsi="Times New Roman" w:cs="Times New Roman"/>
          <w:sz w:val="24"/>
          <w:szCs w:val="24"/>
        </w:rPr>
        <w:t>(9), pp.1213-1231.</w:t>
      </w:r>
    </w:p>
    <w:p w14:paraId="32BC4BDC" w14:textId="52863D1C"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lastRenderedPageBreak/>
        <w:t xml:space="preserve">Shackleton, S., Campbell, B., Wollenberg, E.,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Edmunds, D. 2002. Devolution and community-based natural resource management. Natural Resource Perspectives, 76, 1–6.</w:t>
      </w:r>
    </w:p>
    <w:p w14:paraId="7CB6FD80" w14:textId="63838E18"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Sundar, N., Jeffery, R.,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Thin, N. 2001. Branching out: </w:t>
      </w:r>
      <w:r w:rsidR="00371CB1" w:rsidRPr="00371CB1">
        <w:rPr>
          <w:rFonts w:ascii="Times New Roman" w:hAnsi="Times New Roman" w:cs="Times New Roman"/>
          <w:sz w:val="24"/>
          <w:szCs w:val="24"/>
        </w:rPr>
        <w:t>Joint Forest</w:t>
      </w:r>
      <w:r w:rsidRPr="00371CB1">
        <w:rPr>
          <w:rFonts w:ascii="Times New Roman" w:hAnsi="Times New Roman" w:cs="Times New Roman"/>
          <w:sz w:val="24"/>
          <w:szCs w:val="24"/>
        </w:rPr>
        <w:t xml:space="preserve"> management in India. Oxford University Press.</w:t>
      </w:r>
    </w:p>
    <w:p w14:paraId="13281BC0" w14:textId="107337F9"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Tiki, L.2025. Participatory forest management: Analysis of local forest governance gaps. Sustainable Futures Journal.</w:t>
      </w:r>
    </w:p>
    <w:p w14:paraId="04BD5F28" w14:textId="6DFE300D"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Tiwari, R., Singh, R.,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Kumar, P. 2020. Impact of watershed development on livelihood security of rural households. Indian Journal of Agricultural Economics, 75(2), 215–230.</w:t>
      </w:r>
    </w:p>
    <w:p w14:paraId="6FF8432A" w14:textId="7BBF24BD"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Uphoff, N. 1992. Local institutions and participation for sustainable development. International Institute for Environment and Development.</w:t>
      </w:r>
    </w:p>
    <w:p w14:paraId="2235A6F5" w14:textId="3BFBB584"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World Bank. 2007. Community-driven development and poverty reduction. World Bank Publications.</w:t>
      </w:r>
    </w:p>
    <w:p w14:paraId="7F52D2DA" w14:textId="4502E4DE" w:rsidR="00331055" w:rsidRPr="00371CB1" w:rsidRDefault="00331055" w:rsidP="00331055">
      <w:pPr>
        <w:jc w:val="both"/>
        <w:rPr>
          <w:rFonts w:ascii="Times New Roman" w:hAnsi="Times New Roman" w:cs="Times New Roman"/>
          <w:sz w:val="24"/>
          <w:szCs w:val="24"/>
        </w:rPr>
      </w:pPr>
      <w:r w:rsidRPr="00371CB1">
        <w:rPr>
          <w:rFonts w:ascii="Times New Roman" w:hAnsi="Times New Roman" w:cs="Times New Roman"/>
          <w:sz w:val="24"/>
          <w:szCs w:val="24"/>
        </w:rPr>
        <w:t xml:space="preserve">Zangmo, N., Hiroshima, T., Sibanda, S., </w:t>
      </w:r>
      <w:r w:rsidR="00371CB1">
        <w:rPr>
          <w:rFonts w:ascii="Times New Roman" w:hAnsi="Times New Roman" w:cs="Times New Roman"/>
          <w:sz w:val="24"/>
          <w:szCs w:val="24"/>
        </w:rPr>
        <w:t>and</w:t>
      </w:r>
      <w:r w:rsidRPr="00371CB1">
        <w:rPr>
          <w:rFonts w:ascii="Times New Roman" w:hAnsi="Times New Roman" w:cs="Times New Roman"/>
          <w:sz w:val="24"/>
          <w:szCs w:val="24"/>
        </w:rPr>
        <w:t xml:space="preserve"> Dorji, J. 2024. Participatory Forest Management and Gender Inclusiveness in Community Forest Management Groups. Journal of Geoscience and Environment Protection, 12, 12-30.</w:t>
      </w:r>
    </w:p>
    <w:sectPr w:rsidR="00331055" w:rsidRPr="00371CB1" w:rsidSect="004919B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216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56ABC" w14:textId="77777777" w:rsidR="002F4B83" w:rsidRDefault="002F4B83" w:rsidP="00A33A3E">
      <w:pPr>
        <w:spacing w:after="0" w:line="240" w:lineRule="auto"/>
      </w:pPr>
      <w:r>
        <w:separator/>
      </w:r>
    </w:p>
  </w:endnote>
  <w:endnote w:type="continuationSeparator" w:id="0">
    <w:p w14:paraId="6EFC47A5" w14:textId="77777777" w:rsidR="002F4B83" w:rsidRDefault="002F4B83" w:rsidP="00A3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DC54" w14:textId="77777777" w:rsidR="00A33A3E" w:rsidRDefault="00A33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92F8" w14:textId="77777777" w:rsidR="00A33A3E" w:rsidRDefault="00A33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6F71" w14:textId="77777777" w:rsidR="00A33A3E" w:rsidRDefault="00A3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E9863" w14:textId="77777777" w:rsidR="002F4B83" w:rsidRDefault="002F4B83" w:rsidP="00A33A3E">
      <w:pPr>
        <w:spacing w:after="0" w:line="240" w:lineRule="auto"/>
      </w:pPr>
      <w:r>
        <w:separator/>
      </w:r>
    </w:p>
  </w:footnote>
  <w:footnote w:type="continuationSeparator" w:id="0">
    <w:p w14:paraId="144B1F13" w14:textId="77777777" w:rsidR="002F4B83" w:rsidRDefault="002F4B83" w:rsidP="00A3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64DB" w14:textId="35F823A6" w:rsidR="00A33A3E" w:rsidRDefault="00A33A3E">
    <w:pPr>
      <w:pStyle w:val="Header"/>
    </w:pPr>
    <w:r>
      <w:rPr>
        <w:noProof/>
      </w:rPr>
      <w:pict w14:anchorId="0C626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401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3A4B" w14:textId="107FB55C" w:rsidR="00A33A3E" w:rsidRDefault="00A33A3E">
    <w:pPr>
      <w:pStyle w:val="Header"/>
    </w:pPr>
    <w:r>
      <w:rPr>
        <w:noProof/>
      </w:rPr>
      <w:pict w14:anchorId="65307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401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F4CB" w14:textId="0A0434BE" w:rsidR="00A33A3E" w:rsidRDefault="00A33A3E">
    <w:pPr>
      <w:pStyle w:val="Header"/>
    </w:pPr>
    <w:r>
      <w:rPr>
        <w:noProof/>
      </w:rPr>
      <w:pict w14:anchorId="2DD2C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401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4FC"/>
    <w:multiLevelType w:val="multilevel"/>
    <w:tmpl w:val="A90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2197"/>
    <w:multiLevelType w:val="multilevel"/>
    <w:tmpl w:val="99F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440C0"/>
    <w:multiLevelType w:val="multilevel"/>
    <w:tmpl w:val="81C6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44A85"/>
    <w:multiLevelType w:val="multilevel"/>
    <w:tmpl w:val="18FE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320AC"/>
    <w:multiLevelType w:val="multilevel"/>
    <w:tmpl w:val="41F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326F6"/>
    <w:multiLevelType w:val="multilevel"/>
    <w:tmpl w:val="A44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461F1"/>
    <w:multiLevelType w:val="multilevel"/>
    <w:tmpl w:val="3E1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F2583"/>
    <w:multiLevelType w:val="multilevel"/>
    <w:tmpl w:val="8D06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42"/>
    <w:rsid w:val="0003759D"/>
    <w:rsid w:val="0003784E"/>
    <w:rsid w:val="00050D73"/>
    <w:rsid w:val="000A7282"/>
    <w:rsid w:val="000D71DF"/>
    <w:rsid w:val="001E3507"/>
    <w:rsid w:val="00204538"/>
    <w:rsid w:val="00214B59"/>
    <w:rsid w:val="0024416E"/>
    <w:rsid w:val="00253262"/>
    <w:rsid w:val="002A6B9E"/>
    <w:rsid w:val="002B0789"/>
    <w:rsid w:val="002B47E4"/>
    <w:rsid w:val="002B620C"/>
    <w:rsid w:val="002D4601"/>
    <w:rsid w:val="002F4B83"/>
    <w:rsid w:val="00331055"/>
    <w:rsid w:val="00371CB1"/>
    <w:rsid w:val="003E7B06"/>
    <w:rsid w:val="004116C4"/>
    <w:rsid w:val="004853F5"/>
    <w:rsid w:val="004919B6"/>
    <w:rsid w:val="004C15AD"/>
    <w:rsid w:val="00587227"/>
    <w:rsid w:val="005D2F1B"/>
    <w:rsid w:val="006F411F"/>
    <w:rsid w:val="00703F30"/>
    <w:rsid w:val="00774F0C"/>
    <w:rsid w:val="00794449"/>
    <w:rsid w:val="007F2DAC"/>
    <w:rsid w:val="0080669F"/>
    <w:rsid w:val="00853802"/>
    <w:rsid w:val="008C4442"/>
    <w:rsid w:val="00902584"/>
    <w:rsid w:val="00A33A3E"/>
    <w:rsid w:val="00A726F6"/>
    <w:rsid w:val="00B4579A"/>
    <w:rsid w:val="00B90A69"/>
    <w:rsid w:val="00B95951"/>
    <w:rsid w:val="00BB5533"/>
    <w:rsid w:val="00BD27D2"/>
    <w:rsid w:val="00C81E9A"/>
    <w:rsid w:val="00CE3051"/>
    <w:rsid w:val="00D11B2E"/>
    <w:rsid w:val="00D457D3"/>
    <w:rsid w:val="00DC16CD"/>
    <w:rsid w:val="00E1085F"/>
    <w:rsid w:val="00E65632"/>
    <w:rsid w:val="00E6605C"/>
    <w:rsid w:val="00E90A67"/>
    <w:rsid w:val="00EB0E57"/>
    <w:rsid w:val="00EF4FBA"/>
    <w:rsid w:val="00EF6171"/>
    <w:rsid w:val="00F06750"/>
    <w:rsid w:val="00F25390"/>
    <w:rsid w:val="00F8204D"/>
    <w:rsid w:val="00F852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27C4A"/>
  <w15:chartTrackingRefBased/>
  <w15:docId w15:val="{DDDB867C-6FE5-4BC5-BA19-28CC39F2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42"/>
    <w:rPr>
      <w:rFonts w:eastAsiaTheme="majorEastAsia" w:cstheme="majorBidi"/>
      <w:color w:val="272727" w:themeColor="text1" w:themeTint="D8"/>
    </w:rPr>
  </w:style>
  <w:style w:type="paragraph" w:styleId="Title">
    <w:name w:val="Title"/>
    <w:basedOn w:val="Normal"/>
    <w:next w:val="Normal"/>
    <w:link w:val="TitleChar"/>
    <w:uiPriority w:val="10"/>
    <w:qFormat/>
    <w:rsid w:val="008C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42"/>
    <w:pPr>
      <w:spacing w:before="160"/>
      <w:jc w:val="center"/>
    </w:pPr>
    <w:rPr>
      <w:i/>
      <w:iCs/>
      <w:color w:val="404040" w:themeColor="text1" w:themeTint="BF"/>
    </w:rPr>
  </w:style>
  <w:style w:type="character" w:customStyle="1" w:styleId="QuoteChar">
    <w:name w:val="Quote Char"/>
    <w:basedOn w:val="DefaultParagraphFont"/>
    <w:link w:val="Quote"/>
    <w:uiPriority w:val="29"/>
    <w:rsid w:val="008C4442"/>
    <w:rPr>
      <w:i/>
      <w:iCs/>
      <w:color w:val="404040" w:themeColor="text1" w:themeTint="BF"/>
    </w:rPr>
  </w:style>
  <w:style w:type="paragraph" w:styleId="ListParagraph">
    <w:name w:val="List Paragraph"/>
    <w:basedOn w:val="Normal"/>
    <w:uiPriority w:val="34"/>
    <w:qFormat/>
    <w:rsid w:val="008C4442"/>
    <w:pPr>
      <w:ind w:left="720"/>
      <w:contextualSpacing/>
    </w:pPr>
  </w:style>
  <w:style w:type="character" w:styleId="IntenseEmphasis">
    <w:name w:val="Intense Emphasis"/>
    <w:basedOn w:val="DefaultParagraphFont"/>
    <w:uiPriority w:val="21"/>
    <w:qFormat/>
    <w:rsid w:val="008C4442"/>
    <w:rPr>
      <w:i/>
      <w:iCs/>
      <w:color w:val="2F5496" w:themeColor="accent1" w:themeShade="BF"/>
    </w:rPr>
  </w:style>
  <w:style w:type="paragraph" w:styleId="IntenseQuote">
    <w:name w:val="Intense Quote"/>
    <w:basedOn w:val="Normal"/>
    <w:next w:val="Normal"/>
    <w:link w:val="IntenseQuoteChar"/>
    <w:uiPriority w:val="30"/>
    <w:qFormat/>
    <w:rsid w:val="008C4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42"/>
    <w:rPr>
      <w:i/>
      <w:iCs/>
      <w:color w:val="2F5496" w:themeColor="accent1" w:themeShade="BF"/>
    </w:rPr>
  </w:style>
  <w:style w:type="character" w:styleId="IntenseReference">
    <w:name w:val="Intense Reference"/>
    <w:basedOn w:val="DefaultParagraphFont"/>
    <w:uiPriority w:val="32"/>
    <w:qFormat/>
    <w:rsid w:val="008C4442"/>
    <w:rPr>
      <w:b/>
      <w:bCs/>
      <w:smallCaps/>
      <w:color w:val="2F5496" w:themeColor="accent1" w:themeShade="BF"/>
      <w:spacing w:val="5"/>
    </w:rPr>
  </w:style>
  <w:style w:type="table" w:styleId="TableGrid">
    <w:name w:val="Table Grid"/>
    <w:basedOn w:val="TableNormal"/>
    <w:uiPriority w:val="39"/>
    <w:rsid w:val="0025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3262"/>
    <w:pPr>
      <w:widowControl w:val="0"/>
      <w:autoSpaceDE w:val="0"/>
      <w:autoSpaceDN w:val="0"/>
      <w:spacing w:before="161" w:after="0" w:line="240" w:lineRule="auto"/>
      <w:ind w:left="39"/>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4C15AD"/>
    <w:rPr>
      <w:color w:val="0563C1" w:themeColor="hyperlink"/>
      <w:u w:val="single"/>
    </w:rPr>
  </w:style>
  <w:style w:type="character" w:styleId="UnresolvedMention">
    <w:name w:val="Unresolved Mention"/>
    <w:basedOn w:val="DefaultParagraphFont"/>
    <w:uiPriority w:val="99"/>
    <w:semiHidden/>
    <w:unhideWhenUsed/>
    <w:rsid w:val="004C15AD"/>
    <w:rPr>
      <w:color w:val="605E5C"/>
      <w:shd w:val="clear" w:color="auto" w:fill="E1DFDD"/>
    </w:rPr>
  </w:style>
  <w:style w:type="paragraph" w:styleId="Header">
    <w:name w:val="header"/>
    <w:basedOn w:val="Normal"/>
    <w:link w:val="HeaderChar"/>
    <w:uiPriority w:val="99"/>
    <w:unhideWhenUsed/>
    <w:rsid w:val="00A33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A3E"/>
  </w:style>
  <w:style w:type="paragraph" w:styleId="Footer">
    <w:name w:val="footer"/>
    <w:basedOn w:val="Normal"/>
    <w:link w:val="FooterChar"/>
    <w:uiPriority w:val="99"/>
    <w:unhideWhenUsed/>
    <w:rsid w:val="00A33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642">
      <w:bodyDiv w:val="1"/>
      <w:marLeft w:val="0"/>
      <w:marRight w:val="0"/>
      <w:marTop w:val="0"/>
      <w:marBottom w:val="0"/>
      <w:divBdr>
        <w:top w:val="none" w:sz="0" w:space="0" w:color="auto"/>
        <w:left w:val="none" w:sz="0" w:space="0" w:color="auto"/>
        <w:bottom w:val="none" w:sz="0" w:space="0" w:color="auto"/>
        <w:right w:val="none" w:sz="0" w:space="0" w:color="auto"/>
      </w:divBdr>
    </w:div>
    <w:div w:id="26371324">
      <w:bodyDiv w:val="1"/>
      <w:marLeft w:val="0"/>
      <w:marRight w:val="0"/>
      <w:marTop w:val="0"/>
      <w:marBottom w:val="0"/>
      <w:divBdr>
        <w:top w:val="none" w:sz="0" w:space="0" w:color="auto"/>
        <w:left w:val="none" w:sz="0" w:space="0" w:color="auto"/>
        <w:bottom w:val="none" w:sz="0" w:space="0" w:color="auto"/>
        <w:right w:val="none" w:sz="0" w:space="0" w:color="auto"/>
      </w:divBdr>
    </w:div>
    <w:div w:id="121072875">
      <w:bodyDiv w:val="1"/>
      <w:marLeft w:val="0"/>
      <w:marRight w:val="0"/>
      <w:marTop w:val="0"/>
      <w:marBottom w:val="0"/>
      <w:divBdr>
        <w:top w:val="none" w:sz="0" w:space="0" w:color="auto"/>
        <w:left w:val="none" w:sz="0" w:space="0" w:color="auto"/>
        <w:bottom w:val="none" w:sz="0" w:space="0" w:color="auto"/>
        <w:right w:val="none" w:sz="0" w:space="0" w:color="auto"/>
      </w:divBdr>
    </w:div>
    <w:div w:id="193346832">
      <w:bodyDiv w:val="1"/>
      <w:marLeft w:val="0"/>
      <w:marRight w:val="0"/>
      <w:marTop w:val="0"/>
      <w:marBottom w:val="0"/>
      <w:divBdr>
        <w:top w:val="none" w:sz="0" w:space="0" w:color="auto"/>
        <w:left w:val="none" w:sz="0" w:space="0" w:color="auto"/>
        <w:bottom w:val="none" w:sz="0" w:space="0" w:color="auto"/>
        <w:right w:val="none" w:sz="0" w:space="0" w:color="auto"/>
      </w:divBdr>
    </w:div>
    <w:div w:id="251816801">
      <w:bodyDiv w:val="1"/>
      <w:marLeft w:val="0"/>
      <w:marRight w:val="0"/>
      <w:marTop w:val="0"/>
      <w:marBottom w:val="0"/>
      <w:divBdr>
        <w:top w:val="none" w:sz="0" w:space="0" w:color="auto"/>
        <w:left w:val="none" w:sz="0" w:space="0" w:color="auto"/>
        <w:bottom w:val="none" w:sz="0" w:space="0" w:color="auto"/>
        <w:right w:val="none" w:sz="0" w:space="0" w:color="auto"/>
      </w:divBdr>
    </w:div>
    <w:div w:id="267851955">
      <w:bodyDiv w:val="1"/>
      <w:marLeft w:val="0"/>
      <w:marRight w:val="0"/>
      <w:marTop w:val="0"/>
      <w:marBottom w:val="0"/>
      <w:divBdr>
        <w:top w:val="none" w:sz="0" w:space="0" w:color="auto"/>
        <w:left w:val="none" w:sz="0" w:space="0" w:color="auto"/>
        <w:bottom w:val="none" w:sz="0" w:space="0" w:color="auto"/>
        <w:right w:val="none" w:sz="0" w:space="0" w:color="auto"/>
      </w:divBdr>
    </w:div>
    <w:div w:id="282344683">
      <w:bodyDiv w:val="1"/>
      <w:marLeft w:val="0"/>
      <w:marRight w:val="0"/>
      <w:marTop w:val="0"/>
      <w:marBottom w:val="0"/>
      <w:divBdr>
        <w:top w:val="none" w:sz="0" w:space="0" w:color="auto"/>
        <w:left w:val="none" w:sz="0" w:space="0" w:color="auto"/>
        <w:bottom w:val="none" w:sz="0" w:space="0" w:color="auto"/>
        <w:right w:val="none" w:sz="0" w:space="0" w:color="auto"/>
      </w:divBdr>
    </w:div>
    <w:div w:id="401486647">
      <w:bodyDiv w:val="1"/>
      <w:marLeft w:val="0"/>
      <w:marRight w:val="0"/>
      <w:marTop w:val="0"/>
      <w:marBottom w:val="0"/>
      <w:divBdr>
        <w:top w:val="none" w:sz="0" w:space="0" w:color="auto"/>
        <w:left w:val="none" w:sz="0" w:space="0" w:color="auto"/>
        <w:bottom w:val="none" w:sz="0" w:space="0" w:color="auto"/>
        <w:right w:val="none" w:sz="0" w:space="0" w:color="auto"/>
      </w:divBdr>
    </w:div>
    <w:div w:id="428283547">
      <w:bodyDiv w:val="1"/>
      <w:marLeft w:val="0"/>
      <w:marRight w:val="0"/>
      <w:marTop w:val="0"/>
      <w:marBottom w:val="0"/>
      <w:divBdr>
        <w:top w:val="none" w:sz="0" w:space="0" w:color="auto"/>
        <w:left w:val="none" w:sz="0" w:space="0" w:color="auto"/>
        <w:bottom w:val="none" w:sz="0" w:space="0" w:color="auto"/>
        <w:right w:val="none" w:sz="0" w:space="0" w:color="auto"/>
      </w:divBdr>
    </w:div>
    <w:div w:id="466824023">
      <w:bodyDiv w:val="1"/>
      <w:marLeft w:val="0"/>
      <w:marRight w:val="0"/>
      <w:marTop w:val="0"/>
      <w:marBottom w:val="0"/>
      <w:divBdr>
        <w:top w:val="none" w:sz="0" w:space="0" w:color="auto"/>
        <w:left w:val="none" w:sz="0" w:space="0" w:color="auto"/>
        <w:bottom w:val="none" w:sz="0" w:space="0" w:color="auto"/>
        <w:right w:val="none" w:sz="0" w:space="0" w:color="auto"/>
      </w:divBdr>
    </w:div>
    <w:div w:id="516820280">
      <w:bodyDiv w:val="1"/>
      <w:marLeft w:val="0"/>
      <w:marRight w:val="0"/>
      <w:marTop w:val="0"/>
      <w:marBottom w:val="0"/>
      <w:divBdr>
        <w:top w:val="none" w:sz="0" w:space="0" w:color="auto"/>
        <w:left w:val="none" w:sz="0" w:space="0" w:color="auto"/>
        <w:bottom w:val="none" w:sz="0" w:space="0" w:color="auto"/>
        <w:right w:val="none" w:sz="0" w:space="0" w:color="auto"/>
      </w:divBdr>
    </w:div>
    <w:div w:id="597712836">
      <w:bodyDiv w:val="1"/>
      <w:marLeft w:val="0"/>
      <w:marRight w:val="0"/>
      <w:marTop w:val="0"/>
      <w:marBottom w:val="0"/>
      <w:divBdr>
        <w:top w:val="none" w:sz="0" w:space="0" w:color="auto"/>
        <w:left w:val="none" w:sz="0" w:space="0" w:color="auto"/>
        <w:bottom w:val="none" w:sz="0" w:space="0" w:color="auto"/>
        <w:right w:val="none" w:sz="0" w:space="0" w:color="auto"/>
      </w:divBdr>
    </w:div>
    <w:div w:id="607931718">
      <w:bodyDiv w:val="1"/>
      <w:marLeft w:val="0"/>
      <w:marRight w:val="0"/>
      <w:marTop w:val="0"/>
      <w:marBottom w:val="0"/>
      <w:divBdr>
        <w:top w:val="none" w:sz="0" w:space="0" w:color="auto"/>
        <w:left w:val="none" w:sz="0" w:space="0" w:color="auto"/>
        <w:bottom w:val="none" w:sz="0" w:space="0" w:color="auto"/>
        <w:right w:val="none" w:sz="0" w:space="0" w:color="auto"/>
      </w:divBdr>
    </w:div>
    <w:div w:id="611016457">
      <w:bodyDiv w:val="1"/>
      <w:marLeft w:val="0"/>
      <w:marRight w:val="0"/>
      <w:marTop w:val="0"/>
      <w:marBottom w:val="0"/>
      <w:divBdr>
        <w:top w:val="none" w:sz="0" w:space="0" w:color="auto"/>
        <w:left w:val="none" w:sz="0" w:space="0" w:color="auto"/>
        <w:bottom w:val="none" w:sz="0" w:space="0" w:color="auto"/>
        <w:right w:val="none" w:sz="0" w:space="0" w:color="auto"/>
      </w:divBdr>
    </w:div>
    <w:div w:id="637304800">
      <w:bodyDiv w:val="1"/>
      <w:marLeft w:val="0"/>
      <w:marRight w:val="0"/>
      <w:marTop w:val="0"/>
      <w:marBottom w:val="0"/>
      <w:divBdr>
        <w:top w:val="none" w:sz="0" w:space="0" w:color="auto"/>
        <w:left w:val="none" w:sz="0" w:space="0" w:color="auto"/>
        <w:bottom w:val="none" w:sz="0" w:space="0" w:color="auto"/>
        <w:right w:val="none" w:sz="0" w:space="0" w:color="auto"/>
      </w:divBdr>
    </w:div>
    <w:div w:id="637414433">
      <w:bodyDiv w:val="1"/>
      <w:marLeft w:val="0"/>
      <w:marRight w:val="0"/>
      <w:marTop w:val="0"/>
      <w:marBottom w:val="0"/>
      <w:divBdr>
        <w:top w:val="none" w:sz="0" w:space="0" w:color="auto"/>
        <w:left w:val="none" w:sz="0" w:space="0" w:color="auto"/>
        <w:bottom w:val="none" w:sz="0" w:space="0" w:color="auto"/>
        <w:right w:val="none" w:sz="0" w:space="0" w:color="auto"/>
      </w:divBdr>
    </w:div>
    <w:div w:id="638192931">
      <w:bodyDiv w:val="1"/>
      <w:marLeft w:val="0"/>
      <w:marRight w:val="0"/>
      <w:marTop w:val="0"/>
      <w:marBottom w:val="0"/>
      <w:divBdr>
        <w:top w:val="none" w:sz="0" w:space="0" w:color="auto"/>
        <w:left w:val="none" w:sz="0" w:space="0" w:color="auto"/>
        <w:bottom w:val="none" w:sz="0" w:space="0" w:color="auto"/>
        <w:right w:val="none" w:sz="0" w:space="0" w:color="auto"/>
      </w:divBdr>
    </w:div>
    <w:div w:id="673608803">
      <w:bodyDiv w:val="1"/>
      <w:marLeft w:val="0"/>
      <w:marRight w:val="0"/>
      <w:marTop w:val="0"/>
      <w:marBottom w:val="0"/>
      <w:divBdr>
        <w:top w:val="none" w:sz="0" w:space="0" w:color="auto"/>
        <w:left w:val="none" w:sz="0" w:space="0" w:color="auto"/>
        <w:bottom w:val="none" w:sz="0" w:space="0" w:color="auto"/>
        <w:right w:val="none" w:sz="0" w:space="0" w:color="auto"/>
      </w:divBdr>
    </w:div>
    <w:div w:id="736710376">
      <w:bodyDiv w:val="1"/>
      <w:marLeft w:val="0"/>
      <w:marRight w:val="0"/>
      <w:marTop w:val="0"/>
      <w:marBottom w:val="0"/>
      <w:divBdr>
        <w:top w:val="none" w:sz="0" w:space="0" w:color="auto"/>
        <w:left w:val="none" w:sz="0" w:space="0" w:color="auto"/>
        <w:bottom w:val="none" w:sz="0" w:space="0" w:color="auto"/>
        <w:right w:val="none" w:sz="0" w:space="0" w:color="auto"/>
      </w:divBdr>
    </w:div>
    <w:div w:id="777022560">
      <w:bodyDiv w:val="1"/>
      <w:marLeft w:val="0"/>
      <w:marRight w:val="0"/>
      <w:marTop w:val="0"/>
      <w:marBottom w:val="0"/>
      <w:divBdr>
        <w:top w:val="none" w:sz="0" w:space="0" w:color="auto"/>
        <w:left w:val="none" w:sz="0" w:space="0" w:color="auto"/>
        <w:bottom w:val="none" w:sz="0" w:space="0" w:color="auto"/>
        <w:right w:val="none" w:sz="0" w:space="0" w:color="auto"/>
      </w:divBdr>
    </w:div>
    <w:div w:id="792866705">
      <w:bodyDiv w:val="1"/>
      <w:marLeft w:val="0"/>
      <w:marRight w:val="0"/>
      <w:marTop w:val="0"/>
      <w:marBottom w:val="0"/>
      <w:divBdr>
        <w:top w:val="none" w:sz="0" w:space="0" w:color="auto"/>
        <w:left w:val="none" w:sz="0" w:space="0" w:color="auto"/>
        <w:bottom w:val="none" w:sz="0" w:space="0" w:color="auto"/>
        <w:right w:val="none" w:sz="0" w:space="0" w:color="auto"/>
      </w:divBdr>
    </w:div>
    <w:div w:id="804736989">
      <w:bodyDiv w:val="1"/>
      <w:marLeft w:val="0"/>
      <w:marRight w:val="0"/>
      <w:marTop w:val="0"/>
      <w:marBottom w:val="0"/>
      <w:divBdr>
        <w:top w:val="none" w:sz="0" w:space="0" w:color="auto"/>
        <w:left w:val="none" w:sz="0" w:space="0" w:color="auto"/>
        <w:bottom w:val="none" w:sz="0" w:space="0" w:color="auto"/>
        <w:right w:val="none" w:sz="0" w:space="0" w:color="auto"/>
      </w:divBdr>
    </w:div>
    <w:div w:id="1021853262">
      <w:bodyDiv w:val="1"/>
      <w:marLeft w:val="0"/>
      <w:marRight w:val="0"/>
      <w:marTop w:val="0"/>
      <w:marBottom w:val="0"/>
      <w:divBdr>
        <w:top w:val="none" w:sz="0" w:space="0" w:color="auto"/>
        <w:left w:val="none" w:sz="0" w:space="0" w:color="auto"/>
        <w:bottom w:val="none" w:sz="0" w:space="0" w:color="auto"/>
        <w:right w:val="none" w:sz="0" w:space="0" w:color="auto"/>
      </w:divBdr>
    </w:div>
    <w:div w:id="1049648699">
      <w:bodyDiv w:val="1"/>
      <w:marLeft w:val="0"/>
      <w:marRight w:val="0"/>
      <w:marTop w:val="0"/>
      <w:marBottom w:val="0"/>
      <w:divBdr>
        <w:top w:val="none" w:sz="0" w:space="0" w:color="auto"/>
        <w:left w:val="none" w:sz="0" w:space="0" w:color="auto"/>
        <w:bottom w:val="none" w:sz="0" w:space="0" w:color="auto"/>
        <w:right w:val="none" w:sz="0" w:space="0" w:color="auto"/>
      </w:divBdr>
    </w:div>
    <w:div w:id="1062800150">
      <w:bodyDiv w:val="1"/>
      <w:marLeft w:val="0"/>
      <w:marRight w:val="0"/>
      <w:marTop w:val="0"/>
      <w:marBottom w:val="0"/>
      <w:divBdr>
        <w:top w:val="none" w:sz="0" w:space="0" w:color="auto"/>
        <w:left w:val="none" w:sz="0" w:space="0" w:color="auto"/>
        <w:bottom w:val="none" w:sz="0" w:space="0" w:color="auto"/>
        <w:right w:val="none" w:sz="0" w:space="0" w:color="auto"/>
      </w:divBdr>
    </w:div>
    <w:div w:id="1063259938">
      <w:bodyDiv w:val="1"/>
      <w:marLeft w:val="0"/>
      <w:marRight w:val="0"/>
      <w:marTop w:val="0"/>
      <w:marBottom w:val="0"/>
      <w:divBdr>
        <w:top w:val="none" w:sz="0" w:space="0" w:color="auto"/>
        <w:left w:val="none" w:sz="0" w:space="0" w:color="auto"/>
        <w:bottom w:val="none" w:sz="0" w:space="0" w:color="auto"/>
        <w:right w:val="none" w:sz="0" w:space="0" w:color="auto"/>
      </w:divBdr>
    </w:div>
    <w:div w:id="1072507502">
      <w:bodyDiv w:val="1"/>
      <w:marLeft w:val="0"/>
      <w:marRight w:val="0"/>
      <w:marTop w:val="0"/>
      <w:marBottom w:val="0"/>
      <w:divBdr>
        <w:top w:val="none" w:sz="0" w:space="0" w:color="auto"/>
        <w:left w:val="none" w:sz="0" w:space="0" w:color="auto"/>
        <w:bottom w:val="none" w:sz="0" w:space="0" w:color="auto"/>
        <w:right w:val="none" w:sz="0" w:space="0" w:color="auto"/>
      </w:divBdr>
    </w:div>
    <w:div w:id="1082524644">
      <w:bodyDiv w:val="1"/>
      <w:marLeft w:val="0"/>
      <w:marRight w:val="0"/>
      <w:marTop w:val="0"/>
      <w:marBottom w:val="0"/>
      <w:divBdr>
        <w:top w:val="none" w:sz="0" w:space="0" w:color="auto"/>
        <w:left w:val="none" w:sz="0" w:space="0" w:color="auto"/>
        <w:bottom w:val="none" w:sz="0" w:space="0" w:color="auto"/>
        <w:right w:val="none" w:sz="0" w:space="0" w:color="auto"/>
      </w:divBdr>
    </w:div>
    <w:div w:id="1162231853">
      <w:bodyDiv w:val="1"/>
      <w:marLeft w:val="0"/>
      <w:marRight w:val="0"/>
      <w:marTop w:val="0"/>
      <w:marBottom w:val="0"/>
      <w:divBdr>
        <w:top w:val="none" w:sz="0" w:space="0" w:color="auto"/>
        <w:left w:val="none" w:sz="0" w:space="0" w:color="auto"/>
        <w:bottom w:val="none" w:sz="0" w:space="0" w:color="auto"/>
        <w:right w:val="none" w:sz="0" w:space="0" w:color="auto"/>
      </w:divBdr>
    </w:div>
    <w:div w:id="1166747086">
      <w:bodyDiv w:val="1"/>
      <w:marLeft w:val="0"/>
      <w:marRight w:val="0"/>
      <w:marTop w:val="0"/>
      <w:marBottom w:val="0"/>
      <w:divBdr>
        <w:top w:val="none" w:sz="0" w:space="0" w:color="auto"/>
        <w:left w:val="none" w:sz="0" w:space="0" w:color="auto"/>
        <w:bottom w:val="none" w:sz="0" w:space="0" w:color="auto"/>
        <w:right w:val="none" w:sz="0" w:space="0" w:color="auto"/>
      </w:divBdr>
    </w:div>
    <w:div w:id="1427581148">
      <w:bodyDiv w:val="1"/>
      <w:marLeft w:val="0"/>
      <w:marRight w:val="0"/>
      <w:marTop w:val="0"/>
      <w:marBottom w:val="0"/>
      <w:divBdr>
        <w:top w:val="none" w:sz="0" w:space="0" w:color="auto"/>
        <w:left w:val="none" w:sz="0" w:space="0" w:color="auto"/>
        <w:bottom w:val="none" w:sz="0" w:space="0" w:color="auto"/>
        <w:right w:val="none" w:sz="0" w:space="0" w:color="auto"/>
      </w:divBdr>
    </w:div>
    <w:div w:id="1449349888">
      <w:bodyDiv w:val="1"/>
      <w:marLeft w:val="0"/>
      <w:marRight w:val="0"/>
      <w:marTop w:val="0"/>
      <w:marBottom w:val="0"/>
      <w:divBdr>
        <w:top w:val="none" w:sz="0" w:space="0" w:color="auto"/>
        <w:left w:val="none" w:sz="0" w:space="0" w:color="auto"/>
        <w:bottom w:val="none" w:sz="0" w:space="0" w:color="auto"/>
        <w:right w:val="none" w:sz="0" w:space="0" w:color="auto"/>
      </w:divBdr>
    </w:div>
    <w:div w:id="1478766792">
      <w:bodyDiv w:val="1"/>
      <w:marLeft w:val="0"/>
      <w:marRight w:val="0"/>
      <w:marTop w:val="0"/>
      <w:marBottom w:val="0"/>
      <w:divBdr>
        <w:top w:val="none" w:sz="0" w:space="0" w:color="auto"/>
        <w:left w:val="none" w:sz="0" w:space="0" w:color="auto"/>
        <w:bottom w:val="none" w:sz="0" w:space="0" w:color="auto"/>
        <w:right w:val="none" w:sz="0" w:space="0" w:color="auto"/>
      </w:divBdr>
    </w:div>
    <w:div w:id="1661156056">
      <w:bodyDiv w:val="1"/>
      <w:marLeft w:val="0"/>
      <w:marRight w:val="0"/>
      <w:marTop w:val="0"/>
      <w:marBottom w:val="0"/>
      <w:divBdr>
        <w:top w:val="none" w:sz="0" w:space="0" w:color="auto"/>
        <w:left w:val="none" w:sz="0" w:space="0" w:color="auto"/>
        <w:bottom w:val="none" w:sz="0" w:space="0" w:color="auto"/>
        <w:right w:val="none" w:sz="0" w:space="0" w:color="auto"/>
      </w:divBdr>
    </w:div>
    <w:div w:id="1690175089">
      <w:bodyDiv w:val="1"/>
      <w:marLeft w:val="0"/>
      <w:marRight w:val="0"/>
      <w:marTop w:val="0"/>
      <w:marBottom w:val="0"/>
      <w:divBdr>
        <w:top w:val="none" w:sz="0" w:space="0" w:color="auto"/>
        <w:left w:val="none" w:sz="0" w:space="0" w:color="auto"/>
        <w:bottom w:val="none" w:sz="0" w:space="0" w:color="auto"/>
        <w:right w:val="none" w:sz="0" w:space="0" w:color="auto"/>
      </w:divBdr>
    </w:div>
    <w:div w:id="1868253420">
      <w:bodyDiv w:val="1"/>
      <w:marLeft w:val="0"/>
      <w:marRight w:val="0"/>
      <w:marTop w:val="0"/>
      <w:marBottom w:val="0"/>
      <w:divBdr>
        <w:top w:val="none" w:sz="0" w:space="0" w:color="auto"/>
        <w:left w:val="none" w:sz="0" w:space="0" w:color="auto"/>
        <w:bottom w:val="none" w:sz="0" w:space="0" w:color="auto"/>
        <w:right w:val="none" w:sz="0" w:space="0" w:color="auto"/>
      </w:divBdr>
    </w:div>
    <w:div w:id="1874657547">
      <w:bodyDiv w:val="1"/>
      <w:marLeft w:val="0"/>
      <w:marRight w:val="0"/>
      <w:marTop w:val="0"/>
      <w:marBottom w:val="0"/>
      <w:divBdr>
        <w:top w:val="none" w:sz="0" w:space="0" w:color="auto"/>
        <w:left w:val="none" w:sz="0" w:space="0" w:color="auto"/>
        <w:bottom w:val="none" w:sz="0" w:space="0" w:color="auto"/>
        <w:right w:val="none" w:sz="0" w:space="0" w:color="auto"/>
      </w:divBdr>
    </w:div>
    <w:div w:id="2063167681">
      <w:bodyDiv w:val="1"/>
      <w:marLeft w:val="0"/>
      <w:marRight w:val="0"/>
      <w:marTop w:val="0"/>
      <w:marBottom w:val="0"/>
      <w:divBdr>
        <w:top w:val="none" w:sz="0" w:space="0" w:color="auto"/>
        <w:left w:val="none" w:sz="0" w:space="0" w:color="auto"/>
        <w:bottom w:val="none" w:sz="0" w:space="0" w:color="auto"/>
        <w:right w:val="none" w:sz="0" w:space="0" w:color="auto"/>
      </w:divBdr>
    </w:div>
    <w:div w:id="2078631223">
      <w:bodyDiv w:val="1"/>
      <w:marLeft w:val="0"/>
      <w:marRight w:val="0"/>
      <w:marTop w:val="0"/>
      <w:marBottom w:val="0"/>
      <w:divBdr>
        <w:top w:val="none" w:sz="0" w:space="0" w:color="auto"/>
        <w:left w:val="none" w:sz="0" w:space="0" w:color="auto"/>
        <w:bottom w:val="none" w:sz="0" w:space="0" w:color="auto"/>
        <w:right w:val="none" w:sz="0" w:space="0" w:color="auto"/>
      </w:divBdr>
    </w:div>
    <w:div w:id="210896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17</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TIKKU</dc:creator>
  <cp:keywords/>
  <dc:description/>
  <cp:lastModifiedBy>SDI PC 1170</cp:lastModifiedBy>
  <cp:revision>17</cp:revision>
  <cp:lastPrinted>2026-02-12T20:08:00Z</cp:lastPrinted>
  <dcterms:created xsi:type="dcterms:W3CDTF">2026-02-10T17:46:00Z</dcterms:created>
  <dcterms:modified xsi:type="dcterms:W3CDTF">2026-03-10T10:55:00Z</dcterms:modified>
</cp:coreProperties>
</file>