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A3F" w:rsidRPr="008F4308" w:rsidRDefault="008D2A3F" w:rsidP="008F4308">
      <w:pPr>
        <w:pStyle w:val="Heading1"/>
        <w:rPr>
          <w:rFonts w:asciiTheme="minorHAnsi" w:eastAsiaTheme="minorHAnsi" w:hAnsiTheme="minorHAnsi" w:cstheme="minorBidi"/>
          <w:kern w:val="0"/>
          <w:sz w:val="22"/>
          <w:szCs w:val="28"/>
          <w:lang w:bidi="bn-IN"/>
        </w:rPr>
      </w:pPr>
      <w:bookmarkStart w:id="0" w:name="_Toc213110235"/>
      <w:r w:rsidRPr="008D2A3F">
        <w:t>Advances in Plant Stress Physiology and Adaptation Mechanisms in Horticultural Crops under Climate C</w:t>
      </w:r>
      <w:bookmarkStart w:id="1" w:name="_GoBack"/>
      <w:bookmarkEnd w:id="1"/>
      <w:r w:rsidRPr="008D2A3F">
        <w:t>hange</w:t>
      </w:r>
      <w:bookmarkEnd w:id="0"/>
    </w:p>
    <w:p w:rsidR="008D2A3F" w:rsidRPr="008D2A3F" w:rsidRDefault="008D2A3F" w:rsidP="008D2A3F">
      <w:pPr>
        <w:spacing w:before="100" w:beforeAutospacing="1" w:after="100" w:afterAutospacing="1" w:line="240" w:lineRule="auto"/>
        <w:rPr>
          <w:rFonts w:ascii="Times New Roman" w:eastAsia="Times New Roman" w:hAnsi="Times New Roman" w:cs="Times New Roman"/>
          <w:sz w:val="24"/>
          <w:szCs w:val="24"/>
          <w:lang w:bidi="ar-SA"/>
        </w:rPr>
      </w:pPr>
      <w:bookmarkStart w:id="2" w:name="_Toc213110236"/>
      <w:r w:rsidRPr="009C0F23">
        <w:rPr>
          <w:rStyle w:val="Heading1Char"/>
          <w:rFonts w:eastAsiaTheme="minorHAnsi"/>
        </w:rPr>
        <w:t>Abstract</w:t>
      </w:r>
      <w:bookmarkEnd w:id="2"/>
      <w:r w:rsidRPr="008D2A3F">
        <w:rPr>
          <w:rFonts w:ascii="Times New Roman" w:eastAsia="Times New Roman" w:hAnsi="Times New Roman" w:cs="Times New Roman"/>
          <w:sz w:val="24"/>
          <w:szCs w:val="24"/>
          <w:lang w:bidi="ar-SA"/>
        </w:rPr>
        <w:br/>
        <w:t xml:space="preserve">Horticultural crops—fruits, vegetables, spices, ornamentals, and plantation crops—are uniquely vulnerable to climate change because quality traits and reproductive success are exquisitely sensitive to heat waves, droughts, salinity, flooding, and compound extremes. This review synthesizes recent advances (primarily 2021–2025) in the physiology and molecular biology of stress perception, signaling, and acclimation in horticultural species, with emphasis on traits that safeguard yield and quality. We summarize progress in understanding combinatorial stress responses, integrative hormone crosstalk, ROS–Ca²⁺ signaling, osmotic regulation, and source–sink balance under heat and water deficits. We then examine emerging levers for adaptation: epigenetic and priming-based memory, microbiome mediation, and organ-specific mechanisms in flowers, fruits, and storage tissues. A second focus covers practical strategies—from climate-smart rootstocks and grafting, CRISPR-enabled breeding, seed/foliar priming (e.g., melatonin, seaweed </w:t>
      </w:r>
      <w:proofErr w:type="spellStart"/>
      <w:r w:rsidRPr="008D2A3F">
        <w:rPr>
          <w:rFonts w:ascii="Times New Roman" w:eastAsia="Times New Roman" w:hAnsi="Times New Roman" w:cs="Times New Roman"/>
          <w:sz w:val="24"/>
          <w:szCs w:val="24"/>
          <w:lang w:bidi="ar-SA"/>
        </w:rPr>
        <w:t>biostimulants</w:t>
      </w:r>
      <w:proofErr w:type="spellEnd"/>
      <w:r w:rsidRPr="008D2A3F">
        <w:rPr>
          <w:rFonts w:ascii="Times New Roman" w:eastAsia="Times New Roman" w:hAnsi="Times New Roman" w:cs="Times New Roman"/>
          <w:sz w:val="24"/>
          <w:szCs w:val="24"/>
          <w:lang w:bidi="ar-SA"/>
        </w:rPr>
        <w:t>), silicon nutrition, to protected cultivation and digital phenotyping—highlighting trade-offs and translational pathways. We close by outlining evidence gaps, research priorities, and policy-relevant directions to accelerate climate resilience in high-value horticulture.</w:t>
      </w:r>
    </w:p>
    <w:p w:rsidR="008D2A3F" w:rsidRPr="008D2A3F" w:rsidRDefault="008D2A3F" w:rsidP="008D2A3F">
      <w:pPr>
        <w:spacing w:before="100" w:beforeAutospacing="1" w:after="100" w:afterAutospacing="1" w:line="240" w:lineRule="auto"/>
        <w:rPr>
          <w:rFonts w:ascii="Times New Roman" w:eastAsia="Times New Roman" w:hAnsi="Times New Roman" w:cs="Times New Roman"/>
          <w:sz w:val="24"/>
          <w:szCs w:val="24"/>
          <w:lang w:bidi="ar-SA"/>
        </w:rPr>
      </w:pPr>
      <w:r w:rsidRPr="008D2A3F">
        <w:rPr>
          <w:rFonts w:ascii="Times New Roman" w:eastAsia="Times New Roman" w:hAnsi="Times New Roman" w:cs="Times New Roman"/>
          <w:b/>
          <w:bCs/>
          <w:sz w:val="24"/>
          <w:szCs w:val="24"/>
          <w:lang w:bidi="ar-SA"/>
        </w:rPr>
        <w:t>Keywords</w:t>
      </w:r>
      <w:r w:rsidRPr="008D2A3F">
        <w:rPr>
          <w:rFonts w:ascii="Times New Roman" w:eastAsia="Times New Roman" w:hAnsi="Times New Roman" w:cs="Times New Roman"/>
          <w:sz w:val="24"/>
          <w:szCs w:val="24"/>
          <w:lang w:bidi="ar-SA"/>
        </w:rPr>
        <w:t xml:space="preserve">: horticultural crops; climate change; combined stress; heat and drought; hormonal crosstalk; ROS signaling; epigenetic memory; microbiome; grafting; CRISPR; </w:t>
      </w:r>
      <w:proofErr w:type="spellStart"/>
      <w:r w:rsidRPr="008D2A3F">
        <w:rPr>
          <w:rFonts w:ascii="Times New Roman" w:eastAsia="Times New Roman" w:hAnsi="Times New Roman" w:cs="Times New Roman"/>
          <w:sz w:val="24"/>
          <w:szCs w:val="24"/>
          <w:lang w:bidi="ar-SA"/>
        </w:rPr>
        <w:t>biostimulants</w:t>
      </w:r>
      <w:proofErr w:type="spellEnd"/>
      <w:r w:rsidRPr="008D2A3F">
        <w:rPr>
          <w:rFonts w:ascii="Times New Roman" w:eastAsia="Times New Roman" w:hAnsi="Times New Roman" w:cs="Times New Roman"/>
          <w:sz w:val="24"/>
          <w:szCs w:val="24"/>
          <w:lang w:bidi="ar-SA"/>
        </w:rPr>
        <w:t>; melatonin; silicon; protected cultivation</w:t>
      </w:r>
    </w:p>
    <w:p w:rsidR="008D2A3F" w:rsidRPr="008D2A3F" w:rsidRDefault="008D2A3F" w:rsidP="008D2A3F">
      <w:pPr>
        <w:spacing w:after="0" w:line="240" w:lineRule="auto"/>
        <w:rPr>
          <w:rFonts w:ascii="Times New Roman" w:eastAsia="Times New Roman" w:hAnsi="Times New Roman" w:cs="Times New Roman"/>
          <w:sz w:val="24"/>
          <w:szCs w:val="24"/>
          <w:lang w:bidi="ar-SA"/>
        </w:rPr>
      </w:pPr>
    </w:p>
    <w:p w:rsidR="008F4308" w:rsidRDefault="008F4308">
      <w:pPr>
        <w:rPr>
          <w:rFonts w:ascii="Times New Roman" w:eastAsia="Times New Roman" w:hAnsi="Times New Roman" w:cs="Times New Roman"/>
          <w:b/>
          <w:bCs/>
          <w:kern w:val="36"/>
          <w:sz w:val="48"/>
          <w:szCs w:val="48"/>
          <w:lang w:bidi="ar-SA"/>
        </w:rPr>
      </w:pPr>
      <w:r>
        <w:br w:type="page"/>
      </w:r>
    </w:p>
    <w:p w:rsidR="008D2A3F" w:rsidRPr="008D2A3F" w:rsidRDefault="008D2A3F" w:rsidP="009C0F23">
      <w:pPr>
        <w:pStyle w:val="Heading1"/>
      </w:pPr>
      <w:bookmarkStart w:id="3" w:name="_Toc213110237"/>
      <w:r w:rsidRPr="008D2A3F">
        <w:lastRenderedPageBreak/>
        <w:t>1. Introduction</w:t>
      </w:r>
      <w:bookmarkEnd w:id="3"/>
    </w:p>
    <w:p w:rsidR="008D2A3F" w:rsidRPr="008D2A3F" w:rsidRDefault="008D2A3F" w:rsidP="009C0F23">
      <w:pPr>
        <w:pStyle w:val="Heading2"/>
      </w:pPr>
      <w:bookmarkStart w:id="4" w:name="_Toc213110238"/>
      <w:r w:rsidRPr="008D2A3F">
        <w:t>1.1 Context and scope</w:t>
      </w:r>
      <w:bookmarkEnd w:id="4"/>
    </w:p>
    <w:p w:rsidR="008D2A3F" w:rsidRPr="008D2A3F" w:rsidRDefault="008D2A3F" w:rsidP="008D2A3F">
      <w:pPr>
        <w:spacing w:before="100" w:beforeAutospacing="1" w:after="100" w:afterAutospacing="1" w:line="240" w:lineRule="auto"/>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Horticultural crops—fruits, vegetables, ornamentals, and plantation species—sit at the frontline of climate volatility because their high-value markets depend on stringent quality traits (appearance, flavor, texture) and tightly timed phenological events such as flowering, pollination, and fruit set. Unlike broadacre staples, many horticultural species are perennial or possess narrow climatic windows for successful reproduction; consequently, even short-lived heat waves, warm winters that erode chilling requirements, or compound stresses (e.g., heat × drought) can depress yields and downgrade quality (color, sugars, volatiles) with outsized economic impact (Osorio-Marín et al., 2024). In the last decade, plant stress physiology has moved beyond single-stress views to emphasize multifactorial stress combinations and their non-additive molecular, physiological, and metabolic outcomes—an advance that is essential for realistic risk assessment and adaptation in horticulture (</w:t>
      </w:r>
      <w:proofErr w:type="spellStart"/>
      <w:r w:rsidRPr="008D2A3F">
        <w:rPr>
          <w:rFonts w:ascii="Times New Roman" w:eastAsia="Times New Roman" w:hAnsi="Times New Roman" w:cs="Times New Roman"/>
          <w:sz w:val="24"/>
          <w:szCs w:val="24"/>
          <w:lang w:bidi="ar-SA"/>
        </w:rPr>
        <w:t>Zandalinas</w:t>
      </w:r>
      <w:proofErr w:type="spellEnd"/>
      <w:r w:rsidRPr="008D2A3F">
        <w:rPr>
          <w:rFonts w:ascii="Times New Roman" w:eastAsia="Times New Roman" w:hAnsi="Times New Roman" w:cs="Times New Roman"/>
          <w:sz w:val="24"/>
          <w:szCs w:val="24"/>
          <w:lang w:bidi="ar-SA"/>
        </w:rPr>
        <w:t xml:space="preserve"> &amp; </w:t>
      </w:r>
      <w:proofErr w:type="spellStart"/>
      <w:r w:rsidRPr="008D2A3F">
        <w:rPr>
          <w:rFonts w:ascii="Times New Roman" w:eastAsia="Times New Roman" w:hAnsi="Times New Roman" w:cs="Times New Roman"/>
          <w:sz w:val="24"/>
          <w:szCs w:val="24"/>
          <w:lang w:bidi="ar-SA"/>
        </w:rPr>
        <w:t>Mittler</w:t>
      </w:r>
      <w:proofErr w:type="spellEnd"/>
      <w:r w:rsidRPr="008D2A3F">
        <w:rPr>
          <w:rFonts w:ascii="Times New Roman" w:eastAsia="Times New Roman" w:hAnsi="Times New Roman" w:cs="Times New Roman"/>
          <w:sz w:val="24"/>
          <w:szCs w:val="24"/>
          <w:lang w:bidi="ar-SA"/>
        </w:rPr>
        <w:t xml:space="preserve">, 2022; Sato et al., 2024). These insights have converged with refined understanding of hormonal crosstalk (notably ABA, auxin, BRs, ethylene and </w:t>
      </w:r>
      <w:proofErr w:type="spellStart"/>
      <w:r w:rsidRPr="008D2A3F">
        <w:rPr>
          <w:rFonts w:ascii="Times New Roman" w:eastAsia="Times New Roman" w:hAnsi="Times New Roman" w:cs="Times New Roman"/>
          <w:sz w:val="24"/>
          <w:szCs w:val="24"/>
          <w:lang w:bidi="ar-SA"/>
        </w:rPr>
        <w:t>cytokinins</w:t>
      </w:r>
      <w:proofErr w:type="spellEnd"/>
      <w:r w:rsidRPr="008D2A3F">
        <w:rPr>
          <w:rFonts w:ascii="Times New Roman" w:eastAsia="Times New Roman" w:hAnsi="Times New Roman" w:cs="Times New Roman"/>
          <w:sz w:val="24"/>
          <w:szCs w:val="24"/>
          <w:lang w:bidi="ar-SA"/>
        </w:rPr>
        <w:t>), which orchestrate stomatal behavior, growth–defense trade-offs, and developmental scheduling under abiotic stress (</w:t>
      </w:r>
      <w:proofErr w:type="spellStart"/>
      <w:r w:rsidRPr="008D2A3F">
        <w:rPr>
          <w:rFonts w:ascii="Times New Roman" w:eastAsia="Times New Roman" w:hAnsi="Times New Roman" w:cs="Times New Roman"/>
          <w:sz w:val="24"/>
          <w:szCs w:val="24"/>
          <w:lang w:bidi="ar-SA"/>
        </w:rPr>
        <w:t>Waadt</w:t>
      </w:r>
      <w:proofErr w:type="spellEnd"/>
      <w:r w:rsidRPr="008D2A3F">
        <w:rPr>
          <w:rFonts w:ascii="Times New Roman" w:eastAsia="Times New Roman" w:hAnsi="Times New Roman" w:cs="Times New Roman"/>
          <w:sz w:val="24"/>
          <w:szCs w:val="24"/>
          <w:lang w:bidi="ar-SA"/>
        </w:rPr>
        <w:t xml:space="preserve"> et al., 2022). </w:t>
      </w:r>
    </w:p>
    <w:p w:rsidR="008D2A3F" w:rsidRPr="008D2A3F" w:rsidRDefault="008D2A3F" w:rsidP="009C0F23">
      <w:pPr>
        <w:pStyle w:val="Heading2"/>
      </w:pPr>
      <w:bookmarkStart w:id="5" w:name="_Toc213110239"/>
      <w:r w:rsidRPr="008D2A3F">
        <w:t>1.2 Why horticulture is uniquely vulnerable</w:t>
      </w:r>
      <w:bookmarkEnd w:id="5"/>
    </w:p>
    <w:p w:rsidR="008D2A3F" w:rsidRPr="008D2A3F" w:rsidRDefault="008D2A3F" w:rsidP="008D2A3F">
      <w:pPr>
        <w:spacing w:before="100" w:beforeAutospacing="1" w:after="100" w:afterAutospacing="1" w:line="240" w:lineRule="auto"/>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Several mechanisms make horticultural crops especially climate-sensitive. First, reproductive stages are acutely heat-sensitive: pollen development, viability, germination, and tube growth fail under modest thermal excursions, leading to poor fruit set (</w:t>
      </w:r>
      <w:proofErr w:type="spellStart"/>
      <w:r w:rsidRPr="008D2A3F">
        <w:rPr>
          <w:rFonts w:ascii="Times New Roman" w:eastAsia="Times New Roman" w:hAnsi="Times New Roman" w:cs="Times New Roman"/>
          <w:sz w:val="24"/>
          <w:szCs w:val="24"/>
          <w:lang w:bidi="ar-SA"/>
        </w:rPr>
        <w:t>Lohani</w:t>
      </w:r>
      <w:proofErr w:type="spellEnd"/>
      <w:r w:rsidRPr="008D2A3F">
        <w:rPr>
          <w:rFonts w:ascii="Times New Roman" w:eastAsia="Times New Roman" w:hAnsi="Times New Roman" w:cs="Times New Roman"/>
          <w:sz w:val="24"/>
          <w:szCs w:val="24"/>
          <w:lang w:bidi="ar-SA"/>
        </w:rPr>
        <w:t xml:space="preserve"> et al., 2024). Second, many fruit and nut species require sufficient winter chill; warming winters and erratic springs desynchronize dormancy release and bloom, exposing flowers to frost or heat spikes and shortening developmental phases (Osorio-Marín et al., 2024). Third, combined stresses (heat with water deficit or salinity) trigger transcriptomic and metabolic responses that are not predictable from single-stress studies, producing quality penalties (e.g., berry sunburn, texture defects) and yield loss (Hewitt et al., 2023; Sato et al., 2024). Finally, species- and genotype-specific acclimation “strategies” under heat—ranging from avoidance to tolerance—vary widely, complicating breeding and management (</w:t>
      </w:r>
      <w:r w:rsidR="009C0F23" w:rsidRPr="008D2A3F">
        <w:rPr>
          <w:rFonts w:ascii="Times New Roman" w:eastAsia="Times New Roman" w:hAnsi="Times New Roman" w:cs="Times New Roman"/>
          <w:sz w:val="24"/>
          <w:szCs w:val="24"/>
          <w:lang w:bidi="ar-SA"/>
        </w:rPr>
        <w:t>Sato et al., 2024</w:t>
      </w:r>
      <w:r w:rsidRPr="008D2A3F">
        <w:rPr>
          <w:rFonts w:ascii="Times New Roman" w:eastAsia="Times New Roman" w:hAnsi="Times New Roman" w:cs="Times New Roman"/>
          <w:sz w:val="24"/>
          <w:szCs w:val="24"/>
          <w:lang w:bidi="ar-SA"/>
        </w:rPr>
        <w:t xml:space="preserve">). </w:t>
      </w:r>
    </w:p>
    <w:p w:rsidR="008D2A3F" w:rsidRPr="008D2A3F" w:rsidRDefault="008D2A3F" w:rsidP="009C0F23">
      <w:pPr>
        <w:pStyle w:val="Heading2"/>
      </w:pPr>
      <w:bookmarkStart w:id="6" w:name="_Toc213110240"/>
      <w:r w:rsidRPr="008D2A3F">
        <w:t>1.3 Molecular and physiological advances shaping adaptation</w:t>
      </w:r>
      <w:bookmarkEnd w:id="6"/>
    </w:p>
    <w:p w:rsidR="008D2A3F" w:rsidRPr="008D2A3F" w:rsidRDefault="008D2A3F" w:rsidP="008D2A3F">
      <w:pPr>
        <w:spacing w:before="100" w:beforeAutospacing="1" w:after="100" w:afterAutospacing="1" w:line="240" w:lineRule="auto"/>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 xml:space="preserve">Recent progress illuminates core molecular levers of resilience. Heat shock transcription factors (HSFs) and their downstream chaperone networks (HSPs) function as central rheostats of thermotolerance and </w:t>
      </w:r>
      <w:proofErr w:type="spellStart"/>
      <w:r w:rsidRPr="008D2A3F">
        <w:rPr>
          <w:rFonts w:ascii="Times New Roman" w:eastAsia="Times New Roman" w:hAnsi="Times New Roman" w:cs="Times New Roman"/>
          <w:sz w:val="24"/>
          <w:szCs w:val="24"/>
          <w:lang w:bidi="ar-SA"/>
        </w:rPr>
        <w:t>proteostasis</w:t>
      </w:r>
      <w:proofErr w:type="spellEnd"/>
      <w:r w:rsidRPr="008D2A3F">
        <w:rPr>
          <w:rFonts w:ascii="Times New Roman" w:eastAsia="Times New Roman" w:hAnsi="Times New Roman" w:cs="Times New Roman"/>
          <w:sz w:val="24"/>
          <w:szCs w:val="24"/>
          <w:lang w:bidi="ar-SA"/>
        </w:rPr>
        <w:t>; evolutionary diversification of HSFs in land plants has expanded the stress-responsive gene regulatory network that can be harnessed in breeding (Wu et al., 2022). Hormonal networks integrate environmental signals with growth and water use—for instance, ABA-driven guard-cell signaling stabilizes plant water relations under heat and drought, while auxin and BRs reprogram development to buffer stress costs (</w:t>
      </w:r>
      <w:proofErr w:type="spellStart"/>
      <w:r w:rsidRPr="008D2A3F">
        <w:rPr>
          <w:rFonts w:ascii="Times New Roman" w:eastAsia="Times New Roman" w:hAnsi="Times New Roman" w:cs="Times New Roman"/>
          <w:sz w:val="24"/>
          <w:szCs w:val="24"/>
          <w:lang w:bidi="ar-SA"/>
        </w:rPr>
        <w:t>Waadt</w:t>
      </w:r>
      <w:proofErr w:type="spellEnd"/>
      <w:r w:rsidRPr="008D2A3F">
        <w:rPr>
          <w:rFonts w:ascii="Times New Roman" w:eastAsia="Times New Roman" w:hAnsi="Times New Roman" w:cs="Times New Roman"/>
          <w:sz w:val="24"/>
          <w:szCs w:val="24"/>
          <w:lang w:bidi="ar-SA"/>
        </w:rPr>
        <w:t xml:space="preserve"> et al., 2022). </w:t>
      </w:r>
      <w:r w:rsidRPr="008D2A3F">
        <w:rPr>
          <w:rFonts w:ascii="Times New Roman" w:eastAsia="Times New Roman" w:hAnsi="Times New Roman" w:cs="Times New Roman"/>
          <w:sz w:val="24"/>
          <w:szCs w:val="24"/>
          <w:lang w:bidi="ar-SA"/>
        </w:rPr>
        <w:lastRenderedPageBreak/>
        <w:t>At the same time, stress “memory” and priming—mediated by chromatin and transcriptional reprogramming—can persist across stress episodes and even across generations, offering novel selection and management opportunities (Liu, Able, &amp; Able, 2022). Importantly for horticulture, targeted genome editing is rapidly translating these insights: CRISPR/Cas systems have enabled precise edits in fruit crops and tomato to modulate ripening, quality, and increasingly, stress responses—demonstrating practical routes to climate-ready ideotypes (</w:t>
      </w:r>
      <w:r w:rsidR="004C2E8A" w:rsidRPr="00FA1072">
        <w:rPr>
          <w:rFonts w:ascii="Times New Roman" w:eastAsia="Times New Roman" w:hAnsi="Times New Roman" w:cs="Times New Roman"/>
          <w:sz w:val="24"/>
          <w:szCs w:val="24"/>
          <w:lang w:bidi="ar-SA"/>
        </w:rPr>
        <w:t>Zhou</w:t>
      </w:r>
      <w:r w:rsidR="004C2E8A">
        <w:rPr>
          <w:rFonts w:ascii="Times New Roman" w:eastAsia="Times New Roman" w:hAnsi="Times New Roman" w:cs="Times New Roman"/>
          <w:sz w:val="24"/>
          <w:szCs w:val="24"/>
          <w:lang w:bidi="ar-SA"/>
        </w:rPr>
        <w:t xml:space="preserve"> </w:t>
      </w:r>
      <w:r w:rsidR="004C2E8A" w:rsidRPr="008D2A3F">
        <w:rPr>
          <w:rFonts w:ascii="Times New Roman" w:eastAsia="Times New Roman" w:hAnsi="Times New Roman" w:cs="Times New Roman"/>
          <w:sz w:val="24"/>
          <w:szCs w:val="24"/>
          <w:lang w:bidi="ar-SA"/>
        </w:rPr>
        <w:t>et al., 202</w:t>
      </w:r>
      <w:r w:rsidR="004C2E8A">
        <w:rPr>
          <w:rFonts w:ascii="Times New Roman" w:eastAsia="Times New Roman" w:hAnsi="Times New Roman" w:cs="Times New Roman"/>
          <w:sz w:val="24"/>
          <w:szCs w:val="24"/>
          <w:lang w:bidi="ar-SA"/>
        </w:rPr>
        <w:t>2</w:t>
      </w:r>
      <w:r w:rsidR="004C2E8A" w:rsidRPr="008D2A3F">
        <w:rPr>
          <w:rFonts w:ascii="Times New Roman" w:eastAsia="Times New Roman" w:hAnsi="Times New Roman" w:cs="Times New Roman"/>
          <w:sz w:val="24"/>
          <w:szCs w:val="24"/>
          <w:lang w:bidi="ar-SA"/>
        </w:rPr>
        <w:t xml:space="preserve">; </w:t>
      </w:r>
      <w:r w:rsidRPr="008D2A3F">
        <w:rPr>
          <w:rFonts w:ascii="Times New Roman" w:eastAsia="Times New Roman" w:hAnsi="Times New Roman" w:cs="Times New Roman"/>
          <w:sz w:val="24"/>
          <w:szCs w:val="24"/>
          <w:lang w:bidi="ar-SA"/>
        </w:rPr>
        <w:t xml:space="preserve">Ma et al., 2023; Yang et al., 2023). </w:t>
      </w:r>
    </w:p>
    <w:p w:rsidR="008D2A3F" w:rsidRPr="008D2A3F" w:rsidRDefault="009C0F23" w:rsidP="009C0F23">
      <w:pPr>
        <w:pStyle w:val="Heading2"/>
      </w:pPr>
      <w:bookmarkStart w:id="7" w:name="_Toc213110241"/>
      <w:r>
        <w:t>1.4 Objectives</w:t>
      </w:r>
      <w:bookmarkEnd w:id="7"/>
    </w:p>
    <w:p w:rsidR="008D2A3F" w:rsidRPr="008D2A3F" w:rsidRDefault="008D2A3F" w:rsidP="008D2A3F">
      <w:pPr>
        <w:spacing w:before="100" w:beforeAutospacing="1" w:after="100" w:afterAutospacing="1" w:line="240" w:lineRule="auto"/>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This review synthesizes advances in plant stress physiology and adaptation mechanisms that matter most for horticultural systems under climate change. Specifically, we (</w:t>
      </w:r>
      <w:proofErr w:type="spellStart"/>
      <w:r w:rsidRPr="008D2A3F">
        <w:rPr>
          <w:rFonts w:ascii="Times New Roman" w:eastAsia="Times New Roman" w:hAnsi="Times New Roman" w:cs="Times New Roman"/>
          <w:sz w:val="24"/>
          <w:szCs w:val="24"/>
          <w:lang w:bidi="ar-SA"/>
        </w:rPr>
        <w:t>i</w:t>
      </w:r>
      <w:proofErr w:type="spellEnd"/>
      <w:r w:rsidRPr="008D2A3F">
        <w:rPr>
          <w:rFonts w:ascii="Times New Roman" w:eastAsia="Times New Roman" w:hAnsi="Times New Roman" w:cs="Times New Roman"/>
          <w:sz w:val="24"/>
          <w:szCs w:val="24"/>
          <w:lang w:bidi="ar-SA"/>
        </w:rPr>
        <w:t>) distill current knowledge on sensing, signaling, and whole-plant integration under heat, drought, chilling deficit, and their combinations; (ii) connect reproductive biology and quality traits to stress physiology to explain yield and market outcomes; (iii) appraise molecular entry points (HSFs/HSPs, hormonal crosstalk, redox and metabolic reprogramming, and epigenetic memory) that underpin resilience; and (iv) evaluate breeding and management levers—from genome editing and rootstock/grafting choices to protected cultivation and climate-smart scheduling—that translate mechanism into practice. We prioritize recent, peer-reviewed advances with direct implications for fruit, vegetable, and nut crops, while highlighting where single-stress paradigms fail to predict field reality. By mapping mechanistic insight to horticultural decision-making, the article aims to guide both research design (e.g., stress-combination assays, phenotyping at reproductive phases) and innovation pipelines that deliver stable yield and quality under an increasingly variable climate (</w:t>
      </w:r>
      <w:proofErr w:type="spellStart"/>
      <w:r w:rsidRPr="008D2A3F">
        <w:rPr>
          <w:rFonts w:ascii="Times New Roman" w:eastAsia="Times New Roman" w:hAnsi="Times New Roman" w:cs="Times New Roman"/>
          <w:sz w:val="24"/>
          <w:szCs w:val="24"/>
          <w:lang w:bidi="ar-SA"/>
        </w:rPr>
        <w:t>Zandalinas</w:t>
      </w:r>
      <w:proofErr w:type="spellEnd"/>
      <w:r w:rsidRPr="008D2A3F">
        <w:rPr>
          <w:rFonts w:ascii="Times New Roman" w:eastAsia="Times New Roman" w:hAnsi="Times New Roman" w:cs="Times New Roman"/>
          <w:sz w:val="24"/>
          <w:szCs w:val="24"/>
          <w:lang w:bidi="ar-SA"/>
        </w:rPr>
        <w:t xml:space="preserve"> &amp; </w:t>
      </w:r>
      <w:proofErr w:type="spellStart"/>
      <w:r w:rsidRPr="008D2A3F">
        <w:rPr>
          <w:rFonts w:ascii="Times New Roman" w:eastAsia="Times New Roman" w:hAnsi="Times New Roman" w:cs="Times New Roman"/>
          <w:sz w:val="24"/>
          <w:szCs w:val="24"/>
          <w:lang w:bidi="ar-SA"/>
        </w:rPr>
        <w:t>Mittler</w:t>
      </w:r>
      <w:proofErr w:type="spellEnd"/>
      <w:r w:rsidRPr="008D2A3F">
        <w:rPr>
          <w:rFonts w:ascii="Times New Roman" w:eastAsia="Times New Roman" w:hAnsi="Times New Roman" w:cs="Times New Roman"/>
          <w:sz w:val="24"/>
          <w:szCs w:val="24"/>
          <w:lang w:bidi="ar-SA"/>
        </w:rPr>
        <w:t xml:space="preserve">, 2022; Sato et al., 2024; Osorio-Marín et al., 2024). </w:t>
      </w:r>
    </w:p>
    <w:p w:rsidR="008D2A3F" w:rsidRPr="008D2A3F" w:rsidRDefault="008D2A3F" w:rsidP="008D2A3F">
      <w:pPr>
        <w:spacing w:after="0" w:line="240" w:lineRule="auto"/>
        <w:rPr>
          <w:rFonts w:ascii="Times New Roman" w:eastAsia="Times New Roman" w:hAnsi="Times New Roman" w:cs="Times New Roman"/>
          <w:sz w:val="24"/>
          <w:szCs w:val="24"/>
          <w:lang w:bidi="ar-SA"/>
        </w:rPr>
      </w:pPr>
    </w:p>
    <w:p w:rsidR="00C97D35" w:rsidRDefault="00C97D35" w:rsidP="008F4308">
      <w:pPr>
        <w:pStyle w:val="Heading1"/>
      </w:pPr>
      <w:bookmarkStart w:id="8" w:name="_Toc213110242"/>
      <w:r>
        <w:t>2. Climatic drivers and stress combinations in horticulture</w:t>
      </w:r>
      <w:bookmarkEnd w:id="8"/>
    </w:p>
    <w:p w:rsidR="00C97D35" w:rsidRDefault="00C97D35" w:rsidP="008F4308">
      <w:pPr>
        <w:pStyle w:val="Heading2"/>
      </w:pPr>
      <w:bookmarkStart w:id="9" w:name="_Toc213110243"/>
      <w:r>
        <w:t>2.1. Heat, vapor-pressure deficit, and desiccation load</w:t>
      </w:r>
      <w:bookmarkEnd w:id="9"/>
    </w:p>
    <w:p w:rsidR="00C97D35" w:rsidRDefault="00C97D35" w:rsidP="00C97D35">
      <w:pPr>
        <w:pStyle w:val="NormalWeb"/>
      </w:pPr>
      <w:r>
        <w:t xml:space="preserve">Horticultural canopies are increasingly exposed to hot spells accompanied by high vapor-pressure deficit (VPD), a driver that raises atmospheric demand for water and accelerates </w:t>
      </w:r>
      <w:proofErr w:type="spellStart"/>
      <w:r>
        <w:t>transpirational</w:t>
      </w:r>
      <w:proofErr w:type="spellEnd"/>
      <w:r>
        <w:t xml:space="preserve"> loss, stomatal closure, oxidative stress, and yield penalties. Recent syntheses emphasize that rising VPD—independent of air temperature—has become a primary constraint on plant water status and carbon gain across agroecosystems, sharpening tissue overheating and desiccation during heatwaves (Novick et al., 2024). In practice, the VPD–heat tandem is especially damaging around flowering and early fruit set in vegetables and fruit crops, where impaired pollen viability and stigma receptivity translate into fewer fruits and smaller clusters. </w:t>
      </w:r>
    </w:p>
    <w:p w:rsidR="00C97D35" w:rsidRDefault="00C97D35" w:rsidP="008F4308">
      <w:pPr>
        <w:pStyle w:val="Heading2"/>
      </w:pPr>
      <w:bookmarkStart w:id="10" w:name="_Toc213110244"/>
      <w:r>
        <w:t>2.2. Drought–heat synergy and multifactorial stress</w:t>
      </w:r>
      <w:bookmarkEnd w:id="10"/>
    </w:p>
    <w:p w:rsidR="00C97D35" w:rsidRDefault="00C97D35" w:rsidP="00C97D35">
      <w:pPr>
        <w:pStyle w:val="NormalWeb"/>
      </w:pPr>
      <w:r>
        <w:lastRenderedPageBreak/>
        <w:t>Plants rarely face single stressors; instead, drought and heat co-occur or arrive in quick succession, producing non-additive, often synergistic damage that exceeds the sum of individual stresses. Multi-omics and physiological reviews show that combined drought–heat triggers unique transcriptional programs, hormonal cross-talk (notably ABA–ethylene–</w:t>
      </w:r>
      <w:proofErr w:type="spellStart"/>
      <w:r>
        <w:t>brassinosteroid</w:t>
      </w:r>
      <w:proofErr w:type="spellEnd"/>
      <w:r>
        <w:t xml:space="preserve">), and metabolic reconfiguration distinct from either stress alone—mechanisms now recognized as central targets for climate resilience breeding (Sato et al., 2024; </w:t>
      </w:r>
      <w:proofErr w:type="spellStart"/>
      <w:r>
        <w:t>Zandalinas</w:t>
      </w:r>
      <w:proofErr w:type="spellEnd"/>
      <w:r>
        <w:t xml:space="preserve"> &amp; </w:t>
      </w:r>
      <w:proofErr w:type="spellStart"/>
      <w:r>
        <w:t>Mittler</w:t>
      </w:r>
      <w:proofErr w:type="spellEnd"/>
      <w:r>
        <w:t xml:space="preserve">, 2022; </w:t>
      </w:r>
      <w:proofErr w:type="spellStart"/>
      <w:r>
        <w:t>Zandalinas</w:t>
      </w:r>
      <w:proofErr w:type="spellEnd"/>
      <w:r>
        <w:t xml:space="preserve"> et al., 2022). Field-to-global assessments further indicate that compound hot–dry events depress crop productivity far more than isolated extremes, underscoring the need to analyze stressor interactions when forecasting horticultural risk and choosing adaptation windows (</w:t>
      </w:r>
      <w:proofErr w:type="spellStart"/>
      <w:r>
        <w:t>Lesk</w:t>
      </w:r>
      <w:proofErr w:type="spellEnd"/>
      <w:r>
        <w:t xml:space="preserve"> et al., 2022). </w:t>
      </w:r>
    </w:p>
    <w:p w:rsidR="00C97D35" w:rsidRDefault="00C97D35" w:rsidP="008F4308">
      <w:pPr>
        <w:pStyle w:val="Heading2"/>
      </w:pPr>
      <w:bookmarkStart w:id="11" w:name="_Toc213110245"/>
      <w:r>
        <w:t>2.3. Chilling deficits and phenological drift in perennial fruit crops</w:t>
      </w:r>
      <w:bookmarkEnd w:id="11"/>
    </w:p>
    <w:p w:rsidR="00C97D35" w:rsidRDefault="00C97D35" w:rsidP="00C97D35">
      <w:pPr>
        <w:pStyle w:val="NormalWeb"/>
      </w:pPr>
      <w:r>
        <w:t>For temperate and subtropical orchards, warming winters reduce the accumulation of winter chill needed to break endodormancy, synchronize budburst, and ensure stable yields. Evidence across global station networks shows robust declines in “safe winter chill,” particularly in warm production zones, elevating risks of erratic flowering, mismatched pollination, and variable fruit quality; adaptation will require cultivars with lower chilling requirements and adjusted management (</w:t>
      </w:r>
      <w:proofErr w:type="spellStart"/>
      <w:r>
        <w:t>Luedeling</w:t>
      </w:r>
      <w:proofErr w:type="spellEnd"/>
      <w:r>
        <w:t xml:space="preserve"> et al., 2011). </w:t>
      </w:r>
    </w:p>
    <w:p w:rsidR="00C97D35" w:rsidRDefault="00C97D35" w:rsidP="008F4308">
      <w:pPr>
        <w:pStyle w:val="Heading2"/>
      </w:pPr>
      <w:bookmarkStart w:id="12" w:name="_Toc213110246"/>
      <w:r>
        <w:t>2.4. Salinity and waterlogging under climate variability</w:t>
      </w:r>
      <w:bookmarkEnd w:id="12"/>
    </w:p>
    <w:p w:rsidR="00C97D35" w:rsidRDefault="00C97D35" w:rsidP="00C97D35">
      <w:pPr>
        <w:pStyle w:val="NormalWeb"/>
      </w:pPr>
      <w:r>
        <w:t xml:space="preserve">Sea-level rise, drought-constrained irrigation, and recycled water are increasing salt loads in irrigated horticulture. At the same time, extreme rainfall and poor drainage cause intermittent hypoxia and root asphyxiation. Contemporary reviews highlight that salt tolerance carries substantial energetic costs (ion pumping, osmotic adjustment), while hypoxia demands rapid metabolic shifts; when these stresses co-occur, they compound membrane injury, ROS production, and root dysfunction, destabilizing fruit set and quality (Munns, 2020; </w:t>
      </w:r>
      <w:proofErr w:type="spellStart"/>
      <w:r>
        <w:t>Melino</w:t>
      </w:r>
      <w:proofErr w:type="spellEnd"/>
      <w:r>
        <w:t xml:space="preserve"> et al., 2023; </w:t>
      </w:r>
      <w:proofErr w:type="spellStart"/>
      <w:r>
        <w:t>Geng</w:t>
      </w:r>
      <w:proofErr w:type="spellEnd"/>
      <w:r>
        <w:t xml:space="preserve"> et al., 2025). Salinity thus intersects with waterlogging and heat to narrow the physiological safety margins of high-value crops grown in coastal plains and semi-arid basins. </w:t>
      </w:r>
    </w:p>
    <w:p w:rsidR="00C97D35" w:rsidRDefault="00C97D35" w:rsidP="008F4308">
      <w:pPr>
        <w:pStyle w:val="Heading2"/>
      </w:pPr>
      <w:bookmarkStart w:id="13" w:name="_Toc213110247"/>
      <w:r>
        <w:t>2.5. Radiation and sunburn during heatwaves</w:t>
      </w:r>
      <w:bookmarkEnd w:id="13"/>
    </w:p>
    <w:p w:rsidR="00C97D35" w:rsidRDefault="00C97D35" w:rsidP="00C97D35">
      <w:pPr>
        <w:pStyle w:val="NormalWeb"/>
      </w:pPr>
      <w:r>
        <w:t xml:space="preserve">Excess shortwave and UV radiation during hot, dry spells induces berry and fruit surface temperatures that exceed lethal thresholds, causing sunburn browning and necrosis. Grapevine is a well-studied model: sunburn risk peaks when suddenly exposed clusters experience heatwaves, with quality losses via phenolic oxidation and localized tissue death; canopy architecture and water status modulate (but do not eliminate) risk (Gambetta et al., 2021). Similar mechanisms operate in apples, pomegranate, citrus, and capsicum, where cuticular changes and heat-shock responses are tied to fruit developmental stage. </w:t>
      </w:r>
    </w:p>
    <w:p w:rsidR="00C97D35" w:rsidRDefault="00C97D35" w:rsidP="008F4308">
      <w:pPr>
        <w:pStyle w:val="Heading2"/>
      </w:pPr>
      <w:bookmarkStart w:id="14" w:name="_Toc213110248"/>
      <w:r>
        <w:t>2.6. Sequencing, memory, and compounding of extremes</w:t>
      </w:r>
      <w:bookmarkEnd w:id="14"/>
    </w:p>
    <w:p w:rsidR="00C97D35" w:rsidRDefault="00C97D35" w:rsidP="00C97D35">
      <w:pPr>
        <w:pStyle w:val="NormalWeb"/>
      </w:pPr>
      <w:r>
        <w:lastRenderedPageBreak/>
        <w:t xml:space="preserve">Beyond simultaneous co-stress, horticultural systems contend with </w:t>
      </w:r>
      <w:r>
        <w:rPr>
          <w:rStyle w:val="Emphasis"/>
        </w:rPr>
        <w:t>sequential</w:t>
      </w:r>
      <w:r>
        <w:t xml:space="preserve"> extremes—e.g., spring heat followed by a dry monsoon break, or flooding followed by a heat spike. Plants exhibit “stress memory” that can either prime tolerance or sensitize tissues depending on timing and intensity. Reviews of multifactorial stress biology and global crop-impact analyses caution that the order, spacing, and co-variability of drivers determine outcomes; missing these dynamics leads to biased risk estimates and mis-timed interventions (</w:t>
      </w:r>
      <w:proofErr w:type="spellStart"/>
      <w:r>
        <w:t>Zandalinas</w:t>
      </w:r>
      <w:proofErr w:type="spellEnd"/>
      <w:r>
        <w:t xml:space="preserve"> &amp; </w:t>
      </w:r>
      <w:proofErr w:type="spellStart"/>
      <w:r>
        <w:t>Mittler</w:t>
      </w:r>
      <w:proofErr w:type="spellEnd"/>
      <w:r>
        <w:t xml:space="preserve">, 2022; </w:t>
      </w:r>
      <w:proofErr w:type="spellStart"/>
      <w:r>
        <w:t>Lesk</w:t>
      </w:r>
      <w:proofErr w:type="spellEnd"/>
      <w:r>
        <w:t xml:space="preserve"> et al., 2022). </w:t>
      </w:r>
    </w:p>
    <w:p w:rsidR="00C97D35" w:rsidRDefault="00C97D35" w:rsidP="008F4308">
      <w:pPr>
        <w:pStyle w:val="Heading2"/>
      </w:pPr>
      <w:bookmarkStart w:id="15" w:name="_Toc213110249"/>
      <w:r>
        <w:t>2.7. Implications for horticultural risk mapping and management</w:t>
      </w:r>
      <w:bookmarkEnd w:id="15"/>
    </w:p>
    <w:p w:rsidR="00C97D35" w:rsidRDefault="00C97D35" w:rsidP="00C97D35">
      <w:pPr>
        <w:pStyle w:val="NormalWeb"/>
      </w:pPr>
      <w:r>
        <w:t xml:space="preserve">Collectively, these drivers—high VPD and heat, water scarcity, salinizing irrigation sources, episodic waterlogging, radiation spikes, and winter chill erosion—converge to reshape phenology, reproductive success, and quality in fruits, vegetables, ornamentals, and nuts. Modern physiology points to interacting hormonal networks (e.g., ABA hubs) and metabolic trade-offs under stress combinations, demanding cultivar screening and management trials conducted under </w:t>
      </w:r>
      <w:r>
        <w:rPr>
          <w:rStyle w:val="Emphasis"/>
        </w:rPr>
        <w:t>co-stress</w:t>
      </w:r>
      <w:r>
        <w:t xml:space="preserve"> rather than single-factor protocols. In research and policy, compound-event frameworks and phenology-specific thresholds (e.g., for pollen heat sensitivity, sunburn onset, budbreak cues) should underwrite zoning, shade/evaporative cooling investments, and cultivar deployment in a warming, more variable climate (</w:t>
      </w:r>
      <w:proofErr w:type="spellStart"/>
      <w:r>
        <w:t>Waadt</w:t>
      </w:r>
      <w:proofErr w:type="spellEnd"/>
      <w:r>
        <w:t xml:space="preserve"> et al., 2022; Novick et al., 2024; Sato et al., 2024). </w:t>
      </w:r>
    </w:p>
    <w:p w:rsidR="00C97D35" w:rsidRDefault="00C97D35" w:rsidP="00C97D35"/>
    <w:p w:rsidR="00C97D35" w:rsidRDefault="00C97D35" w:rsidP="008F4308">
      <w:pPr>
        <w:pStyle w:val="Heading1"/>
      </w:pPr>
      <w:bookmarkStart w:id="16" w:name="_Toc213110250"/>
      <w:r>
        <w:t>3. Core physiological and molecular mechanisms of tolerance</w:t>
      </w:r>
      <w:bookmarkEnd w:id="16"/>
    </w:p>
    <w:p w:rsidR="00C97D35" w:rsidRDefault="00C97D35" w:rsidP="008F4308">
      <w:pPr>
        <w:pStyle w:val="Heading2"/>
      </w:pPr>
      <w:bookmarkStart w:id="17" w:name="_Toc213110251"/>
      <w:r>
        <w:t>3.1 Hydraulic regulation and membrane water transport</w:t>
      </w:r>
      <w:bookmarkEnd w:id="17"/>
    </w:p>
    <w:p w:rsidR="00C97D35" w:rsidRDefault="00C97D35" w:rsidP="00C97D35">
      <w:pPr>
        <w:pStyle w:val="NormalWeb"/>
      </w:pPr>
      <w:r>
        <w:t>Crop resilience begins with fast control of plant water status. In water-deficit and heat conditions, horticultural leaves reduce hydraulic conductance (</w:t>
      </w:r>
      <w:proofErr w:type="spellStart"/>
      <w:r>
        <w:t>K_leaf</w:t>
      </w:r>
      <w:proofErr w:type="spellEnd"/>
      <w:r>
        <w:t xml:space="preserve">) while selectively maintaining mesophyll hydration to protect photosynthesis. Aquaporins (AQPs)—especially plasma-membrane intrinsic proteins (PIPs)—gate transmembrane fluxes of water and small neutral solutes (e.g., H₂O₂, CO₂), enabling dynamic adjustment of cell turgor and stomatal behavior (Sun et al., 2024). In tomato, new high-resolution approaches reveal steep within-leaf hydraulic gradients that couple vein architecture to stomatal regulation, underscoring how hydraulics and gas exchange co-optimize under stress (Jain et al., 2024). Collectively, context-dependent modulation of AQP abundance, gating and subcellular trafficking explains rapid and reversible shifts in tissue hydraulics that stabilize leaf water potential during transient drought or heat waves (Sun et al., 2024; Jain et al., 2024). (Sun et al., 2024; Jain et al., 2024). </w:t>
      </w:r>
    </w:p>
    <w:p w:rsidR="00C97D35" w:rsidRDefault="00C97D35" w:rsidP="008F4308">
      <w:pPr>
        <w:pStyle w:val="Heading2"/>
      </w:pPr>
      <w:bookmarkStart w:id="18" w:name="_Toc213110252"/>
      <w:r>
        <w:t>3.2 Stomatal control and ABA circuit logic</w:t>
      </w:r>
      <w:bookmarkEnd w:id="18"/>
    </w:p>
    <w:p w:rsidR="00C97D35" w:rsidRDefault="00C97D35" w:rsidP="00C97D35">
      <w:pPr>
        <w:pStyle w:val="NormalWeb"/>
      </w:pPr>
      <w:r>
        <w:lastRenderedPageBreak/>
        <w:t xml:space="preserve">Abscisic acid (ABA) integrates hydraulic cues with stomatal closure to limit </w:t>
      </w:r>
      <w:proofErr w:type="spellStart"/>
      <w:r>
        <w:t>transpirational</w:t>
      </w:r>
      <w:proofErr w:type="spellEnd"/>
      <w:r>
        <w:t xml:space="preserve"> water loss, while hormone transporters and inter-tissue signaling route ABA from vasculature to guard cells (Zhang et al., 2023). The core PYR/PYL/RCAR–PP2C–SnRK2 module encodes a tunable switch in which receptor occupancy and post-translational regulation (e.g., phosphorylation, ubiquitination) adjust sensitivity and duration of the closure response (Lim et al., 2022). Under dehydration, systemic peptides (e.g., CLE25) and ABA transporters (e.g., ABCG40, NPF4.6) accelerate guard-cell ABA accumulation, closing stomata and priming antioxidant defenses; upon </w:t>
      </w:r>
      <w:proofErr w:type="spellStart"/>
      <w:r>
        <w:t>rewatering</w:t>
      </w:r>
      <w:proofErr w:type="spellEnd"/>
      <w:r>
        <w:t xml:space="preserve">, deactivation of SnRK2 signaling and re-opening enable rapid photosynthetic recovery (Zhang et al., 2023; Lim et al., 2022). In cold and drought, overlapping but distinct regulatory networks converge on shared downstream targets (LEAs, chaperones), illustrating how ABA interfaces with temperature pathways to produce stress-specific yet coordinated stomatal and transcriptional outputs (Kim et al., 2024). (Zhang et al., 2023; Lim et al., 2022; Kim et al., 2024). </w:t>
      </w:r>
    </w:p>
    <w:p w:rsidR="00C97D35" w:rsidRDefault="00C97D35" w:rsidP="008F4308">
      <w:pPr>
        <w:pStyle w:val="Heading2"/>
      </w:pPr>
      <w:bookmarkStart w:id="19" w:name="_Toc213110253"/>
      <w:r>
        <w:t>3.3 Protein homeostasis: heat shock factors and chaperone networks</w:t>
      </w:r>
      <w:bookmarkEnd w:id="19"/>
    </w:p>
    <w:p w:rsidR="00C97D35" w:rsidRDefault="00C97D35" w:rsidP="00C97D35">
      <w:pPr>
        <w:pStyle w:val="NormalWeb"/>
      </w:pPr>
      <w:r>
        <w:t xml:space="preserve">Heat episodes threaten pollen viability and protein folding in meristems and fruit tissues. Plants respond by activating heat shock factors (HSFs) that orchestrate chaperone expression (e.g., HSP70/HSP90/HSP101) and </w:t>
      </w:r>
      <w:proofErr w:type="spellStart"/>
      <w:r>
        <w:t>proteostasis</w:t>
      </w:r>
      <w:proofErr w:type="spellEnd"/>
      <w:r>
        <w:t xml:space="preserve"> regulators. Comparative genomics show an early expansion of HSF families in land plants that enabled multicellular coordination of thermal responses—an evolutionary backdrop explaining robust heat resilience in many crop lineages (Wu et al., 2022). In horticultural species, this HSF–HSP axis acts with membrane lipid remodeling and translational reprogramming to maintain enzyme activity and reproductive development under heat spikes, thereby protecting yield quality traits such as fruit set and flavor volatiles. (Wu et al., 2022). </w:t>
      </w:r>
    </w:p>
    <w:p w:rsidR="00C97D35" w:rsidRDefault="00C97D35" w:rsidP="008F4308">
      <w:pPr>
        <w:pStyle w:val="Heading2"/>
      </w:pPr>
      <w:bookmarkStart w:id="20" w:name="_Toc213110254"/>
      <w:r>
        <w:t>3.4 Redox–calcium crosstalk and systemic “stress waves”</w:t>
      </w:r>
      <w:bookmarkEnd w:id="20"/>
    </w:p>
    <w:p w:rsidR="00C97D35" w:rsidRDefault="00C97D35" w:rsidP="00C97D35">
      <w:pPr>
        <w:pStyle w:val="NormalWeb"/>
      </w:pPr>
      <w:r>
        <w:t xml:space="preserve">Rapid long-distance signals help the whole plant respond when one leaf encounters stress. Self-propagating reactive oxygen species (ROS) and Ca²⁺ waves travel through vascular and mesophyll networks, reprogramming distal tissues within minutes. Recent live-cell imaging and modeling show that ROS fluxes through RBOH NADPH oxidases and Ca²⁺ influx via mechanosensitive/CGNC channels mutually amplify to convey stress intensity and duration, coordinating acclimation gene expression across the canopy (Kim et al., 2024). Work in </w:t>
      </w:r>
      <w:r>
        <w:rPr>
          <w:rStyle w:val="Emphasis"/>
        </w:rPr>
        <w:t>Arabidopsis</w:t>
      </w:r>
      <w:r>
        <w:t xml:space="preserve"> further reveals that tissue mechanics modulate ROS wave speed, pointing to physical–biochemical coupling in systemic signaling (</w:t>
      </w:r>
      <w:proofErr w:type="spellStart"/>
      <w:r w:rsidR="00926649" w:rsidRPr="00053DAE">
        <w:t>Sewelam</w:t>
      </w:r>
      <w:proofErr w:type="spellEnd"/>
      <w:r>
        <w:t xml:space="preserve"> et al., 20</w:t>
      </w:r>
      <w:r w:rsidR="00926649">
        <w:t>16</w:t>
      </w:r>
      <w:r>
        <w:t xml:space="preserve">). For horticultural canopies, these waves likely synchronize stomatal and antioxidant defenses across leaves, improving heat- and drought-escape strategies without costly whole-plant shutdown. (Kim et al., 2024). </w:t>
      </w:r>
    </w:p>
    <w:p w:rsidR="00C97D35" w:rsidRDefault="00C97D35" w:rsidP="008F4308">
      <w:pPr>
        <w:pStyle w:val="Heading2"/>
      </w:pPr>
      <w:bookmarkStart w:id="21" w:name="_Toc213110255"/>
      <w:r>
        <w:t>3.5 Ion and osmotic homeostasis under salinity</w:t>
      </w:r>
      <w:bookmarkEnd w:id="21"/>
    </w:p>
    <w:p w:rsidR="00C97D35" w:rsidRDefault="00C97D35" w:rsidP="00C97D35">
      <w:pPr>
        <w:pStyle w:val="NormalWeb"/>
      </w:pPr>
      <w:r>
        <w:lastRenderedPageBreak/>
        <w:t xml:space="preserve">Salinity tolerance hinges on exclusion of Na⁺ from shoots, vacuolar sequestration in tolerant tissues, and maintenance of K⁺ homeostasis to preserve enzyme function. Across crops, quantitative trait dissection and </w:t>
      </w:r>
      <w:proofErr w:type="spellStart"/>
      <w:r>
        <w:t>transportomics</w:t>
      </w:r>
      <w:proofErr w:type="spellEnd"/>
      <w:r>
        <w:t xml:space="preserve"> identify HKT-mediated xylem Na⁺ retrieval, SOS1-driven Na⁺ efflux, and tonoplast NHX K⁺/Na⁺ antiporters as central levers (</w:t>
      </w:r>
      <w:proofErr w:type="spellStart"/>
      <w:r>
        <w:t>Melino</w:t>
      </w:r>
      <w:proofErr w:type="spellEnd"/>
      <w:r>
        <w:t xml:space="preserve"> et al., 2023). The energetic costs of ion pumping and compatible solute synthesis impose growth–tolerance trade-offs, highlighting why breeder-friendly alleles often optimize—not maximize—ion transport activity. For fruit crops irrigated with marginal water, stacking moderate Na⁺ exclusion with osmotic adjustment and antioxidant capacity offers a physiologically coherent route to resilience. (</w:t>
      </w:r>
      <w:proofErr w:type="spellStart"/>
      <w:r>
        <w:t>Melino</w:t>
      </w:r>
      <w:proofErr w:type="spellEnd"/>
      <w:r>
        <w:t xml:space="preserve"> et al., 2023). </w:t>
      </w:r>
    </w:p>
    <w:p w:rsidR="00C97D35" w:rsidRDefault="00C97D35" w:rsidP="008F4308">
      <w:pPr>
        <w:pStyle w:val="Heading2"/>
      </w:pPr>
      <w:bookmarkStart w:id="22" w:name="_Toc213110256"/>
      <w:r>
        <w:t>3.6 Source–sink stability and reproductive resilience</w:t>
      </w:r>
      <w:bookmarkEnd w:id="22"/>
    </w:p>
    <w:p w:rsidR="00C97D35" w:rsidRDefault="00C97D35" w:rsidP="00C97D35">
      <w:pPr>
        <w:pStyle w:val="NormalWeb"/>
      </w:pPr>
      <w:r>
        <w:t>Yield in horticultural crops is disproportionately limited by reproductive sensitivity. High-temperature episodes impair tapetal function, anther dehiscence, and pollen tube growth, decreasing fertilization even when vegetative tissues appear healthy (</w:t>
      </w:r>
      <w:proofErr w:type="spellStart"/>
      <w:r>
        <w:t>Lohani</w:t>
      </w:r>
      <w:proofErr w:type="spellEnd"/>
      <w:r>
        <w:t xml:space="preserve"> et al., 2024). Pollen thermotolerance draws on carbohydrate buffering, mitochondrial protection, and chaperone capacity governed by HSFs; meanwhile, silk/stigma tissues deploy ROS-scavenging and cell-wall loosening programs to maintain tube guidance under heat. Targeting this nexus—via priming, timely irrigation, or cultivars with resilient anther wall dynamics—can stabilize fruit set as heatwaves intensify. (</w:t>
      </w:r>
      <w:proofErr w:type="spellStart"/>
      <w:r>
        <w:t>Lohani</w:t>
      </w:r>
      <w:proofErr w:type="spellEnd"/>
      <w:r>
        <w:t xml:space="preserve"> et al., 2024). </w:t>
      </w:r>
    </w:p>
    <w:p w:rsidR="00C97D35" w:rsidRDefault="00C97D35" w:rsidP="008F4308">
      <w:pPr>
        <w:pStyle w:val="Heading2"/>
      </w:pPr>
      <w:bookmarkStart w:id="23" w:name="_Toc213110257"/>
      <w:r>
        <w:t>3.7 Stress memory, priming, and epigenetic regulation</w:t>
      </w:r>
      <w:bookmarkEnd w:id="23"/>
    </w:p>
    <w:p w:rsidR="00C97D35" w:rsidRDefault="00C97D35" w:rsidP="00C97D35">
      <w:pPr>
        <w:pStyle w:val="NormalWeb"/>
      </w:pPr>
      <w:r>
        <w:t xml:space="preserve">Plants “remember” prior stress through chromatin, small-RNA, and metabolic marks that accelerate and amplify subsequent responses. Priming can be achieved developmentally (e.g., early-season mild drought) or by natural elicitors, producing faster ABA induction, stronger antioxidant deployment, and improved reproductive outcomes without yield penalties (Liu et al., 2022). At the molecular level, stress memory involves histone modifications (H3K4me3, H3K27me3), DNA methylation dynamics, and transcription factor bookmarking that keep defense loci poised for re-activation; importantly, many marks reset to avoid constitutive costs, while some may persist into progeny depending on stress timing and tissue (Liu et al., 2022). For perennial horticultural species, such programmable plasticity offers a powerful, non-transgenic lever complementing genetics and grafting. (Liu et al., 2022). </w:t>
      </w:r>
    </w:p>
    <w:p w:rsidR="00C97D35" w:rsidRDefault="00C97D35" w:rsidP="00C97D35"/>
    <w:p w:rsidR="004B2E1A" w:rsidRPr="004B2E1A" w:rsidRDefault="004B2E1A" w:rsidP="008F4308">
      <w:pPr>
        <w:pStyle w:val="Heading1"/>
      </w:pPr>
      <w:bookmarkStart w:id="24" w:name="_Toc213110258"/>
      <w:r w:rsidRPr="004B2E1A">
        <w:t>4. Organ- and stage-specific vulnerabilities in horticultural crops</w:t>
      </w:r>
      <w:bookmarkEnd w:id="24"/>
    </w:p>
    <w:p w:rsidR="004B2E1A" w:rsidRPr="004B2E1A" w:rsidRDefault="004B2E1A" w:rsidP="008F4308">
      <w:pPr>
        <w:pStyle w:val="Heading2"/>
      </w:pPr>
      <w:bookmarkStart w:id="25" w:name="_Toc213110259"/>
      <w:r w:rsidRPr="004B2E1A">
        <w:t>4.1 Reproductive development: the narrowest thermal safety margins</w:t>
      </w:r>
      <w:bookmarkEnd w:id="25"/>
    </w:p>
    <w:p w:rsidR="004B2E1A" w:rsidRPr="004B2E1A" w:rsidRDefault="004B2E1A" w:rsidP="004B2E1A">
      <w:pPr>
        <w:spacing w:before="100" w:beforeAutospacing="1" w:after="100" w:afterAutospacing="1" w:line="240" w:lineRule="auto"/>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lastRenderedPageBreak/>
        <w:t>Across horticultural species, reproductive tissues—especially microspores and maturing pollen—exhibit the tightest thermal limits. In tomato and other Solanaceae, even brief exposure to warm days and hot nights during the meiotic-to-anthesis window reduces tapetal function, depletes carbohydrate reserves, and compromises pollen hydration and tube growth, leading to poor fruit set despite apparently healthy vegetative canopies (</w:t>
      </w:r>
      <w:proofErr w:type="spellStart"/>
      <w:r w:rsidRPr="004B2E1A">
        <w:rPr>
          <w:rFonts w:ascii="Times New Roman" w:eastAsia="Times New Roman" w:hAnsi="Times New Roman" w:cs="Times New Roman"/>
          <w:sz w:val="24"/>
          <w:szCs w:val="24"/>
          <w:lang w:bidi="ar-SA"/>
        </w:rPr>
        <w:t>Graci</w:t>
      </w:r>
      <w:proofErr w:type="spellEnd"/>
      <w:r w:rsidRPr="004B2E1A">
        <w:rPr>
          <w:rFonts w:ascii="Times New Roman" w:eastAsia="Times New Roman" w:hAnsi="Times New Roman" w:cs="Times New Roman"/>
          <w:sz w:val="24"/>
          <w:szCs w:val="24"/>
          <w:lang w:bidi="ar-SA"/>
        </w:rPr>
        <w:t xml:space="preserve"> et al., 2024). Similar vulnerability extends to stigmatic receptivity and ovule longevity, shortening the effective pollination period under heat and elevated vapor pressure deficit (VPD). These organ-specific sensitivities explain why growers often report normal canopy vigor but compressed flowering windows, higher rates of blossom drop, and parthenocarpy when warm spells coincide with anthesis. Mechanistically, developmental dysregulation of heat shock factors, sugar transport, and cell wall remodeling enzymes in anther tissues concentrates risk at the flower rather than the leaf scale (</w:t>
      </w:r>
      <w:proofErr w:type="spellStart"/>
      <w:r w:rsidRPr="004B2E1A">
        <w:rPr>
          <w:rFonts w:ascii="Times New Roman" w:eastAsia="Times New Roman" w:hAnsi="Times New Roman" w:cs="Times New Roman"/>
          <w:sz w:val="24"/>
          <w:szCs w:val="24"/>
          <w:lang w:bidi="ar-SA"/>
        </w:rPr>
        <w:t>Graci</w:t>
      </w:r>
      <w:proofErr w:type="spellEnd"/>
      <w:r w:rsidRPr="004B2E1A">
        <w:rPr>
          <w:rFonts w:ascii="Times New Roman" w:eastAsia="Times New Roman" w:hAnsi="Times New Roman" w:cs="Times New Roman"/>
          <w:sz w:val="24"/>
          <w:szCs w:val="24"/>
          <w:lang w:bidi="ar-SA"/>
        </w:rPr>
        <w:t xml:space="preserve"> et al., 2024). </w:t>
      </w:r>
    </w:p>
    <w:p w:rsidR="004B2E1A" w:rsidRPr="004B2E1A" w:rsidRDefault="004B2E1A" w:rsidP="008F4308">
      <w:pPr>
        <w:pStyle w:val="Heading2"/>
      </w:pPr>
      <w:bookmarkStart w:id="26" w:name="_Toc213110260"/>
      <w:r w:rsidRPr="004B2E1A">
        <w:t>4.2 Fruit surface as a heat–light sensor: sunburn and peel disorders</w:t>
      </w:r>
      <w:bookmarkEnd w:id="26"/>
    </w:p>
    <w:p w:rsidR="004B2E1A" w:rsidRPr="004B2E1A" w:rsidRDefault="004B2E1A" w:rsidP="004B2E1A">
      <w:pPr>
        <w:spacing w:before="100" w:beforeAutospacing="1" w:after="100" w:afterAutospacing="1" w:line="240" w:lineRule="auto"/>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Fleshy fruit surfaces act as microclimatic sensors that integrate radiant load, airflow, and cuticular traits. In grape berries, sunburn manifests along a continuum—from reversible sunburn browning to lethal sunburn necrosis—when fruit surface temperature outpaces cellular heat dissipation and photoprotective capacity. Severity increases with high irradiance, low wind, and antecedent water stress that thins canopies and elevates berry temperature; mitigation hinges on managing exposure trajectories rather than any single meteorological threshold (Gambetta et al., 2021). Apples display analogous syndromes (sunburn browning, photooxidative sunburn, and necrosis) with well-defined thermal–radiative triggers at the peel that differ from leaf thresholds, underscoring the fruit’s unique vulnerability relative to vegetative organs (</w:t>
      </w:r>
      <w:proofErr w:type="spellStart"/>
      <w:r w:rsidRPr="004B2E1A">
        <w:rPr>
          <w:rFonts w:ascii="Times New Roman" w:eastAsia="Times New Roman" w:hAnsi="Times New Roman" w:cs="Times New Roman"/>
          <w:sz w:val="24"/>
          <w:szCs w:val="24"/>
          <w:lang w:bidi="ar-SA"/>
        </w:rPr>
        <w:t>Racsko</w:t>
      </w:r>
      <w:proofErr w:type="spellEnd"/>
      <w:r w:rsidRPr="004B2E1A">
        <w:rPr>
          <w:rFonts w:ascii="Times New Roman" w:eastAsia="Times New Roman" w:hAnsi="Times New Roman" w:cs="Times New Roman"/>
          <w:sz w:val="24"/>
          <w:szCs w:val="24"/>
          <w:lang w:bidi="ar-SA"/>
        </w:rPr>
        <w:t xml:space="preserve"> &amp; Schrader, 2012). These disorders diminish marketability through scarring, color loss, and textural defects, and they frequently co-occur with shifts in phenolics and volatiles that depress eating quality, linking peel physiology to whole-fruit postharvest performance. </w:t>
      </w:r>
    </w:p>
    <w:p w:rsidR="004B2E1A" w:rsidRPr="004B2E1A" w:rsidRDefault="004B2E1A" w:rsidP="008F4308">
      <w:pPr>
        <w:pStyle w:val="Heading2"/>
      </w:pPr>
      <w:bookmarkStart w:id="27" w:name="_Toc213110261"/>
      <w:r w:rsidRPr="004B2E1A">
        <w:t>4.3 Buds, dormancy, and flowering synchrony under warming winters</w:t>
      </w:r>
      <w:bookmarkEnd w:id="27"/>
    </w:p>
    <w:p w:rsidR="004B2E1A" w:rsidRPr="004B2E1A" w:rsidRDefault="004B2E1A" w:rsidP="004B2E1A">
      <w:pPr>
        <w:spacing w:before="100" w:beforeAutospacing="1" w:after="100" w:afterAutospacing="1" w:line="240" w:lineRule="auto"/>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 xml:space="preserve">In temperate perennial horticulture, the overwintering bud is both an organ and a seasonal “program.” Warming winters perturb endodormancy release and the transition to </w:t>
      </w:r>
      <w:proofErr w:type="spellStart"/>
      <w:r w:rsidRPr="004B2E1A">
        <w:rPr>
          <w:rFonts w:ascii="Times New Roman" w:eastAsia="Times New Roman" w:hAnsi="Times New Roman" w:cs="Times New Roman"/>
          <w:sz w:val="24"/>
          <w:szCs w:val="24"/>
          <w:lang w:bidi="ar-SA"/>
        </w:rPr>
        <w:t>ecodormancy</w:t>
      </w:r>
      <w:proofErr w:type="spellEnd"/>
      <w:r w:rsidRPr="004B2E1A">
        <w:rPr>
          <w:rFonts w:ascii="Times New Roman" w:eastAsia="Times New Roman" w:hAnsi="Times New Roman" w:cs="Times New Roman"/>
          <w:sz w:val="24"/>
          <w:szCs w:val="24"/>
          <w:lang w:bidi="ar-SA"/>
        </w:rPr>
        <w:t xml:space="preserve">, generating asynchronous budbreak, erratic flowering, and mismatches with pollinators and frost risk. Recent syntheses clarify the molecular circuitry—DAM/SVP-like MADS-box repressors, ABA–GA crosstalk, and chromatin remodeling—that integrates chilling and subsequent heat to gate developmental progression (Ding et al., 2024). Crop-specific evidence from apples highlights how insufficient chill not only delays or desynchronizes bloom but also alters floral morphology and subsequent fruit ontogeny, with cultivar differences demanding regionally tuned chill accounting when relocating orchards or deploying new varieties (González </w:t>
      </w:r>
      <w:proofErr w:type="spellStart"/>
      <w:r w:rsidRPr="004B2E1A">
        <w:rPr>
          <w:rFonts w:ascii="Times New Roman" w:eastAsia="Times New Roman" w:hAnsi="Times New Roman" w:cs="Times New Roman"/>
          <w:sz w:val="24"/>
          <w:szCs w:val="24"/>
          <w:lang w:bidi="ar-SA"/>
        </w:rPr>
        <w:t>Noguer</w:t>
      </w:r>
      <w:proofErr w:type="spellEnd"/>
      <w:r w:rsidRPr="004B2E1A">
        <w:rPr>
          <w:rFonts w:ascii="Times New Roman" w:eastAsia="Times New Roman" w:hAnsi="Times New Roman" w:cs="Times New Roman"/>
          <w:sz w:val="24"/>
          <w:szCs w:val="24"/>
          <w:lang w:bidi="ar-SA"/>
        </w:rPr>
        <w:t xml:space="preserve"> et al., 2023). At an industry level, discrepancies among chill estimation methods complicate zoning and cultivar choice under climate change; converging on standardized, physiology-linked metrics is emerging as a key adaptation priority for pome and stone fruits alike. </w:t>
      </w:r>
    </w:p>
    <w:p w:rsidR="004B2E1A" w:rsidRPr="004B2E1A" w:rsidRDefault="004B2E1A" w:rsidP="008F4308">
      <w:pPr>
        <w:pStyle w:val="Heading2"/>
      </w:pPr>
      <w:bookmarkStart w:id="28" w:name="_Toc213110262"/>
      <w:r w:rsidRPr="004B2E1A">
        <w:lastRenderedPageBreak/>
        <w:t>4.4 Leafy tissues and rapidly expanding organs: calcium–VPD imbalances</w:t>
      </w:r>
      <w:bookmarkEnd w:id="28"/>
    </w:p>
    <w:p w:rsidR="004B2E1A" w:rsidRPr="004B2E1A" w:rsidRDefault="004B2E1A" w:rsidP="004B2E1A">
      <w:pPr>
        <w:spacing w:before="100" w:beforeAutospacing="1" w:after="100" w:afterAutospacing="1" w:line="240" w:lineRule="auto"/>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Rapidly expanding leaves in leafy vegetables accumulate risk for calcium-related physiological disorders when transpiration streams are constrained by low air movement, high humidity, or inappropriate light spectra. In lettuce, “</w:t>
      </w:r>
      <w:proofErr w:type="spellStart"/>
      <w:r w:rsidRPr="004B2E1A">
        <w:rPr>
          <w:rFonts w:ascii="Times New Roman" w:eastAsia="Times New Roman" w:hAnsi="Times New Roman" w:cs="Times New Roman"/>
          <w:sz w:val="24"/>
          <w:szCs w:val="24"/>
          <w:lang w:bidi="ar-SA"/>
        </w:rPr>
        <w:t>tipburn</w:t>
      </w:r>
      <w:proofErr w:type="spellEnd"/>
      <w:r w:rsidRPr="004B2E1A">
        <w:rPr>
          <w:rFonts w:ascii="Times New Roman" w:eastAsia="Times New Roman" w:hAnsi="Times New Roman" w:cs="Times New Roman"/>
          <w:sz w:val="24"/>
          <w:szCs w:val="24"/>
          <w:lang w:bidi="ar-SA"/>
        </w:rPr>
        <w:t>” arises near the meristematic apex where evaporative flux is minimal; once expressed on one leaf, new leaves often repeat the symptom, reflecting a persistent mismatch between growth rate and Ca delivery (</w:t>
      </w:r>
      <w:proofErr w:type="spellStart"/>
      <w:r w:rsidRPr="004B2E1A">
        <w:rPr>
          <w:rFonts w:ascii="Times New Roman" w:eastAsia="Times New Roman" w:hAnsi="Times New Roman" w:cs="Times New Roman"/>
          <w:sz w:val="24"/>
          <w:szCs w:val="24"/>
          <w:lang w:bidi="ar-SA"/>
        </w:rPr>
        <w:t>Ertle</w:t>
      </w:r>
      <w:proofErr w:type="spellEnd"/>
      <w:r w:rsidRPr="004B2E1A">
        <w:rPr>
          <w:rFonts w:ascii="Times New Roman" w:eastAsia="Times New Roman" w:hAnsi="Times New Roman" w:cs="Times New Roman"/>
          <w:sz w:val="24"/>
          <w:szCs w:val="24"/>
          <w:lang w:bidi="ar-SA"/>
        </w:rPr>
        <w:t xml:space="preserve"> &amp; Kubota, 2023). Production-environment drivers—insufficient downward airflow, high VPD swings, and spectral regimes that modify stomatal behavior—shift risk more than bulk Ca supply, making stage- and zone-specific microclimate management (airflow at head center, end-of-production light strategies) crucial for prevention. These dynamics exemplify a broader principle: organs with high cell expansion rates and restricted transpiration pathways are disproportionately sensitive to climate-driven humidity and airflow changes. </w:t>
      </w:r>
    </w:p>
    <w:p w:rsidR="004B2E1A" w:rsidRPr="004B2E1A" w:rsidRDefault="004B2E1A" w:rsidP="008F4308">
      <w:pPr>
        <w:pStyle w:val="Heading2"/>
      </w:pPr>
      <w:bookmarkStart w:id="29" w:name="_Toc213110263"/>
      <w:r w:rsidRPr="004B2E1A">
        <w:t>4.5 Postharvest fruit tissues: latent injuries revealed by storage</w:t>
      </w:r>
      <w:bookmarkEnd w:id="29"/>
    </w:p>
    <w:p w:rsidR="004B2E1A" w:rsidRPr="004B2E1A" w:rsidRDefault="004B2E1A" w:rsidP="004B2E1A">
      <w:pPr>
        <w:spacing w:before="100" w:beforeAutospacing="1" w:after="100" w:afterAutospacing="1" w:line="240" w:lineRule="auto"/>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Postharvest stages expose organ-specific vulnerabilities shaped preharvest. In peaches and nectarines, prolonged storage at suboptimal low temperatures elicits chilling injury phenotypes—</w:t>
      </w:r>
      <w:proofErr w:type="spellStart"/>
      <w:r w:rsidRPr="004B2E1A">
        <w:rPr>
          <w:rFonts w:ascii="Times New Roman" w:eastAsia="Times New Roman" w:hAnsi="Times New Roman" w:cs="Times New Roman"/>
          <w:sz w:val="24"/>
          <w:szCs w:val="24"/>
          <w:lang w:bidi="ar-SA"/>
        </w:rPr>
        <w:t>mealiness</w:t>
      </w:r>
      <w:proofErr w:type="spellEnd"/>
      <w:r w:rsidRPr="004B2E1A">
        <w:rPr>
          <w:rFonts w:ascii="Times New Roman" w:eastAsia="Times New Roman" w:hAnsi="Times New Roman" w:cs="Times New Roman"/>
          <w:sz w:val="24"/>
          <w:szCs w:val="24"/>
          <w:lang w:bidi="ar-SA"/>
        </w:rPr>
        <w:t>, internal browning, and bleeding—that trace to disrupted ethylene-linked ripening, oxidative imbalance, and membrane remodeling in the mesocarp. Multi-omics syntheses show coordinated changes in sugars, polyamines, and lipids, and identify proteomic markers that anticipate injury, illustrating how cold stress intersects with ripening programs unique to fruit tissues (Lurie, 2022). At the gene-regulatory level, time-resolved methylome and transcriptome maps during cold storage reveal that chilling-induced flavor loss is associated with promoter hypermethylation and downregulation of volatile-biosynthetic genes (e.g., AAT, TPS), connecting storage regimes to durable sensory outcomes (</w:t>
      </w:r>
      <w:proofErr w:type="spellStart"/>
      <w:r w:rsidRPr="004B2E1A">
        <w:rPr>
          <w:rFonts w:ascii="Times New Roman" w:eastAsia="Times New Roman" w:hAnsi="Times New Roman" w:cs="Times New Roman"/>
          <w:sz w:val="24"/>
          <w:szCs w:val="24"/>
          <w:lang w:bidi="ar-SA"/>
        </w:rPr>
        <w:t>Duan</w:t>
      </w:r>
      <w:proofErr w:type="spellEnd"/>
      <w:r w:rsidRPr="004B2E1A">
        <w:rPr>
          <w:rFonts w:ascii="Times New Roman" w:eastAsia="Times New Roman" w:hAnsi="Times New Roman" w:cs="Times New Roman"/>
          <w:sz w:val="24"/>
          <w:szCs w:val="24"/>
          <w:lang w:bidi="ar-SA"/>
        </w:rPr>
        <w:t xml:space="preserve"> et al., 2023). Together these findings argue for cultivar- and maturity-tailored storage designed around fruit-specific stress biology rather than general commodity rules. </w:t>
      </w:r>
    </w:p>
    <w:p w:rsidR="004B2E1A" w:rsidRPr="004B2E1A" w:rsidRDefault="004B2E1A" w:rsidP="008F4308">
      <w:pPr>
        <w:pStyle w:val="Heading2"/>
      </w:pPr>
      <w:bookmarkStart w:id="30" w:name="_Toc213110264"/>
      <w:r w:rsidRPr="004B2E1A">
        <w:t>4.6 Roots and the graft interface under waterlogging</w:t>
      </w:r>
      <w:bookmarkEnd w:id="30"/>
    </w:p>
    <w:p w:rsidR="004B2E1A" w:rsidRPr="004B2E1A" w:rsidRDefault="004B2E1A" w:rsidP="004B2E1A">
      <w:pPr>
        <w:spacing w:before="100" w:beforeAutospacing="1" w:after="100" w:afterAutospacing="1" w:line="240" w:lineRule="auto"/>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Root systems and graft unions in orchards and plantations face organ-specific risks when extreme rainfall induces hypoxia. Waterlogging rapidly suppresses root respiration and ion transport, triggering hormonal cascades that promote leaf abscission, flower drop, and fruitlet abortion—responses that can be magnified in scion–rootstock combinations selected primarily for vigor or dwarfing rather than flood tolerance. Recent horticultural reviews emphasize that these reproductive penalties can persist beyond the inundation window, affecting fruit size and ripening physiology later in the season, and they highlight rootstock screening and soil–water engineering as central levers of resilience (</w:t>
      </w:r>
      <w:proofErr w:type="spellStart"/>
      <w:r w:rsidRPr="004B2E1A">
        <w:rPr>
          <w:rFonts w:ascii="Times New Roman" w:eastAsia="Times New Roman" w:hAnsi="Times New Roman" w:cs="Times New Roman"/>
          <w:sz w:val="24"/>
          <w:szCs w:val="24"/>
          <w:lang w:bidi="ar-SA"/>
        </w:rPr>
        <w:t>Topali</w:t>
      </w:r>
      <w:proofErr w:type="spellEnd"/>
      <w:r w:rsidRPr="004B2E1A">
        <w:rPr>
          <w:rFonts w:ascii="Times New Roman" w:eastAsia="Times New Roman" w:hAnsi="Times New Roman" w:cs="Times New Roman"/>
          <w:sz w:val="24"/>
          <w:szCs w:val="24"/>
          <w:lang w:bidi="ar-SA"/>
        </w:rPr>
        <w:t xml:space="preserve"> et al., 2024). </w:t>
      </w:r>
    </w:p>
    <w:p w:rsidR="004B2E1A" w:rsidRPr="004B2E1A" w:rsidRDefault="004B2E1A" w:rsidP="004B2E1A">
      <w:pPr>
        <w:spacing w:after="0" w:line="240" w:lineRule="auto"/>
        <w:rPr>
          <w:rFonts w:ascii="Times New Roman" w:eastAsia="Times New Roman" w:hAnsi="Times New Roman" w:cs="Times New Roman"/>
          <w:sz w:val="24"/>
          <w:szCs w:val="24"/>
          <w:lang w:bidi="ar-SA"/>
        </w:rPr>
      </w:pPr>
    </w:p>
    <w:p w:rsidR="00952411" w:rsidRPr="00952411" w:rsidRDefault="00952411" w:rsidP="008F4308">
      <w:pPr>
        <w:pStyle w:val="Heading1"/>
      </w:pPr>
      <w:bookmarkStart w:id="31" w:name="_Toc213110265"/>
      <w:r w:rsidRPr="00952411">
        <w:lastRenderedPageBreak/>
        <w:t>5. Adaptation strategies: from genes to greenhouse</w:t>
      </w:r>
      <w:bookmarkEnd w:id="31"/>
    </w:p>
    <w:p w:rsidR="00952411" w:rsidRPr="00952411" w:rsidRDefault="00952411" w:rsidP="008F4308">
      <w:pPr>
        <w:pStyle w:val="Heading2"/>
      </w:pPr>
      <w:bookmarkStart w:id="32" w:name="_Toc213110266"/>
      <w:r w:rsidRPr="00952411">
        <w:t>5.1 Genetic and genomic approaches for multifactorial resilience</w:t>
      </w:r>
      <w:bookmarkEnd w:id="32"/>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Targeted genome editing is accelerating the development of climate-ready horticultural cultivars by stacking tolerance traits without linkage drag. In fruit crops, CRISPR/Cas systems have been deployed for salinity, temperature, and drought resilience by editing transcription factors, ion transporters, and hormone signaling nodes, with increasingly precise base and prime editing options reducing off-target risk (Ma et al., 2023; Rahman et al., 2022). Importantly, editing strategies are shifting from single-stress loci toward hubs of cross-tolerance (e.g., ABA–ROS crosstalk), enabling performance under concurrent heat–drought or salt–heat episodes typical of climate extremes. Integrating genomic selection with high-throughput phenotyping and pangenomes in perennial fruit species can shorten breeding cycles and quantify genotype-by-environment interactions to prioritize edits with durable field value (Ma et al., 2023).</w:t>
      </w:r>
    </w:p>
    <w:p w:rsidR="00952411" w:rsidRPr="00952411" w:rsidRDefault="00952411" w:rsidP="008F4308">
      <w:pPr>
        <w:pStyle w:val="Heading2"/>
      </w:pPr>
      <w:bookmarkStart w:id="33" w:name="_Toc213110267"/>
      <w:r w:rsidRPr="00952411">
        <w:t>5.2 Rootstocks, grafting, and architectural buffering</w:t>
      </w:r>
      <w:bookmarkEnd w:id="33"/>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Grafting offers immediate, non-transgenic adaptation by decoupling scion quality traits from stress-tolerant root systems. Contemporary syntheses show grafting improves water status, ion homeostasis, and antioxidant capacity under drought and salinity, while modulating hormonal fluxes across the graft union; these effects translate to better fruit set and quality under heat and osmotic stress in vegetables and woody fruit species (</w:t>
      </w:r>
      <w:proofErr w:type="spellStart"/>
      <w:r w:rsidRPr="00952411">
        <w:rPr>
          <w:rFonts w:ascii="Times New Roman" w:eastAsia="Times New Roman" w:hAnsi="Times New Roman" w:cs="Times New Roman"/>
          <w:sz w:val="24"/>
          <w:szCs w:val="24"/>
          <w:lang w:bidi="ar-SA"/>
        </w:rPr>
        <w:t>Razi</w:t>
      </w:r>
      <w:proofErr w:type="spellEnd"/>
      <w:r w:rsidRPr="00952411">
        <w:rPr>
          <w:rFonts w:ascii="Times New Roman" w:eastAsia="Times New Roman" w:hAnsi="Times New Roman" w:cs="Times New Roman"/>
          <w:sz w:val="24"/>
          <w:szCs w:val="24"/>
          <w:lang w:bidi="ar-SA"/>
        </w:rPr>
        <w:t xml:space="preserve"> et al., 2024; Mahapatra et al., 2025). The approach also complements gene editing, as edited rootstocks can convey resilience to elite scions without altering their genomes, streamlining regulatory paths where scion edits face market or policy hurdles (</w:t>
      </w:r>
      <w:proofErr w:type="spellStart"/>
      <w:r w:rsidRPr="00952411">
        <w:rPr>
          <w:rFonts w:ascii="Times New Roman" w:eastAsia="Times New Roman" w:hAnsi="Times New Roman" w:cs="Times New Roman"/>
          <w:sz w:val="24"/>
          <w:szCs w:val="24"/>
          <w:lang w:bidi="ar-SA"/>
        </w:rPr>
        <w:t>Razi</w:t>
      </w:r>
      <w:proofErr w:type="spellEnd"/>
      <w:r w:rsidRPr="00952411">
        <w:rPr>
          <w:rFonts w:ascii="Times New Roman" w:eastAsia="Times New Roman" w:hAnsi="Times New Roman" w:cs="Times New Roman"/>
          <w:sz w:val="24"/>
          <w:szCs w:val="24"/>
          <w:lang w:bidi="ar-SA"/>
        </w:rPr>
        <w:t xml:space="preserve"> et al., 2024).</w:t>
      </w:r>
    </w:p>
    <w:p w:rsidR="00952411" w:rsidRPr="00952411" w:rsidRDefault="00952411" w:rsidP="008F4308">
      <w:pPr>
        <w:pStyle w:val="Heading2"/>
      </w:pPr>
      <w:bookmarkStart w:id="34" w:name="_Toc213110268"/>
      <w:r w:rsidRPr="00952411">
        <w:t xml:space="preserve">5.3 </w:t>
      </w:r>
      <w:proofErr w:type="spellStart"/>
      <w:r w:rsidRPr="00952411">
        <w:t>Biostimulants</w:t>
      </w:r>
      <w:proofErr w:type="spellEnd"/>
      <w:r w:rsidRPr="00952411">
        <w:t xml:space="preserve"> and priming to harden stress physiology</w:t>
      </w:r>
      <w:bookmarkEnd w:id="34"/>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952411">
        <w:rPr>
          <w:rFonts w:ascii="Times New Roman" w:eastAsia="Times New Roman" w:hAnsi="Times New Roman" w:cs="Times New Roman"/>
          <w:sz w:val="24"/>
          <w:szCs w:val="24"/>
          <w:lang w:bidi="ar-SA"/>
        </w:rPr>
        <w:t>Biostimulant</w:t>
      </w:r>
      <w:proofErr w:type="spellEnd"/>
      <w:r w:rsidRPr="00952411">
        <w:rPr>
          <w:rFonts w:ascii="Times New Roman" w:eastAsia="Times New Roman" w:hAnsi="Times New Roman" w:cs="Times New Roman"/>
          <w:sz w:val="24"/>
          <w:szCs w:val="24"/>
          <w:lang w:bidi="ar-SA"/>
        </w:rPr>
        <w:t xml:space="preserve"> classes—hormone-like metabolites, seaweed extracts, and silicon formulations—advance stress readiness by tuning antioxidant networks, osmolyte balance, and membrane integrity. Melatonin has emerged as a versatile priming agent in horticultural plants, boosting ROS detoxification and stabilizing photosystems during heat, salinity, and drought; translational frameworks now guide dose, timing, and delivery to avoid hormesis and achieve consistent field responses (Gao et al., 2022). Seaweed-derived products (e.g., </w:t>
      </w:r>
      <w:proofErr w:type="spellStart"/>
      <w:r w:rsidRPr="00952411">
        <w:rPr>
          <w:rFonts w:ascii="Times New Roman" w:eastAsia="Times New Roman" w:hAnsi="Times New Roman" w:cs="Times New Roman"/>
          <w:i/>
          <w:iCs/>
          <w:sz w:val="24"/>
          <w:szCs w:val="24"/>
          <w:lang w:bidi="ar-SA"/>
        </w:rPr>
        <w:t>Ascophyllum</w:t>
      </w:r>
      <w:proofErr w:type="spellEnd"/>
      <w:r w:rsidRPr="00952411">
        <w:rPr>
          <w:rFonts w:ascii="Times New Roman" w:eastAsia="Times New Roman" w:hAnsi="Times New Roman" w:cs="Times New Roman"/>
          <w:i/>
          <w:iCs/>
          <w:sz w:val="24"/>
          <w:szCs w:val="24"/>
          <w:lang w:bidi="ar-SA"/>
        </w:rPr>
        <w:t xml:space="preserve"> nodosum</w:t>
      </w:r>
      <w:r w:rsidRPr="00952411">
        <w:rPr>
          <w:rFonts w:ascii="Times New Roman" w:eastAsia="Times New Roman" w:hAnsi="Times New Roman" w:cs="Times New Roman"/>
          <w:sz w:val="24"/>
          <w:szCs w:val="24"/>
          <w:lang w:bidi="ar-SA"/>
        </w:rPr>
        <w:t>) confer thermotolerance and improve quality attributes via hormonal crosstalk and compatible solutes, with meta-analyses in fruit and vegetable systems documenting significant gains in yield stability under stress (</w:t>
      </w:r>
      <w:proofErr w:type="spellStart"/>
      <w:r w:rsidRPr="00952411">
        <w:rPr>
          <w:rFonts w:ascii="Times New Roman" w:eastAsia="Times New Roman" w:hAnsi="Times New Roman" w:cs="Times New Roman"/>
          <w:sz w:val="24"/>
          <w:szCs w:val="24"/>
          <w:lang w:bidi="ar-SA"/>
        </w:rPr>
        <w:t>Mughunth</w:t>
      </w:r>
      <w:proofErr w:type="spellEnd"/>
      <w:r w:rsidRPr="00952411">
        <w:rPr>
          <w:rFonts w:ascii="Times New Roman" w:eastAsia="Times New Roman" w:hAnsi="Times New Roman" w:cs="Times New Roman"/>
          <w:sz w:val="24"/>
          <w:szCs w:val="24"/>
          <w:lang w:bidi="ar-SA"/>
        </w:rPr>
        <w:t xml:space="preserve"> et al., 2024). Silicon—applied as foliar or root supplements or integrated into multi-component protectants—reinforces cell walls, modulates ion transport, and primes defense transcripts, with new materials chemistry improving persistence and uptake (</w:t>
      </w:r>
      <w:r w:rsidR="009C0F23" w:rsidRPr="00C1587D">
        <w:rPr>
          <w:rFonts w:ascii="Times New Roman" w:eastAsia="Times New Roman" w:hAnsi="Times New Roman" w:cs="Times New Roman"/>
          <w:sz w:val="24"/>
          <w:szCs w:val="24"/>
          <w:lang w:bidi="ar-SA"/>
        </w:rPr>
        <w:t>Mora-</w:t>
      </w:r>
      <w:proofErr w:type="spellStart"/>
      <w:r w:rsidR="009C0F23" w:rsidRPr="00C1587D">
        <w:rPr>
          <w:rFonts w:ascii="Times New Roman" w:eastAsia="Times New Roman" w:hAnsi="Times New Roman" w:cs="Times New Roman"/>
          <w:sz w:val="24"/>
          <w:szCs w:val="24"/>
          <w:lang w:bidi="ar-SA"/>
        </w:rPr>
        <w:t>Sanhueza</w:t>
      </w:r>
      <w:proofErr w:type="spellEnd"/>
      <w:r w:rsidRPr="00952411">
        <w:rPr>
          <w:rFonts w:ascii="Times New Roman" w:eastAsia="Times New Roman" w:hAnsi="Times New Roman" w:cs="Times New Roman"/>
          <w:sz w:val="24"/>
          <w:szCs w:val="24"/>
          <w:lang w:bidi="ar-SA"/>
        </w:rPr>
        <w:t xml:space="preserve"> et al., 2025). Finally, chemical/biological priming frameworks tailored to salt-affected </w:t>
      </w:r>
      <w:r w:rsidRPr="00952411">
        <w:rPr>
          <w:rFonts w:ascii="Times New Roman" w:eastAsia="Times New Roman" w:hAnsi="Times New Roman" w:cs="Times New Roman"/>
          <w:sz w:val="24"/>
          <w:szCs w:val="24"/>
          <w:lang w:bidi="ar-SA"/>
        </w:rPr>
        <w:lastRenderedPageBreak/>
        <w:t>horticulture detail reproducible protocols and decision rules for integrating priming into nursery and transplant stages (</w:t>
      </w:r>
      <w:r w:rsidR="009C0F23">
        <w:rPr>
          <w:rFonts w:ascii="Times New Roman" w:eastAsia="Times New Roman" w:hAnsi="Times New Roman" w:cs="Times New Roman"/>
          <w:sz w:val="24"/>
          <w:szCs w:val="24"/>
          <w:lang w:bidi="ar-SA"/>
        </w:rPr>
        <w:t>Zulfiqar et al., 2022</w:t>
      </w:r>
      <w:r w:rsidRPr="00952411">
        <w:rPr>
          <w:rFonts w:ascii="Times New Roman" w:eastAsia="Times New Roman" w:hAnsi="Times New Roman" w:cs="Times New Roman"/>
          <w:sz w:val="24"/>
          <w:szCs w:val="24"/>
          <w:lang w:bidi="ar-SA"/>
        </w:rPr>
        <w:t xml:space="preserve">). </w:t>
      </w:r>
    </w:p>
    <w:p w:rsidR="00952411" w:rsidRPr="00952411" w:rsidRDefault="00952411" w:rsidP="008F4308">
      <w:pPr>
        <w:pStyle w:val="Heading2"/>
      </w:pPr>
      <w:bookmarkStart w:id="35" w:name="_Toc213110269"/>
      <w:r w:rsidRPr="00952411">
        <w:t>5.4 Water–nutrient strategies: precision irrigation and fertigation</w:t>
      </w:r>
      <w:bookmarkEnd w:id="35"/>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Under intensifying water scarcity, regulated deficit irrigation (RDI) and sensor-guided partial root-zone drying (PRD) reconcile water savings with fruit quality in protected and open-field systems. Recent controlled-environment strawberry trials show automated RDI can reduce water and nutrient inputs with limited quality penalties when set points are tuned to stem water potential thresholds and coir moisture dynamics; however, aggressive deficits depress Class-1 yield, underscoring the need for crop- and stage-specific envelopes (</w:t>
      </w:r>
      <w:proofErr w:type="spellStart"/>
      <w:r w:rsidRPr="00952411">
        <w:rPr>
          <w:rFonts w:ascii="Times New Roman" w:eastAsia="Times New Roman" w:hAnsi="Times New Roman" w:cs="Times New Roman"/>
          <w:sz w:val="24"/>
          <w:szCs w:val="24"/>
          <w:lang w:bidi="ar-SA"/>
        </w:rPr>
        <w:t>Kouloumprouka</w:t>
      </w:r>
      <w:proofErr w:type="spellEnd"/>
      <w:r w:rsidRPr="00952411">
        <w:rPr>
          <w:rFonts w:ascii="Times New Roman" w:eastAsia="Times New Roman" w:hAnsi="Times New Roman" w:cs="Times New Roman"/>
          <w:sz w:val="24"/>
          <w:szCs w:val="24"/>
          <w:lang w:bidi="ar-SA"/>
        </w:rPr>
        <w:t xml:space="preserve"> </w:t>
      </w:r>
      <w:proofErr w:type="spellStart"/>
      <w:r w:rsidRPr="00952411">
        <w:rPr>
          <w:rFonts w:ascii="Times New Roman" w:eastAsia="Times New Roman" w:hAnsi="Times New Roman" w:cs="Times New Roman"/>
          <w:sz w:val="24"/>
          <w:szCs w:val="24"/>
          <w:lang w:bidi="ar-SA"/>
        </w:rPr>
        <w:t>Zacharaki</w:t>
      </w:r>
      <w:proofErr w:type="spellEnd"/>
      <w:r w:rsidRPr="00952411">
        <w:rPr>
          <w:rFonts w:ascii="Times New Roman" w:eastAsia="Times New Roman" w:hAnsi="Times New Roman" w:cs="Times New Roman"/>
          <w:sz w:val="24"/>
          <w:szCs w:val="24"/>
          <w:lang w:bidi="ar-SA"/>
        </w:rPr>
        <w:t xml:space="preserve"> et al., 2025). Landscape-level syntheses in woody crops highlight trade-offs across phenology and shoot vigor, recommending RDI windows aligned with less sensitivity to water stress and coupling with fertigation to maintain nitrogen use efficiency (</w:t>
      </w:r>
      <w:proofErr w:type="spellStart"/>
      <w:r w:rsidRPr="00952411">
        <w:rPr>
          <w:rFonts w:ascii="Times New Roman" w:eastAsia="Times New Roman" w:hAnsi="Times New Roman" w:cs="Times New Roman"/>
          <w:sz w:val="24"/>
          <w:szCs w:val="24"/>
          <w:lang w:bidi="ar-SA"/>
        </w:rPr>
        <w:t>Ibba</w:t>
      </w:r>
      <w:proofErr w:type="spellEnd"/>
      <w:r w:rsidRPr="00952411">
        <w:rPr>
          <w:rFonts w:ascii="Times New Roman" w:eastAsia="Times New Roman" w:hAnsi="Times New Roman" w:cs="Times New Roman"/>
          <w:sz w:val="24"/>
          <w:szCs w:val="24"/>
          <w:lang w:bidi="ar-SA"/>
        </w:rPr>
        <w:t xml:space="preserve"> et al., 2023). Integrating deficit strategies with nutrient amendment (e.g., K, Ca, Si) can buffer hydraulic failure and maintain fruit firmness under heat waves, but requires decision support to avoid cumulative stress loading.</w:t>
      </w:r>
    </w:p>
    <w:p w:rsidR="00952411" w:rsidRPr="00952411" w:rsidRDefault="00952411" w:rsidP="008F4308">
      <w:pPr>
        <w:pStyle w:val="Heading2"/>
      </w:pPr>
      <w:bookmarkStart w:id="36" w:name="_Toc213110270"/>
      <w:r w:rsidRPr="00952411">
        <w:t>5.5 Microclimate engineering in orchards and greenhouses</w:t>
      </w:r>
      <w:bookmarkEnd w:id="36"/>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At canopy scale, </w:t>
      </w:r>
      <w:proofErr w:type="spellStart"/>
      <w:r w:rsidRPr="00952411">
        <w:rPr>
          <w:rFonts w:ascii="Times New Roman" w:eastAsia="Times New Roman" w:hAnsi="Times New Roman" w:cs="Times New Roman"/>
          <w:sz w:val="24"/>
          <w:szCs w:val="24"/>
          <w:lang w:bidi="ar-SA"/>
        </w:rPr>
        <w:t>photoselective</w:t>
      </w:r>
      <w:proofErr w:type="spellEnd"/>
      <w:r w:rsidRPr="00952411">
        <w:rPr>
          <w:rFonts w:ascii="Times New Roman" w:eastAsia="Times New Roman" w:hAnsi="Times New Roman" w:cs="Times New Roman"/>
          <w:sz w:val="24"/>
          <w:szCs w:val="24"/>
          <w:lang w:bidi="ar-SA"/>
        </w:rPr>
        <w:t xml:space="preserve"> shade screens and nettings are now engineered to filter harmful spectral bands, increase diffuse light, and suppress radiant heat loads, thereby stabilizing gas exchange and reducing sunburn without major yield penalties (</w:t>
      </w:r>
      <w:r w:rsidR="00425038" w:rsidRPr="002F597B">
        <w:rPr>
          <w:rFonts w:ascii="Times New Roman" w:eastAsia="Times New Roman" w:hAnsi="Times New Roman" w:cs="Times New Roman"/>
          <w:sz w:val="24"/>
          <w:szCs w:val="24"/>
          <w:lang w:bidi="ar-SA"/>
        </w:rPr>
        <w:t>Pandey</w:t>
      </w:r>
      <w:r w:rsidRPr="00952411">
        <w:rPr>
          <w:rFonts w:ascii="Times New Roman" w:eastAsia="Times New Roman" w:hAnsi="Times New Roman" w:cs="Times New Roman"/>
          <w:sz w:val="24"/>
          <w:szCs w:val="24"/>
          <w:lang w:bidi="ar-SA"/>
        </w:rPr>
        <w:t xml:space="preserve"> et al., 20</w:t>
      </w:r>
      <w:r w:rsidR="00425038">
        <w:rPr>
          <w:rFonts w:ascii="Times New Roman" w:eastAsia="Times New Roman" w:hAnsi="Times New Roman" w:cs="Times New Roman"/>
          <w:sz w:val="24"/>
          <w:szCs w:val="24"/>
          <w:lang w:bidi="ar-SA"/>
        </w:rPr>
        <w:t>23</w:t>
      </w:r>
      <w:r w:rsidRPr="00952411">
        <w:rPr>
          <w:rFonts w:ascii="Times New Roman" w:eastAsia="Times New Roman" w:hAnsi="Times New Roman" w:cs="Times New Roman"/>
          <w:sz w:val="24"/>
          <w:szCs w:val="24"/>
          <w:lang w:bidi="ar-SA"/>
        </w:rPr>
        <w:t xml:space="preserve">; </w:t>
      </w:r>
      <w:proofErr w:type="spellStart"/>
      <w:r w:rsidR="004C2E8A">
        <w:rPr>
          <w:rFonts w:ascii="Times New Roman" w:eastAsia="Times New Roman" w:hAnsi="Times New Roman" w:cs="Times New Roman"/>
          <w:sz w:val="24"/>
          <w:szCs w:val="24"/>
          <w:lang w:bidi="ar-SA"/>
        </w:rPr>
        <w:t>Alhelal</w:t>
      </w:r>
      <w:proofErr w:type="spellEnd"/>
      <w:r w:rsidRPr="00952411">
        <w:rPr>
          <w:rFonts w:ascii="Times New Roman" w:eastAsia="Times New Roman" w:hAnsi="Times New Roman" w:cs="Times New Roman"/>
          <w:sz w:val="24"/>
          <w:szCs w:val="24"/>
          <w:lang w:bidi="ar-SA"/>
        </w:rPr>
        <w:t xml:space="preserve"> et al., 2024). In greenhouses, closed-loop sensing (VPD, fruit surface temperature) combined with responsive ventilation/misting strategies curbs heat stress while preserving water productivity. Edge-</w:t>
      </w:r>
      <w:proofErr w:type="spellStart"/>
      <w:r w:rsidRPr="00952411">
        <w:rPr>
          <w:rFonts w:ascii="Times New Roman" w:eastAsia="Times New Roman" w:hAnsi="Times New Roman" w:cs="Times New Roman"/>
          <w:sz w:val="24"/>
          <w:szCs w:val="24"/>
          <w:lang w:bidi="ar-SA"/>
        </w:rPr>
        <w:t>compute</w:t>
      </w:r>
      <w:proofErr w:type="spellEnd"/>
      <w:r w:rsidRPr="00952411">
        <w:rPr>
          <w:rFonts w:ascii="Times New Roman" w:eastAsia="Times New Roman" w:hAnsi="Times New Roman" w:cs="Times New Roman"/>
          <w:sz w:val="24"/>
          <w:szCs w:val="24"/>
          <w:lang w:bidi="ar-SA"/>
        </w:rPr>
        <w:t xml:space="preserve"> systems that segment fruit and compute real-time surface temperature from thermal-RGB streams enable on-the-fly sunburn risk maps and targeted evaporative cooling (</w:t>
      </w:r>
      <w:proofErr w:type="spellStart"/>
      <w:r w:rsidRPr="00952411">
        <w:rPr>
          <w:rFonts w:ascii="Times New Roman" w:eastAsia="Times New Roman" w:hAnsi="Times New Roman" w:cs="Times New Roman"/>
          <w:sz w:val="24"/>
          <w:szCs w:val="24"/>
          <w:lang w:bidi="ar-SA"/>
        </w:rPr>
        <w:t>Amogi</w:t>
      </w:r>
      <w:proofErr w:type="spellEnd"/>
      <w:r w:rsidRPr="00952411">
        <w:rPr>
          <w:rFonts w:ascii="Times New Roman" w:eastAsia="Times New Roman" w:hAnsi="Times New Roman" w:cs="Times New Roman"/>
          <w:sz w:val="24"/>
          <w:szCs w:val="24"/>
          <w:lang w:bidi="ar-SA"/>
        </w:rPr>
        <w:t xml:space="preserve"> et al., 2024). These interventions are most effective when embedded in crop calendars that shift pruning, thinning, and harvest windows to anticipated heat spikes. </w:t>
      </w:r>
    </w:p>
    <w:p w:rsidR="00952411" w:rsidRPr="00952411" w:rsidRDefault="00952411" w:rsidP="008F4308">
      <w:pPr>
        <w:pStyle w:val="Heading2"/>
      </w:pPr>
      <w:bookmarkStart w:id="37" w:name="_Toc213110271"/>
      <w:r w:rsidRPr="00952411">
        <w:t>5.6 Digital twins, phenotyping, and data-driven decisions</w:t>
      </w:r>
      <w:bookmarkEnd w:id="37"/>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AI-enabled phenotyping and control are reshaping protected horticulture. Mask R-CNN/Vision Transformer pipelines segment fruit and foliage to estimate load, size distribution, and canopy porosity that predict transpiration and stress hotspots; coupled with IoT sensor networks, they drive set-point optimization for irrigation and cooling (Computers &amp; Electronics in Agriculture, 2024; </w:t>
      </w:r>
      <w:proofErr w:type="spellStart"/>
      <w:r w:rsidRPr="00952411">
        <w:rPr>
          <w:rFonts w:ascii="Times New Roman" w:eastAsia="Times New Roman" w:hAnsi="Times New Roman" w:cs="Times New Roman"/>
          <w:sz w:val="24"/>
          <w:szCs w:val="24"/>
          <w:lang w:bidi="ar-SA"/>
        </w:rPr>
        <w:t>Amogi</w:t>
      </w:r>
      <w:proofErr w:type="spellEnd"/>
      <w:r w:rsidRPr="00952411">
        <w:rPr>
          <w:rFonts w:ascii="Times New Roman" w:eastAsia="Times New Roman" w:hAnsi="Times New Roman" w:cs="Times New Roman"/>
          <w:sz w:val="24"/>
          <w:szCs w:val="24"/>
          <w:lang w:bidi="ar-SA"/>
        </w:rPr>
        <w:t xml:space="preserve"> et al., 2024). Methodological guidance from high-throughput phenotyping communities cautions against proxy-trait overfitting and emphasizes rigorous calibration/validation to ensure that digital indices track physiological reality across genotypes and environments (</w:t>
      </w:r>
      <w:proofErr w:type="spellStart"/>
      <w:r w:rsidRPr="00952411">
        <w:rPr>
          <w:rFonts w:ascii="Times New Roman" w:eastAsia="Times New Roman" w:hAnsi="Times New Roman" w:cs="Times New Roman"/>
          <w:sz w:val="24"/>
          <w:szCs w:val="24"/>
          <w:lang w:bidi="ar-SA"/>
        </w:rPr>
        <w:t>Poorter</w:t>
      </w:r>
      <w:proofErr w:type="spellEnd"/>
      <w:r w:rsidRPr="00952411">
        <w:rPr>
          <w:rFonts w:ascii="Times New Roman" w:eastAsia="Times New Roman" w:hAnsi="Times New Roman" w:cs="Times New Roman"/>
          <w:sz w:val="24"/>
          <w:szCs w:val="24"/>
          <w:lang w:bidi="ar-SA"/>
        </w:rPr>
        <w:t xml:space="preserve"> et al., 2023). Microbiome-aware decision support is emerging, with endophyte-based treatments integrated into calendars using weather-informed stress alerts (</w:t>
      </w:r>
      <w:proofErr w:type="spellStart"/>
      <w:r w:rsidR="00425038" w:rsidRPr="00425038">
        <w:rPr>
          <w:rFonts w:ascii="Times New Roman" w:eastAsia="Times New Roman" w:hAnsi="Times New Roman" w:cs="Times New Roman"/>
          <w:sz w:val="24"/>
          <w:szCs w:val="24"/>
          <w:lang w:bidi="ar-SA"/>
        </w:rPr>
        <w:t>Sena</w:t>
      </w:r>
      <w:proofErr w:type="spellEnd"/>
      <w:r w:rsidRPr="00952411">
        <w:rPr>
          <w:rFonts w:ascii="Times New Roman" w:eastAsia="Times New Roman" w:hAnsi="Times New Roman" w:cs="Times New Roman"/>
          <w:sz w:val="24"/>
          <w:szCs w:val="24"/>
          <w:lang w:bidi="ar-SA"/>
        </w:rPr>
        <w:t xml:space="preserve"> et al., 2024). </w:t>
      </w:r>
    </w:p>
    <w:p w:rsidR="00952411" w:rsidRPr="00952411" w:rsidRDefault="00952411" w:rsidP="008F4308">
      <w:pPr>
        <w:pStyle w:val="Heading2"/>
      </w:pPr>
      <w:bookmarkStart w:id="38" w:name="_Toc213110272"/>
      <w:r w:rsidRPr="00952411">
        <w:lastRenderedPageBreak/>
        <w:t>5.7 Building integrated, climate-smart packages</w:t>
      </w:r>
      <w:bookmarkEnd w:id="38"/>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Resilience gains are maximized when strategies are bundled across scales: edited or grafted plant material primed with melatonin or silicon; sensor-guided RDI/PRD with fertigation; orchard nets or </w:t>
      </w:r>
      <w:proofErr w:type="spellStart"/>
      <w:r w:rsidRPr="00952411">
        <w:rPr>
          <w:rFonts w:ascii="Times New Roman" w:eastAsia="Times New Roman" w:hAnsi="Times New Roman" w:cs="Times New Roman"/>
          <w:sz w:val="24"/>
          <w:szCs w:val="24"/>
          <w:lang w:bidi="ar-SA"/>
        </w:rPr>
        <w:t>photoselective</w:t>
      </w:r>
      <w:proofErr w:type="spellEnd"/>
      <w:r w:rsidRPr="00952411">
        <w:rPr>
          <w:rFonts w:ascii="Times New Roman" w:eastAsia="Times New Roman" w:hAnsi="Times New Roman" w:cs="Times New Roman"/>
          <w:sz w:val="24"/>
          <w:szCs w:val="24"/>
          <w:lang w:bidi="ar-SA"/>
        </w:rPr>
        <w:t xml:space="preserve"> films to moderate canopy energy balance; and AI-assisted scheduling that adapts to forecasted compound stress (heat–drought–salinity). The practical arc is clear: start with plant material able to maintain hydraulics and ion homeostasis; minimize exposure through spectral and evaporative microclimate tools; and close the loop with sensing and analytics that keep interventions within physiological safety margins. Such multi-lever packages convert climate risk into manageable, decision-ready signals for growers while sustaining fruit quality traits valued by markets. </w:t>
      </w:r>
    </w:p>
    <w:p w:rsidR="00952411" w:rsidRPr="00952411" w:rsidRDefault="00952411" w:rsidP="00952411">
      <w:pPr>
        <w:spacing w:after="0" w:line="240" w:lineRule="auto"/>
        <w:rPr>
          <w:rFonts w:ascii="Times New Roman" w:eastAsia="Times New Roman" w:hAnsi="Times New Roman" w:cs="Times New Roman"/>
          <w:sz w:val="24"/>
          <w:szCs w:val="24"/>
          <w:lang w:bidi="ar-SA"/>
        </w:rPr>
      </w:pPr>
    </w:p>
    <w:p w:rsidR="00952411" w:rsidRPr="00952411" w:rsidRDefault="00952411" w:rsidP="008F4308">
      <w:pPr>
        <w:pStyle w:val="Heading1"/>
      </w:pPr>
      <w:bookmarkStart w:id="39" w:name="_Toc213110273"/>
      <w:r>
        <w:t>6</w:t>
      </w:r>
      <w:r w:rsidRPr="00952411">
        <w:t>. Policy and scaling pathways</w:t>
      </w:r>
      <w:bookmarkEnd w:id="39"/>
    </w:p>
    <w:p w:rsidR="00952411" w:rsidRPr="00952411" w:rsidRDefault="00952411" w:rsidP="008F4308">
      <w:pPr>
        <w:pStyle w:val="Heading2"/>
      </w:pPr>
      <w:bookmarkStart w:id="40" w:name="_Toc213110274"/>
      <w:r>
        <w:t>6</w:t>
      </w:r>
      <w:r w:rsidRPr="00952411">
        <w:t>.1 Regulatory enablers for resilient inputs and genetics</w:t>
      </w:r>
      <w:bookmarkEnd w:id="40"/>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Scaling climate resilience in horticulture requires regulatory pathways that are both science-based and innovation-friendly. Two domains illustrate the opportunity. First, genome editing: countries are converging toward tiered, risk-proportionate approaches that distinguish small edits without foreign DNA from transgenics, reducing uncertainty for developers and public breeding programs while preserving biosafety rigor (</w:t>
      </w:r>
      <w:proofErr w:type="spellStart"/>
      <w:r w:rsidRPr="00952411">
        <w:rPr>
          <w:rFonts w:ascii="Times New Roman" w:eastAsia="Times New Roman" w:hAnsi="Times New Roman" w:cs="Times New Roman"/>
          <w:sz w:val="24"/>
          <w:szCs w:val="24"/>
          <w:lang w:bidi="ar-SA"/>
        </w:rPr>
        <w:t>Tachikawa</w:t>
      </w:r>
      <w:proofErr w:type="spellEnd"/>
      <w:r w:rsidRPr="00952411">
        <w:rPr>
          <w:rFonts w:ascii="Times New Roman" w:eastAsia="Times New Roman" w:hAnsi="Times New Roman" w:cs="Times New Roman"/>
          <w:sz w:val="24"/>
          <w:szCs w:val="24"/>
          <w:lang w:bidi="ar-SA"/>
        </w:rPr>
        <w:t xml:space="preserve"> &amp; Matsuo, 2024). Clarity on what constitutes “edited” versus “transgenic” plant material and transparent, trait-focused risk assessments would accelerate regionally adapted, stress-tolerant cultivars for fruits and vegetables, especially where perennial breeding cycles are long (</w:t>
      </w:r>
      <w:proofErr w:type="spellStart"/>
      <w:r w:rsidRPr="00952411">
        <w:rPr>
          <w:rFonts w:ascii="Times New Roman" w:eastAsia="Times New Roman" w:hAnsi="Times New Roman" w:cs="Times New Roman"/>
          <w:sz w:val="24"/>
          <w:szCs w:val="24"/>
          <w:lang w:bidi="ar-SA"/>
        </w:rPr>
        <w:t>Tachikawa</w:t>
      </w:r>
      <w:proofErr w:type="spellEnd"/>
      <w:r w:rsidRPr="00952411">
        <w:rPr>
          <w:rFonts w:ascii="Times New Roman" w:eastAsia="Times New Roman" w:hAnsi="Times New Roman" w:cs="Times New Roman"/>
          <w:sz w:val="24"/>
          <w:szCs w:val="24"/>
          <w:lang w:bidi="ar-SA"/>
        </w:rPr>
        <w:t xml:space="preserve"> &amp; Matsuo, 2024). Second, plant </w:t>
      </w:r>
      <w:proofErr w:type="spellStart"/>
      <w:r w:rsidRPr="00952411">
        <w:rPr>
          <w:rFonts w:ascii="Times New Roman" w:eastAsia="Times New Roman" w:hAnsi="Times New Roman" w:cs="Times New Roman"/>
          <w:sz w:val="24"/>
          <w:szCs w:val="24"/>
          <w:lang w:bidi="ar-SA"/>
        </w:rPr>
        <w:t>biostimulants</w:t>
      </w:r>
      <w:proofErr w:type="spellEnd"/>
      <w:r w:rsidRPr="00952411">
        <w:rPr>
          <w:rFonts w:ascii="Times New Roman" w:eastAsia="Times New Roman" w:hAnsi="Times New Roman" w:cs="Times New Roman"/>
          <w:sz w:val="24"/>
          <w:szCs w:val="24"/>
          <w:lang w:bidi="ar-SA"/>
        </w:rPr>
        <w:t xml:space="preserve">: harmonized product definitions and claim standards (e.g., stress tolerance, nutrient-use efficiency) have begun to align efficacy evidence, labeling, and market access across jurisdictions. Meta-analytical evidence shows </w:t>
      </w:r>
      <w:proofErr w:type="spellStart"/>
      <w:r w:rsidRPr="00952411">
        <w:rPr>
          <w:rFonts w:ascii="Times New Roman" w:eastAsia="Times New Roman" w:hAnsi="Times New Roman" w:cs="Times New Roman"/>
          <w:sz w:val="24"/>
          <w:szCs w:val="24"/>
          <w:lang w:bidi="ar-SA"/>
        </w:rPr>
        <w:t>biostimulants</w:t>
      </w:r>
      <w:proofErr w:type="spellEnd"/>
      <w:r w:rsidRPr="00952411">
        <w:rPr>
          <w:rFonts w:ascii="Times New Roman" w:eastAsia="Times New Roman" w:hAnsi="Times New Roman" w:cs="Times New Roman"/>
          <w:sz w:val="24"/>
          <w:szCs w:val="24"/>
          <w:lang w:bidi="ar-SA"/>
        </w:rPr>
        <w:t xml:space="preserve"> can stabilize yields in field conditions when products and protocols are well specified, supporting policies that require performance data under realistic stress scenarios rather than greenhouse-only trials (Li et al., 2022). Together, proportionate genome-editing oversight and evidence-based </w:t>
      </w:r>
      <w:proofErr w:type="spellStart"/>
      <w:r w:rsidRPr="00952411">
        <w:rPr>
          <w:rFonts w:ascii="Times New Roman" w:eastAsia="Times New Roman" w:hAnsi="Times New Roman" w:cs="Times New Roman"/>
          <w:sz w:val="24"/>
          <w:szCs w:val="24"/>
          <w:lang w:bidi="ar-SA"/>
        </w:rPr>
        <w:t>biostimulant</w:t>
      </w:r>
      <w:proofErr w:type="spellEnd"/>
      <w:r w:rsidRPr="00952411">
        <w:rPr>
          <w:rFonts w:ascii="Times New Roman" w:eastAsia="Times New Roman" w:hAnsi="Times New Roman" w:cs="Times New Roman"/>
          <w:sz w:val="24"/>
          <w:szCs w:val="24"/>
          <w:lang w:bidi="ar-SA"/>
        </w:rPr>
        <w:t xml:space="preserve"> regulation provide predictable “rules of the game,” lowering costs for small and medium innovators while protecting growers and consumers. </w:t>
      </w:r>
    </w:p>
    <w:p w:rsidR="00952411" w:rsidRPr="00952411" w:rsidRDefault="00952411" w:rsidP="008F4308">
      <w:pPr>
        <w:pStyle w:val="Heading2"/>
      </w:pPr>
      <w:bookmarkStart w:id="41" w:name="_Toc213110275"/>
      <w:r>
        <w:t>6</w:t>
      </w:r>
      <w:r w:rsidRPr="00952411">
        <w:t>.2 MRV and finance: from plot signals to verifiable outcomes</w:t>
      </w:r>
      <w:bookmarkEnd w:id="41"/>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Investment-grade scaling hinges on monitoring, reporting, and verification (MRV) systems that credibly attribute outcomes to practices at grower scale and aggregate them to programs and markets. Recent frameworks propose modular MRV architectures for land-based systems that couple standardized soil/plant indicators with interoperable data pipelines, enabling comparability across crops and regions while allowing project-specific methods where needed </w:t>
      </w:r>
      <w:r w:rsidRPr="00952411">
        <w:rPr>
          <w:rFonts w:ascii="Times New Roman" w:eastAsia="Times New Roman" w:hAnsi="Times New Roman" w:cs="Times New Roman"/>
          <w:sz w:val="24"/>
          <w:szCs w:val="24"/>
          <w:lang w:bidi="ar-SA"/>
        </w:rPr>
        <w:lastRenderedPageBreak/>
        <w:t>(</w:t>
      </w:r>
      <w:proofErr w:type="spellStart"/>
      <w:r w:rsidRPr="00952411">
        <w:rPr>
          <w:rFonts w:ascii="Times New Roman" w:eastAsia="Times New Roman" w:hAnsi="Times New Roman" w:cs="Times New Roman"/>
          <w:sz w:val="24"/>
          <w:szCs w:val="24"/>
          <w:lang w:bidi="ar-SA"/>
        </w:rPr>
        <w:t>Batjes</w:t>
      </w:r>
      <w:proofErr w:type="spellEnd"/>
      <w:r w:rsidRPr="00952411">
        <w:rPr>
          <w:rFonts w:ascii="Times New Roman" w:eastAsia="Times New Roman" w:hAnsi="Times New Roman" w:cs="Times New Roman"/>
          <w:sz w:val="24"/>
          <w:szCs w:val="24"/>
          <w:lang w:bidi="ar-SA"/>
        </w:rPr>
        <w:t xml:space="preserve"> et al., 2024). Case studies in low-carbon agriculture demonstrate how blended data—sensor networks, remote sensing, and audited farm records—can support large-scale MRV for practice adoption and environmental performance, a template that horticulture can adapt for water productivity, microclimate mitigation (shade nets/misting), and quality outcomes tied to heat or salinity stress (</w:t>
      </w:r>
      <w:proofErr w:type="spellStart"/>
      <w:r w:rsidRPr="00952411">
        <w:rPr>
          <w:rFonts w:ascii="Times New Roman" w:eastAsia="Times New Roman" w:hAnsi="Times New Roman" w:cs="Times New Roman"/>
          <w:sz w:val="24"/>
          <w:szCs w:val="24"/>
          <w:lang w:bidi="ar-SA"/>
        </w:rPr>
        <w:t>Perosa</w:t>
      </w:r>
      <w:proofErr w:type="spellEnd"/>
      <w:r w:rsidRPr="00952411">
        <w:rPr>
          <w:rFonts w:ascii="Times New Roman" w:eastAsia="Times New Roman" w:hAnsi="Times New Roman" w:cs="Times New Roman"/>
          <w:sz w:val="24"/>
          <w:szCs w:val="24"/>
          <w:lang w:bidi="ar-SA"/>
        </w:rPr>
        <w:t xml:space="preserve"> et al., 2023). Critically, MRV must track not only biophysical indicators but also productivity and livelihood co-benefits if programs are to align with climate-smart agriculture’s three pillars; current assessment tools often underweight these socioeconomic dimensions, implying a need for integrated metrics at trial and program design stages (van </w:t>
      </w:r>
      <w:proofErr w:type="spellStart"/>
      <w:r w:rsidRPr="00952411">
        <w:rPr>
          <w:rFonts w:ascii="Times New Roman" w:eastAsia="Times New Roman" w:hAnsi="Times New Roman" w:cs="Times New Roman"/>
          <w:sz w:val="24"/>
          <w:szCs w:val="24"/>
          <w:lang w:bidi="ar-SA"/>
        </w:rPr>
        <w:t>Wijk</w:t>
      </w:r>
      <w:proofErr w:type="spellEnd"/>
      <w:r w:rsidRPr="00952411">
        <w:rPr>
          <w:rFonts w:ascii="Times New Roman" w:eastAsia="Times New Roman" w:hAnsi="Times New Roman" w:cs="Times New Roman"/>
          <w:sz w:val="24"/>
          <w:szCs w:val="24"/>
          <w:lang w:bidi="ar-SA"/>
        </w:rPr>
        <w:t xml:space="preserve"> et al., 2020). For public programs and results-based finance, this translates into tiered evidence requirements: (</w:t>
      </w:r>
      <w:proofErr w:type="spellStart"/>
      <w:r w:rsidRPr="00952411">
        <w:rPr>
          <w:rFonts w:ascii="Times New Roman" w:eastAsia="Times New Roman" w:hAnsi="Times New Roman" w:cs="Times New Roman"/>
          <w:sz w:val="24"/>
          <w:szCs w:val="24"/>
          <w:lang w:bidi="ar-SA"/>
        </w:rPr>
        <w:t>i</w:t>
      </w:r>
      <w:proofErr w:type="spellEnd"/>
      <w:r w:rsidRPr="00952411">
        <w:rPr>
          <w:rFonts w:ascii="Times New Roman" w:eastAsia="Times New Roman" w:hAnsi="Times New Roman" w:cs="Times New Roman"/>
          <w:sz w:val="24"/>
          <w:szCs w:val="24"/>
          <w:lang w:bidi="ar-SA"/>
        </w:rPr>
        <w:t xml:space="preserve">) plot-level phenology-anchored indicators for stress exposure and response, (ii) practice verification and persistence checks, and (iii) outcome audits that are statistically powered but cost-contained through sampling and open protocols. Such MRV-ready design allows governments and buyers to de-risk adoption packages—edited or grafted plant material plus microclimate engineering and precise irrigation—at scale in specialty crop value chains. </w:t>
      </w:r>
    </w:p>
    <w:p w:rsidR="00952411" w:rsidRPr="00952411" w:rsidRDefault="00952411" w:rsidP="00952411">
      <w:pPr>
        <w:spacing w:after="0" w:line="240" w:lineRule="auto"/>
        <w:rPr>
          <w:rFonts w:ascii="Times New Roman" w:eastAsia="Times New Roman" w:hAnsi="Times New Roman" w:cs="Times New Roman"/>
          <w:sz w:val="24"/>
          <w:szCs w:val="24"/>
          <w:lang w:bidi="ar-SA"/>
        </w:rPr>
      </w:pPr>
    </w:p>
    <w:p w:rsidR="00952411" w:rsidRPr="00952411" w:rsidRDefault="00952411" w:rsidP="008F4308">
      <w:pPr>
        <w:pStyle w:val="Heading1"/>
      </w:pPr>
      <w:bookmarkStart w:id="42" w:name="_Toc213110276"/>
      <w:r w:rsidRPr="00952411">
        <w:t>7. Conclusions</w:t>
      </w:r>
      <w:bookmarkEnd w:id="42"/>
    </w:p>
    <w:p w:rsidR="00952411" w:rsidRPr="00952411" w:rsidRDefault="00952411" w:rsidP="00952411">
      <w:pPr>
        <w:spacing w:before="100" w:beforeAutospacing="1" w:after="100" w:afterAutospacing="1" w:line="240" w:lineRule="auto"/>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Horticulture now operates in a world where compound extremes—not single stressors—shape crop performance, with non-additive plant responses undermining predictions derived from single-factor screens. The converging evidence shows that resilience hinges on fast, layered coordination among ROS–Ca²⁺ signaling, HSF/HSP-mediated </w:t>
      </w:r>
      <w:proofErr w:type="spellStart"/>
      <w:r w:rsidRPr="00952411">
        <w:rPr>
          <w:rFonts w:ascii="Times New Roman" w:eastAsia="Times New Roman" w:hAnsi="Times New Roman" w:cs="Times New Roman"/>
          <w:sz w:val="24"/>
          <w:szCs w:val="24"/>
          <w:lang w:bidi="ar-SA"/>
        </w:rPr>
        <w:t>proteostasis</w:t>
      </w:r>
      <w:proofErr w:type="spellEnd"/>
      <w:r w:rsidRPr="00952411">
        <w:rPr>
          <w:rFonts w:ascii="Times New Roman" w:eastAsia="Times New Roman" w:hAnsi="Times New Roman" w:cs="Times New Roman"/>
          <w:sz w:val="24"/>
          <w:szCs w:val="24"/>
          <w:lang w:bidi="ar-SA"/>
        </w:rPr>
        <w:t>, and hormone crosstalk that prioritizes water balance and reproductive function under heat–drought regimes (</w:t>
      </w:r>
      <w:proofErr w:type="spellStart"/>
      <w:r w:rsidRPr="00952411">
        <w:rPr>
          <w:rFonts w:ascii="Times New Roman" w:eastAsia="Times New Roman" w:hAnsi="Times New Roman" w:cs="Times New Roman"/>
          <w:sz w:val="24"/>
          <w:szCs w:val="24"/>
          <w:lang w:bidi="ar-SA"/>
        </w:rPr>
        <w:t>Zandalinas</w:t>
      </w:r>
      <w:proofErr w:type="spellEnd"/>
      <w:r w:rsidRPr="00952411">
        <w:rPr>
          <w:rFonts w:ascii="Times New Roman" w:eastAsia="Times New Roman" w:hAnsi="Times New Roman" w:cs="Times New Roman"/>
          <w:sz w:val="24"/>
          <w:szCs w:val="24"/>
          <w:lang w:bidi="ar-SA"/>
        </w:rPr>
        <w:t xml:space="preserve"> &amp; </w:t>
      </w:r>
      <w:proofErr w:type="spellStart"/>
      <w:r w:rsidRPr="00952411">
        <w:rPr>
          <w:rFonts w:ascii="Times New Roman" w:eastAsia="Times New Roman" w:hAnsi="Times New Roman" w:cs="Times New Roman"/>
          <w:sz w:val="24"/>
          <w:szCs w:val="24"/>
          <w:lang w:bidi="ar-SA"/>
        </w:rPr>
        <w:t>Mittler</w:t>
      </w:r>
      <w:proofErr w:type="spellEnd"/>
      <w:r w:rsidRPr="00952411">
        <w:rPr>
          <w:rFonts w:ascii="Times New Roman" w:eastAsia="Times New Roman" w:hAnsi="Times New Roman" w:cs="Times New Roman"/>
          <w:sz w:val="24"/>
          <w:szCs w:val="24"/>
          <w:lang w:bidi="ar-SA"/>
        </w:rPr>
        <w:t xml:space="preserve">, 2022; Sato et al., 2024; </w:t>
      </w:r>
      <w:proofErr w:type="spellStart"/>
      <w:r w:rsidRPr="00952411">
        <w:rPr>
          <w:rFonts w:ascii="Times New Roman" w:eastAsia="Times New Roman" w:hAnsi="Times New Roman" w:cs="Times New Roman"/>
          <w:sz w:val="24"/>
          <w:szCs w:val="24"/>
          <w:lang w:bidi="ar-SA"/>
        </w:rPr>
        <w:t>Waadt</w:t>
      </w:r>
      <w:proofErr w:type="spellEnd"/>
      <w:r w:rsidRPr="00952411">
        <w:rPr>
          <w:rFonts w:ascii="Times New Roman" w:eastAsia="Times New Roman" w:hAnsi="Times New Roman" w:cs="Times New Roman"/>
          <w:sz w:val="24"/>
          <w:szCs w:val="24"/>
          <w:lang w:bidi="ar-SA"/>
        </w:rPr>
        <w:t xml:space="preserve"> et al., 2022). Reproductive tissues remain the decisive bottleneck: safeguarding pollen development and fertilization during moderate, chronic warmth is prerequisite to stabilizing yield and quality in fruit and vegetable crops (</w:t>
      </w:r>
      <w:proofErr w:type="spellStart"/>
      <w:r w:rsidRPr="00952411">
        <w:rPr>
          <w:rFonts w:ascii="Times New Roman" w:eastAsia="Times New Roman" w:hAnsi="Times New Roman" w:cs="Times New Roman"/>
          <w:sz w:val="24"/>
          <w:szCs w:val="24"/>
          <w:lang w:bidi="ar-SA"/>
        </w:rPr>
        <w:t>Lohani</w:t>
      </w:r>
      <w:proofErr w:type="spellEnd"/>
      <w:r w:rsidRPr="00952411">
        <w:rPr>
          <w:rFonts w:ascii="Times New Roman" w:eastAsia="Times New Roman" w:hAnsi="Times New Roman" w:cs="Times New Roman"/>
          <w:sz w:val="24"/>
          <w:szCs w:val="24"/>
          <w:lang w:bidi="ar-SA"/>
        </w:rPr>
        <w:t xml:space="preserve"> et al., 2024). At the same time, system-level drivers such as rising vapor-pressure deficit amplify desiccation load and canopy overheating, reinforcing the need to pair stress-tolerant germplasm with microclimate and water-management solutions (Novick et al., 2024). Looking ahead, credible adaptation packages will couple genetics and physiology: cis-regulatory and gene-editing strategies to harden key nodes of thermotolerance and ion homeostasis, deployed alongside grafting, precise irrigation, spectral/shading tools, and </w:t>
      </w:r>
      <w:proofErr w:type="spellStart"/>
      <w:r w:rsidRPr="00952411">
        <w:rPr>
          <w:rFonts w:ascii="Times New Roman" w:eastAsia="Times New Roman" w:hAnsi="Times New Roman" w:cs="Times New Roman"/>
          <w:sz w:val="24"/>
          <w:szCs w:val="24"/>
          <w:lang w:bidi="ar-SA"/>
        </w:rPr>
        <w:t>biostimulant</w:t>
      </w:r>
      <w:proofErr w:type="spellEnd"/>
      <w:r w:rsidRPr="00952411">
        <w:rPr>
          <w:rFonts w:ascii="Times New Roman" w:eastAsia="Times New Roman" w:hAnsi="Times New Roman" w:cs="Times New Roman"/>
          <w:sz w:val="24"/>
          <w:szCs w:val="24"/>
          <w:lang w:bidi="ar-SA"/>
        </w:rPr>
        <w:t xml:space="preserve">-guided priming. Crucially, selection and validation must occur under realistic </w:t>
      </w:r>
      <w:r w:rsidRPr="00952411">
        <w:rPr>
          <w:rFonts w:ascii="Times New Roman" w:eastAsia="Times New Roman" w:hAnsi="Times New Roman" w:cs="Times New Roman"/>
          <w:i/>
          <w:iCs/>
          <w:sz w:val="24"/>
          <w:szCs w:val="24"/>
          <w:lang w:bidi="ar-SA"/>
        </w:rPr>
        <w:t>combination</w:t>
      </w:r>
      <w:r w:rsidRPr="00952411">
        <w:rPr>
          <w:rFonts w:ascii="Times New Roman" w:eastAsia="Times New Roman" w:hAnsi="Times New Roman" w:cs="Times New Roman"/>
          <w:sz w:val="24"/>
          <w:szCs w:val="24"/>
          <w:lang w:bidi="ar-SA"/>
        </w:rPr>
        <w:t xml:space="preserve"> stresses, with MRV-ready metrics that reflect quality-adjusted yield rather than biomass alone. By aligning molecular insight with stage-specific vulnerabilities and decision support in orchards and greenhouses, the sector can translate climate risk into manageable, verifiable outcomes and sustain the sensory and nutritional value that defines high-value horticulture. (</w:t>
      </w:r>
      <w:proofErr w:type="spellStart"/>
      <w:r w:rsidRPr="00952411">
        <w:rPr>
          <w:rFonts w:ascii="Times New Roman" w:eastAsia="Times New Roman" w:hAnsi="Times New Roman" w:cs="Times New Roman"/>
          <w:sz w:val="24"/>
          <w:szCs w:val="24"/>
          <w:lang w:bidi="ar-SA"/>
        </w:rPr>
        <w:t>Zandalinas</w:t>
      </w:r>
      <w:proofErr w:type="spellEnd"/>
      <w:r w:rsidRPr="00952411">
        <w:rPr>
          <w:rFonts w:ascii="Times New Roman" w:eastAsia="Times New Roman" w:hAnsi="Times New Roman" w:cs="Times New Roman"/>
          <w:sz w:val="24"/>
          <w:szCs w:val="24"/>
          <w:lang w:bidi="ar-SA"/>
        </w:rPr>
        <w:t xml:space="preserve"> &amp; </w:t>
      </w:r>
      <w:proofErr w:type="spellStart"/>
      <w:r w:rsidRPr="00952411">
        <w:rPr>
          <w:rFonts w:ascii="Times New Roman" w:eastAsia="Times New Roman" w:hAnsi="Times New Roman" w:cs="Times New Roman"/>
          <w:sz w:val="24"/>
          <w:szCs w:val="24"/>
          <w:lang w:bidi="ar-SA"/>
        </w:rPr>
        <w:t>Mittler</w:t>
      </w:r>
      <w:proofErr w:type="spellEnd"/>
      <w:r w:rsidRPr="00952411">
        <w:rPr>
          <w:rFonts w:ascii="Times New Roman" w:eastAsia="Times New Roman" w:hAnsi="Times New Roman" w:cs="Times New Roman"/>
          <w:sz w:val="24"/>
          <w:szCs w:val="24"/>
          <w:lang w:bidi="ar-SA"/>
        </w:rPr>
        <w:t xml:space="preserve">, 2022; Sato et al., 2024; </w:t>
      </w:r>
      <w:proofErr w:type="spellStart"/>
      <w:r w:rsidRPr="00952411">
        <w:rPr>
          <w:rFonts w:ascii="Times New Roman" w:eastAsia="Times New Roman" w:hAnsi="Times New Roman" w:cs="Times New Roman"/>
          <w:sz w:val="24"/>
          <w:szCs w:val="24"/>
          <w:lang w:bidi="ar-SA"/>
        </w:rPr>
        <w:t>Waadt</w:t>
      </w:r>
      <w:proofErr w:type="spellEnd"/>
      <w:r w:rsidRPr="00952411">
        <w:rPr>
          <w:rFonts w:ascii="Times New Roman" w:eastAsia="Times New Roman" w:hAnsi="Times New Roman" w:cs="Times New Roman"/>
          <w:sz w:val="24"/>
          <w:szCs w:val="24"/>
          <w:lang w:bidi="ar-SA"/>
        </w:rPr>
        <w:t xml:space="preserve"> et al., 2022; </w:t>
      </w:r>
      <w:proofErr w:type="spellStart"/>
      <w:r w:rsidRPr="00952411">
        <w:rPr>
          <w:rFonts w:ascii="Times New Roman" w:eastAsia="Times New Roman" w:hAnsi="Times New Roman" w:cs="Times New Roman"/>
          <w:sz w:val="24"/>
          <w:szCs w:val="24"/>
          <w:lang w:bidi="ar-SA"/>
        </w:rPr>
        <w:t>Lohani</w:t>
      </w:r>
      <w:proofErr w:type="spellEnd"/>
      <w:r w:rsidRPr="00952411">
        <w:rPr>
          <w:rFonts w:ascii="Times New Roman" w:eastAsia="Times New Roman" w:hAnsi="Times New Roman" w:cs="Times New Roman"/>
          <w:sz w:val="24"/>
          <w:szCs w:val="24"/>
          <w:lang w:bidi="ar-SA"/>
        </w:rPr>
        <w:t xml:space="preserve"> et al., 2024; Novick et al., 2024; Ma et al., 2023). </w:t>
      </w:r>
    </w:p>
    <w:p w:rsidR="00952411" w:rsidRPr="00952411" w:rsidRDefault="00952411" w:rsidP="00952411">
      <w:pPr>
        <w:spacing w:after="0" w:line="240" w:lineRule="auto"/>
        <w:rPr>
          <w:rFonts w:ascii="Times New Roman" w:eastAsia="Times New Roman" w:hAnsi="Times New Roman" w:cs="Times New Roman"/>
          <w:sz w:val="24"/>
          <w:szCs w:val="24"/>
          <w:lang w:bidi="ar-SA"/>
        </w:rPr>
      </w:pPr>
    </w:p>
    <w:p w:rsidR="008D2A3F" w:rsidRPr="008D2A3F" w:rsidRDefault="009C0F23" w:rsidP="008F4308">
      <w:pPr>
        <w:pStyle w:val="Heading1"/>
      </w:pPr>
      <w:bookmarkStart w:id="43" w:name="_Toc213110277"/>
      <w:r>
        <w:t>8</w:t>
      </w:r>
      <w:r w:rsidR="008D2A3F" w:rsidRPr="008D2A3F">
        <w:t>. Limitations</w:t>
      </w:r>
      <w:bookmarkEnd w:id="43"/>
    </w:p>
    <w:p w:rsidR="008D2A3F" w:rsidRDefault="008D2A3F" w:rsidP="008D2A3F">
      <w:pPr>
        <w:spacing w:before="100" w:beforeAutospacing="1" w:after="100" w:afterAutospacing="1" w:line="240" w:lineRule="auto"/>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lastRenderedPageBreak/>
        <w:t xml:space="preserve">This review emphasizes recent, peer-reviewed advances and solution pathways with translational potential; even so, the horticultural evidence base remains uneven across crops, regions, and stress combinations. Many mechanistic findings are derived from model species or annual vegetables and may not fully represent perennial fruit trees with long juvenility and complex source–sink dynamics. Field-scale validation under realistic compound extremes, including heat waves aligned with flowering, is still limited, as are long-term data on quality traits and postharvest performance under adaptation treatments. Additionally, interactions among adaptation levers—such as rootstocks with priming agents under </w:t>
      </w:r>
      <w:proofErr w:type="spellStart"/>
      <w:r w:rsidRPr="008D2A3F">
        <w:rPr>
          <w:rFonts w:ascii="Times New Roman" w:eastAsia="Times New Roman" w:hAnsi="Times New Roman" w:cs="Times New Roman"/>
          <w:sz w:val="24"/>
          <w:szCs w:val="24"/>
          <w:lang w:bidi="ar-SA"/>
        </w:rPr>
        <w:t>photoselective</w:t>
      </w:r>
      <w:proofErr w:type="spellEnd"/>
      <w:r w:rsidRPr="008D2A3F">
        <w:rPr>
          <w:rFonts w:ascii="Times New Roman" w:eastAsia="Times New Roman" w:hAnsi="Times New Roman" w:cs="Times New Roman"/>
          <w:sz w:val="24"/>
          <w:szCs w:val="24"/>
          <w:lang w:bidi="ar-SA"/>
        </w:rPr>
        <w:t xml:space="preserve"> covers—are underexplored and may yield non-intuitive trade-offs. Finally, regulatory and market contexts for gene-edited horticultural products continue to evolve, affecting deployment timelines independent of biological readiness.</w:t>
      </w:r>
    </w:p>
    <w:p w:rsidR="009C0F23" w:rsidRDefault="009C0F23" w:rsidP="008D2A3F">
      <w:pPr>
        <w:spacing w:before="100" w:beforeAutospacing="1" w:after="100" w:afterAutospacing="1" w:line="240" w:lineRule="auto"/>
        <w:rPr>
          <w:rFonts w:ascii="Times New Roman" w:eastAsia="Times New Roman" w:hAnsi="Times New Roman" w:cs="Times New Roman"/>
          <w:sz w:val="24"/>
          <w:szCs w:val="24"/>
          <w:lang w:bidi="ar-SA"/>
        </w:rPr>
      </w:pPr>
    </w:p>
    <w:p w:rsidR="009C0F23" w:rsidRDefault="009C0F23" w:rsidP="008F4308">
      <w:pPr>
        <w:pStyle w:val="Heading1"/>
      </w:pPr>
      <w:bookmarkStart w:id="44" w:name="_Toc213110278"/>
      <w:r>
        <w:t>Reference</w:t>
      </w:r>
      <w:r w:rsidRPr="008D2A3F">
        <w:t>s</w:t>
      </w:r>
      <w:bookmarkEnd w:id="44"/>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FA1072">
        <w:rPr>
          <w:rFonts w:ascii="Times New Roman" w:eastAsia="Times New Roman" w:hAnsi="Times New Roman" w:cs="Times New Roman"/>
          <w:sz w:val="24"/>
          <w:szCs w:val="24"/>
          <w:lang w:bidi="ar-SA"/>
        </w:rPr>
        <w:t>Alhelal</w:t>
      </w:r>
      <w:proofErr w:type="spellEnd"/>
      <w:r w:rsidRPr="00FA1072">
        <w:rPr>
          <w:rFonts w:ascii="Times New Roman" w:eastAsia="Times New Roman" w:hAnsi="Times New Roman" w:cs="Times New Roman"/>
          <w:sz w:val="24"/>
          <w:szCs w:val="24"/>
          <w:lang w:bidi="ar-SA"/>
        </w:rPr>
        <w:t xml:space="preserve">, I. M., </w:t>
      </w:r>
      <w:proofErr w:type="spellStart"/>
      <w:r w:rsidRPr="00FA1072">
        <w:rPr>
          <w:rFonts w:ascii="Times New Roman" w:eastAsia="Times New Roman" w:hAnsi="Times New Roman" w:cs="Times New Roman"/>
          <w:sz w:val="24"/>
          <w:szCs w:val="24"/>
          <w:lang w:bidi="ar-SA"/>
        </w:rPr>
        <w:t>Albadawi</w:t>
      </w:r>
      <w:proofErr w:type="spellEnd"/>
      <w:r w:rsidRPr="00FA1072">
        <w:rPr>
          <w:rFonts w:ascii="Times New Roman" w:eastAsia="Times New Roman" w:hAnsi="Times New Roman" w:cs="Times New Roman"/>
          <w:sz w:val="24"/>
          <w:szCs w:val="24"/>
          <w:lang w:bidi="ar-SA"/>
        </w:rPr>
        <w:t xml:space="preserve">, A. A., </w:t>
      </w:r>
      <w:proofErr w:type="spellStart"/>
      <w:r w:rsidRPr="00FA1072">
        <w:rPr>
          <w:rFonts w:ascii="Times New Roman" w:eastAsia="Times New Roman" w:hAnsi="Times New Roman" w:cs="Times New Roman"/>
          <w:sz w:val="24"/>
          <w:szCs w:val="24"/>
          <w:lang w:bidi="ar-SA"/>
        </w:rPr>
        <w:t>Alsadon</w:t>
      </w:r>
      <w:proofErr w:type="spellEnd"/>
      <w:r w:rsidRPr="00FA1072">
        <w:rPr>
          <w:rFonts w:ascii="Times New Roman" w:eastAsia="Times New Roman" w:hAnsi="Times New Roman" w:cs="Times New Roman"/>
          <w:sz w:val="24"/>
          <w:szCs w:val="24"/>
          <w:lang w:bidi="ar-SA"/>
        </w:rPr>
        <w:t xml:space="preserve">, A. A., </w:t>
      </w:r>
      <w:proofErr w:type="spellStart"/>
      <w:r w:rsidRPr="00FA1072">
        <w:rPr>
          <w:rFonts w:ascii="Times New Roman" w:eastAsia="Times New Roman" w:hAnsi="Times New Roman" w:cs="Times New Roman"/>
          <w:sz w:val="24"/>
          <w:szCs w:val="24"/>
          <w:lang w:bidi="ar-SA"/>
        </w:rPr>
        <w:t>Alenazi</w:t>
      </w:r>
      <w:proofErr w:type="spellEnd"/>
      <w:r w:rsidRPr="00FA1072">
        <w:rPr>
          <w:rFonts w:ascii="Times New Roman" w:eastAsia="Times New Roman" w:hAnsi="Times New Roman" w:cs="Times New Roman"/>
          <w:sz w:val="24"/>
          <w:szCs w:val="24"/>
          <w:lang w:bidi="ar-SA"/>
        </w:rPr>
        <w:t xml:space="preserve">, M. M., Ibrahim, A. A., Shady, M., &amp; Al-Dubai, A. A. (2024). Effects of Shading Nets Color on the Internal Environmental Conditions, Light Spectral Distribution, and Strawberry Growth and Yield in Greenhouses. Plants (Basel, Switzerland), 13(16), 2318. </w:t>
      </w:r>
      <w:hyperlink r:id="rId7" w:history="1">
        <w:r w:rsidRPr="00425139">
          <w:rPr>
            <w:rStyle w:val="Hyperlink"/>
            <w:rFonts w:ascii="Times New Roman" w:eastAsia="Times New Roman" w:hAnsi="Times New Roman" w:cs="Times New Roman"/>
            <w:sz w:val="24"/>
            <w:szCs w:val="24"/>
            <w:lang w:bidi="ar-SA"/>
          </w:rPr>
          <w:t>https://doi.org/10.3390/plants13162318</w:t>
        </w:r>
      </w:hyperlink>
      <w:r>
        <w:rPr>
          <w:rFonts w:ascii="Times New Roman" w:eastAsia="Times New Roman" w:hAnsi="Times New Roman" w:cs="Times New Roman"/>
          <w:sz w:val="24"/>
          <w:szCs w:val="24"/>
          <w:lang w:bidi="ar-SA"/>
        </w:rPr>
        <w:t xml:space="preserve"> </w:t>
      </w:r>
    </w:p>
    <w:p w:rsidR="009C0F23"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Amogi</w:t>
      </w:r>
      <w:proofErr w:type="spellEnd"/>
      <w:r w:rsidRPr="00190B07">
        <w:rPr>
          <w:rFonts w:ascii="Times New Roman" w:eastAsia="Times New Roman" w:hAnsi="Times New Roman" w:cs="Times New Roman"/>
          <w:sz w:val="24"/>
          <w:szCs w:val="24"/>
          <w:lang w:bidi="ar-SA"/>
        </w:rPr>
        <w:t xml:space="preserve">, B. R., Ranjan, R., &amp; </w:t>
      </w:r>
      <w:proofErr w:type="spellStart"/>
      <w:r w:rsidRPr="00190B07">
        <w:rPr>
          <w:rFonts w:ascii="Times New Roman" w:eastAsia="Times New Roman" w:hAnsi="Times New Roman" w:cs="Times New Roman"/>
          <w:sz w:val="24"/>
          <w:szCs w:val="24"/>
          <w:lang w:bidi="ar-SA"/>
        </w:rPr>
        <w:t>Khot</w:t>
      </w:r>
      <w:proofErr w:type="spellEnd"/>
      <w:r w:rsidRPr="00190B07">
        <w:rPr>
          <w:rFonts w:ascii="Times New Roman" w:eastAsia="Times New Roman" w:hAnsi="Times New Roman" w:cs="Times New Roman"/>
          <w:sz w:val="24"/>
          <w:szCs w:val="24"/>
          <w:lang w:bidi="ar-SA"/>
        </w:rPr>
        <w:t xml:space="preserve">, L. R. (2024). Mask R-CNN aided fruit surface temperature monitoring algorithm with edge-compute enabled IoT system for automated apple heat stress management. </w:t>
      </w:r>
      <w:r w:rsidRPr="00190B07">
        <w:rPr>
          <w:rFonts w:ascii="Times New Roman" w:eastAsia="Times New Roman" w:hAnsi="Times New Roman" w:cs="Times New Roman"/>
          <w:i/>
          <w:iCs/>
          <w:sz w:val="24"/>
          <w:szCs w:val="24"/>
          <w:lang w:bidi="ar-SA"/>
        </w:rPr>
        <w:t>Information Processing in Agriculture, 11</w:t>
      </w:r>
      <w:r w:rsidRPr="00190B07">
        <w:rPr>
          <w:rFonts w:ascii="Times New Roman" w:eastAsia="Times New Roman" w:hAnsi="Times New Roman" w:cs="Times New Roman"/>
          <w:sz w:val="24"/>
          <w:szCs w:val="24"/>
          <w:lang w:bidi="ar-SA"/>
        </w:rPr>
        <w:t xml:space="preserve">(4), 603–611. </w:t>
      </w:r>
      <w:hyperlink r:id="rId8" w:history="1">
        <w:r w:rsidRPr="00425139">
          <w:rPr>
            <w:rStyle w:val="Hyperlink"/>
            <w:rFonts w:ascii="Times New Roman" w:eastAsia="Times New Roman" w:hAnsi="Times New Roman" w:cs="Times New Roman"/>
            <w:sz w:val="24"/>
            <w:szCs w:val="24"/>
            <w:lang w:bidi="ar-SA"/>
          </w:rPr>
          <w:t>https://doi.org/10.1016/j.inpa.2023.12.001</w:t>
        </w:r>
      </w:hyperlink>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Batjes</w:t>
      </w:r>
      <w:proofErr w:type="spellEnd"/>
      <w:r w:rsidRPr="00190B07">
        <w:rPr>
          <w:rFonts w:ascii="Times New Roman" w:eastAsia="Times New Roman" w:hAnsi="Times New Roman" w:cs="Times New Roman"/>
          <w:sz w:val="24"/>
          <w:szCs w:val="24"/>
          <w:lang w:bidi="ar-SA"/>
        </w:rPr>
        <w:t xml:space="preserve">, N. H., Schipper, L., &amp; </w:t>
      </w:r>
      <w:proofErr w:type="spellStart"/>
      <w:r w:rsidRPr="00190B07">
        <w:rPr>
          <w:rFonts w:ascii="Times New Roman" w:eastAsia="Times New Roman" w:hAnsi="Times New Roman" w:cs="Times New Roman"/>
          <w:sz w:val="24"/>
          <w:szCs w:val="24"/>
          <w:lang w:bidi="ar-SA"/>
        </w:rPr>
        <w:t>McConkey</w:t>
      </w:r>
      <w:proofErr w:type="spellEnd"/>
      <w:r w:rsidRPr="00190B07">
        <w:rPr>
          <w:rFonts w:ascii="Times New Roman" w:eastAsia="Times New Roman" w:hAnsi="Times New Roman" w:cs="Times New Roman"/>
          <w:sz w:val="24"/>
          <w:szCs w:val="24"/>
          <w:lang w:bidi="ar-SA"/>
        </w:rPr>
        <w:t xml:space="preserve">, B. (2024). Towards a modular, multi-ecosystem monitoring, reporting and verification (MRV) framework for soil organic carbon stock change assessment. </w:t>
      </w:r>
      <w:r w:rsidRPr="00190B07">
        <w:rPr>
          <w:rFonts w:ascii="Times New Roman" w:eastAsia="Times New Roman" w:hAnsi="Times New Roman" w:cs="Times New Roman"/>
          <w:i/>
          <w:iCs/>
          <w:sz w:val="24"/>
          <w:szCs w:val="24"/>
          <w:lang w:bidi="ar-SA"/>
        </w:rPr>
        <w:t>Carbon Management, 15</w:t>
      </w:r>
      <w:r w:rsidRPr="00190B07">
        <w:rPr>
          <w:rFonts w:ascii="Times New Roman" w:eastAsia="Times New Roman" w:hAnsi="Times New Roman" w:cs="Times New Roman"/>
          <w:sz w:val="24"/>
          <w:szCs w:val="24"/>
          <w:lang w:bidi="ar-SA"/>
        </w:rPr>
        <w:t xml:space="preserve">(1), 1–17. https://doi.org/10.1080/17583004.2024.2410812 </w:t>
      </w:r>
    </w:p>
    <w:p w:rsidR="009C0F23"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Ding, J., Wang, K., Pandey, S., Perales, M., </w:t>
      </w:r>
      <w:proofErr w:type="spellStart"/>
      <w:r w:rsidRPr="00190B07">
        <w:rPr>
          <w:rFonts w:ascii="Times New Roman" w:eastAsia="Times New Roman" w:hAnsi="Times New Roman" w:cs="Times New Roman"/>
          <w:sz w:val="24"/>
          <w:szCs w:val="24"/>
          <w:lang w:bidi="ar-SA"/>
        </w:rPr>
        <w:t>Allona</w:t>
      </w:r>
      <w:proofErr w:type="spellEnd"/>
      <w:r w:rsidRPr="00190B07">
        <w:rPr>
          <w:rFonts w:ascii="Times New Roman" w:eastAsia="Times New Roman" w:hAnsi="Times New Roman" w:cs="Times New Roman"/>
          <w:sz w:val="24"/>
          <w:szCs w:val="24"/>
          <w:lang w:bidi="ar-SA"/>
        </w:rPr>
        <w:t xml:space="preserve">, I., Khan, M. R. I., </w:t>
      </w:r>
      <w:proofErr w:type="spellStart"/>
      <w:r w:rsidRPr="00190B07">
        <w:rPr>
          <w:rFonts w:ascii="Times New Roman" w:eastAsia="Times New Roman" w:hAnsi="Times New Roman" w:cs="Times New Roman"/>
          <w:sz w:val="24"/>
          <w:szCs w:val="24"/>
          <w:lang w:bidi="ar-SA"/>
        </w:rPr>
        <w:t>Busov</w:t>
      </w:r>
      <w:proofErr w:type="spellEnd"/>
      <w:r w:rsidRPr="00190B07">
        <w:rPr>
          <w:rFonts w:ascii="Times New Roman" w:eastAsia="Times New Roman" w:hAnsi="Times New Roman" w:cs="Times New Roman"/>
          <w:sz w:val="24"/>
          <w:szCs w:val="24"/>
          <w:lang w:bidi="ar-SA"/>
        </w:rPr>
        <w:t xml:space="preserve">, V. B., &amp; </w:t>
      </w:r>
      <w:proofErr w:type="spellStart"/>
      <w:r w:rsidRPr="00190B07">
        <w:rPr>
          <w:rFonts w:ascii="Times New Roman" w:eastAsia="Times New Roman" w:hAnsi="Times New Roman" w:cs="Times New Roman"/>
          <w:sz w:val="24"/>
          <w:szCs w:val="24"/>
          <w:lang w:bidi="ar-SA"/>
        </w:rPr>
        <w:t>Bhalerao</w:t>
      </w:r>
      <w:proofErr w:type="spellEnd"/>
      <w:r w:rsidRPr="00190B07">
        <w:rPr>
          <w:rFonts w:ascii="Times New Roman" w:eastAsia="Times New Roman" w:hAnsi="Times New Roman" w:cs="Times New Roman"/>
          <w:sz w:val="24"/>
          <w:szCs w:val="24"/>
          <w:lang w:bidi="ar-SA"/>
        </w:rPr>
        <w:t xml:space="preserve">, R. P. (2024). Molecular advances in bud dormancy in trees. </w:t>
      </w:r>
      <w:r w:rsidRPr="00190B07">
        <w:rPr>
          <w:rFonts w:ascii="Times New Roman" w:eastAsia="Times New Roman" w:hAnsi="Times New Roman" w:cs="Times New Roman"/>
          <w:i/>
          <w:iCs/>
          <w:sz w:val="24"/>
          <w:szCs w:val="24"/>
          <w:lang w:bidi="ar-SA"/>
        </w:rPr>
        <w:t>Journal of Experimental Botany, 75</w:t>
      </w:r>
      <w:r w:rsidRPr="00190B07">
        <w:rPr>
          <w:rFonts w:ascii="Times New Roman" w:eastAsia="Times New Roman" w:hAnsi="Times New Roman" w:cs="Times New Roman"/>
          <w:sz w:val="24"/>
          <w:szCs w:val="24"/>
          <w:lang w:bidi="ar-SA"/>
        </w:rPr>
        <w:t xml:space="preserve">(19), 6063–6075. https://doi.org/10.1093/jxb/erae183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Duan</w:t>
      </w:r>
      <w:proofErr w:type="spellEnd"/>
      <w:r w:rsidRPr="00190B07">
        <w:rPr>
          <w:rFonts w:ascii="Times New Roman" w:eastAsia="Times New Roman" w:hAnsi="Times New Roman" w:cs="Times New Roman"/>
          <w:sz w:val="24"/>
          <w:szCs w:val="24"/>
          <w:lang w:bidi="ar-SA"/>
        </w:rPr>
        <w:t xml:space="preserve">, W., Lin, W., Guo, H., He, F., Lin, Y., &amp; Zhang, B. (2023). Chilling-induced peach flavor loss is associated with expression and DNA methylation of functional genes. </w:t>
      </w:r>
      <w:r w:rsidRPr="00190B07">
        <w:rPr>
          <w:rFonts w:ascii="Times New Roman" w:eastAsia="Times New Roman" w:hAnsi="Times New Roman" w:cs="Times New Roman"/>
          <w:i/>
          <w:iCs/>
          <w:sz w:val="24"/>
          <w:szCs w:val="24"/>
          <w:lang w:bidi="ar-SA"/>
        </w:rPr>
        <w:t>Journal of Advanced Research, 53</w:t>
      </w:r>
      <w:r w:rsidRPr="00190B07">
        <w:rPr>
          <w:rFonts w:ascii="Times New Roman" w:eastAsia="Times New Roman" w:hAnsi="Times New Roman" w:cs="Times New Roman"/>
          <w:sz w:val="24"/>
          <w:szCs w:val="24"/>
          <w:lang w:bidi="ar-SA"/>
        </w:rPr>
        <w:t xml:space="preserve">, 17–31. https://doi.org/10.1016/j.jare.2022.12.003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Ertle</w:t>
      </w:r>
      <w:proofErr w:type="spellEnd"/>
      <w:r w:rsidRPr="00190B07">
        <w:rPr>
          <w:rFonts w:ascii="Times New Roman" w:eastAsia="Times New Roman" w:hAnsi="Times New Roman" w:cs="Times New Roman"/>
          <w:sz w:val="24"/>
          <w:szCs w:val="24"/>
          <w:lang w:bidi="ar-SA"/>
        </w:rPr>
        <w:t xml:space="preserve">, J., &amp; Kubota, C. (2023). Testing cultivar-specific </w:t>
      </w:r>
      <w:proofErr w:type="spellStart"/>
      <w:r w:rsidRPr="00190B07">
        <w:rPr>
          <w:rFonts w:ascii="Times New Roman" w:eastAsia="Times New Roman" w:hAnsi="Times New Roman" w:cs="Times New Roman"/>
          <w:sz w:val="24"/>
          <w:szCs w:val="24"/>
          <w:lang w:bidi="ar-SA"/>
        </w:rPr>
        <w:t>tipburn</w:t>
      </w:r>
      <w:proofErr w:type="spellEnd"/>
      <w:r w:rsidRPr="00190B07">
        <w:rPr>
          <w:rFonts w:ascii="Times New Roman" w:eastAsia="Times New Roman" w:hAnsi="Times New Roman" w:cs="Times New Roman"/>
          <w:sz w:val="24"/>
          <w:szCs w:val="24"/>
          <w:lang w:bidi="ar-SA"/>
        </w:rPr>
        <w:t xml:space="preserve"> sensitivity of lettuce for indoor vertical farms. </w:t>
      </w:r>
      <w:proofErr w:type="spellStart"/>
      <w:r w:rsidRPr="00190B07">
        <w:rPr>
          <w:rFonts w:ascii="Times New Roman" w:eastAsia="Times New Roman" w:hAnsi="Times New Roman" w:cs="Times New Roman"/>
          <w:i/>
          <w:iCs/>
          <w:sz w:val="24"/>
          <w:szCs w:val="24"/>
          <w:lang w:bidi="ar-SA"/>
        </w:rPr>
        <w:t>HortScience</w:t>
      </w:r>
      <w:proofErr w:type="spellEnd"/>
      <w:r w:rsidRPr="00190B07">
        <w:rPr>
          <w:rFonts w:ascii="Times New Roman" w:eastAsia="Times New Roman" w:hAnsi="Times New Roman" w:cs="Times New Roman"/>
          <w:i/>
          <w:iCs/>
          <w:sz w:val="24"/>
          <w:szCs w:val="24"/>
          <w:lang w:bidi="ar-SA"/>
        </w:rPr>
        <w:t>, 58</w:t>
      </w:r>
      <w:r w:rsidRPr="00190B07">
        <w:rPr>
          <w:rFonts w:ascii="Times New Roman" w:eastAsia="Times New Roman" w:hAnsi="Times New Roman" w:cs="Times New Roman"/>
          <w:sz w:val="24"/>
          <w:szCs w:val="24"/>
          <w:lang w:bidi="ar-SA"/>
        </w:rPr>
        <w:t xml:space="preserve">(10), 1257–1266. https://doi.org/10.21273/HORTSCI17313-23 </w:t>
      </w:r>
    </w:p>
    <w:p w:rsidR="009C0F23" w:rsidRDefault="009C0F23" w:rsidP="009C0F23">
      <w:pPr>
        <w:pStyle w:val="NormalWeb"/>
      </w:pPr>
      <w:r>
        <w:t xml:space="preserve">Gambetta, J. M., Holzapfel, B. P., Stoll, M., &amp; Friedel, M. (2021). Sunburn in grapes: A review. </w:t>
      </w:r>
      <w:r>
        <w:rPr>
          <w:rStyle w:val="Emphasis"/>
        </w:rPr>
        <w:t>Frontiers in Plant Science, 11</w:t>
      </w:r>
      <w:r>
        <w:t xml:space="preserve">, 604691. https://doi.org/10.3389/fpls.2020.604691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lastRenderedPageBreak/>
        <w:t xml:space="preserve">Gao, W., Zhang, X., Li, Q., &amp; Zhao, H. (2022). Introducing melatonin to the horticultural industry: Physiological mechanisms, practical applications and prospects. </w:t>
      </w:r>
      <w:r w:rsidRPr="00190B07">
        <w:rPr>
          <w:rFonts w:ascii="Times New Roman" w:eastAsia="Times New Roman" w:hAnsi="Times New Roman" w:cs="Times New Roman"/>
          <w:i/>
          <w:iCs/>
          <w:sz w:val="24"/>
          <w:szCs w:val="24"/>
          <w:lang w:bidi="ar-SA"/>
        </w:rPr>
        <w:t>Horticulture Research, 9</w:t>
      </w:r>
      <w:r w:rsidRPr="00190B07">
        <w:rPr>
          <w:rFonts w:ascii="Times New Roman" w:eastAsia="Times New Roman" w:hAnsi="Times New Roman" w:cs="Times New Roman"/>
          <w:sz w:val="24"/>
          <w:szCs w:val="24"/>
          <w:lang w:bidi="ar-SA"/>
        </w:rPr>
        <w:t>, uhac094. https://doi.org/10.1093/hr/uhac094</w:t>
      </w:r>
    </w:p>
    <w:p w:rsidR="009C0F23" w:rsidRDefault="009C0F23" w:rsidP="009C0F23">
      <w:pPr>
        <w:pStyle w:val="NormalWeb"/>
      </w:pPr>
      <w:proofErr w:type="spellStart"/>
      <w:r>
        <w:t>Geng</w:t>
      </w:r>
      <w:proofErr w:type="spellEnd"/>
      <w:r>
        <w:t xml:space="preserve">, J., Kasahara, H., </w:t>
      </w:r>
      <w:proofErr w:type="spellStart"/>
      <w:r>
        <w:t>Voesenek</w:t>
      </w:r>
      <w:proofErr w:type="spellEnd"/>
      <w:r>
        <w:t xml:space="preserve">, L. A. C. J., Xu, J., &amp; </w:t>
      </w:r>
      <w:proofErr w:type="spellStart"/>
      <w:r>
        <w:t>Sasidharan</w:t>
      </w:r>
      <w:proofErr w:type="spellEnd"/>
      <w:r>
        <w:t xml:space="preserve">, R. (2025). Biological mechanisms of waterlogging tolerance in plants. </w:t>
      </w:r>
      <w:r>
        <w:rPr>
          <w:rStyle w:val="Emphasis"/>
        </w:rPr>
        <w:t>Plant, Cell &amp; Environment, 48</w:t>
      </w:r>
      <w:r>
        <w:t xml:space="preserve">(S1), e70241. https://doi.org/10.1111/pce.70241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González </w:t>
      </w:r>
      <w:proofErr w:type="spellStart"/>
      <w:r w:rsidRPr="00190B07">
        <w:rPr>
          <w:rFonts w:ascii="Times New Roman" w:eastAsia="Times New Roman" w:hAnsi="Times New Roman" w:cs="Times New Roman"/>
          <w:sz w:val="24"/>
          <w:szCs w:val="24"/>
          <w:lang w:bidi="ar-SA"/>
        </w:rPr>
        <w:t>Noguer</w:t>
      </w:r>
      <w:proofErr w:type="spellEnd"/>
      <w:r w:rsidRPr="00190B07">
        <w:rPr>
          <w:rFonts w:ascii="Times New Roman" w:eastAsia="Times New Roman" w:hAnsi="Times New Roman" w:cs="Times New Roman"/>
          <w:sz w:val="24"/>
          <w:szCs w:val="24"/>
          <w:lang w:bidi="ar-SA"/>
        </w:rPr>
        <w:t xml:space="preserve">, C., Delgado, A., Else, M., &amp; Hadley, P. (2023). </w:t>
      </w:r>
      <w:r w:rsidRPr="002F597B">
        <w:rPr>
          <w:rFonts w:ascii="Times New Roman" w:eastAsia="Times New Roman" w:hAnsi="Times New Roman" w:cs="Times New Roman"/>
          <w:sz w:val="24"/>
          <w:szCs w:val="24"/>
          <w:lang w:bidi="ar-SA"/>
        </w:rPr>
        <w:t xml:space="preserve">Apple (Malus × </w:t>
      </w:r>
      <w:proofErr w:type="spellStart"/>
      <w:r w:rsidRPr="002F597B">
        <w:rPr>
          <w:rFonts w:ascii="Times New Roman" w:eastAsia="Times New Roman" w:hAnsi="Times New Roman" w:cs="Times New Roman"/>
          <w:sz w:val="24"/>
          <w:szCs w:val="24"/>
          <w:lang w:bidi="ar-SA"/>
        </w:rPr>
        <w:t>domestica</w:t>
      </w:r>
      <w:proofErr w:type="spellEnd"/>
      <w:r w:rsidRPr="002F597B">
        <w:rPr>
          <w:rFonts w:ascii="Times New Roman" w:eastAsia="Times New Roman" w:hAnsi="Times New Roman" w:cs="Times New Roman"/>
          <w:sz w:val="24"/>
          <w:szCs w:val="24"/>
          <w:lang w:bidi="ar-SA"/>
        </w:rPr>
        <w:t xml:space="preserve"> </w:t>
      </w:r>
      <w:proofErr w:type="spellStart"/>
      <w:r w:rsidRPr="002F597B">
        <w:rPr>
          <w:rFonts w:ascii="Times New Roman" w:eastAsia="Times New Roman" w:hAnsi="Times New Roman" w:cs="Times New Roman"/>
          <w:sz w:val="24"/>
          <w:szCs w:val="24"/>
          <w:lang w:bidi="ar-SA"/>
        </w:rPr>
        <w:t>Borkh</w:t>
      </w:r>
      <w:proofErr w:type="spellEnd"/>
      <w:r w:rsidRPr="002F597B">
        <w:rPr>
          <w:rFonts w:ascii="Times New Roman" w:eastAsia="Times New Roman" w:hAnsi="Times New Roman" w:cs="Times New Roman"/>
          <w:sz w:val="24"/>
          <w:szCs w:val="24"/>
          <w:lang w:bidi="ar-SA"/>
        </w:rPr>
        <w:t>.) dormancy – a review of regulatory mechanisms and agroclimatic requirements</w:t>
      </w:r>
      <w:r w:rsidRPr="00190B07">
        <w:rPr>
          <w:rFonts w:ascii="Times New Roman" w:eastAsia="Times New Roman" w:hAnsi="Times New Roman" w:cs="Times New Roman"/>
          <w:sz w:val="24"/>
          <w:szCs w:val="24"/>
          <w:lang w:bidi="ar-SA"/>
        </w:rPr>
        <w:t xml:space="preserve">. </w:t>
      </w:r>
      <w:r w:rsidRPr="00190B07">
        <w:rPr>
          <w:rFonts w:ascii="Times New Roman" w:eastAsia="Times New Roman" w:hAnsi="Times New Roman" w:cs="Times New Roman"/>
          <w:i/>
          <w:iCs/>
          <w:sz w:val="24"/>
          <w:szCs w:val="24"/>
          <w:lang w:bidi="ar-SA"/>
        </w:rPr>
        <w:t>Frontiers in Horticulture, 2</w:t>
      </w:r>
      <w:r w:rsidRPr="00190B07">
        <w:rPr>
          <w:rFonts w:ascii="Times New Roman" w:eastAsia="Times New Roman" w:hAnsi="Times New Roman" w:cs="Times New Roman"/>
          <w:sz w:val="24"/>
          <w:szCs w:val="24"/>
          <w:lang w:bidi="ar-SA"/>
        </w:rPr>
        <w:t xml:space="preserve">, 1217689. https://doi.org/10.3389/fhort.2023.1217689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Graci</w:t>
      </w:r>
      <w:proofErr w:type="spellEnd"/>
      <w:r w:rsidRPr="00190B07">
        <w:rPr>
          <w:rFonts w:ascii="Times New Roman" w:eastAsia="Times New Roman" w:hAnsi="Times New Roman" w:cs="Times New Roman"/>
          <w:sz w:val="24"/>
          <w:szCs w:val="24"/>
          <w:lang w:bidi="ar-SA"/>
        </w:rPr>
        <w:t xml:space="preserve">, S., </w:t>
      </w:r>
      <w:proofErr w:type="spellStart"/>
      <w:r w:rsidRPr="00190B07">
        <w:rPr>
          <w:rFonts w:ascii="Times New Roman" w:eastAsia="Times New Roman" w:hAnsi="Times New Roman" w:cs="Times New Roman"/>
          <w:sz w:val="24"/>
          <w:szCs w:val="24"/>
          <w:lang w:bidi="ar-SA"/>
        </w:rPr>
        <w:t>Baccichet</w:t>
      </w:r>
      <w:proofErr w:type="spellEnd"/>
      <w:r w:rsidRPr="00190B07">
        <w:rPr>
          <w:rFonts w:ascii="Times New Roman" w:eastAsia="Times New Roman" w:hAnsi="Times New Roman" w:cs="Times New Roman"/>
          <w:sz w:val="24"/>
          <w:szCs w:val="24"/>
          <w:lang w:bidi="ar-SA"/>
        </w:rPr>
        <w:t xml:space="preserve">, I., </w:t>
      </w:r>
      <w:proofErr w:type="spellStart"/>
      <w:r w:rsidRPr="00190B07">
        <w:rPr>
          <w:rFonts w:ascii="Times New Roman" w:eastAsia="Times New Roman" w:hAnsi="Times New Roman" w:cs="Times New Roman"/>
          <w:sz w:val="24"/>
          <w:szCs w:val="24"/>
          <w:lang w:bidi="ar-SA"/>
        </w:rPr>
        <w:t>Arizza</w:t>
      </w:r>
      <w:proofErr w:type="spellEnd"/>
      <w:r w:rsidRPr="00190B07">
        <w:rPr>
          <w:rFonts w:ascii="Times New Roman" w:eastAsia="Times New Roman" w:hAnsi="Times New Roman" w:cs="Times New Roman"/>
          <w:sz w:val="24"/>
          <w:szCs w:val="24"/>
          <w:lang w:bidi="ar-SA"/>
        </w:rPr>
        <w:t xml:space="preserve">, A., Romeu-Dalmau, C., </w:t>
      </w:r>
      <w:proofErr w:type="spellStart"/>
      <w:r w:rsidRPr="00190B07">
        <w:rPr>
          <w:rFonts w:ascii="Times New Roman" w:eastAsia="Times New Roman" w:hAnsi="Times New Roman" w:cs="Times New Roman"/>
          <w:sz w:val="24"/>
          <w:szCs w:val="24"/>
          <w:lang w:bidi="ar-SA"/>
        </w:rPr>
        <w:t>Nicolini</w:t>
      </w:r>
      <w:proofErr w:type="spellEnd"/>
      <w:r w:rsidRPr="00190B07">
        <w:rPr>
          <w:rFonts w:ascii="Times New Roman" w:eastAsia="Times New Roman" w:hAnsi="Times New Roman" w:cs="Times New Roman"/>
          <w:sz w:val="24"/>
          <w:szCs w:val="24"/>
          <w:lang w:bidi="ar-SA"/>
        </w:rPr>
        <w:t xml:space="preserve">, A., Lazzara, L., &amp; Barone, A. (2024). Tomato plant response to heat stress: Candidate genes, pollen development, and screening of varieties. </w:t>
      </w:r>
      <w:r w:rsidRPr="00190B07">
        <w:rPr>
          <w:rFonts w:ascii="Times New Roman" w:eastAsia="Times New Roman" w:hAnsi="Times New Roman" w:cs="Times New Roman"/>
          <w:i/>
          <w:iCs/>
          <w:sz w:val="24"/>
          <w:szCs w:val="24"/>
          <w:lang w:bidi="ar-SA"/>
        </w:rPr>
        <w:t>Frontiers in Plant Science, 14</w:t>
      </w:r>
      <w:r w:rsidRPr="00190B07">
        <w:rPr>
          <w:rFonts w:ascii="Times New Roman" w:eastAsia="Times New Roman" w:hAnsi="Times New Roman" w:cs="Times New Roman"/>
          <w:sz w:val="24"/>
          <w:szCs w:val="24"/>
          <w:lang w:bidi="ar-SA"/>
        </w:rPr>
        <w:t xml:space="preserve">, 1245661. https://doi.org/10.3389/fpls.2023.1245661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Hewitt, S., Albert, N. W., </w:t>
      </w:r>
      <w:proofErr w:type="spellStart"/>
      <w:r w:rsidRPr="00190B07">
        <w:rPr>
          <w:rFonts w:ascii="Times New Roman" w:eastAsia="Times New Roman" w:hAnsi="Times New Roman" w:cs="Times New Roman"/>
          <w:sz w:val="24"/>
          <w:szCs w:val="24"/>
          <w:lang w:bidi="ar-SA"/>
        </w:rPr>
        <w:t>Winefield</w:t>
      </w:r>
      <w:proofErr w:type="spellEnd"/>
      <w:r w:rsidRPr="00190B07">
        <w:rPr>
          <w:rFonts w:ascii="Times New Roman" w:eastAsia="Times New Roman" w:hAnsi="Times New Roman" w:cs="Times New Roman"/>
          <w:sz w:val="24"/>
          <w:szCs w:val="24"/>
          <w:lang w:bidi="ar-SA"/>
        </w:rPr>
        <w:t xml:space="preserve">, C. S., </w:t>
      </w:r>
      <w:proofErr w:type="spellStart"/>
      <w:r w:rsidRPr="00190B07">
        <w:rPr>
          <w:rFonts w:ascii="Times New Roman" w:eastAsia="Times New Roman" w:hAnsi="Times New Roman" w:cs="Times New Roman"/>
          <w:sz w:val="24"/>
          <w:szCs w:val="24"/>
          <w:lang w:bidi="ar-SA"/>
        </w:rPr>
        <w:t>Riegler</w:t>
      </w:r>
      <w:proofErr w:type="spellEnd"/>
      <w:r w:rsidRPr="00190B07">
        <w:rPr>
          <w:rFonts w:ascii="Times New Roman" w:eastAsia="Times New Roman" w:hAnsi="Times New Roman" w:cs="Times New Roman"/>
          <w:sz w:val="24"/>
          <w:szCs w:val="24"/>
          <w:lang w:bidi="ar-SA"/>
        </w:rPr>
        <w:t xml:space="preserve">, M., &amp; </w:t>
      </w:r>
      <w:proofErr w:type="spellStart"/>
      <w:r w:rsidRPr="00190B07">
        <w:rPr>
          <w:rFonts w:ascii="Times New Roman" w:eastAsia="Times New Roman" w:hAnsi="Times New Roman" w:cs="Times New Roman"/>
          <w:sz w:val="24"/>
          <w:szCs w:val="24"/>
          <w:lang w:bidi="ar-SA"/>
        </w:rPr>
        <w:t>Tiyayon</w:t>
      </w:r>
      <w:proofErr w:type="spellEnd"/>
      <w:r w:rsidRPr="00190B07">
        <w:rPr>
          <w:rFonts w:ascii="Times New Roman" w:eastAsia="Times New Roman" w:hAnsi="Times New Roman" w:cs="Times New Roman"/>
          <w:sz w:val="24"/>
          <w:szCs w:val="24"/>
          <w:lang w:bidi="ar-SA"/>
        </w:rPr>
        <w:t xml:space="preserve">, P. (2023). Impact of heat stress, water stress, and their combined stress on the composition and metabolism of grape berries. </w:t>
      </w:r>
      <w:r w:rsidRPr="00190B07">
        <w:rPr>
          <w:rFonts w:ascii="Times New Roman" w:eastAsia="Times New Roman" w:hAnsi="Times New Roman" w:cs="Times New Roman"/>
          <w:i/>
          <w:iCs/>
          <w:sz w:val="24"/>
          <w:szCs w:val="24"/>
          <w:lang w:bidi="ar-SA"/>
        </w:rPr>
        <w:t>Scientific Reports, 13</w:t>
      </w:r>
      <w:r w:rsidRPr="00190B07">
        <w:rPr>
          <w:rFonts w:ascii="Times New Roman" w:eastAsia="Times New Roman" w:hAnsi="Times New Roman" w:cs="Times New Roman"/>
          <w:sz w:val="24"/>
          <w:szCs w:val="24"/>
          <w:lang w:bidi="ar-SA"/>
        </w:rPr>
        <w:t xml:space="preserve">, 9540. https://doi.org/10.1038/s41598-023-36160-x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Ibba</w:t>
      </w:r>
      <w:proofErr w:type="spellEnd"/>
      <w:r w:rsidRPr="00190B07">
        <w:rPr>
          <w:rFonts w:ascii="Times New Roman" w:eastAsia="Times New Roman" w:hAnsi="Times New Roman" w:cs="Times New Roman"/>
          <w:sz w:val="24"/>
          <w:szCs w:val="24"/>
          <w:lang w:bidi="ar-SA"/>
        </w:rPr>
        <w:t xml:space="preserve">, K., </w:t>
      </w:r>
      <w:proofErr w:type="spellStart"/>
      <w:r w:rsidRPr="00190B07">
        <w:rPr>
          <w:rFonts w:ascii="Times New Roman" w:eastAsia="Times New Roman" w:hAnsi="Times New Roman" w:cs="Times New Roman"/>
          <w:sz w:val="24"/>
          <w:szCs w:val="24"/>
          <w:lang w:bidi="ar-SA"/>
        </w:rPr>
        <w:t>Ledda</w:t>
      </w:r>
      <w:proofErr w:type="spellEnd"/>
      <w:r w:rsidRPr="00190B07">
        <w:rPr>
          <w:rFonts w:ascii="Times New Roman" w:eastAsia="Times New Roman" w:hAnsi="Times New Roman" w:cs="Times New Roman"/>
          <w:sz w:val="24"/>
          <w:szCs w:val="24"/>
          <w:lang w:bidi="ar-SA"/>
        </w:rPr>
        <w:t xml:space="preserve">, L., </w:t>
      </w:r>
      <w:proofErr w:type="spellStart"/>
      <w:r w:rsidRPr="00190B07">
        <w:rPr>
          <w:rFonts w:ascii="Times New Roman" w:eastAsia="Times New Roman" w:hAnsi="Times New Roman" w:cs="Times New Roman"/>
          <w:sz w:val="24"/>
          <w:szCs w:val="24"/>
          <w:lang w:bidi="ar-SA"/>
        </w:rPr>
        <w:t>Farci</w:t>
      </w:r>
      <w:proofErr w:type="spellEnd"/>
      <w:r w:rsidRPr="00190B07">
        <w:rPr>
          <w:rFonts w:ascii="Times New Roman" w:eastAsia="Times New Roman" w:hAnsi="Times New Roman" w:cs="Times New Roman"/>
          <w:sz w:val="24"/>
          <w:szCs w:val="24"/>
          <w:lang w:bidi="ar-SA"/>
        </w:rPr>
        <w:t xml:space="preserve">, R., Medici, M., &amp; </w:t>
      </w:r>
      <w:proofErr w:type="spellStart"/>
      <w:r w:rsidRPr="00190B07">
        <w:rPr>
          <w:rFonts w:ascii="Times New Roman" w:eastAsia="Times New Roman" w:hAnsi="Times New Roman" w:cs="Times New Roman"/>
          <w:sz w:val="24"/>
          <w:szCs w:val="24"/>
          <w:lang w:bidi="ar-SA"/>
        </w:rPr>
        <w:t>d’Andria</w:t>
      </w:r>
      <w:proofErr w:type="spellEnd"/>
      <w:r w:rsidRPr="00190B07">
        <w:rPr>
          <w:rFonts w:ascii="Times New Roman" w:eastAsia="Times New Roman" w:hAnsi="Times New Roman" w:cs="Times New Roman"/>
          <w:sz w:val="24"/>
          <w:szCs w:val="24"/>
          <w:lang w:bidi="ar-SA"/>
        </w:rPr>
        <w:t xml:space="preserve">, R. (2023). Assessing the impact of deficit irrigation strategies on water status, phenology, and fruit development of olive trees. </w:t>
      </w:r>
      <w:r w:rsidRPr="00190B07">
        <w:rPr>
          <w:rFonts w:ascii="Times New Roman" w:eastAsia="Times New Roman" w:hAnsi="Times New Roman" w:cs="Times New Roman"/>
          <w:i/>
          <w:iCs/>
          <w:sz w:val="24"/>
          <w:szCs w:val="24"/>
          <w:lang w:bidi="ar-SA"/>
        </w:rPr>
        <w:t>Frontiers in Environmental Science, 11</w:t>
      </w:r>
      <w:r w:rsidRPr="00190B07">
        <w:rPr>
          <w:rFonts w:ascii="Times New Roman" w:eastAsia="Times New Roman" w:hAnsi="Times New Roman" w:cs="Times New Roman"/>
          <w:sz w:val="24"/>
          <w:szCs w:val="24"/>
          <w:lang w:bidi="ar-SA"/>
        </w:rPr>
        <w:t>, 1100552. https://doi.org/10.3389/fenvs.2023.1100552</w:t>
      </w:r>
    </w:p>
    <w:p w:rsidR="009C0F23" w:rsidRDefault="009C0F23" w:rsidP="009C0F23">
      <w:pPr>
        <w:pStyle w:val="NormalWeb"/>
      </w:pPr>
      <w:r>
        <w:t xml:space="preserve">Jain, P., Berman, A., </w:t>
      </w:r>
      <w:proofErr w:type="spellStart"/>
      <w:r>
        <w:t>Zwieniecki</w:t>
      </w:r>
      <w:proofErr w:type="spellEnd"/>
      <w:r>
        <w:t xml:space="preserve">, M. A., &amp; Sack, L. (2024). New approaches to dissect leaf hydraulics reveal large gradients in living tissues of tomato leaves. </w:t>
      </w:r>
      <w:r>
        <w:rPr>
          <w:rStyle w:val="Emphasis"/>
        </w:rPr>
        <w:t xml:space="preserve">New </w:t>
      </w:r>
      <w:proofErr w:type="spellStart"/>
      <w:r>
        <w:rPr>
          <w:rStyle w:val="Emphasis"/>
        </w:rPr>
        <w:t>Phytologist</w:t>
      </w:r>
      <w:proofErr w:type="spellEnd"/>
      <w:r>
        <w:rPr>
          <w:rStyle w:val="Emphasis"/>
        </w:rPr>
        <w:t>, 244</w:t>
      </w:r>
      <w:r>
        <w:t xml:space="preserve">(2), 648–665. https://doi.org/10.1111/nph.19585 </w:t>
      </w:r>
    </w:p>
    <w:p w:rsidR="009C0F23" w:rsidRDefault="009C0F23" w:rsidP="009C0F23">
      <w:pPr>
        <w:pStyle w:val="NormalWeb"/>
      </w:pPr>
      <w:r>
        <w:t xml:space="preserve">Kim, J.-S., </w:t>
      </w:r>
      <w:proofErr w:type="spellStart"/>
      <w:r>
        <w:t>Kidokoro</w:t>
      </w:r>
      <w:proofErr w:type="spellEnd"/>
      <w:r>
        <w:t xml:space="preserve">, S., Yamaguchi-Shinozaki, K., &amp; Shinozaki, K. (2024). Regulatory networks in plant responses to drought and cold stress. </w:t>
      </w:r>
      <w:r>
        <w:rPr>
          <w:rStyle w:val="Emphasis"/>
        </w:rPr>
        <w:t>Plant Physiology, 195</w:t>
      </w:r>
      <w:r>
        <w:t xml:space="preserve">(1), 170–189. https://doi.org/10.1093/plphys/kiae105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Kouloumprouka</w:t>
      </w:r>
      <w:proofErr w:type="spellEnd"/>
      <w:r w:rsidRPr="00190B07">
        <w:rPr>
          <w:rFonts w:ascii="Times New Roman" w:eastAsia="Times New Roman" w:hAnsi="Times New Roman" w:cs="Times New Roman"/>
          <w:sz w:val="24"/>
          <w:szCs w:val="24"/>
          <w:lang w:bidi="ar-SA"/>
        </w:rPr>
        <w:t xml:space="preserve"> </w:t>
      </w:r>
      <w:proofErr w:type="spellStart"/>
      <w:r w:rsidRPr="00190B07">
        <w:rPr>
          <w:rFonts w:ascii="Times New Roman" w:eastAsia="Times New Roman" w:hAnsi="Times New Roman" w:cs="Times New Roman"/>
          <w:sz w:val="24"/>
          <w:szCs w:val="24"/>
          <w:lang w:bidi="ar-SA"/>
        </w:rPr>
        <w:t>Zacharaki</w:t>
      </w:r>
      <w:proofErr w:type="spellEnd"/>
      <w:r w:rsidRPr="00190B07">
        <w:rPr>
          <w:rFonts w:ascii="Times New Roman" w:eastAsia="Times New Roman" w:hAnsi="Times New Roman" w:cs="Times New Roman"/>
          <w:sz w:val="24"/>
          <w:szCs w:val="24"/>
          <w:lang w:bidi="ar-SA"/>
        </w:rPr>
        <w:t xml:space="preserve">, A., Taylor, J. M., Davies, M. J., &amp; Else, M. A. (2025). Effects of regulated deficit irrigation on yields, berry quality, and resource use efficiency in the </w:t>
      </w:r>
      <w:proofErr w:type="spellStart"/>
      <w:r w:rsidRPr="00190B07">
        <w:rPr>
          <w:rFonts w:ascii="Times New Roman" w:eastAsia="Times New Roman" w:hAnsi="Times New Roman" w:cs="Times New Roman"/>
          <w:sz w:val="24"/>
          <w:szCs w:val="24"/>
          <w:lang w:bidi="ar-SA"/>
        </w:rPr>
        <w:t>everbearer</w:t>
      </w:r>
      <w:proofErr w:type="spellEnd"/>
      <w:r w:rsidRPr="00190B07">
        <w:rPr>
          <w:rFonts w:ascii="Times New Roman" w:eastAsia="Times New Roman" w:hAnsi="Times New Roman" w:cs="Times New Roman"/>
          <w:sz w:val="24"/>
          <w:szCs w:val="24"/>
          <w:lang w:bidi="ar-SA"/>
        </w:rPr>
        <w:t xml:space="preserve"> strawberry </w:t>
      </w:r>
      <w:proofErr w:type="spellStart"/>
      <w:r w:rsidRPr="00190B07">
        <w:rPr>
          <w:rFonts w:ascii="Times New Roman" w:eastAsia="Times New Roman" w:hAnsi="Times New Roman" w:cs="Times New Roman"/>
          <w:i/>
          <w:iCs/>
          <w:sz w:val="24"/>
          <w:szCs w:val="24"/>
          <w:lang w:bidi="ar-SA"/>
        </w:rPr>
        <w:t>Malling</w:t>
      </w:r>
      <w:proofErr w:type="spellEnd"/>
      <w:r w:rsidRPr="00190B07">
        <w:rPr>
          <w:rFonts w:ascii="Times New Roman" w:eastAsia="Times New Roman" w:hAnsi="Times New Roman" w:cs="Times New Roman"/>
          <w:i/>
          <w:iCs/>
          <w:sz w:val="24"/>
          <w:szCs w:val="24"/>
          <w:lang w:bidi="ar-SA"/>
        </w:rPr>
        <w:t xml:space="preserve"> Ace</w:t>
      </w:r>
      <w:r w:rsidRPr="00190B07">
        <w:rPr>
          <w:rFonts w:ascii="Times New Roman" w:eastAsia="Times New Roman" w:hAnsi="Times New Roman" w:cs="Times New Roman"/>
          <w:sz w:val="24"/>
          <w:szCs w:val="24"/>
          <w:lang w:bidi="ar-SA"/>
        </w:rPr>
        <w:t xml:space="preserve"> under long-term production in TCEA. </w:t>
      </w:r>
      <w:r w:rsidRPr="00190B07">
        <w:rPr>
          <w:rFonts w:ascii="Times New Roman" w:eastAsia="Times New Roman" w:hAnsi="Times New Roman" w:cs="Times New Roman"/>
          <w:i/>
          <w:iCs/>
          <w:sz w:val="24"/>
          <w:szCs w:val="24"/>
          <w:lang w:bidi="ar-SA"/>
        </w:rPr>
        <w:t>Frontiers in Horticulture, 4</w:t>
      </w:r>
      <w:r w:rsidRPr="00190B07">
        <w:rPr>
          <w:rFonts w:ascii="Times New Roman" w:eastAsia="Times New Roman" w:hAnsi="Times New Roman" w:cs="Times New Roman"/>
          <w:sz w:val="24"/>
          <w:szCs w:val="24"/>
          <w:lang w:bidi="ar-SA"/>
        </w:rPr>
        <w:t>, 1627450. https://doi.org/10.3389/fhort.2025.1627450</w:t>
      </w:r>
    </w:p>
    <w:p w:rsidR="009C0F23" w:rsidRDefault="009C0F23" w:rsidP="009C0F23">
      <w:pPr>
        <w:pStyle w:val="NormalWeb"/>
      </w:pPr>
      <w:proofErr w:type="spellStart"/>
      <w:r>
        <w:t>Lesk</w:t>
      </w:r>
      <w:proofErr w:type="spellEnd"/>
      <w:r>
        <w:t xml:space="preserve">, C., Anderson, W., </w:t>
      </w:r>
      <w:proofErr w:type="spellStart"/>
      <w:r>
        <w:t>Rigden</w:t>
      </w:r>
      <w:proofErr w:type="spellEnd"/>
      <w:r>
        <w:t xml:space="preserve">, A., Coast, O., </w:t>
      </w:r>
      <w:proofErr w:type="spellStart"/>
      <w:r>
        <w:t>Jägermeyr</w:t>
      </w:r>
      <w:proofErr w:type="spellEnd"/>
      <w:r>
        <w:t xml:space="preserve">, J., McDermid, S., Davis, K. F., &amp; </w:t>
      </w:r>
      <w:proofErr w:type="spellStart"/>
      <w:r>
        <w:t>Konar</w:t>
      </w:r>
      <w:proofErr w:type="spellEnd"/>
      <w:r>
        <w:t xml:space="preserve">, M. (2022). Compound heat and moisture extreme impacts on global crop yields under climate change. </w:t>
      </w:r>
      <w:r>
        <w:rPr>
          <w:rStyle w:val="Emphasis"/>
        </w:rPr>
        <w:t>Nature Reviews Earth &amp; Environment, 3</w:t>
      </w:r>
      <w:r>
        <w:t xml:space="preserve">(12), 872–889. https://doi.org/10.1038/s43017-022-00368-8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Li, J., Van </w:t>
      </w:r>
      <w:proofErr w:type="spellStart"/>
      <w:r w:rsidRPr="00190B07">
        <w:rPr>
          <w:rFonts w:ascii="Times New Roman" w:eastAsia="Times New Roman" w:hAnsi="Times New Roman" w:cs="Times New Roman"/>
          <w:sz w:val="24"/>
          <w:szCs w:val="24"/>
          <w:lang w:bidi="ar-SA"/>
        </w:rPr>
        <w:t>Gerrewey</w:t>
      </w:r>
      <w:proofErr w:type="spellEnd"/>
      <w:r w:rsidRPr="00190B07">
        <w:rPr>
          <w:rFonts w:ascii="Times New Roman" w:eastAsia="Times New Roman" w:hAnsi="Times New Roman" w:cs="Times New Roman"/>
          <w:sz w:val="24"/>
          <w:szCs w:val="24"/>
          <w:lang w:bidi="ar-SA"/>
        </w:rPr>
        <w:t xml:space="preserve">, T., &amp; </w:t>
      </w:r>
      <w:proofErr w:type="spellStart"/>
      <w:r w:rsidRPr="00190B07">
        <w:rPr>
          <w:rFonts w:ascii="Times New Roman" w:eastAsia="Times New Roman" w:hAnsi="Times New Roman" w:cs="Times New Roman"/>
          <w:sz w:val="24"/>
          <w:szCs w:val="24"/>
          <w:lang w:bidi="ar-SA"/>
        </w:rPr>
        <w:t>Geelen</w:t>
      </w:r>
      <w:proofErr w:type="spellEnd"/>
      <w:r w:rsidRPr="00190B07">
        <w:rPr>
          <w:rFonts w:ascii="Times New Roman" w:eastAsia="Times New Roman" w:hAnsi="Times New Roman" w:cs="Times New Roman"/>
          <w:sz w:val="24"/>
          <w:szCs w:val="24"/>
          <w:lang w:bidi="ar-SA"/>
        </w:rPr>
        <w:t xml:space="preserve">, D. (2022). A meta-analysis of </w:t>
      </w:r>
      <w:proofErr w:type="spellStart"/>
      <w:r w:rsidRPr="00190B07">
        <w:rPr>
          <w:rFonts w:ascii="Times New Roman" w:eastAsia="Times New Roman" w:hAnsi="Times New Roman" w:cs="Times New Roman"/>
          <w:sz w:val="24"/>
          <w:szCs w:val="24"/>
          <w:lang w:bidi="ar-SA"/>
        </w:rPr>
        <w:t>biostimulant</w:t>
      </w:r>
      <w:proofErr w:type="spellEnd"/>
      <w:r w:rsidRPr="00190B07">
        <w:rPr>
          <w:rFonts w:ascii="Times New Roman" w:eastAsia="Times New Roman" w:hAnsi="Times New Roman" w:cs="Times New Roman"/>
          <w:sz w:val="24"/>
          <w:szCs w:val="24"/>
          <w:lang w:bidi="ar-SA"/>
        </w:rPr>
        <w:t xml:space="preserve"> yield effectiveness in field trials. </w:t>
      </w:r>
      <w:r w:rsidRPr="00190B07">
        <w:rPr>
          <w:rFonts w:ascii="Times New Roman" w:eastAsia="Times New Roman" w:hAnsi="Times New Roman" w:cs="Times New Roman"/>
          <w:i/>
          <w:iCs/>
          <w:sz w:val="24"/>
          <w:szCs w:val="24"/>
          <w:lang w:bidi="ar-SA"/>
        </w:rPr>
        <w:t>Frontiers in Plant Science, 13</w:t>
      </w:r>
      <w:r w:rsidRPr="00190B07">
        <w:rPr>
          <w:rFonts w:ascii="Times New Roman" w:eastAsia="Times New Roman" w:hAnsi="Times New Roman" w:cs="Times New Roman"/>
          <w:sz w:val="24"/>
          <w:szCs w:val="24"/>
          <w:lang w:bidi="ar-SA"/>
        </w:rPr>
        <w:t xml:space="preserve">, 836702. https://doi.org/10.3389/fpls.2022.836702 </w:t>
      </w:r>
    </w:p>
    <w:p w:rsidR="009C0F23" w:rsidRDefault="009C0F23" w:rsidP="009C0F23">
      <w:pPr>
        <w:pStyle w:val="NormalWeb"/>
        <w:rPr>
          <w:rStyle w:val="ms-1"/>
        </w:rPr>
      </w:pPr>
      <w:r>
        <w:lastRenderedPageBreak/>
        <w:t xml:space="preserve">Lim, J., Park, S., Lee, H., &amp; Cho, H.-T. (2022). Core components of abscisic acid signaling and their post-translational regulation. </w:t>
      </w:r>
      <w:r>
        <w:rPr>
          <w:rStyle w:val="Emphasis"/>
        </w:rPr>
        <w:t>Frontiers in Plant Science, 13</w:t>
      </w:r>
      <w:r>
        <w:t xml:space="preserve">, 895698. https://doi.org/10.3389/fpls.2022.895698 </w:t>
      </w:r>
    </w:p>
    <w:p w:rsidR="009C0F23" w:rsidRDefault="009C0F23" w:rsidP="009C0F23">
      <w:pPr>
        <w:pStyle w:val="NormalWeb"/>
      </w:pPr>
      <w:r w:rsidRPr="00132707">
        <w:t>Liu, H., Able, A. J., &amp; Able, J. A. (2022). Priming crops for the future: rewiring stress memory. Trends in plant science, 27(7), 699-716.</w:t>
      </w:r>
      <w:r>
        <w:t xml:space="preserve"> https://doi.org/10.1016/j.tplants.2021.11.015</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Lohani</w:t>
      </w:r>
      <w:proofErr w:type="spellEnd"/>
      <w:r w:rsidRPr="00190B07">
        <w:rPr>
          <w:rFonts w:ascii="Times New Roman" w:eastAsia="Times New Roman" w:hAnsi="Times New Roman" w:cs="Times New Roman"/>
          <w:sz w:val="24"/>
          <w:szCs w:val="24"/>
          <w:lang w:bidi="ar-SA"/>
        </w:rPr>
        <w:t xml:space="preserve">, N., Singh, M. B., &amp; Bhalla, P. L. (2024). Deciphering the vulnerability of pollen to heat stress for securing crop yields in a warming climate. </w:t>
      </w:r>
      <w:r w:rsidRPr="00190B07">
        <w:rPr>
          <w:rFonts w:ascii="Times New Roman" w:eastAsia="Times New Roman" w:hAnsi="Times New Roman" w:cs="Times New Roman"/>
          <w:i/>
          <w:iCs/>
          <w:sz w:val="24"/>
          <w:szCs w:val="24"/>
          <w:lang w:bidi="ar-SA"/>
        </w:rPr>
        <w:t>Plant, Cell &amp; Environment, 48</w:t>
      </w:r>
      <w:r w:rsidRPr="00190B07">
        <w:rPr>
          <w:rFonts w:ascii="Times New Roman" w:eastAsia="Times New Roman" w:hAnsi="Times New Roman" w:cs="Times New Roman"/>
          <w:sz w:val="24"/>
          <w:szCs w:val="24"/>
          <w:lang w:bidi="ar-SA"/>
        </w:rPr>
        <w:t xml:space="preserve">(4), 2549–2580. https://doi.org/10.1111/pce.15315 </w:t>
      </w:r>
    </w:p>
    <w:p w:rsidR="009C0F23" w:rsidRDefault="009C0F23" w:rsidP="009C0F23">
      <w:pPr>
        <w:pStyle w:val="NormalWeb"/>
      </w:pPr>
      <w:proofErr w:type="spellStart"/>
      <w:r>
        <w:t>Luedeling</w:t>
      </w:r>
      <w:proofErr w:type="spellEnd"/>
      <w:r>
        <w:t xml:space="preserve">, E., </w:t>
      </w:r>
      <w:proofErr w:type="spellStart"/>
      <w:r>
        <w:t>Girvetz</w:t>
      </w:r>
      <w:proofErr w:type="spellEnd"/>
      <w:r>
        <w:t xml:space="preserve">, E. H., Semenov, M. A., &amp; Brown, P. H. (2011). Climate change affects winter chill for temperate fruit and nut trees. </w:t>
      </w:r>
      <w:proofErr w:type="spellStart"/>
      <w:r>
        <w:rPr>
          <w:rStyle w:val="Emphasis"/>
        </w:rPr>
        <w:t>PLoS</w:t>
      </w:r>
      <w:proofErr w:type="spellEnd"/>
      <w:r>
        <w:rPr>
          <w:rStyle w:val="Emphasis"/>
        </w:rPr>
        <w:t xml:space="preserve"> ONE, 6</w:t>
      </w:r>
      <w:r>
        <w:t xml:space="preserve">(5), e20155. https://doi.org/10.1371/journal.pone.0020155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Lurie, S. (2022). Proteomic and metabolomic studies on chilling injury in peach and nectarine. </w:t>
      </w:r>
      <w:r w:rsidRPr="00190B07">
        <w:rPr>
          <w:rFonts w:ascii="Times New Roman" w:eastAsia="Times New Roman" w:hAnsi="Times New Roman" w:cs="Times New Roman"/>
          <w:i/>
          <w:iCs/>
          <w:sz w:val="24"/>
          <w:szCs w:val="24"/>
          <w:lang w:bidi="ar-SA"/>
        </w:rPr>
        <w:t>Frontiers in Plant Science, 13</w:t>
      </w:r>
      <w:r w:rsidRPr="00190B07">
        <w:rPr>
          <w:rFonts w:ascii="Times New Roman" w:eastAsia="Times New Roman" w:hAnsi="Times New Roman" w:cs="Times New Roman"/>
          <w:sz w:val="24"/>
          <w:szCs w:val="24"/>
          <w:lang w:bidi="ar-SA"/>
        </w:rPr>
        <w:t xml:space="preserve">, 958312. https://doi.org/10.3389/fpls.2022.958312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Ma, Z., Ma, L., &amp; Zhou, J. (2023). Applications of CRISPR/Cas genome editing in economically important fruit crops: Recent advances and future directions. </w:t>
      </w:r>
      <w:r w:rsidRPr="00190B07">
        <w:rPr>
          <w:rFonts w:ascii="Times New Roman" w:eastAsia="Times New Roman" w:hAnsi="Times New Roman" w:cs="Times New Roman"/>
          <w:i/>
          <w:iCs/>
          <w:sz w:val="24"/>
          <w:szCs w:val="24"/>
          <w:lang w:bidi="ar-SA"/>
        </w:rPr>
        <w:t>Molecular Horticulture, 3</w:t>
      </w:r>
      <w:r w:rsidRPr="00190B07">
        <w:rPr>
          <w:rFonts w:ascii="Times New Roman" w:eastAsia="Times New Roman" w:hAnsi="Times New Roman" w:cs="Times New Roman"/>
          <w:sz w:val="24"/>
          <w:szCs w:val="24"/>
          <w:lang w:bidi="ar-SA"/>
        </w:rPr>
        <w:t xml:space="preserve">, 49. https://doi.org/10.1186/s43897-023-00049-0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Mahapatra, P. P., Tanti, B., &amp; </w:t>
      </w:r>
      <w:proofErr w:type="spellStart"/>
      <w:r w:rsidRPr="00190B07">
        <w:rPr>
          <w:rFonts w:ascii="Times New Roman" w:eastAsia="Times New Roman" w:hAnsi="Times New Roman" w:cs="Times New Roman"/>
          <w:sz w:val="24"/>
          <w:szCs w:val="24"/>
          <w:lang w:bidi="ar-SA"/>
        </w:rPr>
        <w:t>Gogoi</w:t>
      </w:r>
      <w:proofErr w:type="spellEnd"/>
      <w:r w:rsidRPr="00190B07">
        <w:rPr>
          <w:rFonts w:ascii="Times New Roman" w:eastAsia="Times New Roman" w:hAnsi="Times New Roman" w:cs="Times New Roman"/>
          <w:sz w:val="24"/>
          <w:szCs w:val="24"/>
          <w:lang w:bidi="ar-SA"/>
        </w:rPr>
        <w:t xml:space="preserve">, N. (2025). Grafting enhances drought stress tolerance by regulating physiological and cellular processes in tomato. </w:t>
      </w:r>
      <w:r w:rsidRPr="00190B07">
        <w:rPr>
          <w:rFonts w:ascii="Times New Roman" w:eastAsia="Times New Roman" w:hAnsi="Times New Roman" w:cs="Times New Roman"/>
          <w:i/>
          <w:iCs/>
          <w:sz w:val="24"/>
          <w:szCs w:val="24"/>
          <w:lang w:bidi="ar-SA"/>
        </w:rPr>
        <w:t>Frontiers in Plant Science, 16</w:t>
      </w:r>
      <w:r w:rsidRPr="00190B07">
        <w:rPr>
          <w:rFonts w:ascii="Times New Roman" w:eastAsia="Times New Roman" w:hAnsi="Times New Roman" w:cs="Times New Roman"/>
          <w:sz w:val="24"/>
          <w:szCs w:val="24"/>
          <w:lang w:bidi="ar-SA"/>
        </w:rPr>
        <w:t>, 1591437. https://doi.org/10.3389/fpls.2025.1591437</w:t>
      </w:r>
    </w:p>
    <w:p w:rsidR="009C0F23" w:rsidRDefault="009C0F23" w:rsidP="009C0F23">
      <w:pPr>
        <w:pStyle w:val="NormalWeb"/>
      </w:pPr>
      <w:proofErr w:type="spellStart"/>
      <w:r>
        <w:t>Melino</w:t>
      </w:r>
      <w:proofErr w:type="spellEnd"/>
      <w:r>
        <w:t xml:space="preserve">, V. J., Heuer, S., Roy, S. J., &amp; Tester, M. (2023). Salt-tolerant crops: Time to deliver. </w:t>
      </w:r>
      <w:r>
        <w:rPr>
          <w:rStyle w:val="Emphasis"/>
        </w:rPr>
        <w:t>Annual Review of Plant Biology, 74</w:t>
      </w:r>
      <w:r>
        <w:t xml:space="preserve">, 139–168. </w:t>
      </w:r>
      <w:hyperlink r:id="rId9" w:history="1">
        <w:r w:rsidRPr="00425139">
          <w:rPr>
            <w:rStyle w:val="Hyperlink"/>
          </w:rPr>
          <w:t>https://doi.org/10.1146/annurev-arplant-061422-104322</w:t>
        </w:r>
      </w:hyperlink>
      <w:r>
        <w:t xml:space="preserve">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C1587D">
        <w:rPr>
          <w:rFonts w:ascii="Times New Roman" w:eastAsia="Times New Roman" w:hAnsi="Times New Roman" w:cs="Times New Roman"/>
          <w:sz w:val="24"/>
          <w:szCs w:val="24"/>
          <w:lang w:bidi="ar-SA"/>
        </w:rPr>
        <w:t>Mora-</w:t>
      </w:r>
      <w:proofErr w:type="spellStart"/>
      <w:r w:rsidRPr="00C1587D">
        <w:rPr>
          <w:rFonts w:ascii="Times New Roman" w:eastAsia="Times New Roman" w:hAnsi="Times New Roman" w:cs="Times New Roman"/>
          <w:sz w:val="24"/>
          <w:szCs w:val="24"/>
          <w:lang w:bidi="ar-SA"/>
        </w:rPr>
        <w:t>Sanhueza</w:t>
      </w:r>
      <w:proofErr w:type="spellEnd"/>
      <w:r w:rsidRPr="00C1587D">
        <w:rPr>
          <w:rFonts w:ascii="Times New Roman" w:eastAsia="Times New Roman" w:hAnsi="Times New Roman" w:cs="Times New Roman"/>
          <w:sz w:val="24"/>
          <w:szCs w:val="24"/>
          <w:lang w:bidi="ar-SA"/>
        </w:rPr>
        <w:t>, R., Soto-Cerda, B., Tighe-</w:t>
      </w:r>
      <w:proofErr w:type="spellStart"/>
      <w:r w:rsidRPr="00C1587D">
        <w:rPr>
          <w:rFonts w:ascii="Times New Roman" w:eastAsia="Times New Roman" w:hAnsi="Times New Roman" w:cs="Times New Roman"/>
          <w:sz w:val="24"/>
          <w:szCs w:val="24"/>
          <w:lang w:bidi="ar-SA"/>
        </w:rPr>
        <w:t>Neira</w:t>
      </w:r>
      <w:proofErr w:type="spellEnd"/>
      <w:r w:rsidRPr="00C1587D">
        <w:rPr>
          <w:rFonts w:ascii="Times New Roman" w:eastAsia="Times New Roman" w:hAnsi="Times New Roman" w:cs="Times New Roman"/>
          <w:sz w:val="24"/>
          <w:szCs w:val="24"/>
          <w:lang w:bidi="ar-SA"/>
        </w:rPr>
        <w:t>, R., Reyes-Díaz, M., Alvarez, J. M., Nunes-</w:t>
      </w:r>
      <w:proofErr w:type="spellStart"/>
      <w:r w:rsidRPr="00C1587D">
        <w:rPr>
          <w:rFonts w:ascii="Times New Roman" w:eastAsia="Times New Roman" w:hAnsi="Times New Roman" w:cs="Times New Roman"/>
          <w:sz w:val="24"/>
          <w:szCs w:val="24"/>
          <w:lang w:bidi="ar-SA"/>
        </w:rPr>
        <w:t>Nesi</w:t>
      </w:r>
      <w:proofErr w:type="spellEnd"/>
      <w:r w:rsidRPr="00C1587D">
        <w:rPr>
          <w:rFonts w:ascii="Times New Roman" w:eastAsia="Times New Roman" w:hAnsi="Times New Roman" w:cs="Times New Roman"/>
          <w:sz w:val="24"/>
          <w:szCs w:val="24"/>
          <w:lang w:bidi="ar-SA"/>
        </w:rPr>
        <w:t xml:space="preserve">, A., Ibáñez, C., &amp; </w:t>
      </w:r>
      <w:proofErr w:type="spellStart"/>
      <w:r w:rsidRPr="00C1587D">
        <w:rPr>
          <w:rFonts w:ascii="Times New Roman" w:eastAsia="Times New Roman" w:hAnsi="Times New Roman" w:cs="Times New Roman"/>
          <w:sz w:val="24"/>
          <w:szCs w:val="24"/>
          <w:lang w:bidi="ar-SA"/>
        </w:rPr>
        <w:t>Inostroza-Blancheteau</w:t>
      </w:r>
      <w:proofErr w:type="spellEnd"/>
      <w:r w:rsidRPr="00C1587D">
        <w:rPr>
          <w:rFonts w:ascii="Times New Roman" w:eastAsia="Times New Roman" w:hAnsi="Times New Roman" w:cs="Times New Roman"/>
          <w:sz w:val="24"/>
          <w:szCs w:val="24"/>
          <w:lang w:bidi="ar-SA"/>
        </w:rPr>
        <w:t xml:space="preserve">, C. (2025). Plant resilience to abiotic stresses: Reveling the role of silicon in drought and metal(loid) tolerance. Journal of experimental botany, eraf264. Advance online publication. </w:t>
      </w:r>
      <w:hyperlink r:id="rId10" w:history="1">
        <w:r w:rsidRPr="00425139">
          <w:rPr>
            <w:rStyle w:val="Hyperlink"/>
            <w:rFonts w:ascii="Times New Roman" w:eastAsia="Times New Roman" w:hAnsi="Times New Roman" w:cs="Times New Roman"/>
            <w:sz w:val="24"/>
            <w:szCs w:val="24"/>
            <w:lang w:bidi="ar-SA"/>
          </w:rPr>
          <w:t>https://doi.org/10.1093/jxb/eraf264</w:t>
        </w:r>
      </w:hyperlink>
      <w:r>
        <w:rPr>
          <w:rFonts w:ascii="Times New Roman" w:eastAsia="Times New Roman" w:hAnsi="Times New Roman" w:cs="Times New Roman"/>
          <w:sz w:val="24"/>
          <w:szCs w:val="24"/>
          <w:lang w:bidi="ar-SA"/>
        </w:rPr>
        <w:t xml:space="preserve"> </w:t>
      </w:r>
    </w:p>
    <w:p w:rsidR="009C0F23" w:rsidRDefault="009C0F23" w:rsidP="009C0F23">
      <w:pPr>
        <w:pStyle w:val="NormalWeb"/>
      </w:pPr>
      <w:proofErr w:type="spellStart"/>
      <w:r w:rsidRPr="00FA1072">
        <w:t>Mughunth</w:t>
      </w:r>
      <w:proofErr w:type="spellEnd"/>
      <w:r w:rsidRPr="00FA1072">
        <w:t xml:space="preserve">, R. J., Velmurugan, S., </w:t>
      </w:r>
      <w:proofErr w:type="spellStart"/>
      <w:r w:rsidRPr="00FA1072">
        <w:t>Mohanalakshmi</w:t>
      </w:r>
      <w:proofErr w:type="spellEnd"/>
      <w:r w:rsidRPr="00FA1072">
        <w:t xml:space="preserve">, M., &amp; Vanitha, K. (2024). A review of seaweed extract's potential as a </w:t>
      </w:r>
      <w:proofErr w:type="spellStart"/>
      <w:r w:rsidRPr="00FA1072">
        <w:t>biostimulant</w:t>
      </w:r>
      <w:proofErr w:type="spellEnd"/>
      <w:r w:rsidRPr="00FA1072">
        <w:t xml:space="preserve"> to enhance growth and mitigate stress in horticulture crops. Scientia </w:t>
      </w:r>
      <w:proofErr w:type="spellStart"/>
      <w:r w:rsidRPr="00FA1072">
        <w:t>Horticulturae</w:t>
      </w:r>
      <w:proofErr w:type="spellEnd"/>
      <w:r w:rsidRPr="00FA1072">
        <w:t>, 334, 113312.</w:t>
      </w:r>
      <w:r>
        <w:t xml:space="preserve"> </w:t>
      </w:r>
      <w:hyperlink r:id="rId11" w:history="1">
        <w:r w:rsidRPr="00425139">
          <w:rPr>
            <w:rStyle w:val="Hyperlink"/>
          </w:rPr>
          <w:t>https://doi.org/10.1016/j.scienta.2024.113312</w:t>
        </w:r>
      </w:hyperlink>
      <w:r>
        <w:t xml:space="preserve"> </w:t>
      </w:r>
    </w:p>
    <w:p w:rsidR="009C0F23" w:rsidRDefault="009C0F23" w:rsidP="009C0F23">
      <w:pPr>
        <w:pStyle w:val="NormalWeb"/>
      </w:pPr>
      <w:r>
        <w:t xml:space="preserve">Munns, R., Day, D. A., Fricke, W., Watt, M., </w:t>
      </w:r>
      <w:proofErr w:type="spellStart"/>
      <w:r>
        <w:t>Arsova</w:t>
      </w:r>
      <w:proofErr w:type="spellEnd"/>
      <w:r>
        <w:t xml:space="preserve">, B., Barkla, B. J., Bose, J., </w:t>
      </w:r>
      <w:proofErr w:type="spellStart"/>
      <w:r>
        <w:t>Byrt</w:t>
      </w:r>
      <w:proofErr w:type="spellEnd"/>
      <w:r>
        <w:t xml:space="preserve">, C. S., Chen, Z. H., Foster, K. J., </w:t>
      </w:r>
      <w:proofErr w:type="spellStart"/>
      <w:r>
        <w:t>Gilliham</w:t>
      </w:r>
      <w:proofErr w:type="spellEnd"/>
      <w:r>
        <w:t xml:space="preserve">, M., Henderson, S. W., Jenkins, C. L. D., </w:t>
      </w:r>
      <w:proofErr w:type="spellStart"/>
      <w:r>
        <w:t>Kronzucker</w:t>
      </w:r>
      <w:proofErr w:type="spellEnd"/>
      <w:r>
        <w:t xml:space="preserve">, H. J., Miceli, C., Rasheed, K., Roy, S. J., </w:t>
      </w:r>
      <w:proofErr w:type="spellStart"/>
      <w:r>
        <w:t>Shabala</w:t>
      </w:r>
      <w:proofErr w:type="spellEnd"/>
      <w:r>
        <w:t xml:space="preserve">, S., Sharp, R. E., … Tyerman, S. D. (2020). Energy costs of salt tolerance in crop plants. </w:t>
      </w:r>
      <w:r>
        <w:rPr>
          <w:rStyle w:val="Emphasis"/>
        </w:rPr>
        <w:t xml:space="preserve">New </w:t>
      </w:r>
      <w:proofErr w:type="spellStart"/>
      <w:r>
        <w:rPr>
          <w:rStyle w:val="Emphasis"/>
        </w:rPr>
        <w:t>Phytologist</w:t>
      </w:r>
      <w:proofErr w:type="spellEnd"/>
      <w:r>
        <w:rPr>
          <w:rStyle w:val="Emphasis"/>
        </w:rPr>
        <w:t>, 225</w:t>
      </w:r>
      <w:r>
        <w:t xml:space="preserve">(3), 1072–1090. https://doi.org/10.1111/nph.15864 </w:t>
      </w:r>
    </w:p>
    <w:p w:rsidR="009C0F23" w:rsidRDefault="009C0F23" w:rsidP="009C0F23">
      <w:pPr>
        <w:pStyle w:val="NormalWeb"/>
      </w:pPr>
      <w:r>
        <w:lastRenderedPageBreak/>
        <w:t xml:space="preserve">Novick, K. A., Keenan, T. F., </w:t>
      </w:r>
      <w:proofErr w:type="spellStart"/>
      <w:r>
        <w:t>Ripullone</w:t>
      </w:r>
      <w:proofErr w:type="spellEnd"/>
      <w:r>
        <w:t xml:space="preserve">, F., Tardieu, F., McAdam, S. A. M., </w:t>
      </w:r>
      <w:proofErr w:type="spellStart"/>
      <w:r>
        <w:t>Stoy</w:t>
      </w:r>
      <w:proofErr w:type="spellEnd"/>
      <w:r>
        <w:t xml:space="preserve">, P. C., </w:t>
      </w:r>
      <w:proofErr w:type="spellStart"/>
      <w:r>
        <w:t>Venturas</w:t>
      </w:r>
      <w:proofErr w:type="spellEnd"/>
      <w:r>
        <w:t xml:space="preserve">, M. D., Way, D. A., &amp; </w:t>
      </w:r>
      <w:proofErr w:type="spellStart"/>
      <w:r>
        <w:t>Konings</w:t>
      </w:r>
      <w:proofErr w:type="spellEnd"/>
      <w:r>
        <w:t xml:space="preserve">, A. G. (2024). Rising vapor pressure deficit is reshaping plant ecophysiology in natural and agricultural systems. </w:t>
      </w:r>
      <w:r>
        <w:rPr>
          <w:rStyle w:val="Emphasis"/>
        </w:rPr>
        <w:t>Plant, Cell &amp; Environment, 47</w:t>
      </w:r>
      <w:r>
        <w:t xml:space="preserve">(9), </w:t>
      </w:r>
      <w:r w:rsidRPr="00190B07">
        <w:t>3561-3589</w:t>
      </w:r>
      <w:r>
        <w:t xml:space="preserve">. e14846. </w:t>
      </w:r>
      <w:hyperlink r:id="rId12" w:tgtFrame="_new" w:history="1">
        <w:r>
          <w:rPr>
            <w:rStyle w:val="Hyperlink"/>
          </w:rPr>
          <w:t>https://doi.org/10.1111/pce.14846</w:t>
        </w:r>
      </w:hyperlink>
      <w:r>
        <w:t xml:space="preserve"> </w:t>
      </w:r>
    </w:p>
    <w:p w:rsidR="009C0F23"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Osorio-Marín, J., Fernández, E., &amp; </w:t>
      </w:r>
      <w:proofErr w:type="spellStart"/>
      <w:r w:rsidRPr="00190B07">
        <w:rPr>
          <w:rFonts w:ascii="Times New Roman" w:eastAsia="Times New Roman" w:hAnsi="Times New Roman" w:cs="Times New Roman"/>
          <w:sz w:val="24"/>
          <w:szCs w:val="24"/>
          <w:lang w:bidi="ar-SA"/>
        </w:rPr>
        <w:t>Cobo</w:t>
      </w:r>
      <w:proofErr w:type="spellEnd"/>
      <w:r w:rsidRPr="00190B07">
        <w:rPr>
          <w:rFonts w:ascii="Times New Roman" w:eastAsia="Times New Roman" w:hAnsi="Times New Roman" w:cs="Times New Roman"/>
          <w:sz w:val="24"/>
          <w:szCs w:val="24"/>
          <w:lang w:bidi="ar-SA"/>
        </w:rPr>
        <w:t xml:space="preserve">, N. (2024). Climate change impacts on temperate fruit and nut production: A systematic review. </w:t>
      </w:r>
      <w:r w:rsidRPr="00190B07">
        <w:rPr>
          <w:rFonts w:ascii="Times New Roman" w:eastAsia="Times New Roman" w:hAnsi="Times New Roman" w:cs="Times New Roman"/>
          <w:i/>
          <w:iCs/>
          <w:sz w:val="24"/>
          <w:szCs w:val="24"/>
          <w:lang w:bidi="ar-SA"/>
        </w:rPr>
        <w:t>Frontiers in Plant Science, 15</w:t>
      </w:r>
      <w:r w:rsidRPr="00190B07">
        <w:rPr>
          <w:rFonts w:ascii="Times New Roman" w:eastAsia="Times New Roman" w:hAnsi="Times New Roman" w:cs="Times New Roman"/>
          <w:sz w:val="24"/>
          <w:szCs w:val="24"/>
          <w:lang w:bidi="ar-SA"/>
        </w:rPr>
        <w:t xml:space="preserve">, 1352169. https://doi.org/10.3389/fpls.2024.1352169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2F597B">
        <w:rPr>
          <w:rFonts w:ascii="Times New Roman" w:eastAsia="Times New Roman" w:hAnsi="Times New Roman" w:cs="Times New Roman"/>
          <w:sz w:val="24"/>
          <w:szCs w:val="24"/>
          <w:lang w:bidi="ar-SA"/>
        </w:rPr>
        <w:t>Pandey, G., Parks, S., &amp; Thomas, R. G. (2023). Polymer and photo‐selective covers on plant and fruit development: A review. Agronomy Journal, 115(6), 3074-3091.</w:t>
      </w:r>
      <w:r>
        <w:rPr>
          <w:rFonts w:ascii="Times New Roman" w:eastAsia="Times New Roman" w:hAnsi="Times New Roman" w:cs="Times New Roman"/>
          <w:sz w:val="24"/>
          <w:szCs w:val="24"/>
          <w:lang w:bidi="ar-SA"/>
        </w:rPr>
        <w:t xml:space="preserve"> </w:t>
      </w:r>
      <w:hyperlink r:id="rId13" w:history="1">
        <w:r w:rsidRPr="00425139">
          <w:rPr>
            <w:rStyle w:val="Hyperlink"/>
            <w:rFonts w:ascii="Times New Roman" w:eastAsia="Times New Roman" w:hAnsi="Times New Roman" w:cs="Times New Roman"/>
            <w:sz w:val="24"/>
            <w:szCs w:val="24"/>
            <w:lang w:bidi="ar-SA"/>
          </w:rPr>
          <w:t>https://doi.org/10.1002/agj2.21442</w:t>
        </w:r>
      </w:hyperlink>
      <w:r>
        <w:rPr>
          <w:rFonts w:ascii="Times New Roman" w:eastAsia="Times New Roman" w:hAnsi="Times New Roman" w:cs="Times New Roman"/>
          <w:sz w:val="24"/>
          <w:szCs w:val="24"/>
          <w:lang w:bidi="ar-SA"/>
        </w:rPr>
        <w:t xml:space="preserve">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Perosa</w:t>
      </w:r>
      <w:proofErr w:type="spellEnd"/>
      <w:r w:rsidRPr="00190B07">
        <w:rPr>
          <w:rFonts w:ascii="Times New Roman" w:eastAsia="Times New Roman" w:hAnsi="Times New Roman" w:cs="Times New Roman"/>
          <w:sz w:val="24"/>
          <w:szCs w:val="24"/>
          <w:lang w:bidi="ar-SA"/>
        </w:rPr>
        <w:t xml:space="preserve">, B. B., Newton, P., &amp; da Silva, R. F. B. (2023). A monitoring, reporting and verification system for low carbon agriculture: A case study from Brazil. </w:t>
      </w:r>
      <w:r w:rsidRPr="00190B07">
        <w:rPr>
          <w:rFonts w:ascii="Times New Roman" w:eastAsia="Times New Roman" w:hAnsi="Times New Roman" w:cs="Times New Roman"/>
          <w:i/>
          <w:iCs/>
          <w:sz w:val="24"/>
          <w:szCs w:val="24"/>
          <w:lang w:bidi="ar-SA"/>
        </w:rPr>
        <w:t>Environmental Science &amp; Policy, 140</w:t>
      </w:r>
      <w:r w:rsidRPr="00190B07">
        <w:rPr>
          <w:rFonts w:ascii="Times New Roman" w:eastAsia="Times New Roman" w:hAnsi="Times New Roman" w:cs="Times New Roman"/>
          <w:sz w:val="24"/>
          <w:szCs w:val="24"/>
          <w:lang w:bidi="ar-SA"/>
        </w:rPr>
        <w:t xml:space="preserve">, 286–296. https://doi.org/10.1016/j.envsci.2022.12.006 </w:t>
      </w:r>
    </w:p>
    <w:p w:rsidR="009C0F23"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Poorter</w:t>
      </w:r>
      <w:proofErr w:type="spellEnd"/>
      <w:r w:rsidRPr="00190B07">
        <w:rPr>
          <w:rFonts w:ascii="Times New Roman" w:eastAsia="Times New Roman" w:hAnsi="Times New Roman" w:cs="Times New Roman"/>
          <w:sz w:val="24"/>
          <w:szCs w:val="24"/>
          <w:lang w:bidi="ar-SA"/>
        </w:rPr>
        <w:t xml:space="preserve">, H., Hummel, G. M., Nagel, K. A., </w:t>
      </w:r>
      <w:proofErr w:type="spellStart"/>
      <w:r w:rsidRPr="00190B07">
        <w:rPr>
          <w:rFonts w:ascii="Times New Roman" w:eastAsia="Times New Roman" w:hAnsi="Times New Roman" w:cs="Times New Roman"/>
          <w:sz w:val="24"/>
          <w:szCs w:val="24"/>
          <w:lang w:bidi="ar-SA"/>
        </w:rPr>
        <w:t>Fiorani</w:t>
      </w:r>
      <w:proofErr w:type="spellEnd"/>
      <w:r w:rsidRPr="00190B07">
        <w:rPr>
          <w:rFonts w:ascii="Times New Roman" w:eastAsia="Times New Roman" w:hAnsi="Times New Roman" w:cs="Times New Roman"/>
          <w:sz w:val="24"/>
          <w:szCs w:val="24"/>
          <w:lang w:bidi="ar-SA"/>
        </w:rPr>
        <w:t xml:space="preserve">, F., von </w:t>
      </w:r>
      <w:proofErr w:type="spellStart"/>
      <w:r w:rsidRPr="00190B07">
        <w:rPr>
          <w:rFonts w:ascii="Times New Roman" w:eastAsia="Times New Roman" w:hAnsi="Times New Roman" w:cs="Times New Roman"/>
          <w:sz w:val="24"/>
          <w:szCs w:val="24"/>
          <w:lang w:bidi="ar-SA"/>
        </w:rPr>
        <w:t>Gillhaussen</w:t>
      </w:r>
      <w:proofErr w:type="spellEnd"/>
      <w:r w:rsidRPr="00190B07">
        <w:rPr>
          <w:rFonts w:ascii="Times New Roman" w:eastAsia="Times New Roman" w:hAnsi="Times New Roman" w:cs="Times New Roman"/>
          <w:sz w:val="24"/>
          <w:szCs w:val="24"/>
          <w:lang w:bidi="ar-SA"/>
        </w:rPr>
        <w:t xml:space="preserve">, P., </w:t>
      </w:r>
      <w:proofErr w:type="spellStart"/>
      <w:r w:rsidRPr="00190B07">
        <w:rPr>
          <w:rFonts w:ascii="Times New Roman" w:eastAsia="Times New Roman" w:hAnsi="Times New Roman" w:cs="Times New Roman"/>
          <w:sz w:val="24"/>
          <w:szCs w:val="24"/>
          <w:lang w:bidi="ar-SA"/>
        </w:rPr>
        <w:t>Virnich</w:t>
      </w:r>
      <w:proofErr w:type="spellEnd"/>
      <w:r w:rsidRPr="00190B07">
        <w:rPr>
          <w:rFonts w:ascii="Times New Roman" w:eastAsia="Times New Roman" w:hAnsi="Times New Roman" w:cs="Times New Roman"/>
          <w:sz w:val="24"/>
          <w:szCs w:val="24"/>
          <w:lang w:bidi="ar-SA"/>
        </w:rPr>
        <w:t xml:space="preserve">, O., </w:t>
      </w:r>
      <w:proofErr w:type="spellStart"/>
      <w:r w:rsidRPr="00190B07">
        <w:rPr>
          <w:rFonts w:ascii="Times New Roman" w:eastAsia="Times New Roman" w:hAnsi="Times New Roman" w:cs="Times New Roman"/>
          <w:sz w:val="24"/>
          <w:szCs w:val="24"/>
          <w:lang w:bidi="ar-SA"/>
        </w:rPr>
        <w:t>Schurr</w:t>
      </w:r>
      <w:proofErr w:type="spellEnd"/>
      <w:r w:rsidRPr="00190B07">
        <w:rPr>
          <w:rFonts w:ascii="Times New Roman" w:eastAsia="Times New Roman" w:hAnsi="Times New Roman" w:cs="Times New Roman"/>
          <w:sz w:val="24"/>
          <w:szCs w:val="24"/>
          <w:lang w:bidi="ar-SA"/>
        </w:rPr>
        <w:t xml:space="preserve">, U., Postma, J. A., van de </w:t>
      </w:r>
      <w:proofErr w:type="spellStart"/>
      <w:r w:rsidRPr="00190B07">
        <w:rPr>
          <w:rFonts w:ascii="Times New Roman" w:eastAsia="Times New Roman" w:hAnsi="Times New Roman" w:cs="Times New Roman"/>
          <w:sz w:val="24"/>
          <w:szCs w:val="24"/>
          <w:lang w:bidi="ar-SA"/>
        </w:rPr>
        <w:t>Zedde</w:t>
      </w:r>
      <w:proofErr w:type="spellEnd"/>
      <w:r w:rsidRPr="00190B07">
        <w:rPr>
          <w:rFonts w:ascii="Times New Roman" w:eastAsia="Times New Roman" w:hAnsi="Times New Roman" w:cs="Times New Roman"/>
          <w:sz w:val="24"/>
          <w:szCs w:val="24"/>
          <w:lang w:bidi="ar-SA"/>
        </w:rPr>
        <w:t>, R., &amp; Wiese-</w:t>
      </w:r>
      <w:proofErr w:type="spellStart"/>
      <w:r w:rsidRPr="00190B07">
        <w:rPr>
          <w:rFonts w:ascii="Times New Roman" w:eastAsia="Times New Roman" w:hAnsi="Times New Roman" w:cs="Times New Roman"/>
          <w:sz w:val="24"/>
          <w:szCs w:val="24"/>
          <w:lang w:bidi="ar-SA"/>
        </w:rPr>
        <w:t>Klinkenberg</w:t>
      </w:r>
      <w:proofErr w:type="spellEnd"/>
      <w:r w:rsidRPr="00190B07">
        <w:rPr>
          <w:rFonts w:ascii="Times New Roman" w:eastAsia="Times New Roman" w:hAnsi="Times New Roman" w:cs="Times New Roman"/>
          <w:sz w:val="24"/>
          <w:szCs w:val="24"/>
          <w:lang w:bidi="ar-SA"/>
        </w:rPr>
        <w:t xml:space="preserve">, A. (2023). Pitfalls and potential of high-throughput plant phenotyping platforms. </w:t>
      </w:r>
      <w:r w:rsidRPr="00190B07">
        <w:rPr>
          <w:rFonts w:ascii="Times New Roman" w:eastAsia="Times New Roman" w:hAnsi="Times New Roman" w:cs="Times New Roman"/>
          <w:i/>
          <w:iCs/>
          <w:sz w:val="24"/>
          <w:szCs w:val="24"/>
          <w:lang w:bidi="ar-SA"/>
        </w:rPr>
        <w:t>Frontiers in Plant Science, 14</w:t>
      </w:r>
      <w:r w:rsidRPr="00190B07">
        <w:rPr>
          <w:rFonts w:ascii="Times New Roman" w:eastAsia="Times New Roman" w:hAnsi="Times New Roman" w:cs="Times New Roman"/>
          <w:sz w:val="24"/>
          <w:szCs w:val="24"/>
          <w:lang w:bidi="ar-SA"/>
        </w:rPr>
        <w:t xml:space="preserve">, 1233794. </w:t>
      </w:r>
      <w:hyperlink r:id="rId14" w:history="1">
        <w:r w:rsidRPr="00425139">
          <w:rPr>
            <w:rStyle w:val="Hyperlink"/>
            <w:rFonts w:ascii="Times New Roman" w:eastAsia="Times New Roman" w:hAnsi="Times New Roman" w:cs="Times New Roman"/>
            <w:sz w:val="24"/>
            <w:szCs w:val="24"/>
            <w:lang w:bidi="ar-SA"/>
          </w:rPr>
          <w:t>https://doi.org/10.3389/fpls.2023.1233794</w:t>
        </w:r>
      </w:hyperlink>
    </w:p>
    <w:p w:rsidR="009C0F23"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Racsko</w:t>
      </w:r>
      <w:proofErr w:type="spellEnd"/>
      <w:r w:rsidRPr="00190B07">
        <w:rPr>
          <w:rFonts w:ascii="Times New Roman" w:eastAsia="Times New Roman" w:hAnsi="Times New Roman" w:cs="Times New Roman"/>
          <w:sz w:val="24"/>
          <w:szCs w:val="24"/>
          <w:lang w:bidi="ar-SA"/>
        </w:rPr>
        <w:t xml:space="preserve">, J., &amp; Schrader, L. E. (2012). Sunburn of apple fruit: Historical background, recent advances and future perspectives. </w:t>
      </w:r>
      <w:r w:rsidRPr="00190B07">
        <w:rPr>
          <w:rFonts w:ascii="Times New Roman" w:eastAsia="Times New Roman" w:hAnsi="Times New Roman" w:cs="Times New Roman"/>
          <w:i/>
          <w:iCs/>
          <w:sz w:val="24"/>
          <w:szCs w:val="24"/>
          <w:lang w:bidi="ar-SA"/>
        </w:rPr>
        <w:t>Critical Reviews in Plant Sciences, 31</w:t>
      </w:r>
      <w:r w:rsidRPr="00190B07">
        <w:rPr>
          <w:rFonts w:ascii="Times New Roman" w:eastAsia="Times New Roman" w:hAnsi="Times New Roman" w:cs="Times New Roman"/>
          <w:sz w:val="24"/>
          <w:szCs w:val="24"/>
          <w:lang w:bidi="ar-SA"/>
        </w:rPr>
        <w:t xml:space="preserve">(6), 455–504. https://doi.org/10.1080/07352689.2012.696453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FA1072">
        <w:rPr>
          <w:rFonts w:ascii="Times New Roman" w:eastAsia="Times New Roman" w:hAnsi="Times New Roman" w:cs="Times New Roman"/>
          <w:sz w:val="24"/>
          <w:szCs w:val="24"/>
          <w:lang w:bidi="ar-SA"/>
        </w:rPr>
        <w:t xml:space="preserve">Rahman, M.-u., Zulfiqar, S., Raza, M. A., Ahmad, N., &amp; Zhang, B. (2022). Engineering Abiotic Stress Tolerance in Crop Plants through CRISPR Genome Editing. Cells, 11(22), 3590. </w:t>
      </w:r>
      <w:hyperlink r:id="rId15" w:history="1">
        <w:r w:rsidRPr="00425139">
          <w:rPr>
            <w:rStyle w:val="Hyperlink"/>
            <w:rFonts w:ascii="Times New Roman" w:eastAsia="Times New Roman" w:hAnsi="Times New Roman" w:cs="Times New Roman"/>
            <w:sz w:val="24"/>
            <w:szCs w:val="24"/>
            <w:lang w:bidi="ar-SA"/>
          </w:rPr>
          <w:t>https://doi.org/10.3390/cells11223590</w:t>
        </w:r>
      </w:hyperlink>
      <w:r>
        <w:rPr>
          <w:rFonts w:ascii="Times New Roman" w:eastAsia="Times New Roman" w:hAnsi="Times New Roman" w:cs="Times New Roman"/>
          <w:sz w:val="24"/>
          <w:szCs w:val="24"/>
          <w:lang w:bidi="ar-SA"/>
        </w:rPr>
        <w:t xml:space="preserve">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Razi</w:t>
      </w:r>
      <w:proofErr w:type="spellEnd"/>
      <w:r w:rsidRPr="00190B07">
        <w:rPr>
          <w:rFonts w:ascii="Times New Roman" w:eastAsia="Times New Roman" w:hAnsi="Times New Roman" w:cs="Times New Roman"/>
          <w:sz w:val="24"/>
          <w:szCs w:val="24"/>
          <w:lang w:bidi="ar-SA"/>
        </w:rPr>
        <w:t xml:space="preserve">, K., Suresh, P., Jayaraman, S., Thakur, A., &amp; Patil, S. (2024). Exploring the role of grafting in abiotic stress management: Contemporary insights and automation trends. </w:t>
      </w:r>
      <w:r w:rsidRPr="00190B07">
        <w:rPr>
          <w:rFonts w:ascii="Times New Roman" w:eastAsia="Times New Roman" w:hAnsi="Times New Roman" w:cs="Times New Roman"/>
          <w:i/>
          <w:iCs/>
          <w:sz w:val="24"/>
          <w:szCs w:val="24"/>
          <w:lang w:bidi="ar-SA"/>
        </w:rPr>
        <w:t>Plant Direct, 8</w:t>
      </w:r>
      <w:r w:rsidRPr="00190B07">
        <w:rPr>
          <w:rFonts w:ascii="Times New Roman" w:eastAsia="Times New Roman" w:hAnsi="Times New Roman" w:cs="Times New Roman"/>
          <w:sz w:val="24"/>
          <w:szCs w:val="24"/>
          <w:lang w:bidi="ar-SA"/>
        </w:rPr>
        <w:t>(12), e70021. https://doi.org/10.1002/pld3.70021</w:t>
      </w:r>
    </w:p>
    <w:p w:rsidR="009C0F23"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Sato, H., </w:t>
      </w:r>
      <w:proofErr w:type="spellStart"/>
      <w:r w:rsidRPr="00190B07">
        <w:rPr>
          <w:rFonts w:ascii="Times New Roman" w:eastAsia="Times New Roman" w:hAnsi="Times New Roman" w:cs="Times New Roman"/>
          <w:sz w:val="24"/>
          <w:szCs w:val="24"/>
          <w:lang w:bidi="ar-SA"/>
        </w:rPr>
        <w:t>Mizoi</w:t>
      </w:r>
      <w:proofErr w:type="spellEnd"/>
      <w:r w:rsidRPr="00190B07">
        <w:rPr>
          <w:rFonts w:ascii="Times New Roman" w:eastAsia="Times New Roman" w:hAnsi="Times New Roman" w:cs="Times New Roman"/>
          <w:sz w:val="24"/>
          <w:szCs w:val="24"/>
          <w:lang w:bidi="ar-SA"/>
        </w:rPr>
        <w:t xml:space="preserve">, J., Shinozaki, K., &amp; Yamaguchi-Shinozaki, K. (2024). Complex plant responses to drought and heat stress under climate change. </w:t>
      </w:r>
      <w:r w:rsidRPr="00190B07">
        <w:rPr>
          <w:rFonts w:ascii="Times New Roman" w:eastAsia="Times New Roman" w:hAnsi="Times New Roman" w:cs="Times New Roman"/>
          <w:i/>
          <w:iCs/>
          <w:sz w:val="24"/>
          <w:szCs w:val="24"/>
          <w:lang w:bidi="ar-SA"/>
        </w:rPr>
        <w:t>The Plant Journal, 117</w:t>
      </w:r>
      <w:r w:rsidRPr="00190B07">
        <w:rPr>
          <w:rFonts w:ascii="Times New Roman" w:eastAsia="Times New Roman" w:hAnsi="Times New Roman" w:cs="Times New Roman"/>
          <w:sz w:val="24"/>
          <w:szCs w:val="24"/>
          <w:lang w:bidi="ar-SA"/>
        </w:rPr>
        <w:t xml:space="preserve">(6), 1873–1892. </w:t>
      </w:r>
      <w:hyperlink r:id="rId16" w:tgtFrame="_new" w:history="1">
        <w:r w:rsidRPr="00190B07">
          <w:rPr>
            <w:rFonts w:ascii="Times New Roman" w:eastAsia="Times New Roman" w:hAnsi="Times New Roman" w:cs="Times New Roman"/>
            <w:color w:val="0000FF"/>
            <w:sz w:val="24"/>
            <w:szCs w:val="24"/>
            <w:u w:val="single"/>
            <w:lang w:bidi="ar-SA"/>
          </w:rPr>
          <w:t>https://doi.org/10.1111/tpj.16612</w:t>
        </w:r>
      </w:hyperlink>
      <w:r w:rsidRPr="00190B07">
        <w:rPr>
          <w:rFonts w:ascii="Times New Roman" w:eastAsia="Times New Roman" w:hAnsi="Times New Roman" w:cs="Times New Roman"/>
          <w:sz w:val="24"/>
          <w:szCs w:val="24"/>
          <w:lang w:bidi="ar-SA"/>
        </w:rPr>
        <w:t xml:space="preserve"> </w:t>
      </w:r>
    </w:p>
    <w:p w:rsidR="009C0F23" w:rsidRDefault="009C0F23" w:rsidP="009C0F23">
      <w:pPr>
        <w:pStyle w:val="NormalWeb"/>
      </w:pPr>
      <w:proofErr w:type="spellStart"/>
      <w:r w:rsidRPr="00FD7CC5">
        <w:t>Sena</w:t>
      </w:r>
      <w:proofErr w:type="spellEnd"/>
      <w:r w:rsidRPr="00FD7CC5">
        <w:t xml:space="preserve">, L., Mica, E., </w:t>
      </w:r>
      <w:proofErr w:type="spellStart"/>
      <w:r w:rsidRPr="00FD7CC5">
        <w:t>Valè</w:t>
      </w:r>
      <w:proofErr w:type="spellEnd"/>
      <w:r w:rsidRPr="00FD7CC5">
        <w:t xml:space="preserve">, G., </w:t>
      </w:r>
      <w:proofErr w:type="spellStart"/>
      <w:r w:rsidRPr="00FD7CC5">
        <w:t>Vaccino</w:t>
      </w:r>
      <w:proofErr w:type="spellEnd"/>
      <w:r w:rsidRPr="00FD7CC5">
        <w:t xml:space="preserve">, P., &amp; </w:t>
      </w:r>
      <w:proofErr w:type="spellStart"/>
      <w:r w:rsidRPr="00FD7CC5">
        <w:t>Pecchioni</w:t>
      </w:r>
      <w:proofErr w:type="spellEnd"/>
      <w:r w:rsidRPr="00FD7CC5">
        <w:t>, N. (2024). Exploring the potential of endophyte-plant interactions for improving crop sustainable yields in a changing climate. Frontiers in plant science, 15, 1349401. https://doi.org/10.3389/fpls.2024.1349401</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053DAE">
        <w:rPr>
          <w:rFonts w:ascii="Times New Roman" w:eastAsia="Times New Roman" w:hAnsi="Times New Roman" w:cs="Times New Roman"/>
          <w:sz w:val="24"/>
          <w:szCs w:val="24"/>
          <w:lang w:bidi="ar-SA"/>
        </w:rPr>
        <w:t>Sewelam</w:t>
      </w:r>
      <w:proofErr w:type="spellEnd"/>
      <w:r w:rsidRPr="00053DAE">
        <w:rPr>
          <w:rFonts w:ascii="Times New Roman" w:eastAsia="Times New Roman" w:hAnsi="Times New Roman" w:cs="Times New Roman"/>
          <w:sz w:val="24"/>
          <w:szCs w:val="24"/>
          <w:lang w:bidi="ar-SA"/>
        </w:rPr>
        <w:t xml:space="preserve">, N., Kazan, K., &amp; Schenk, P. M. (2016). Global Plant Stress Signaling: Reactive Oxygen Species at the Cross-Road. Frontiers in plant science, 7, 187. </w:t>
      </w:r>
      <w:hyperlink r:id="rId17" w:history="1">
        <w:r w:rsidRPr="00425139">
          <w:rPr>
            <w:rStyle w:val="Hyperlink"/>
            <w:rFonts w:ascii="Times New Roman" w:eastAsia="Times New Roman" w:hAnsi="Times New Roman" w:cs="Times New Roman"/>
            <w:sz w:val="24"/>
            <w:szCs w:val="24"/>
            <w:lang w:bidi="ar-SA"/>
          </w:rPr>
          <w:t>https://doi.org/10.3389/fpls.2016.00187</w:t>
        </w:r>
      </w:hyperlink>
      <w:r>
        <w:rPr>
          <w:rFonts w:ascii="Times New Roman" w:eastAsia="Times New Roman" w:hAnsi="Times New Roman" w:cs="Times New Roman"/>
          <w:sz w:val="24"/>
          <w:szCs w:val="24"/>
          <w:lang w:bidi="ar-SA"/>
        </w:rPr>
        <w:t xml:space="preserve"> </w:t>
      </w:r>
    </w:p>
    <w:p w:rsidR="009C0F23" w:rsidRDefault="009C0F23" w:rsidP="009C0F23">
      <w:pPr>
        <w:pStyle w:val="NormalWeb"/>
      </w:pPr>
      <w:r>
        <w:lastRenderedPageBreak/>
        <w:t xml:space="preserve">Sun, Q., Liu, X., Kitagawa, Y., </w:t>
      </w:r>
      <w:proofErr w:type="spellStart"/>
      <w:r>
        <w:t>Calamita</w:t>
      </w:r>
      <w:proofErr w:type="spellEnd"/>
      <w:r>
        <w:t xml:space="preserve">, G., &amp; Ding, X. (2024). Plant aquaporins: Their roles beyond water transport. </w:t>
      </w:r>
      <w:r>
        <w:rPr>
          <w:rStyle w:val="Emphasis"/>
        </w:rPr>
        <w:t>The Crop Journal, 12</w:t>
      </w:r>
      <w:r>
        <w:t xml:space="preserve">(3), 641–655. https://doi.org/10.1016/j.cj.2024.04.005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Tachikawa</w:t>
      </w:r>
      <w:proofErr w:type="spellEnd"/>
      <w:r w:rsidRPr="00190B07">
        <w:rPr>
          <w:rFonts w:ascii="Times New Roman" w:eastAsia="Times New Roman" w:hAnsi="Times New Roman" w:cs="Times New Roman"/>
          <w:sz w:val="24"/>
          <w:szCs w:val="24"/>
          <w:lang w:bidi="ar-SA"/>
        </w:rPr>
        <w:t xml:space="preserve">, M., &amp; Matsuo, M. (2024). Global regulatory trends of genome editing technology in agriculture and food. </w:t>
      </w:r>
      <w:r w:rsidRPr="00190B07">
        <w:rPr>
          <w:rFonts w:ascii="Times New Roman" w:eastAsia="Times New Roman" w:hAnsi="Times New Roman" w:cs="Times New Roman"/>
          <w:i/>
          <w:iCs/>
          <w:sz w:val="24"/>
          <w:szCs w:val="24"/>
          <w:lang w:bidi="ar-SA"/>
        </w:rPr>
        <w:t>Breeding Science, 74</w:t>
      </w:r>
      <w:r w:rsidRPr="00190B07">
        <w:rPr>
          <w:rFonts w:ascii="Times New Roman" w:eastAsia="Times New Roman" w:hAnsi="Times New Roman" w:cs="Times New Roman"/>
          <w:sz w:val="24"/>
          <w:szCs w:val="24"/>
          <w:lang w:bidi="ar-SA"/>
        </w:rPr>
        <w:t xml:space="preserve">(1), 3–10. https://doi.org/10.1270/jsbbs.23046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Topali</w:t>
      </w:r>
      <w:proofErr w:type="spellEnd"/>
      <w:r w:rsidRPr="00190B07">
        <w:rPr>
          <w:rFonts w:ascii="Times New Roman" w:eastAsia="Times New Roman" w:hAnsi="Times New Roman" w:cs="Times New Roman"/>
          <w:sz w:val="24"/>
          <w:szCs w:val="24"/>
          <w:lang w:bidi="ar-SA"/>
        </w:rPr>
        <w:t xml:space="preserve">, C., </w:t>
      </w:r>
      <w:proofErr w:type="spellStart"/>
      <w:r w:rsidRPr="00190B07">
        <w:rPr>
          <w:rFonts w:ascii="Times New Roman" w:eastAsia="Times New Roman" w:hAnsi="Times New Roman" w:cs="Times New Roman"/>
          <w:sz w:val="24"/>
          <w:szCs w:val="24"/>
          <w:lang w:bidi="ar-SA"/>
        </w:rPr>
        <w:t>Therios</w:t>
      </w:r>
      <w:proofErr w:type="spellEnd"/>
      <w:r w:rsidRPr="00190B07">
        <w:rPr>
          <w:rFonts w:ascii="Times New Roman" w:eastAsia="Times New Roman" w:hAnsi="Times New Roman" w:cs="Times New Roman"/>
          <w:sz w:val="24"/>
          <w:szCs w:val="24"/>
          <w:lang w:bidi="ar-SA"/>
        </w:rPr>
        <w:t xml:space="preserve">, I., &amp; </w:t>
      </w:r>
      <w:proofErr w:type="spellStart"/>
      <w:r w:rsidRPr="00190B07">
        <w:rPr>
          <w:rFonts w:ascii="Times New Roman" w:eastAsia="Times New Roman" w:hAnsi="Times New Roman" w:cs="Times New Roman"/>
          <w:sz w:val="24"/>
          <w:szCs w:val="24"/>
          <w:lang w:bidi="ar-SA"/>
        </w:rPr>
        <w:t>Molassiotis</w:t>
      </w:r>
      <w:proofErr w:type="spellEnd"/>
      <w:r w:rsidRPr="00190B07">
        <w:rPr>
          <w:rFonts w:ascii="Times New Roman" w:eastAsia="Times New Roman" w:hAnsi="Times New Roman" w:cs="Times New Roman"/>
          <w:sz w:val="24"/>
          <w:szCs w:val="24"/>
          <w:lang w:bidi="ar-SA"/>
        </w:rPr>
        <w:t xml:space="preserve">, A. (2024). Effect of waterlogging on growth and productivity of fruit crops: A review. </w:t>
      </w:r>
      <w:proofErr w:type="spellStart"/>
      <w:r w:rsidRPr="00190B07">
        <w:rPr>
          <w:rFonts w:ascii="Times New Roman" w:eastAsia="Times New Roman" w:hAnsi="Times New Roman" w:cs="Times New Roman"/>
          <w:i/>
          <w:iCs/>
          <w:sz w:val="24"/>
          <w:szCs w:val="24"/>
          <w:lang w:bidi="ar-SA"/>
        </w:rPr>
        <w:t>Horticulturae</w:t>
      </w:r>
      <w:proofErr w:type="spellEnd"/>
      <w:r w:rsidRPr="00190B07">
        <w:rPr>
          <w:rFonts w:ascii="Times New Roman" w:eastAsia="Times New Roman" w:hAnsi="Times New Roman" w:cs="Times New Roman"/>
          <w:i/>
          <w:iCs/>
          <w:sz w:val="24"/>
          <w:szCs w:val="24"/>
          <w:lang w:bidi="ar-SA"/>
        </w:rPr>
        <w:t>, 10</w:t>
      </w:r>
      <w:r w:rsidRPr="00190B07">
        <w:rPr>
          <w:rFonts w:ascii="Times New Roman" w:eastAsia="Times New Roman" w:hAnsi="Times New Roman" w:cs="Times New Roman"/>
          <w:sz w:val="24"/>
          <w:szCs w:val="24"/>
          <w:lang w:bidi="ar-SA"/>
        </w:rPr>
        <w:t xml:space="preserve">(6), 623. https://doi.org/10.3390/horticulturae10060623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van </w:t>
      </w:r>
      <w:proofErr w:type="spellStart"/>
      <w:r w:rsidRPr="00190B07">
        <w:rPr>
          <w:rFonts w:ascii="Times New Roman" w:eastAsia="Times New Roman" w:hAnsi="Times New Roman" w:cs="Times New Roman"/>
          <w:sz w:val="24"/>
          <w:szCs w:val="24"/>
          <w:lang w:bidi="ar-SA"/>
        </w:rPr>
        <w:t>Wijk</w:t>
      </w:r>
      <w:proofErr w:type="spellEnd"/>
      <w:r w:rsidRPr="00190B07">
        <w:rPr>
          <w:rFonts w:ascii="Times New Roman" w:eastAsia="Times New Roman" w:hAnsi="Times New Roman" w:cs="Times New Roman"/>
          <w:sz w:val="24"/>
          <w:szCs w:val="24"/>
          <w:lang w:bidi="ar-SA"/>
        </w:rPr>
        <w:t xml:space="preserve">, M. T., Hammond, J., Gorman, L., Adams, J., &amp; </w:t>
      </w:r>
      <w:proofErr w:type="spellStart"/>
      <w:r w:rsidRPr="00190B07">
        <w:rPr>
          <w:rFonts w:ascii="Times New Roman" w:eastAsia="Times New Roman" w:hAnsi="Times New Roman" w:cs="Times New Roman"/>
          <w:sz w:val="24"/>
          <w:szCs w:val="24"/>
          <w:lang w:bidi="ar-SA"/>
        </w:rPr>
        <w:t>Asten</w:t>
      </w:r>
      <w:proofErr w:type="spellEnd"/>
      <w:r w:rsidRPr="00190B07">
        <w:rPr>
          <w:rFonts w:ascii="Times New Roman" w:eastAsia="Times New Roman" w:hAnsi="Times New Roman" w:cs="Times New Roman"/>
          <w:sz w:val="24"/>
          <w:szCs w:val="24"/>
          <w:lang w:bidi="ar-SA"/>
        </w:rPr>
        <w:t xml:space="preserve">, P. V. (2020). Improving assessments of the three pillars of climate smart agriculture: Current gaps and future directions. </w:t>
      </w:r>
      <w:r w:rsidRPr="00190B07">
        <w:rPr>
          <w:rFonts w:ascii="Times New Roman" w:eastAsia="Times New Roman" w:hAnsi="Times New Roman" w:cs="Times New Roman"/>
          <w:i/>
          <w:iCs/>
          <w:sz w:val="24"/>
          <w:szCs w:val="24"/>
          <w:lang w:bidi="ar-SA"/>
        </w:rPr>
        <w:t>Frontiers in Sustainable Food Systems, 4</w:t>
      </w:r>
      <w:r w:rsidRPr="00190B07">
        <w:rPr>
          <w:rFonts w:ascii="Times New Roman" w:eastAsia="Times New Roman" w:hAnsi="Times New Roman" w:cs="Times New Roman"/>
          <w:sz w:val="24"/>
          <w:szCs w:val="24"/>
          <w:lang w:bidi="ar-SA"/>
        </w:rPr>
        <w:t xml:space="preserve">, 558483. https://doi.org/10.3389/fsufs.2020.558483 </w:t>
      </w:r>
    </w:p>
    <w:p w:rsidR="009C0F23"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Waadt</w:t>
      </w:r>
      <w:proofErr w:type="spellEnd"/>
      <w:r w:rsidRPr="00190B07">
        <w:rPr>
          <w:rFonts w:ascii="Times New Roman" w:eastAsia="Times New Roman" w:hAnsi="Times New Roman" w:cs="Times New Roman"/>
          <w:sz w:val="24"/>
          <w:szCs w:val="24"/>
          <w:lang w:bidi="ar-SA"/>
        </w:rPr>
        <w:t xml:space="preserve">, R., Seller, C. A., Hsu, P.-K., Takahashi, Y., </w:t>
      </w:r>
      <w:proofErr w:type="spellStart"/>
      <w:r w:rsidRPr="00190B07">
        <w:rPr>
          <w:rFonts w:ascii="Times New Roman" w:eastAsia="Times New Roman" w:hAnsi="Times New Roman" w:cs="Times New Roman"/>
          <w:sz w:val="24"/>
          <w:szCs w:val="24"/>
          <w:lang w:bidi="ar-SA"/>
        </w:rPr>
        <w:t>Munemasa</w:t>
      </w:r>
      <w:proofErr w:type="spellEnd"/>
      <w:r w:rsidRPr="00190B07">
        <w:rPr>
          <w:rFonts w:ascii="Times New Roman" w:eastAsia="Times New Roman" w:hAnsi="Times New Roman" w:cs="Times New Roman"/>
          <w:sz w:val="24"/>
          <w:szCs w:val="24"/>
          <w:lang w:bidi="ar-SA"/>
        </w:rPr>
        <w:t xml:space="preserve">, S., &amp; Schroeder, J. I. (2022). Plant hormone regulation of abiotic stress responses. </w:t>
      </w:r>
      <w:r w:rsidRPr="00190B07">
        <w:rPr>
          <w:rFonts w:ascii="Times New Roman" w:eastAsia="Times New Roman" w:hAnsi="Times New Roman" w:cs="Times New Roman"/>
          <w:i/>
          <w:iCs/>
          <w:sz w:val="24"/>
          <w:szCs w:val="24"/>
          <w:lang w:bidi="ar-SA"/>
        </w:rPr>
        <w:t>Nature Reviews Molecular Cell Biology, 23</w:t>
      </w:r>
      <w:r w:rsidRPr="00190B07">
        <w:rPr>
          <w:rFonts w:ascii="Times New Roman" w:eastAsia="Times New Roman" w:hAnsi="Times New Roman" w:cs="Times New Roman"/>
          <w:sz w:val="24"/>
          <w:szCs w:val="24"/>
          <w:lang w:bidi="ar-SA"/>
        </w:rPr>
        <w:t xml:space="preserve">(10), 680–694. https://doi.org/10.1038/s41580-022-00479-6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Wu, T.-Y., Hoh, K. L., </w:t>
      </w:r>
      <w:proofErr w:type="spellStart"/>
      <w:r w:rsidRPr="00190B07">
        <w:rPr>
          <w:rFonts w:ascii="Times New Roman" w:eastAsia="Times New Roman" w:hAnsi="Times New Roman" w:cs="Times New Roman"/>
          <w:sz w:val="24"/>
          <w:szCs w:val="24"/>
          <w:lang w:bidi="ar-SA"/>
        </w:rPr>
        <w:t>Boonyaves</w:t>
      </w:r>
      <w:proofErr w:type="spellEnd"/>
      <w:r w:rsidRPr="00190B07">
        <w:rPr>
          <w:rFonts w:ascii="Times New Roman" w:eastAsia="Times New Roman" w:hAnsi="Times New Roman" w:cs="Times New Roman"/>
          <w:sz w:val="24"/>
          <w:szCs w:val="24"/>
          <w:lang w:bidi="ar-SA"/>
        </w:rPr>
        <w:t xml:space="preserve">, K., </w:t>
      </w:r>
      <w:proofErr w:type="spellStart"/>
      <w:r w:rsidRPr="00190B07">
        <w:rPr>
          <w:rFonts w:ascii="Times New Roman" w:eastAsia="Times New Roman" w:hAnsi="Times New Roman" w:cs="Times New Roman"/>
          <w:sz w:val="24"/>
          <w:szCs w:val="24"/>
          <w:lang w:bidi="ar-SA"/>
        </w:rPr>
        <w:t>Krishnamoorthi</w:t>
      </w:r>
      <w:proofErr w:type="spellEnd"/>
      <w:r w:rsidRPr="00190B07">
        <w:rPr>
          <w:rFonts w:ascii="Times New Roman" w:eastAsia="Times New Roman" w:hAnsi="Times New Roman" w:cs="Times New Roman"/>
          <w:sz w:val="24"/>
          <w:szCs w:val="24"/>
          <w:lang w:bidi="ar-SA"/>
        </w:rPr>
        <w:t xml:space="preserve">, S., &amp; </w:t>
      </w:r>
      <w:proofErr w:type="spellStart"/>
      <w:r w:rsidRPr="00190B07">
        <w:rPr>
          <w:rFonts w:ascii="Times New Roman" w:eastAsia="Times New Roman" w:hAnsi="Times New Roman" w:cs="Times New Roman"/>
          <w:sz w:val="24"/>
          <w:szCs w:val="24"/>
          <w:lang w:bidi="ar-SA"/>
        </w:rPr>
        <w:t>Urano</w:t>
      </w:r>
      <w:proofErr w:type="spellEnd"/>
      <w:r w:rsidRPr="00190B07">
        <w:rPr>
          <w:rFonts w:ascii="Times New Roman" w:eastAsia="Times New Roman" w:hAnsi="Times New Roman" w:cs="Times New Roman"/>
          <w:sz w:val="24"/>
          <w:szCs w:val="24"/>
          <w:lang w:bidi="ar-SA"/>
        </w:rPr>
        <w:t xml:space="preserve">, D. (2022). Diversification of heat shock transcription factors expanded thermal stress responses during early plant evolution. </w:t>
      </w:r>
      <w:r w:rsidRPr="00190B07">
        <w:rPr>
          <w:rFonts w:ascii="Times New Roman" w:eastAsia="Times New Roman" w:hAnsi="Times New Roman" w:cs="Times New Roman"/>
          <w:i/>
          <w:iCs/>
          <w:sz w:val="24"/>
          <w:szCs w:val="24"/>
          <w:lang w:bidi="ar-SA"/>
        </w:rPr>
        <w:t>The Plant Cell, 34</w:t>
      </w:r>
      <w:r w:rsidRPr="00190B07">
        <w:rPr>
          <w:rFonts w:ascii="Times New Roman" w:eastAsia="Times New Roman" w:hAnsi="Times New Roman" w:cs="Times New Roman"/>
          <w:sz w:val="24"/>
          <w:szCs w:val="24"/>
          <w:lang w:bidi="ar-SA"/>
        </w:rPr>
        <w:t xml:space="preserve">(10), 3557–3576. https://doi.org/10.1093/plcell/koac204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Yang, T., Wang, C., Yu, H., Li, X., Bucher, J., &amp; Li, Z., et al. (2023). Recoloring tomato fruit by CRISPR/Cas9-mediated multiplex gene editing of PSY1, MYB12, and SGR1. </w:t>
      </w:r>
      <w:r w:rsidRPr="00190B07">
        <w:rPr>
          <w:rFonts w:ascii="Times New Roman" w:eastAsia="Times New Roman" w:hAnsi="Times New Roman" w:cs="Times New Roman"/>
          <w:i/>
          <w:iCs/>
          <w:sz w:val="24"/>
          <w:szCs w:val="24"/>
          <w:lang w:bidi="ar-SA"/>
        </w:rPr>
        <w:t>Horticulture Research, 10</w:t>
      </w:r>
      <w:r w:rsidRPr="00190B07">
        <w:rPr>
          <w:rFonts w:ascii="Times New Roman" w:eastAsia="Times New Roman" w:hAnsi="Times New Roman" w:cs="Times New Roman"/>
          <w:sz w:val="24"/>
          <w:szCs w:val="24"/>
          <w:lang w:bidi="ar-SA"/>
        </w:rPr>
        <w:t xml:space="preserve">, uhac214. https://doi.org/10.1093/hr/uhac214 </w:t>
      </w:r>
    </w:p>
    <w:p w:rsidR="009C0F23" w:rsidRDefault="009C0F23" w:rsidP="009C0F23">
      <w:pPr>
        <w:pStyle w:val="NormalWeb"/>
      </w:pPr>
      <w:proofErr w:type="spellStart"/>
      <w:r w:rsidRPr="00190B07">
        <w:t>Zandalinas</w:t>
      </w:r>
      <w:proofErr w:type="spellEnd"/>
      <w:r w:rsidRPr="00190B07">
        <w:t xml:space="preserve">, S. I., </w:t>
      </w:r>
      <w:proofErr w:type="spellStart"/>
      <w:r w:rsidRPr="00190B07">
        <w:t>Balfagón</w:t>
      </w:r>
      <w:proofErr w:type="spellEnd"/>
      <w:r w:rsidRPr="00190B07">
        <w:t>, D., Gómez-</w:t>
      </w:r>
      <w:proofErr w:type="spellStart"/>
      <w:r w:rsidRPr="00190B07">
        <w:t>Cadenas</w:t>
      </w:r>
      <w:proofErr w:type="spellEnd"/>
      <w:r w:rsidRPr="00190B07">
        <w:t xml:space="preserve">, A., &amp; </w:t>
      </w:r>
      <w:proofErr w:type="spellStart"/>
      <w:r w:rsidRPr="00190B07">
        <w:t>Mittler</w:t>
      </w:r>
      <w:proofErr w:type="spellEnd"/>
      <w:r w:rsidRPr="00190B07">
        <w:t>, R. (2022). Plant responses to climate change: metabolic changes under combined abiotic stresses. Journal of Experimental Botany, 73(11), 3339-3354.</w:t>
      </w:r>
      <w:r>
        <w:t xml:space="preserve"> https://doi.org/10.1093/jxb/erac073</w:t>
      </w:r>
    </w:p>
    <w:p w:rsidR="009C0F23" w:rsidRDefault="009C0F23" w:rsidP="009C0F23">
      <w:pPr>
        <w:pStyle w:val="NormalWeb"/>
      </w:pPr>
      <w:r>
        <w:t xml:space="preserve">Zhang, Y., Huang, F., &amp; Murphy, A. S. (2023). Plant hormone transport and localization: Signaling molecules on the move. </w:t>
      </w:r>
      <w:r>
        <w:rPr>
          <w:rStyle w:val="Emphasis"/>
        </w:rPr>
        <w:t>Annual Review of Plant Biology, 74</w:t>
      </w:r>
      <w:r>
        <w:t xml:space="preserve">, 541–558. https://doi.org/10.1146/annurev-arplant-070722-015329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FA1072">
        <w:rPr>
          <w:rFonts w:ascii="Times New Roman" w:eastAsia="Times New Roman" w:hAnsi="Times New Roman" w:cs="Times New Roman"/>
          <w:sz w:val="24"/>
          <w:szCs w:val="24"/>
          <w:lang w:bidi="ar-SA"/>
        </w:rPr>
        <w:t xml:space="preserve">Zhou, Y., Wang, Y., Xu, F., Song, C., Yang, X., Zhang, Z., ... &amp; He, J. (2022). Small HSPs play an important role in crosstalk between HSF-HSP and ROS pathways in heat stress response through transcriptomic analysis in lilies (Lilium </w:t>
      </w:r>
      <w:proofErr w:type="spellStart"/>
      <w:r w:rsidRPr="00FA1072">
        <w:rPr>
          <w:rFonts w:ascii="Times New Roman" w:eastAsia="Times New Roman" w:hAnsi="Times New Roman" w:cs="Times New Roman"/>
          <w:sz w:val="24"/>
          <w:szCs w:val="24"/>
          <w:lang w:bidi="ar-SA"/>
        </w:rPr>
        <w:t>longiflorum</w:t>
      </w:r>
      <w:proofErr w:type="spellEnd"/>
      <w:r w:rsidRPr="00FA1072">
        <w:rPr>
          <w:rFonts w:ascii="Times New Roman" w:eastAsia="Times New Roman" w:hAnsi="Times New Roman" w:cs="Times New Roman"/>
          <w:sz w:val="24"/>
          <w:szCs w:val="24"/>
          <w:lang w:bidi="ar-SA"/>
        </w:rPr>
        <w:t>). BMC plant biology, 22(1), 202.</w:t>
      </w:r>
      <w:r>
        <w:rPr>
          <w:rFonts w:ascii="Times New Roman" w:eastAsia="Times New Roman" w:hAnsi="Times New Roman" w:cs="Times New Roman"/>
          <w:sz w:val="24"/>
          <w:szCs w:val="24"/>
          <w:lang w:bidi="ar-SA"/>
        </w:rPr>
        <w:t xml:space="preserve"> </w:t>
      </w:r>
      <w:hyperlink r:id="rId18" w:history="1">
        <w:r w:rsidRPr="00425139">
          <w:rPr>
            <w:rStyle w:val="Hyperlink"/>
            <w:rFonts w:ascii="Times New Roman" w:eastAsia="Times New Roman" w:hAnsi="Times New Roman" w:cs="Times New Roman"/>
            <w:sz w:val="24"/>
            <w:szCs w:val="24"/>
            <w:lang w:bidi="ar-SA"/>
          </w:rPr>
          <w:t>https://doi.org/10.1186/s12870-022-03587-9</w:t>
        </w:r>
      </w:hyperlink>
      <w:r>
        <w:rPr>
          <w:rFonts w:ascii="Times New Roman" w:eastAsia="Times New Roman" w:hAnsi="Times New Roman" w:cs="Times New Roman"/>
          <w:sz w:val="24"/>
          <w:szCs w:val="24"/>
          <w:lang w:bidi="ar-SA"/>
        </w:rPr>
        <w:t xml:space="preserve"> </w:t>
      </w:r>
    </w:p>
    <w:p w:rsidR="009C0F23" w:rsidRPr="00190B07" w:rsidRDefault="009C0F23" w:rsidP="009C0F23">
      <w:pPr>
        <w:spacing w:before="100" w:beforeAutospacing="1" w:after="100" w:afterAutospacing="1" w:line="240" w:lineRule="auto"/>
        <w:rPr>
          <w:rFonts w:ascii="Times New Roman" w:eastAsia="Times New Roman" w:hAnsi="Times New Roman" w:cs="Times New Roman"/>
          <w:sz w:val="24"/>
          <w:szCs w:val="24"/>
          <w:lang w:bidi="ar-SA"/>
        </w:rPr>
      </w:pPr>
      <w:r w:rsidRPr="00C1587D">
        <w:rPr>
          <w:rFonts w:ascii="Times New Roman" w:eastAsia="Times New Roman" w:hAnsi="Times New Roman" w:cs="Times New Roman"/>
          <w:sz w:val="24"/>
          <w:szCs w:val="24"/>
          <w:lang w:bidi="ar-SA"/>
        </w:rPr>
        <w:t xml:space="preserve">Zulfiqar, F., Nafees, M., Chen, J., Darras, A., Ferrante, A., Hancock, J. T., Ashraf, M., Zaid, A., Latif, N., </w:t>
      </w:r>
      <w:proofErr w:type="spellStart"/>
      <w:r w:rsidRPr="00C1587D">
        <w:rPr>
          <w:rFonts w:ascii="Times New Roman" w:eastAsia="Times New Roman" w:hAnsi="Times New Roman" w:cs="Times New Roman"/>
          <w:sz w:val="24"/>
          <w:szCs w:val="24"/>
          <w:lang w:bidi="ar-SA"/>
        </w:rPr>
        <w:t>Corpas</w:t>
      </w:r>
      <w:proofErr w:type="spellEnd"/>
      <w:r w:rsidRPr="00C1587D">
        <w:rPr>
          <w:rFonts w:ascii="Times New Roman" w:eastAsia="Times New Roman" w:hAnsi="Times New Roman" w:cs="Times New Roman"/>
          <w:sz w:val="24"/>
          <w:szCs w:val="24"/>
          <w:lang w:bidi="ar-SA"/>
        </w:rPr>
        <w:t xml:space="preserve">, F. J., Altaf, M. A., &amp; Siddique, K. H. M. (2022). Chemical priming enhances plant tolerance to salt stress. Frontiers in plant science, 13, 946922. </w:t>
      </w:r>
      <w:hyperlink r:id="rId19" w:history="1">
        <w:r w:rsidRPr="00425139">
          <w:rPr>
            <w:rStyle w:val="Hyperlink"/>
            <w:rFonts w:ascii="Times New Roman" w:eastAsia="Times New Roman" w:hAnsi="Times New Roman" w:cs="Times New Roman"/>
            <w:sz w:val="24"/>
            <w:szCs w:val="24"/>
            <w:lang w:bidi="ar-SA"/>
          </w:rPr>
          <w:t>https://doi.org/10.3389/fpls.2022.946922</w:t>
        </w:r>
      </w:hyperlink>
      <w:r>
        <w:rPr>
          <w:rFonts w:ascii="Times New Roman" w:eastAsia="Times New Roman" w:hAnsi="Times New Roman" w:cs="Times New Roman"/>
          <w:sz w:val="24"/>
          <w:szCs w:val="24"/>
          <w:lang w:bidi="ar-SA"/>
        </w:rPr>
        <w:t xml:space="preserve"> </w:t>
      </w:r>
    </w:p>
    <w:p w:rsidR="009C0F23" w:rsidRDefault="009C0F23" w:rsidP="008D2A3F">
      <w:pPr>
        <w:spacing w:before="100" w:beforeAutospacing="1" w:after="100" w:afterAutospacing="1" w:line="240" w:lineRule="auto"/>
        <w:rPr>
          <w:rFonts w:ascii="Times New Roman" w:eastAsia="Times New Roman" w:hAnsi="Times New Roman" w:cs="Times New Roman"/>
          <w:b/>
          <w:bCs/>
          <w:sz w:val="36"/>
          <w:szCs w:val="36"/>
          <w:lang w:bidi="ar-SA"/>
        </w:rPr>
      </w:pPr>
    </w:p>
    <w:p w:rsidR="009C0F23" w:rsidRPr="008D2A3F" w:rsidRDefault="009C0F23" w:rsidP="008D2A3F">
      <w:pPr>
        <w:spacing w:before="100" w:beforeAutospacing="1" w:after="100" w:afterAutospacing="1" w:line="240" w:lineRule="auto"/>
        <w:rPr>
          <w:rFonts w:ascii="Times New Roman" w:eastAsia="Times New Roman" w:hAnsi="Times New Roman" w:cs="Times New Roman"/>
          <w:sz w:val="24"/>
          <w:szCs w:val="24"/>
          <w:lang w:bidi="ar-SA"/>
        </w:rPr>
      </w:pPr>
    </w:p>
    <w:sectPr w:rsidR="009C0F23" w:rsidRPr="008D2A3F" w:rsidSect="00E4717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A12" w:rsidRDefault="00631A12" w:rsidP="00922978">
      <w:pPr>
        <w:spacing w:after="0" w:line="240" w:lineRule="auto"/>
      </w:pPr>
      <w:r>
        <w:separator/>
      </w:r>
    </w:p>
  </w:endnote>
  <w:endnote w:type="continuationSeparator" w:id="0">
    <w:p w:rsidR="00631A12" w:rsidRDefault="00631A12" w:rsidP="0092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A12" w:rsidRDefault="00631A12" w:rsidP="00922978">
      <w:pPr>
        <w:spacing w:after="0" w:line="240" w:lineRule="auto"/>
      </w:pPr>
      <w:r>
        <w:separator/>
      </w:r>
    </w:p>
  </w:footnote>
  <w:footnote w:type="continuationSeparator" w:id="0">
    <w:p w:rsidR="00631A12" w:rsidRDefault="00631A12" w:rsidP="0092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2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2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2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0AFE"/>
    <w:rsid w:val="00247C5D"/>
    <w:rsid w:val="002B047B"/>
    <w:rsid w:val="00425038"/>
    <w:rsid w:val="004B2E1A"/>
    <w:rsid w:val="004C2E8A"/>
    <w:rsid w:val="00541655"/>
    <w:rsid w:val="005961C5"/>
    <w:rsid w:val="00631A12"/>
    <w:rsid w:val="008411CD"/>
    <w:rsid w:val="008D2A3F"/>
    <w:rsid w:val="008F4308"/>
    <w:rsid w:val="00922978"/>
    <w:rsid w:val="00926649"/>
    <w:rsid w:val="00952411"/>
    <w:rsid w:val="009C0F23"/>
    <w:rsid w:val="00A56D44"/>
    <w:rsid w:val="00A71DD3"/>
    <w:rsid w:val="00AD06A2"/>
    <w:rsid w:val="00B607A6"/>
    <w:rsid w:val="00BA792F"/>
    <w:rsid w:val="00C55D72"/>
    <w:rsid w:val="00C97D35"/>
    <w:rsid w:val="00E10AFE"/>
    <w:rsid w:val="00E4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DD0DD18-D71E-44C6-A637-3F8B940D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179"/>
  </w:style>
  <w:style w:type="paragraph" w:styleId="Heading1">
    <w:name w:val="heading 1"/>
    <w:basedOn w:val="Normal"/>
    <w:link w:val="Heading1Char"/>
    <w:uiPriority w:val="9"/>
    <w:qFormat/>
    <w:rsid w:val="008D2A3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8D2A3F"/>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8D2A3F"/>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C97D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2A3F"/>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8D2A3F"/>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8D2A3F"/>
    <w:rPr>
      <w:rFonts w:ascii="Times New Roman" w:eastAsia="Times New Roman" w:hAnsi="Times New Roman" w:cs="Times New Roman"/>
      <w:b/>
      <w:bCs/>
      <w:sz w:val="27"/>
      <w:szCs w:val="27"/>
      <w:lang w:bidi="ar-SA"/>
    </w:rPr>
  </w:style>
  <w:style w:type="paragraph" w:styleId="NormalWeb">
    <w:name w:val="Normal (Web)"/>
    <w:basedOn w:val="Normal"/>
    <w:uiPriority w:val="99"/>
    <w:semiHidden/>
    <w:unhideWhenUsed/>
    <w:rsid w:val="008D2A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D2A3F"/>
    <w:rPr>
      <w:b/>
      <w:bCs/>
    </w:rPr>
  </w:style>
  <w:style w:type="character" w:customStyle="1" w:styleId="ms-1">
    <w:name w:val="ms-1"/>
    <w:basedOn w:val="DefaultParagraphFont"/>
    <w:rsid w:val="008D2A3F"/>
  </w:style>
  <w:style w:type="character" w:styleId="Hyperlink">
    <w:name w:val="Hyperlink"/>
    <w:basedOn w:val="DefaultParagraphFont"/>
    <w:uiPriority w:val="99"/>
    <w:unhideWhenUsed/>
    <w:rsid w:val="008D2A3F"/>
    <w:rPr>
      <w:color w:val="0000FF"/>
      <w:u w:val="single"/>
    </w:rPr>
  </w:style>
  <w:style w:type="character" w:customStyle="1" w:styleId="max-w-15ch">
    <w:name w:val="max-w-[15ch]"/>
    <w:basedOn w:val="DefaultParagraphFont"/>
    <w:rsid w:val="008D2A3F"/>
  </w:style>
  <w:style w:type="character" w:customStyle="1" w:styleId="-me-1">
    <w:name w:val="-me-1"/>
    <w:basedOn w:val="DefaultParagraphFont"/>
    <w:rsid w:val="008D2A3F"/>
  </w:style>
  <w:style w:type="character" w:styleId="Emphasis">
    <w:name w:val="Emphasis"/>
    <w:basedOn w:val="DefaultParagraphFont"/>
    <w:uiPriority w:val="20"/>
    <w:qFormat/>
    <w:rsid w:val="008D2A3F"/>
    <w:rPr>
      <w:i/>
      <w:iCs/>
    </w:rPr>
  </w:style>
  <w:style w:type="character" w:customStyle="1" w:styleId="Heading4Char">
    <w:name w:val="Heading 4 Char"/>
    <w:basedOn w:val="DefaultParagraphFont"/>
    <w:link w:val="Heading4"/>
    <w:uiPriority w:val="9"/>
    <w:semiHidden/>
    <w:rsid w:val="00C97D35"/>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8F430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8F4308"/>
    <w:pPr>
      <w:spacing w:after="100"/>
    </w:pPr>
  </w:style>
  <w:style w:type="paragraph" w:styleId="TOC2">
    <w:name w:val="toc 2"/>
    <w:basedOn w:val="Normal"/>
    <w:next w:val="Normal"/>
    <w:autoRedefine/>
    <w:uiPriority w:val="39"/>
    <w:unhideWhenUsed/>
    <w:rsid w:val="008F4308"/>
    <w:pPr>
      <w:spacing w:after="100"/>
      <w:ind w:left="220"/>
    </w:pPr>
  </w:style>
  <w:style w:type="paragraph" w:styleId="BalloonText">
    <w:name w:val="Balloon Text"/>
    <w:basedOn w:val="Normal"/>
    <w:link w:val="BalloonTextChar"/>
    <w:uiPriority w:val="99"/>
    <w:semiHidden/>
    <w:unhideWhenUsed/>
    <w:rsid w:val="008F4308"/>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F4308"/>
    <w:rPr>
      <w:rFonts w:ascii="Tahoma" w:hAnsi="Tahoma" w:cs="Tahoma"/>
      <w:sz w:val="16"/>
      <w:szCs w:val="20"/>
    </w:rPr>
  </w:style>
  <w:style w:type="paragraph" w:styleId="Header">
    <w:name w:val="header"/>
    <w:basedOn w:val="Normal"/>
    <w:link w:val="HeaderChar"/>
    <w:uiPriority w:val="99"/>
    <w:unhideWhenUsed/>
    <w:rsid w:val="00922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978"/>
  </w:style>
  <w:style w:type="paragraph" w:styleId="Footer">
    <w:name w:val="footer"/>
    <w:basedOn w:val="Normal"/>
    <w:link w:val="FooterChar"/>
    <w:uiPriority w:val="99"/>
    <w:unhideWhenUsed/>
    <w:rsid w:val="00922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19078">
      <w:bodyDiv w:val="1"/>
      <w:marLeft w:val="0"/>
      <w:marRight w:val="0"/>
      <w:marTop w:val="0"/>
      <w:marBottom w:val="0"/>
      <w:divBdr>
        <w:top w:val="none" w:sz="0" w:space="0" w:color="auto"/>
        <w:left w:val="none" w:sz="0" w:space="0" w:color="auto"/>
        <w:bottom w:val="none" w:sz="0" w:space="0" w:color="auto"/>
        <w:right w:val="none" w:sz="0" w:space="0" w:color="auto"/>
      </w:divBdr>
    </w:div>
    <w:div w:id="713429325">
      <w:bodyDiv w:val="1"/>
      <w:marLeft w:val="0"/>
      <w:marRight w:val="0"/>
      <w:marTop w:val="0"/>
      <w:marBottom w:val="0"/>
      <w:divBdr>
        <w:top w:val="none" w:sz="0" w:space="0" w:color="auto"/>
        <w:left w:val="none" w:sz="0" w:space="0" w:color="auto"/>
        <w:bottom w:val="none" w:sz="0" w:space="0" w:color="auto"/>
        <w:right w:val="none" w:sz="0" w:space="0" w:color="auto"/>
      </w:divBdr>
    </w:div>
    <w:div w:id="1039741195">
      <w:bodyDiv w:val="1"/>
      <w:marLeft w:val="0"/>
      <w:marRight w:val="0"/>
      <w:marTop w:val="0"/>
      <w:marBottom w:val="0"/>
      <w:divBdr>
        <w:top w:val="none" w:sz="0" w:space="0" w:color="auto"/>
        <w:left w:val="none" w:sz="0" w:space="0" w:color="auto"/>
        <w:bottom w:val="none" w:sz="0" w:space="0" w:color="auto"/>
        <w:right w:val="none" w:sz="0" w:space="0" w:color="auto"/>
      </w:divBdr>
    </w:div>
    <w:div w:id="1602488278">
      <w:bodyDiv w:val="1"/>
      <w:marLeft w:val="0"/>
      <w:marRight w:val="0"/>
      <w:marTop w:val="0"/>
      <w:marBottom w:val="0"/>
      <w:divBdr>
        <w:top w:val="none" w:sz="0" w:space="0" w:color="auto"/>
        <w:left w:val="none" w:sz="0" w:space="0" w:color="auto"/>
        <w:bottom w:val="none" w:sz="0" w:space="0" w:color="auto"/>
        <w:right w:val="none" w:sz="0" w:space="0" w:color="auto"/>
      </w:divBdr>
    </w:div>
    <w:div w:id="1609772861">
      <w:bodyDiv w:val="1"/>
      <w:marLeft w:val="0"/>
      <w:marRight w:val="0"/>
      <w:marTop w:val="0"/>
      <w:marBottom w:val="0"/>
      <w:divBdr>
        <w:top w:val="none" w:sz="0" w:space="0" w:color="auto"/>
        <w:left w:val="none" w:sz="0" w:space="0" w:color="auto"/>
        <w:bottom w:val="none" w:sz="0" w:space="0" w:color="auto"/>
        <w:right w:val="none" w:sz="0" w:space="0" w:color="auto"/>
      </w:divBdr>
    </w:div>
    <w:div w:id="1647394821">
      <w:bodyDiv w:val="1"/>
      <w:marLeft w:val="0"/>
      <w:marRight w:val="0"/>
      <w:marTop w:val="0"/>
      <w:marBottom w:val="0"/>
      <w:divBdr>
        <w:top w:val="none" w:sz="0" w:space="0" w:color="auto"/>
        <w:left w:val="none" w:sz="0" w:space="0" w:color="auto"/>
        <w:bottom w:val="none" w:sz="0" w:space="0" w:color="auto"/>
        <w:right w:val="none" w:sz="0" w:space="0" w:color="auto"/>
      </w:divBdr>
    </w:div>
    <w:div w:id="1755131666">
      <w:bodyDiv w:val="1"/>
      <w:marLeft w:val="0"/>
      <w:marRight w:val="0"/>
      <w:marTop w:val="0"/>
      <w:marBottom w:val="0"/>
      <w:divBdr>
        <w:top w:val="none" w:sz="0" w:space="0" w:color="auto"/>
        <w:left w:val="none" w:sz="0" w:space="0" w:color="auto"/>
        <w:bottom w:val="none" w:sz="0" w:space="0" w:color="auto"/>
        <w:right w:val="none" w:sz="0" w:space="0" w:color="auto"/>
      </w:divBdr>
      <w:divsChild>
        <w:div w:id="2139838838">
          <w:marLeft w:val="0"/>
          <w:marRight w:val="0"/>
          <w:marTop w:val="0"/>
          <w:marBottom w:val="0"/>
          <w:divBdr>
            <w:top w:val="none" w:sz="0" w:space="0" w:color="auto"/>
            <w:left w:val="none" w:sz="0" w:space="0" w:color="auto"/>
            <w:bottom w:val="none" w:sz="0" w:space="0" w:color="auto"/>
            <w:right w:val="none" w:sz="0" w:space="0" w:color="auto"/>
          </w:divBdr>
          <w:divsChild>
            <w:div w:id="1244029709">
              <w:marLeft w:val="0"/>
              <w:marRight w:val="0"/>
              <w:marTop w:val="0"/>
              <w:marBottom w:val="0"/>
              <w:divBdr>
                <w:top w:val="none" w:sz="0" w:space="0" w:color="auto"/>
                <w:left w:val="none" w:sz="0" w:space="0" w:color="auto"/>
                <w:bottom w:val="none" w:sz="0" w:space="0" w:color="auto"/>
                <w:right w:val="none" w:sz="0" w:space="0" w:color="auto"/>
              </w:divBdr>
            </w:div>
          </w:divsChild>
        </w:div>
        <w:div w:id="564688263">
          <w:marLeft w:val="0"/>
          <w:marRight w:val="0"/>
          <w:marTop w:val="0"/>
          <w:marBottom w:val="0"/>
          <w:divBdr>
            <w:top w:val="none" w:sz="0" w:space="0" w:color="auto"/>
            <w:left w:val="none" w:sz="0" w:space="0" w:color="auto"/>
            <w:bottom w:val="none" w:sz="0" w:space="0" w:color="auto"/>
            <w:right w:val="none" w:sz="0" w:space="0" w:color="auto"/>
          </w:divBdr>
          <w:divsChild>
            <w:div w:id="2144301749">
              <w:marLeft w:val="0"/>
              <w:marRight w:val="0"/>
              <w:marTop w:val="0"/>
              <w:marBottom w:val="0"/>
              <w:divBdr>
                <w:top w:val="none" w:sz="0" w:space="0" w:color="auto"/>
                <w:left w:val="none" w:sz="0" w:space="0" w:color="auto"/>
                <w:bottom w:val="none" w:sz="0" w:space="0" w:color="auto"/>
                <w:right w:val="none" w:sz="0" w:space="0" w:color="auto"/>
              </w:divBdr>
            </w:div>
          </w:divsChild>
        </w:div>
        <w:div w:id="249240271">
          <w:marLeft w:val="0"/>
          <w:marRight w:val="0"/>
          <w:marTop w:val="0"/>
          <w:marBottom w:val="0"/>
          <w:divBdr>
            <w:top w:val="none" w:sz="0" w:space="0" w:color="auto"/>
            <w:left w:val="none" w:sz="0" w:space="0" w:color="auto"/>
            <w:bottom w:val="none" w:sz="0" w:space="0" w:color="auto"/>
            <w:right w:val="none" w:sz="0" w:space="0" w:color="auto"/>
          </w:divBdr>
          <w:divsChild>
            <w:div w:id="1486781022">
              <w:marLeft w:val="0"/>
              <w:marRight w:val="0"/>
              <w:marTop w:val="0"/>
              <w:marBottom w:val="0"/>
              <w:divBdr>
                <w:top w:val="none" w:sz="0" w:space="0" w:color="auto"/>
                <w:left w:val="none" w:sz="0" w:space="0" w:color="auto"/>
                <w:bottom w:val="none" w:sz="0" w:space="0" w:color="auto"/>
                <w:right w:val="none" w:sz="0" w:space="0" w:color="auto"/>
              </w:divBdr>
            </w:div>
          </w:divsChild>
        </w:div>
        <w:div w:id="553203879">
          <w:marLeft w:val="0"/>
          <w:marRight w:val="0"/>
          <w:marTop w:val="0"/>
          <w:marBottom w:val="0"/>
          <w:divBdr>
            <w:top w:val="none" w:sz="0" w:space="0" w:color="auto"/>
            <w:left w:val="none" w:sz="0" w:space="0" w:color="auto"/>
            <w:bottom w:val="none" w:sz="0" w:space="0" w:color="auto"/>
            <w:right w:val="none" w:sz="0" w:space="0" w:color="auto"/>
          </w:divBdr>
          <w:divsChild>
            <w:div w:id="254023923">
              <w:marLeft w:val="0"/>
              <w:marRight w:val="0"/>
              <w:marTop w:val="0"/>
              <w:marBottom w:val="0"/>
              <w:divBdr>
                <w:top w:val="none" w:sz="0" w:space="0" w:color="auto"/>
                <w:left w:val="none" w:sz="0" w:space="0" w:color="auto"/>
                <w:bottom w:val="none" w:sz="0" w:space="0" w:color="auto"/>
                <w:right w:val="none" w:sz="0" w:space="0" w:color="auto"/>
              </w:divBdr>
            </w:div>
          </w:divsChild>
        </w:div>
        <w:div w:id="1528257403">
          <w:marLeft w:val="0"/>
          <w:marRight w:val="0"/>
          <w:marTop w:val="0"/>
          <w:marBottom w:val="0"/>
          <w:divBdr>
            <w:top w:val="none" w:sz="0" w:space="0" w:color="auto"/>
            <w:left w:val="none" w:sz="0" w:space="0" w:color="auto"/>
            <w:bottom w:val="none" w:sz="0" w:space="0" w:color="auto"/>
            <w:right w:val="none" w:sz="0" w:space="0" w:color="auto"/>
          </w:divBdr>
          <w:divsChild>
            <w:div w:id="98524079">
              <w:marLeft w:val="0"/>
              <w:marRight w:val="0"/>
              <w:marTop w:val="0"/>
              <w:marBottom w:val="0"/>
              <w:divBdr>
                <w:top w:val="none" w:sz="0" w:space="0" w:color="auto"/>
                <w:left w:val="none" w:sz="0" w:space="0" w:color="auto"/>
                <w:bottom w:val="none" w:sz="0" w:space="0" w:color="auto"/>
                <w:right w:val="none" w:sz="0" w:space="0" w:color="auto"/>
              </w:divBdr>
            </w:div>
          </w:divsChild>
        </w:div>
        <w:div w:id="539978145">
          <w:marLeft w:val="0"/>
          <w:marRight w:val="0"/>
          <w:marTop w:val="0"/>
          <w:marBottom w:val="0"/>
          <w:divBdr>
            <w:top w:val="none" w:sz="0" w:space="0" w:color="auto"/>
            <w:left w:val="none" w:sz="0" w:space="0" w:color="auto"/>
            <w:bottom w:val="none" w:sz="0" w:space="0" w:color="auto"/>
            <w:right w:val="none" w:sz="0" w:space="0" w:color="auto"/>
          </w:divBdr>
          <w:divsChild>
            <w:div w:id="1325859270">
              <w:marLeft w:val="0"/>
              <w:marRight w:val="0"/>
              <w:marTop w:val="0"/>
              <w:marBottom w:val="0"/>
              <w:divBdr>
                <w:top w:val="none" w:sz="0" w:space="0" w:color="auto"/>
                <w:left w:val="none" w:sz="0" w:space="0" w:color="auto"/>
                <w:bottom w:val="none" w:sz="0" w:space="0" w:color="auto"/>
                <w:right w:val="none" w:sz="0" w:space="0" w:color="auto"/>
              </w:divBdr>
            </w:div>
          </w:divsChild>
        </w:div>
        <w:div w:id="1448356932">
          <w:marLeft w:val="0"/>
          <w:marRight w:val="0"/>
          <w:marTop w:val="0"/>
          <w:marBottom w:val="0"/>
          <w:divBdr>
            <w:top w:val="none" w:sz="0" w:space="0" w:color="auto"/>
            <w:left w:val="none" w:sz="0" w:space="0" w:color="auto"/>
            <w:bottom w:val="none" w:sz="0" w:space="0" w:color="auto"/>
            <w:right w:val="none" w:sz="0" w:space="0" w:color="auto"/>
          </w:divBdr>
          <w:divsChild>
            <w:div w:id="1599757678">
              <w:marLeft w:val="0"/>
              <w:marRight w:val="0"/>
              <w:marTop w:val="0"/>
              <w:marBottom w:val="0"/>
              <w:divBdr>
                <w:top w:val="none" w:sz="0" w:space="0" w:color="auto"/>
                <w:left w:val="none" w:sz="0" w:space="0" w:color="auto"/>
                <w:bottom w:val="none" w:sz="0" w:space="0" w:color="auto"/>
                <w:right w:val="none" w:sz="0" w:space="0" w:color="auto"/>
              </w:divBdr>
            </w:div>
          </w:divsChild>
        </w:div>
        <w:div w:id="20710711">
          <w:marLeft w:val="0"/>
          <w:marRight w:val="0"/>
          <w:marTop w:val="0"/>
          <w:marBottom w:val="0"/>
          <w:divBdr>
            <w:top w:val="none" w:sz="0" w:space="0" w:color="auto"/>
            <w:left w:val="none" w:sz="0" w:space="0" w:color="auto"/>
            <w:bottom w:val="none" w:sz="0" w:space="0" w:color="auto"/>
            <w:right w:val="none" w:sz="0" w:space="0" w:color="auto"/>
          </w:divBdr>
          <w:divsChild>
            <w:div w:id="431054941">
              <w:marLeft w:val="0"/>
              <w:marRight w:val="0"/>
              <w:marTop w:val="0"/>
              <w:marBottom w:val="0"/>
              <w:divBdr>
                <w:top w:val="none" w:sz="0" w:space="0" w:color="auto"/>
                <w:left w:val="none" w:sz="0" w:space="0" w:color="auto"/>
                <w:bottom w:val="none" w:sz="0" w:space="0" w:color="auto"/>
                <w:right w:val="none" w:sz="0" w:space="0" w:color="auto"/>
              </w:divBdr>
            </w:div>
          </w:divsChild>
        </w:div>
        <w:div w:id="580217241">
          <w:marLeft w:val="0"/>
          <w:marRight w:val="0"/>
          <w:marTop w:val="0"/>
          <w:marBottom w:val="0"/>
          <w:divBdr>
            <w:top w:val="none" w:sz="0" w:space="0" w:color="auto"/>
            <w:left w:val="none" w:sz="0" w:space="0" w:color="auto"/>
            <w:bottom w:val="none" w:sz="0" w:space="0" w:color="auto"/>
            <w:right w:val="none" w:sz="0" w:space="0" w:color="auto"/>
          </w:divBdr>
          <w:divsChild>
            <w:div w:id="1229458991">
              <w:marLeft w:val="0"/>
              <w:marRight w:val="0"/>
              <w:marTop w:val="0"/>
              <w:marBottom w:val="0"/>
              <w:divBdr>
                <w:top w:val="none" w:sz="0" w:space="0" w:color="auto"/>
                <w:left w:val="none" w:sz="0" w:space="0" w:color="auto"/>
                <w:bottom w:val="none" w:sz="0" w:space="0" w:color="auto"/>
                <w:right w:val="none" w:sz="0" w:space="0" w:color="auto"/>
              </w:divBdr>
            </w:div>
          </w:divsChild>
        </w:div>
        <w:div w:id="659623184">
          <w:marLeft w:val="0"/>
          <w:marRight w:val="0"/>
          <w:marTop w:val="0"/>
          <w:marBottom w:val="0"/>
          <w:divBdr>
            <w:top w:val="none" w:sz="0" w:space="0" w:color="auto"/>
            <w:left w:val="none" w:sz="0" w:space="0" w:color="auto"/>
            <w:bottom w:val="none" w:sz="0" w:space="0" w:color="auto"/>
            <w:right w:val="none" w:sz="0" w:space="0" w:color="auto"/>
          </w:divBdr>
          <w:divsChild>
            <w:div w:id="1933317376">
              <w:marLeft w:val="0"/>
              <w:marRight w:val="0"/>
              <w:marTop w:val="0"/>
              <w:marBottom w:val="0"/>
              <w:divBdr>
                <w:top w:val="none" w:sz="0" w:space="0" w:color="auto"/>
                <w:left w:val="none" w:sz="0" w:space="0" w:color="auto"/>
                <w:bottom w:val="none" w:sz="0" w:space="0" w:color="auto"/>
                <w:right w:val="none" w:sz="0" w:space="0" w:color="auto"/>
              </w:divBdr>
            </w:div>
          </w:divsChild>
        </w:div>
        <w:div w:id="625738818">
          <w:marLeft w:val="0"/>
          <w:marRight w:val="0"/>
          <w:marTop w:val="0"/>
          <w:marBottom w:val="0"/>
          <w:divBdr>
            <w:top w:val="none" w:sz="0" w:space="0" w:color="auto"/>
            <w:left w:val="none" w:sz="0" w:space="0" w:color="auto"/>
            <w:bottom w:val="none" w:sz="0" w:space="0" w:color="auto"/>
            <w:right w:val="none" w:sz="0" w:space="0" w:color="auto"/>
          </w:divBdr>
          <w:divsChild>
            <w:div w:id="2048530715">
              <w:marLeft w:val="0"/>
              <w:marRight w:val="0"/>
              <w:marTop w:val="0"/>
              <w:marBottom w:val="0"/>
              <w:divBdr>
                <w:top w:val="none" w:sz="0" w:space="0" w:color="auto"/>
                <w:left w:val="none" w:sz="0" w:space="0" w:color="auto"/>
                <w:bottom w:val="none" w:sz="0" w:space="0" w:color="auto"/>
                <w:right w:val="none" w:sz="0" w:space="0" w:color="auto"/>
              </w:divBdr>
            </w:div>
          </w:divsChild>
        </w:div>
        <w:div w:id="833303108">
          <w:marLeft w:val="0"/>
          <w:marRight w:val="0"/>
          <w:marTop w:val="0"/>
          <w:marBottom w:val="0"/>
          <w:divBdr>
            <w:top w:val="none" w:sz="0" w:space="0" w:color="auto"/>
            <w:left w:val="none" w:sz="0" w:space="0" w:color="auto"/>
            <w:bottom w:val="none" w:sz="0" w:space="0" w:color="auto"/>
            <w:right w:val="none" w:sz="0" w:space="0" w:color="auto"/>
          </w:divBdr>
          <w:divsChild>
            <w:div w:id="16986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3151">
      <w:bodyDiv w:val="1"/>
      <w:marLeft w:val="0"/>
      <w:marRight w:val="0"/>
      <w:marTop w:val="0"/>
      <w:marBottom w:val="0"/>
      <w:divBdr>
        <w:top w:val="none" w:sz="0" w:space="0" w:color="auto"/>
        <w:left w:val="none" w:sz="0" w:space="0" w:color="auto"/>
        <w:bottom w:val="none" w:sz="0" w:space="0" w:color="auto"/>
        <w:right w:val="none" w:sz="0" w:space="0" w:color="auto"/>
      </w:divBdr>
      <w:divsChild>
        <w:div w:id="1635018822">
          <w:marLeft w:val="0"/>
          <w:marRight w:val="0"/>
          <w:marTop w:val="0"/>
          <w:marBottom w:val="0"/>
          <w:divBdr>
            <w:top w:val="none" w:sz="0" w:space="0" w:color="auto"/>
            <w:left w:val="none" w:sz="0" w:space="0" w:color="auto"/>
            <w:bottom w:val="none" w:sz="0" w:space="0" w:color="auto"/>
            <w:right w:val="none" w:sz="0" w:space="0" w:color="auto"/>
          </w:divBdr>
          <w:divsChild>
            <w:div w:id="423914516">
              <w:marLeft w:val="0"/>
              <w:marRight w:val="0"/>
              <w:marTop w:val="0"/>
              <w:marBottom w:val="0"/>
              <w:divBdr>
                <w:top w:val="none" w:sz="0" w:space="0" w:color="auto"/>
                <w:left w:val="none" w:sz="0" w:space="0" w:color="auto"/>
                <w:bottom w:val="none" w:sz="0" w:space="0" w:color="auto"/>
                <w:right w:val="none" w:sz="0" w:space="0" w:color="auto"/>
              </w:divBdr>
            </w:div>
          </w:divsChild>
        </w:div>
        <w:div w:id="145634333">
          <w:marLeft w:val="0"/>
          <w:marRight w:val="0"/>
          <w:marTop w:val="0"/>
          <w:marBottom w:val="0"/>
          <w:divBdr>
            <w:top w:val="none" w:sz="0" w:space="0" w:color="auto"/>
            <w:left w:val="none" w:sz="0" w:space="0" w:color="auto"/>
            <w:bottom w:val="none" w:sz="0" w:space="0" w:color="auto"/>
            <w:right w:val="none" w:sz="0" w:space="0" w:color="auto"/>
          </w:divBdr>
          <w:divsChild>
            <w:div w:id="1591810463">
              <w:marLeft w:val="0"/>
              <w:marRight w:val="0"/>
              <w:marTop w:val="0"/>
              <w:marBottom w:val="0"/>
              <w:divBdr>
                <w:top w:val="none" w:sz="0" w:space="0" w:color="auto"/>
                <w:left w:val="none" w:sz="0" w:space="0" w:color="auto"/>
                <w:bottom w:val="none" w:sz="0" w:space="0" w:color="auto"/>
                <w:right w:val="none" w:sz="0" w:space="0" w:color="auto"/>
              </w:divBdr>
            </w:div>
          </w:divsChild>
        </w:div>
        <w:div w:id="1576011437">
          <w:marLeft w:val="0"/>
          <w:marRight w:val="0"/>
          <w:marTop w:val="0"/>
          <w:marBottom w:val="0"/>
          <w:divBdr>
            <w:top w:val="none" w:sz="0" w:space="0" w:color="auto"/>
            <w:left w:val="none" w:sz="0" w:space="0" w:color="auto"/>
            <w:bottom w:val="none" w:sz="0" w:space="0" w:color="auto"/>
            <w:right w:val="none" w:sz="0" w:space="0" w:color="auto"/>
          </w:divBdr>
          <w:divsChild>
            <w:div w:id="828525632">
              <w:marLeft w:val="0"/>
              <w:marRight w:val="0"/>
              <w:marTop w:val="0"/>
              <w:marBottom w:val="0"/>
              <w:divBdr>
                <w:top w:val="none" w:sz="0" w:space="0" w:color="auto"/>
                <w:left w:val="none" w:sz="0" w:space="0" w:color="auto"/>
                <w:bottom w:val="none" w:sz="0" w:space="0" w:color="auto"/>
                <w:right w:val="none" w:sz="0" w:space="0" w:color="auto"/>
              </w:divBdr>
            </w:div>
          </w:divsChild>
        </w:div>
        <w:div w:id="604388820">
          <w:marLeft w:val="0"/>
          <w:marRight w:val="0"/>
          <w:marTop w:val="0"/>
          <w:marBottom w:val="0"/>
          <w:divBdr>
            <w:top w:val="none" w:sz="0" w:space="0" w:color="auto"/>
            <w:left w:val="none" w:sz="0" w:space="0" w:color="auto"/>
            <w:bottom w:val="none" w:sz="0" w:space="0" w:color="auto"/>
            <w:right w:val="none" w:sz="0" w:space="0" w:color="auto"/>
          </w:divBdr>
          <w:divsChild>
            <w:div w:id="679354024">
              <w:marLeft w:val="0"/>
              <w:marRight w:val="0"/>
              <w:marTop w:val="0"/>
              <w:marBottom w:val="0"/>
              <w:divBdr>
                <w:top w:val="none" w:sz="0" w:space="0" w:color="auto"/>
                <w:left w:val="none" w:sz="0" w:space="0" w:color="auto"/>
                <w:bottom w:val="none" w:sz="0" w:space="0" w:color="auto"/>
                <w:right w:val="none" w:sz="0" w:space="0" w:color="auto"/>
              </w:divBdr>
            </w:div>
          </w:divsChild>
        </w:div>
        <w:div w:id="1080371082">
          <w:marLeft w:val="0"/>
          <w:marRight w:val="0"/>
          <w:marTop w:val="0"/>
          <w:marBottom w:val="0"/>
          <w:divBdr>
            <w:top w:val="none" w:sz="0" w:space="0" w:color="auto"/>
            <w:left w:val="none" w:sz="0" w:space="0" w:color="auto"/>
            <w:bottom w:val="none" w:sz="0" w:space="0" w:color="auto"/>
            <w:right w:val="none" w:sz="0" w:space="0" w:color="auto"/>
          </w:divBdr>
          <w:divsChild>
            <w:div w:id="957492419">
              <w:marLeft w:val="0"/>
              <w:marRight w:val="0"/>
              <w:marTop w:val="0"/>
              <w:marBottom w:val="0"/>
              <w:divBdr>
                <w:top w:val="none" w:sz="0" w:space="0" w:color="auto"/>
                <w:left w:val="none" w:sz="0" w:space="0" w:color="auto"/>
                <w:bottom w:val="none" w:sz="0" w:space="0" w:color="auto"/>
                <w:right w:val="none" w:sz="0" w:space="0" w:color="auto"/>
              </w:divBdr>
            </w:div>
          </w:divsChild>
        </w:div>
        <w:div w:id="98064367">
          <w:marLeft w:val="0"/>
          <w:marRight w:val="0"/>
          <w:marTop w:val="0"/>
          <w:marBottom w:val="0"/>
          <w:divBdr>
            <w:top w:val="none" w:sz="0" w:space="0" w:color="auto"/>
            <w:left w:val="none" w:sz="0" w:space="0" w:color="auto"/>
            <w:bottom w:val="none" w:sz="0" w:space="0" w:color="auto"/>
            <w:right w:val="none" w:sz="0" w:space="0" w:color="auto"/>
          </w:divBdr>
          <w:divsChild>
            <w:div w:id="762334637">
              <w:marLeft w:val="0"/>
              <w:marRight w:val="0"/>
              <w:marTop w:val="0"/>
              <w:marBottom w:val="0"/>
              <w:divBdr>
                <w:top w:val="none" w:sz="0" w:space="0" w:color="auto"/>
                <w:left w:val="none" w:sz="0" w:space="0" w:color="auto"/>
                <w:bottom w:val="none" w:sz="0" w:space="0" w:color="auto"/>
                <w:right w:val="none" w:sz="0" w:space="0" w:color="auto"/>
              </w:divBdr>
            </w:div>
          </w:divsChild>
        </w:div>
        <w:div w:id="1300643982">
          <w:marLeft w:val="0"/>
          <w:marRight w:val="0"/>
          <w:marTop w:val="0"/>
          <w:marBottom w:val="0"/>
          <w:divBdr>
            <w:top w:val="none" w:sz="0" w:space="0" w:color="auto"/>
            <w:left w:val="none" w:sz="0" w:space="0" w:color="auto"/>
            <w:bottom w:val="none" w:sz="0" w:space="0" w:color="auto"/>
            <w:right w:val="none" w:sz="0" w:space="0" w:color="auto"/>
          </w:divBdr>
          <w:divsChild>
            <w:div w:id="1787308457">
              <w:marLeft w:val="0"/>
              <w:marRight w:val="0"/>
              <w:marTop w:val="0"/>
              <w:marBottom w:val="0"/>
              <w:divBdr>
                <w:top w:val="none" w:sz="0" w:space="0" w:color="auto"/>
                <w:left w:val="none" w:sz="0" w:space="0" w:color="auto"/>
                <w:bottom w:val="none" w:sz="0" w:space="0" w:color="auto"/>
                <w:right w:val="none" w:sz="0" w:space="0" w:color="auto"/>
              </w:divBdr>
            </w:div>
          </w:divsChild>
        </w:div>
        <w:div w:id="1217664143">
          <w:marLeft w:val="0"/>
          <w:marRight w:val="0"/>
          <w:marTop w:val="0"/>
          <w:marBottom w:val="0"/>
          <w:divBdr>
            <w:top w:val="none" w:sz="0" w:space="0" w:color="auto"/>
            <w:left w:val="none" w:sz="0" w:space="0" w:color="auto"/>
            <w:bottom w:val="none" w:sz="0" w:space="0" w:color="auto"/>
            <w:right w:val="none" w:sz="0" w:space="0" w:color="auto"/>
          </w:divBdr>
          <w:divsChild>
            <w:div w:id="1626428494">
              <w:marLeft w:val="0"/>
              <w:marRight w:val="0"/>
              <w:marTop w:val="0"/>
              <w:marBottom w:val="0"/>
              <w:divBdr>
                <w:top w:val="none" w:sz="0" w:space="0" w:color="auto"/>
                <w:left w:val="none" w:sz="0" w:space="0" w:color="auto"/>
                <w:bottom w:val="none" w:sz="0" w:space="0" w:color="auto"/>
                <w:right w:val="none" w:sz="0" w:space="0" w:color="auto"/>
              </w:divBdr>
            </w:div>
          </w:divsChild>
        </w:div>
        <w:div w:id="2063822561">
          <w:marLeft w:val="0"/>
          <w:marRight w:val="0"/>
          <w:marTop w:val="0"/>
          <w:marBottom w:val="0"/>
          <w:divBdr>
            <w:top w:val="none" w:sz="0" w:space="0" w:color="auto"/>
            <w:left w:val="none" w:sz="0" w:space="0" w:color="auto"/>
            <w:bottom w:val="none" w:sz="0" w:space="0" w:color="auto"/>
            <w:right w:val="none" w:sz="0" w:space="0" w:color="auto"/>
          </w:divBdr>
          <w:divsChild>
            <w:div w:id="187452254">
              <w:marLeft w:val="0"/>
              <w:marRight w:val="0"/>
              <w:marTop w:val="0"/>
              <w:marBottom w:val="0"/>
              <w:divBdr>
                <w:top w:val="none" w:sz="0" w:space="0" w:color="auto"/>
                <w:left w:val="none" w:sz="0" w:space="0" w:color="auto"/>
                <w:bottom w:val="none" w:sz="0" w:space="0" w:color="auto"/>
                <w:right w:val="none" w:sz="0" w:space="0" w:color="auto"/>
              </w:divBdr>
            </w:div>
          </w:divsChild>
        </w:div>
        <w:div w:id="294143387">
          <w:marLeft w:val="0"/>
          <w:marRight w:val="0"/>
          <w:marTop w:val="0"/>
          <w:marBottom w:val="0"/>
          <w:divBdr>
            <w:top w:val="none" w:sz="0" w:space="0" w:color="auto"/>
            <w:left w:val="none" w:sz="0" w:space="0" w:color="auto"/>
            <w:bottom w:val="none" w:sz="0" w:space="0" w:color="auto"/>
            <w:right w:val="none" w:sz="0" w:space="0" w:color="auto"/>
          </w:divBdr>
          <w:divsChild>
            <w:div w:id="96949888">
              <w:marLeft w:val="0"/>
              <w:marRight w:val="0"/>
              <w:marTop w:val="0"/>
              <w:marBottom w:val="0"/>
              <w:divBdr>
                <w:top w:val="none" w:sz="0" w:space="0" w:color="auto"/>
                <w:left w:val="none" w:sz="0" w:space="0" w:color="auto"/>
                <w:bottom w:val="none" w:sz="0" w:space="0" w:color="auto"/>
                <w:right w:val="none" w:sz="0" w:space="0" w:color="auto"/>
              </w:divBdr>
            </w:div>
          </w:divsChild>
        </w:div>
        <w:div w:id="1682585183">
          <w:marLeft w:val="0"/>
          <w:marRight w:val="0"/>
          <w:marTop w:val="0"/>
          <w:marBottom w:val="0"/>
          <w:divBdr>
            <w:top w:val="none" w:sz="0" w:space="0" w:color="auto"/>
            <w:left w:val="none" w:sz="0" w:space="0" w:color="auto"/>
            <w:bottom w:val="none" w:sz="0" w:space="0" w:color="auto"/>
            <w:right w:val="none" w:sz="0" w:space="0" w:color="auto"/>
          </w:divBdr>
          <w:divsChild>
            <w:div w:id="392584938">
              <w:marLeft w:val="0"/>
              <w:marRight w:val="0"/>
              <w:marTop w:val="0"/>
              <w:marBottom w:val="0"/>
              <w:divBdr>
                <w:top w:val="none" w:sz="0" w:space="0" w:color="auto"/>
                <w:left w:val="none" w:sz="0" w:space="0" w:color="auto"/>
                <w:bottom w:val="none" w:sz="0" w:space="0" w:color="auto"/>
                <w:right w:val="none" w:sz="0" w:space="0" w:color="auto"/>
              </w:divBdr>
            </w:div>
          </w:divsChild>
        </w:div>
        <w:div w:id="1375157716">
          <w:marLeft w:val="0"/>
          <w:marRight w:val="0"/>
          <w:marTop w:val="0"/>
          <w:marBottom w:val="0"/>
          <w:divBdr>
            <w:top w:val="none" w:sz="0" w:space="0" w:color="auto"/>
            <w:left w:val="none" w:sz="0" w:space="0" w:color="auto"/>
            <w:bottom w:val="none" w:sz="0" w:space="0" w:color="auto"/>
            <w:right w:val="none" w:sz="0" w:space="0" w:color="auto"/>
          </w:divBdr>
          <w:divsChild>
            <w:div w:id="5028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62024">
      <w:bodyDiv w:val="1"/>
      <w:marLeft w:val="0"/>
      <w:marRight w:val="0"/>
      <w:marTop w:val="0"/>
      <w:marBottom w:val="0"/>
      <w:divBdr>
        <w:top w:val="none" w:sz="0" w:space="0" w:color="auto"/>
        <w:left w:val="none" w:sz="0" w:space="0" w:color="auto"/>
        <w:bottom w:val="none" w:sz="0" w:space="0" w:color="auto"/>
        <w:right w:val="none" w:sz="0" w:space="0" w:color="auto"/>
      </w:divBdr>
    </w:div>
    <w:div w:id="21381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npa.2023.12.001" TargetMode="External"/><Relationship Id="rId13" Type="http://schemas.openxmlformats.org/officeDocument/2006/relationships/hyperlink" Target="https://doi.org/10.1002/agj2.21442" TargetMode="External"/><Relationship Id="rId18" Type="http://schemas.openxmlformats.org/officeDocument/2006/relationships/hyperlink" Target="https://doi.org/10.1186/s12870-022-03587-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90/plants13162318" TargetMode="External"/><Relationship Id="rId12" Type="http://schemas.openxmlformats.org/officeDocument/2006/relationships/hyperlink" Target="https://doi.org/10.1111/pce.14846" TargetMode="External"/><Relationship Id="rId17" Type="http://schemas.openxmlformats.org/officeDocument/2006/relationships/hyperlink" Target="https://doi.org/10.3389/fpls.2016.0018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11/tpj.166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scienta.2024.11331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cells11223590" TargetMode="External"/><Relationship Id="rId23" Type="http://schemas.openxmlformats.org/officeDocument/2006/relationships/footer" Target="footer2.xml"/><Relationship Id="rId10" Type="http://schemas.openxmlformats.org/officeDocument/2006/relationships/hyperlink" Target="https://doi.org/10.1093/jxb/eraf264" TargetMode="External"/><Relationship Id="rId19" Type="http://schemas.openxmlformats.org/officeDocument/2006/relationships/hyperlink" Target="https://doi.org/10.3389/fpls.2022.946922" TargetMode="External"/><Relationship Id="rId4" Type="http://schemas.openxmlformats.org/officeDocument/2006/relationships/webSettings" Target="webSettings.xml"/><Relationship Id="rId9" Type="http://schemas.openxmlformats.org/officeDocument/2006/relationships/hyperlink" Target="https://doi.org/10.1146/annurev-arplant-061422-104322" TargetMode="External"/><Relationship Id="rId14" Type="http://schemas.openxmlformats.org/officeDocument/2006/relationships/hyperlink" Target="https://doi.org/10.3389/fpls.2023.123379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E10E0-B728-4853-ADDC-3C55B6D6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7721</Words>
  <Characters>44014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Editor-91</dc:creator>
  <cp:keywords/>
  <dc:description/>
  <cp:lastModifiedBy>SDI 1084</cp:lastModifiedBy>
  <cp:revision>6</cp:revision>
  <cp:lastPrinted>2025-11-03T19:27:00Z</cp:lastPrinted>
  <dcterms:created xsi:type="dcterms:W3CDTF">2025-09-17T08:12:00Z</dcterms:created>
  <dcterms:modified xsi:type="dcterms:W3CDTF">2025-11-04T12:24:00Z</dcterms:modified>
</cp:coreProperties>
</file>