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94C17" w14:textId="77777777" w:rsidR="000D4F26" w:rsidRDefault="000D4F26" w:rsidP="008C0CFC">
      <w:pPr>
        <w:spacing w:after="0"/>
        <w:jc w:val="right"/>
        <w:rPr>
          <w:rFonts w:ascii="Arial" w:hAnsi="Arial" w:cs="Arial"/>
          <w:b/>
          <w:szCs w:val="36"/>
        </w:rPr>
      </w:pPr>
      <w:r w:rsidRPr="00EC46F0">
        <w:rPr>
          <w:rFonts w:ascii="Arial" w:hAnsi="Arial" w:cs="Arial"/>
          <w:b/>
          <w:szCs w:val="36"/>
        </w:rPr>
        <w:t xml:space="preserve">Computational Exploration of </w:t>
      </w:r>
      <w:r w:rsidR="00745340" w:rsidRPr="00EC46F0">
        <w:rPr>
          <w:rFonts w:ascii="Arial" w:hAnsi="Arial" w:cs="Arial"/>
          <w:b/>
          <w:color w:val="0A0A0A"/>
          <w:szCs w:val="36"/>
          <w:shd w:val="clear" w:color="auto" w:fill="FFFFFF"/>
        </w:rPr>
        <w:t>4-Hydroxy-3-M</w:t>
      </w:r>
      <w:r w:rsidRPr="00EC46F0">
        <w:rPr>
          <w:rFonts w:ascii="Arial" w:hAnsi="Arial" w:cs="Arial"/>
          <w:b/>
          <w:color w:val="0A0A0A"/>
          <w:szCs w:val="36"/>
          <w:shd w:val="clear" w:color="auto" w:fill="FFFFFF"/>
        </w:rPr>
        <w:t xml:space="preserve">ethoxycinnamic acid </w:t>
      </w:r>
      <w:r w:rsidRPr="00EC46F0">
        <w:rPr>
          <w:rFonts w:ascii="Arial" w:hAnsi="Arial" w:cs="Arial"/>
          <w:b/>
          <w:szCs w:val="36"/>
        </w:rPr>
        <w:t>Derivatives Derived from Natural Product Scaffolds for Anticancer Activity</w:t>
      </w:r>
    </w:p>
    <w:p w14:paraId="388E6555" w14:textId="77777777" w:rsidR="00380AF3" w:rsidRPr="00EC46F0" w:rsidRDefault="00380AF3" w:rsidP="008C0CFC">
      <w:pPr>
        <w:spacing w:after="0"/>
        <w:jc w:val="right"/>
        <w:rPr>
          <w:rFonts w:ascii="Arial" w:hAnsi="Arial" w:cs="Arial"/>
          <w:b/>
          <w:szCs w:val="36"/>
        </w:rPr>
      </w:pPr>
    </w:p>
    <w:p w14:paraId="3D198B0B" w14:textId="77777777" w:rsidR="0012773D" w:rsidRPr="00EC46F0" w:rsidRDefault="0012773D" w:rsidP="008C0CFC">
      <w:pPr>
        <w:jc w:val="both"/>
        <w:rPr>
          <w:rFonts w:ascii="Arial" w:hAnsi="Arial" w:cs="Arial"/>
          <w:b/>
          <w:bCs/>
          <w:sz w:val="24"/>
          <w:szCs w:val="24"/>
        </w:rPr>
      </w:pPr>
    </w:p>
    <w:p w14:paraId="33720861" w14:textId="77777777" w:rsidR="000D4F26" w:rsidRPr="00EC46F0" w:rsidRDefault="00EC46F0" w:rsidP="00B03722">
      <w:pPr>
        <w:jc w:val="both"/>
        <w:rPr>
          <w:rFonts w:ascii="Arial" w:hAnsi="Arial" w:cs="Arial"/>
          <w:b/>
          <w:bCs/>
          <w:sz w:val="22"/>
        </w:rPr>
      </w:pPr>
      <w:r w:rsidRPr="00EC46F0">
        <w:rPr>
          <w:rFonts w:ascii="Arial" w:hAnsi="Arial" w:cs="Arial"/>
          <w:b/>
          <w:bCs/>
          <w:sz w:val="22"/>
        </w:rPr>
        <w:t xml:space="preserve">ABSTRACT: </w:t>
      </w:r>
    </w:p>
    <w:p w14:paraId="38B83FEA" w14:textId="77777777" w:rsidR="00C14C0B" w:rsidRPr="00E448CD" w:rsidRDefault="00B03722" w:rsidP="00B03722">
      <w:pPr>
        <w:jc w:val="both"/>
        <w:rPr>
          <w:rFonts w:ascii="Arial" w:hAnsi="Arial" w:cs="Arial"/>
          <w:sz w:val="20"/>
          <w:szCs w:val="20"/>
        </w:rPr>
      </w:pPr>
      <w:r w:rsidRPr="00E448CD">
        <w:rPr>
          <w:rFonts w:ascii="Arial" w:hAnsi="Arial" w:cs="Arial"/>
          <w:b/>
          <w:bCs/>
          <w:sz w:val="20"/>
          <w:szCs w:val="20"/>
        </w:rPr>
        <w:t xml:space="preserve">Objective: </w:t>
      </w:r>
      <w:r w:rsidRPr="00E448CD">
        <w:rPr>
          <w:rFonts w:ascii="Arial" w:hAnsi="Arial" w:cs="Arial"/>
          <w:sz w:val="20"/>
          <w:szCs w:val="20"/>
        </w:rPr>
        <w:t xml:space="preserve">This study seeks to investigate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derivatives using computational approaches—specifically Lipinski’s Rule of Five, ADMET profiling, Mol-Inspiration analysis, and molecular docking—in order to evaluate their drug-likeness, pharmacokinetic properties, and therapeutic potential, with a particular focus on lung cancer treatment.</w:t>
      </w:r>
    </w:p>
    <w:p w14:paraId="0F78C336" w14:textId="77777777" w:rsidR="00B03722" w:rsidRPr="00E448CD" w:rsidRDefault="00B03722" w:rsidP="00B03722">
      <w:pPr>
        <w:jc w:val="both"/>
        <w:rPr>
          <w:rFonts w:ascii="Arial" w:hAnsi="Arial" w:cs="Arial"/>
          <w:sz w:val="20"/>
          <w:szCs w:val="20"/>
        </w:rPr>
      </w:pPr>
      <w:r w:rsidRPr="00E448CD">
        <w:rPr>
          <w:rFonts w:ascii="Arial" w:hAnsi="Arial" w:cs="Arial"/>
          <w:b/>
          <w:bCs/>
          <w:sz w:val="20"/>
          <w:szCs w:val="20"/>
        </w:rPr>
        <w:t>Methodology</w:t>
      </w:r>
      <w:r w:rsidRPr="00E448CD">
        <w:rPr>
          <w:rFonts w:ascii="Arial" w:hAnsi="Arial" w:cs="Arial"/>
          <w:sz w:val="20"/>
          <w:szCs w:val="20"/>
        </w:rPr>
        <w:t xml:space="preserve">: The study examined the physicochemical, pharmacokinetic, and pharmacodynamic properties of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 xml:space="preserve">derivatives substituted with aromatic amines through in-silico approaches. Computational analyses were performed using web-based tools and specialized programs, including Pre-ADMET, Mol-Inspiration, and </w:t>
      </w:r>
      <w:proofErr w:type="spellStart"/>
      <w:r w:rsidRPr="00E448CD">
        <w:rPr>
          <w:rFonts w:ascii="Arial" w:hAnsi="Arial" w:cs="Arial"/>
          <w:sz w:val="20"/>
          <w:szCs w:val="20"/>
        </w:rPr>
        <w:t>Molegro</w:t>
      </w:r>
      <w:proofErr w:type="spellEnd"/>
      <w:r w:rsidRPr="00E448CD">
        <w:rPr>
          <w:rFonts w:ascii="Arial" w:hAnsi="Arial" w:cs="Arial"/>
          <w:sz w:val="20"/>
          <w:szCs w:val="20"/>
        </w:rPr>
        <w:t xml:space="preserve"> Virtual Docker 6.0.</w:t>
      </w:r>
    </w:p>
    <w:p w14:paraId="26E5A1DF" w14:textId="77777777" w:rsidR="00B03722" w:rsidRPr="00E448CD" w:rsidRDefault="00B03722" w:rsidP="00B03722">
      <w:pPr>
        <w:jc w:val="both"/>
        <w:rPr>
          <w:rFonts w:ascii="Arial" w:hAnsi="Arial" w:cs="Arial"/>
          <w:sz w:val="20"/>
          <w:szCs w:val="20"/>
        </w:rPr>
      </w:pPr>
      <w:r w:rsidRPr="00E448CD">
        <w:rPr>
          <w:rFonts w:ascii="Arial" w:hAnsi="Arial" w:cs="Arial"/>
          <w:b/>
          <w:bCs/>
          <w:sz w:val="20"/>
          <w:szCs w:val="20"/>
        </w:rPr>
        <w:t>Result and Discussion</w:t>
      </w:r>
      <w:r w:rsidRPr="00E448CD">
        <w:rPr>
          <w:rFonts w:ascii="Arial" w:hAnsi="Arial" w:cs="Arial"/>
          <w:sz w:val="20"/>
          <w:szCs w:val="20"/>
        </w:rPr>
        <w:t xml:space="preserve">: Computational evaluation of 15 aromatic amine–substituted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 xml:space="preserve"> derivatives demonstrated favo</w:t>
      </w:r>
      <w:r w:rsidR="00DD2AE3" w:rsidRPr="00E448CD">
        <w:rPr>
          <w:rFonts w:ascii="Arial" w:hAnsi="Arial" w:cs="Arial"/>
          <w:sz w:val="20"/>
          <w:szCs w:val="20"/>
        </w:rPr>
        <w:t>u</w:t>
      </w:r>
      <w:r w:rsidRPr="00E448CD">
        <w:rPr>
          <w:rFonts w:ascii="Arial" w:hAnsi="Arial" w:cs="Arial"/>
          <w:sz w:val="20"/>
          <w:szCs w:val="20"/>
        </w:rPr>
        <w:t>rable drug-likeness, as confirmed by Mol-Inspiration analysis and compliance with Lipinski’s Rule of Five. ADMET predictions indicated promising pharmacokinetic behavio</w:t>
      </w:r>
      <w:r w:rsidR="00DD2AE3" w:rsidRPr="00E448CD">
        <w:rPr>
          <w:rFonts w:ascii="Arial" w:hAnsi="Arial" w:cs="Arial"/>
          <w:sz w:val="20"/>
          <w:szCs w:val="20"/>
        </w:rPr>
        <w:t>u</w:t>
      </w:r>
      <w:r w:rsidRPr="00E448CD">
        <w:rPr>
          <w:rFonts w:ascii="Arial" w:hAnsi="Arial" w:cs="Arial"/>
          <w:sz w:val="20"/>
          <w:szCs w:val="20"/>
        </w:rPr>
        <w:t>r with minimal toxicity risks. Molecular docking against tyrosine kinase targets (PDB IDs: 4ZSE, 8A27, 5T4B, 6CU6) revealed strong binding affinities, with 6CU6 showing the most significant interactions suggestive of inhibitory potential. Key binding modes included hydrogen bonding and π–π stacking with active site residues, underscoring the suitability of these derivatives as potential lead candidates for lung cancer therapy.</w:t>
      </w:r>
    </w:p>
    <w:p w14:paraId="527FA4C7" w14:textId="77777777" w:rsidR="00B03722" w:rsidRPr="00E448CD" w:rsidRDefault="00B03722" w:rsidP="00B03722">
      <w:pPr>
        <w:jc w:val="both"/>
        <w:rPr>
          <w:rFonts w:ascii="Arial" w:hAnsi="Arial" w:cs="Arial"/>
          <w:sz w:val="20"/>
          <w:szCs w:val="20"/>
        </w:rPr>
      </w:pPr>
      <w:proofErr w:type="gramStart"/>
      <w:r w:rsidRPr="00E448CD">
        <w:rPr>
          <w:rFonts w:ascii="Arial" w:hAnsi="Arial" w:cs="Arial"/>
          <w:b/>
          <w:bCs/>
          <w:sz w:val="20"/>
          <w:szCs w:val="20"/>
        </w:rPr>
        <w:t>Conclusion:</w:t>
      </w:r>
      <w:r w:rsidRPr="00E448CD">
        <w:rPr>
          <w:rFonts w:ascii="Arial" w:hAnsi="Arial" w:cs="Arial"/>
          <w:sz w:val="20"/>
          <w:szCs w:val="20"/>
        </w:rPr>
        <w:t>This</w:t>
      </w:r>
      <w:proofErr w:type="gramEnd"/>
      <w:r w:rsidRPr="00E448CD">
        <w:rPr>
          <w:rFonts w:ascii="Arial" w:hAnsi="Arial" w:cs="Arial"/>
          <w:sz w:val="20"/>
          <w:szCs w:val="20"/>
        </w:rPr>
        <w:t xml:space="preserve"> study demonstrates that the selected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derivatives possess favourable ADMET profiles, strong drug-likeness, and notable tyrosine kinase inhibitory activity. These findings highlight their promise as potential lead candidates for the development of lung cancer therapeutics.</w:t>
      </w:r>
    </w:p>
    <w:p w14:paraId="05E14C0D" w14:textId="77777777" w:rsidR="00B03722" w:rsidRPr="00E448CD" w:rsidRDefault="00B03722" w:rsidP="00B03722">
      <w:pPr>
        <w:jc w:val="both"/>
        <w:rPr>
          <w:rFonts w:ascii="Arial" w:hAnsi="Arial" w:cs="Arial"/>
          <w:sz w:val="20"/>
          <w:szCs w:val="20"/>
        </w:rPr>
      </w:pPr>
      <w:r w:rsidRPr="00E448CD">
        <w:rPr>
          <w:rFonts w:ascii="Arial" w:hAnsi="Arial" w:cs="Arial"/>
          <w:b/>
          <w:bCs/>
          <w:sz w:val="20"/>
          <w:szCs w:val="20"/>
        </w:rPr>
        <w:t xml:space="preserve">Key words: </w:t>
      </w:r>
      <w:r w:rsidRPr="00E448CD">
        <w:rPr>
          <w:rFonts w:ascii="Arial" w:hAnsi="Arial" w:cs="Arial"/>
          <w:sz w:val="20"/>
          <w:szCs w:val="20"/>
        </w:rPr>
        <w:t xml:space="preserve">Lung cancer,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 xml:space="preserve">, ADMET, mol- inspiration, molecular docking. </w:t>
      </w:r>
    </w:p>
    <w:p w14:paraId="5681089F" w14:textId="77777777" w:rsidR="00E448CD" w:rsidRDefault="00E448CD" w:rsidP="00B03722">
      <w:pPr>
        <w:jc w:val="both"/>
        <w:rPr>
          <w:rFonts w:ascii="Arial" w:hAnsi="Arial" w:cs="Arial"/>
          <w:b/>
          <w:bCs/>
          <w:sz w:val="22"/>
          <w:szCs w:val="24"/>
        </w:rPr>
      </w:pPr>
    </w:p>
    <w:p w14:paraId="0C9A82EE" w14:textId="77777777" w:rsidR="00E448CD" w:rsidRDefault="00E448CD" w:rsidP="00B03722">
      <w:pPr>
        <w:jc w:val="both"/>
        <w:rPr>
          <w:rFonts w:ascii="Arial" w:hAnsi="Arial" w:cs="Arial"/>
          <w:b/>
          <w:bCs/>
          <w:sz w:val="22"/>
          <w:szCs w:val="24"/>
        </w:rPr>
      </w:pPr>
    </w:p>
    <w:p w14:paraId="1E9D97CA" w14:textId="77777777" w:rsidR="00E448CD" w:rsidRDefault="00E448CD" w:rsidP="00B03722">
      <w:pPr>
        <w:jc w:val="both"/>
        <w:rPr>
          <w:rFonts w:ascii="Arial" w:hAnsi="Arial" w:cs="Arial"/>
          <w:b/>
          <w:bCs/>
          <w:sz w:val="24"/>
          <w:szCs w:val="24"/>
        </w:rPr>
      </w:pPr>
      <w:r>
        <w:rPr>
          <w:rFonts w:ascii="Arial" w:hAnsi="Arial" w:cs="Arial"/>
          <w:b/>
          <w:bCs/>
          <w:sz w:val="22"/>
          <w:szCs w:val="24"/>
        </w:rPr>
        <w:t>I</w:t>
      </w:r>
      <w:r w:rsidRPr="00E448CD">
        <w:rPr>
          <w:rFonts w:ascii="Arial" w:hAnsi="Arial" w:cs="Arial"/>
          <w:b/>
          <w:bCs/>
          <w:sz w:val="22"/>
          <w:szCs w:val="24"/>
        </w:rPr>
        <w:t>NTRODUCTION:</w:t>
      </w:r>
      <w:r w:rsidR="00B03722" w:rsidRPr="00EC46F0">
        <w:rPr>
          <w:rFonts w:ascii="Arial" w:hAnsi="Arial" w:cs="Arial"/>
          <w:b/>
          <w:bCs/>
          <w:sz w:val="24"/>
          <w:szCs w:val="24"/>
        </w:rPr>
        <w:t xml:space="preserve"> </w:t>
      </w:r>
    </w:p>
    <w:p w14:paraId="1ED4E41F" w14:textId="77777777" w:rsidR="00B03722" w:rsidRPr="00E448CD" w:rsidRDefault="00B03722" w:rsidP="00B03722">
      <w:pPr>
        <w:jc w:val="both"/>
        <w:rPr>
          <w:rFonts w:ascii="Arial" w:hAnsi="Arial" w:cs="Arial"/>
          <w:sz w:val="20"/>
          <w:szCs w:val="20"/>
        </w:rPr>
      </w:pPr>
      <w:r w:rsidRPr="00E448CD">
        <w:rPr>
          <w:rFonts w:ascii="Arial" w:hAnsi="Arial" w:cs="Arial"/>
          <w:sz w:val="20"/>
          <w:szCs w:val="20"/>
        </w:rPr>
        <w:t xml:space="preserve">Cancer is a multifaceted disease marked by uncontrolled cell growth and proliferation, often resulting from disruptions in cellular metabolism and enzyme regulation. (1) Lung cancer remains one of the most prevalent and deadly forms, accounting for about 11.6% of all new cancer diagnoses and contributing to 18.4% of global cancer-related deaths. (2) Receptor tyrosine kinases (RTKs), key transmembrane glycoproteins, play a critical role in </w:t>
      </w:r>
      <w:proofErr w:type="spellStart"/>
      <w:r w:rsidRPr="00E448CD">
        <w:rPr>
          <w:rFonts w:ascii="Arial" w:hAnsi="Arial" w:cs="Arial"/>
          <w:sz w:val="20"/>
          <w:szCs w:val="20"/>
        </w:rPr>
        <w:t>tumor</w:t>
      </w:r>
      <w:proofErr w:type="spellEnd"/>
      <w:r w:rsidRPr="00E448CD">
        <w:rPr>
          <w:rFonts w:ascii="Arial" w:hAnsi="Arial" w:cs="Arial"/>
          <w:sz w:val="20"/>
          <w:szCs w:val="20"/>
        </w:rPr>
        <w:t xml:space="preserve"> initiation and progression, making them prime therapeutic targets. Small-molecule tyrosine kinase inhibitors act by blocking phosphorylation of intracellular tyrosine residues, thereby preventing activation of downstream signalling pathways involved in cancer development. (3)</w:t>
      </w:r>
    </w:p>
    <w:p w14:paraId="68403487" w14:textId="77777777" w:rsidR="00C31F19" w:rsidRPr="00E448CD" w:rsidRDefault="00C31F19" w:rsidP="00B03722">
      <w:pPr>
        <w:jc w:val="both"/>
        <w:rPr>
          <w:rFonts w:ascii="Arial" w:hAnsi="Arial" w:cs="Arial"/>
          <w:sz w:val="20"/>
          <w:szCs w:val="20"/>
        </w:rPr>
      </w:pPr>
      <w:r w:rsidRPr="00E448CD">
        <w:rPr>
          <w:rFonts w:ascii="Arial" w:hAnsi="Arial" w:cs="Arial"/>
          <w:sz w:val="20"/>
          <w:szCs w:val="20"/>
        </w:rPr>
        <w:t xml:space="preserve">Receptor tyrosine kinases (RTKs) share a conserved structural organization consisting of an extracellular ligand-binding domain, a single transmembrane helix, and an intracellular region that includes a </w:t>
      </w:r>
      <w:proofErr w:type="spellStart"/>
      <w:r w:rsidRPr="00E448CD">
        <w:rPr>
          <w:rFonts w:ascii="Arial" w:hAnsi="Arial" w:cs="Arial"/>
          <w:sz w:val="20"/>
          <w:szCs w:val="20"/>
        </w:rPr>
        <w:t>juxtamembrane</w:t>
      </w:r>
      <w:proofErr w:type="spellEnd"/>
      <w:r w:rsidRPr="00E448CD">
        <w:rPr>
          <w:rFonts w:ascii="Arial" w:hAnsi="Arial" w:cs="Arial"/>
          <w:sz w:val="20"/>
          <w:szCs w:val="20"/>
        </w:rPr>
        <w:t xml:space="preserve"> regulatory segment, a tyrosine kinase domain (TKD), and a carboxyl-terminal tail. Activation of RTKs typically occurs through the binding of specific ligands, such as growth factors, to the extracellular domain. This ligand engagement induces receptor dimerization or oligomerization, which in turn triggers conformational changes essential for receptor activation. These </w:t>
      </w:r>
      <w:r w:rsidRPr="00E448CD">
        <w:rPr>
          <w:rFonts w:ascii="Arial" w:hAnsi="Arial" w:cs="Arial"/>
          <w:sz w:val="20"/>
          <w:szCs w:val="20"/>
        </w:rPr>
        <w:lastRenderedPageBreak/>
        <w:t>structural rearrangements facilitate trans-autophosphorylation of tyrosine residues within the TKD, a process that amplifies kinase activity and initiates downstream signalling cascades.</w:t>
      </w:r>
    </w:p>
    <w:p w14:paraId="022C12E3" w14:textId="77777777" w:rsidR="00C31F19" w:rsidRPr="00E448CD" w:rsidRDefault="00C31F19" w:rsidP="00B03722">
      <w:pPr>
        <w:jc w:val="both"/>
        <w:rPr>
          <w:rFonts w:ascii="Arial" w:hAnsi="Arial" w:cs="Arial"/>
          <w:sz w:val="20"/>
          <w:szCs w:val="20"/>
        </w:rPr>
      </w:pPr>
      <w:r w:rsidRPr="00E448CD">
        <w:rPr>
          <w:rFonts w:ascii="Arial" w:hAnsi="Arial" w:cs="Arial"/>
          <w:sz w:val="20"/>
          <w:szCs w:val="20"/>
        </w:rPr>
        <w:t>Beyond this canonical mechanism, RTK activation serves as a molecular switch that regulates diverse cellular processes, including proliferation, differentiation, survival, and migration. Dysregulation of RTK signalling—through mutations, overexpression, or aberrant ligand stimulation—has been strongly implicated in oncogenesis and cancer progression. Consequently, RTKs represent critical therapeutic targets, with small-molecule inhibitors and monoclonal antibodies designed to block ligand binding, receptor dimerization, or kinase activity, thereby disrupting malignant signalling pathways.</w:t>
      </w:r>
    </w:p>
    <w:p w14:paraId="6FDD3AE5" w14:textId="77777777" w:rsidR="00C31F19" w:rsidRPr="00E448CD" w:rsidRDefault="00C31F19" w:rsidP="00C31F19">
      <w:pPr>
        <w:jc w:val="both"/>
        <w:rPr>
          <w:rFonts w:ascii="Arial" w:hAnsi="Arial" w:cs="Arial"/>
          <w:sz w:val="20"/>
          <w:szCs w:val="20"/>
        </w:rPr>
      </w:pPr>
      <w:r w:rsidRPr="00E448CD">
        <w:rPr>
          <w:rFonts w:ascii="Arial" w:hAnsi="Arial" w:cs="Arial"/>
          <w:sz w:val="20"/>
          <w:szCs w:val="20"/>
        </w:rPr>
        <w:t>Traditional chemotherapy and radiotherapy have increased patient survival to a certain extent, but many patients still face a high recurrence rate and poor prognosis(4).</w:t>
      </w:r>
    </w:p>
    <w:p w14:paraId="15295862" w14:textId="77777777" w:rsidR="00C31F19" w:rsidRPr="00E448CD" w:rsidRDefault="00C31F19" w:rsidP="00B03722">
      <w:pPr>
        <w:jc w:val="both"/>
        <w:rPr>
          <w:rFonts w:ascii="Arial" w:hAnsi="Arial" w:cs="Arial"/>
          <w:sz w:val="20"/>
          <w:szCs w:val="20"/>
        </w:rPr>
      </w:pPr>
      <w:r w:rsidRPr="00E448CD">
        <w:rPr>
          <w:rFonts w:ascii="Arial" w:hAnsi="Arial" w:cs="Arial"/>
          <w:sz w:val="20"/>
          <w:szCs w:val="20"/>
        </w:rPr>
        <w:t>Advances in lung cancer treatment include next-generation tyrosine kinase inhibitors (TKIs) that more precisely target EGFR and ALK mutations, reducing resistance. Immunotherapies such as PD-1/PD-L1 checkpoint inhibitors have achieved lasting responses in advanced cases. Liquid biopsies now support early detection and ongoing monitoring, while AI-based diagnostics improve personalized treatment planning, collectively enhancing patient outcomes and survival rates.</w:t>
      </w:r>
    </w:p>
    <w:p w14:paraId="6E307573" w14:textId="77777777" w:rsidR="00C31F19" w:rsidRPr="00E448CD" w:rsidRDefault="00C31F19" w:rsidP="00C31F19">
      <w:pPr>
        <w:jc w:val="both"/>
        <w:rPr>
          <w:rFonts w:ascii="Arial" w:hAnsi="Arial" w:cs="Arial"/>
          <w:sz w:val="20"/>
          <w:szCs w:val="20"/>
        </w:rPr>
      </w:pPr>
      <w:r w:rsidRPr="00E448CD">
        <w:rPr>
          <w:rFonts w:ascii="Arial" w:hAnsi="Arial" w:cs="Arial"/>
          <w:sz w:val="20"/>
          <w:szCs w:val="20"/>
        </w:rPr>
        <w:t xml:space="preserve">Tyrosine kinase inhibitors (TKIs) are targeted anticancer agents with anti-proliferative and anti-angiogenic effects. By blocking abnormal </w:t>
      </w:r>
      <w:proofErr w:type="spellStart"/>
      <w:r w:rsidRPr="00E448CD">
        <w:rPr>
          <w:rFonts w:ascii="Arial" w:hAnsi="Arial" w:cs="Arial"/>
          <w:sz w:val="20"/>
          <w:szCs w:val="20"/>
        </w:rPr>
        <w:t>signaling</w:t>
      </w:r>
      <w:proofErr w:type="spellEnd"/>
      <w:r w:rsidRPr="00E448CD">
        <w:rPr>
          <w:rFonts w:ascii="Arial" w:hAnsi="Arial" w:cs="Arial"/>
          <w:sz w:val="20"/>
          <w:szCs w:val="20"/>
        </w:rPr>
        <w:t xml:space="preserve"> pathways that drive </w:t>
      </w:r>
      <w:proofErr w:type="spellStart"/>
      <w:r w:rsidRPr="00E448CD">
        <w:rPr>
          <w:rFonts w:ascii="Arial" w:hAnsi="Arial" w:cs="Arial"/>
          <w:sz w:val="20"/>
          <w:szCs w:val="20"/>
        </w:rPr>
        <w:t>tumor</w:t>
      </w:r>
      <w:proofErr w:type="spellEnd"/>
      <w:r w:rsidRPr="00E448CD">
        <w:rPr>
          <w:rFonts w:ascii="Arial" w:hAnsi="Arial" w:cs="Arial"/>
          <w:sz w:val="20"/>
          <w:szCs w:val="20"/>
        </w:rPr>
        <w:t xml:space="preserve"> growth, TKIs provide effective treatment options, particularly for cancers such as lung cancer and </w:t>
      </w:r>
      <w:proofErr w:type="spellStart"/>
      <w:r w:rsidRPr="00E448CD">
        <w:rPr>
          <w:rFonts w:ascii="Arial" w:hAnsi="Arial" w:cs="Arial"/>
          <w:sz w:val="20"/>
          <w:szCs w:val="20"/>
        </w:rPr>
        <w:t>leukemia</w:t>
      </w:r>
      <w:proofErr w:type="spellEnd"/>
      <w:r w:rsidRPr="00E448CD">
        <w:rPr>
          <w:rFonts w:ascii="Arial" w:hAnsi="Arial" w:cs="Arial"/>
          <w:sz w:val="20"/>
          <w:szCs w:val="20"/>
        </w:rPr>
        <w:t xml:space="preserve"> that </w:t>
      </w:r>
      <w:proofErr w:type="spellStart"/>
      <w:r w:rsidRPr="00E448CD">
        <w:rPr>
          <w:rFonts w:ascii="Arial" w:hAnsi="Arial" w:cs="Arial"/>
          <w:sz w:val="20"/>
          <w:szCs w:val="20"/>
        </w:rPr>
        <w:t>harbor</w:t>
      </w:r>
      <w:proofErr w:type="spellEnd"/>
      <w:r w:rsidRPr="00E448CD">
        <w:rPr>
          <w:rFonts w:ascii="Arial" w:hAnsi="Arial" w:cs="Arial"/>
          <w:sz w:val="20"/>
          <w:szCs w:val="20"/>
        </w:rPr>
        <w:t xml:space="preserve"> specific genetic mutations.</w:t>
      </w:r>
    </w:p>
    <w:p w14:paraId="5416B26A" w14:textId="77777777" w:rsidR="00C31F19" w:rsidRPr="00E448CD" w:rsidRDefault="00C31F19" w:rsidP="00C31F19">
      <w:pPr>
        <w:jc w:val="both"/>
        <w:rPr>
          <w:rFonts w:ascii="Arial" w:hAnsi="Arial" w:cs="Arial"/>
          <w:sz w:val="20"/>
          <w:szCs w:val="20"/>
        </w:rPr>
      </w:pPr>
      <w:r w:rsidRPr="00E448CD">
        <w:rPr>
          <w:rFonts w:ascii="Arial" w:hAnsi="Arial" w:cs="Arial"/>
          <w:sz w:val="20"/>
          <w:szCs w:val="20"/>
        </w:rPr>
        <w:t xml:space="preserve">TKIs received the approval for their use in clinical practice, such as gefitinib, erlotinib, </w:t>
      </w:r>
      <w:proofErr w:type="spellStart"/>
      <w:r w:rsidRPr="00E448CD">
        <w:rPr>
          <w:rFonts w:ascii="Arial" w:hAnsi="Arial" w:cs="Arial"/>
          <w:sz w:val="20"/>
          <w:szCs w:val="20"/>
        </w:rPr>
        <w:t>dasatinib</w:t>
      </w:r>
      <w:proofErr w:type="spellEnd"/>
      <w:r w:rsidRPr="00E448CD">
        <w:rPr>
          <w:rFonts w:ascii="Arial" w:hAnsi="Arial" w:cs="Arial"/>
          <w:sz w:val="20"/>
          <w:szCs w:val="20"/>
        </w:rPr>
        <w:t xml:space="preserve">, sorafenib, and sunitinib. These agents have a common mechanism of action, that is represented by competitive ATP inhibition at the catalytic binding site of tyrosine </w:t>
      </w:r>
      <w:proofErr w:type="gramStart"/>
      <w:r w:rsidRPr="00E448CD">
        <w:rPr>
          <w:rFonts w:ascii="Arial" w:hAnsi="Arial" w:cs="Arial"/>
          <w:sz w:val="20"/>
          <w:szCs w:val="20"/>
        </w:rPr>
        <w:t>kinase(</w:t>
      </w:r>
      <w:proofErr w:type="gramEnd"/>
      <w:r w:rsidRPr="00E448CD">
        <w:rPr>
          <w:rFonts w:ascii="Arial" w:hAnsi="Arial" w:cs="Arial"/>
          <w:sz w:val="20"/>
          <w:szCs w:val="20"/>
        </w:rPr>
        <w:t>5).</w:t>
      </w:r>
    </w:p>
    <w:p w14:paraId="05C76D3E" w14:textId="77777777" w:rsidR="00C31F19" w:rsidRPr="00E448CD" w:rsidRDefault="00B57553" w:rsidP="00C31F19">
      <w:pPr>
        <w:jc w:val="both"/>
        <w:rPr>
          <w:rFonts w:ascii="Arial" w:hAnsi="Arial" w:cs="Arial"/>
          <w:sz w:val="20"/>
          <w:szCs w:val="20"/>
        </w:rPr>
      </w:pPr>
      <w:r w:rsidRPr="00E448CD">
        <w:rPr>
          <w:rFonts w:ascii="Arial" w:hAnsi="Arial" w:cs="Arial"/>
          <w:sz w:val="20"/>
          <w:szCs w:val="20"/>
        </w:rPr>
        <w:object w:dxaOrig="3912" w:dyaOrig="2160" w14:anchorId="3D2C8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2pt;height:90.95pt" o:ole="">
            <v:imagedata r:id="rId7" o:title=""/>
          </v:shape>
          <o:OLEObject Type="Embed" ProgID="ChemDraw.Document.6.0" ShapeID="_x0000_i1025" DrawAspect="Content" ObjectID="_1831714024" r:id="rId8"/>
        </w:object>
      </w:r>
      <w:r w:rsidR="00C31F19" w:rsidRPr="00E448CD">
        <w:rPr>
          <w:rFonts w:ascii="Arial" w:hAnsi="Arial" w:cs="Arial"/>
          <w:sz w:val="20"/>
          <w:szCs w:val="20"/>
        </w:rPr>
        <w:object w:dxaOrig="4476" w:dyaOrig="2112" w14:anchorId="70233392">
          <v:shape id="_x0000_i1026" type="#_x0000_t75" style="width:213.75pt;height:100.8pt" o:ole="">
            <v:imagedata r:id="rId9" o:title=""/>
          </v:shape>
          <o:OLEObject Type="Embed" ProgID="ChemDraw.Document.6.0" ShapeID="_x0000_i1026" DrawAspect="Content" ObjectID="_1831714025" r:id="rId10"/>
        </w:object>
      </w:r>
    </w:p>
    <w:p w14:paraId="4EB6AA1B" w14:textId="77777777" w:rsidR="00C31F19" w:rsidRPr="00E448CD" w:rsidRDefault="00C31F19" w:rsidP="00B03722">
      <w:pPr>
        <w:jc w:val="both"/>
        <w:rPr>
          <w:rFonts w:ascii="Arial" w:hAnsi="Arial" w:cs="Arial"/>
          <w:b/>
          <w:bCs/>
          <w:sz w:val="20"/>
          <w:szCs w:val="20"/>
        </w:rPr>
      </w:pPr>
      <w:r w:rsidRPr="00E448CD">
        <w:rPr>
          <w:rFonts w:ascii="Arial" w:hAnsi="Arial" w:cs="Arial"/>
          <w:b/>
          <w:bCs/>
          <w:sz w:val="20"/>
          <w:szCs w:val="20"/>
        </w:rPr>
        <w:t xml:space="preserve">Gefitinib                                                                        Erlitinib </w:t>
      </w:r>
    </w:p>
    <w:p w14:paraId="50A8ABB1" w14:textId="77777777" w:rsidR="00C31F19" w:rsidRPr="00E448CD" w:rsidRDefault="00C31F19" w:rsidP="00B03722">
      <w:pPr>
        <w:jc w:val="both"/>
        <w:rPr>
          <w:rFonts w:ascii="Arial" w:hAnsi="Arial" w:cs="Arial"/>
          <w:sz w:val="20"/>
          <w:szCs w:val="20"/>
        </w:rPr>
      </w:pPr>
    </w:p>
    <w:p w14:paraId="71CF95FD" w14:textId="77777777" w:rsidR="00C31F19" w:rsidRPr="00E448CD" w:rsidRDefault="00C31F19" w:rsidP="00C31F19">
      <w:pPr>
        <w:jc w:val="center"/>
        <w:rPr>
          <w:rFonts w:ascii="Arial" w:hAnsi="Arial" w:cs="Arial"/>
          <w:sz w:val="20"/>
          <w:szCs w:val="20"/>
        </w:rPr>
      </w:pPr>
      <w:r w:rsidRPr="00E448CD">
        <w:rPr>
          <w:rFonts w:ascii="Arial" w:hAnsi="Arial" w:cs="Arial"/>
          <w:sz w:val="20"/>
          <w:szCs w:val="20"/>
        </w:rPr>
        <w:object w:dxaOrig="6636" w:dyaOrig="2544" w14:anchorId="117E6B18">
          <v:shape id="_x0000_i1027" type="#_x0000_t75" style="width:314.55pt;height:121.25pt" o:ole="">
            <v:imagedata r:id="rId11" o:title=""/>
          </v:shape>
          <o:OLEObject Type="Embed" ProgID="ChemDraw.Document.6.0" ShapeID="_x0000_i1027" DrawAspect="Content" ObjectID="_1831714026" r:id="rId12"/>
        </w:object>
      </w:r>
    </w:p>
    <w:p w14:paraId="43BA124E" w14:textId="77777777" w:rsidR="00B03722" w:rsidRPr="00E448CD" w:rsidRDefault="00C31F19" w:rsidP="00C31F19">
      <w:pPr>
        <w:jc w:val="both"/>
        <w:rPr>
          <w:rFonts w:ascii="Arial" w:hAnsi="Arial" w:cs="Arial"/>
          <w:b/>
          <w:bCs/>
          <w:sz w:val="20"/>
          <w:szCs w:val="20"/>
        </w:rPr>
      </w:pPr>
      <w:proofErr w:type="spellStart"/>
      <w:r w:rsidRPr="00E448CD">
        <w:rPr>
          <w:rFonts w:ascii="Arial" w:hAnsi="Arial" w:cs="Arial"/>
          <w:b/>
          <w:bCs/>
          <w:sz w:val="20"/>
          <w:szCs w:val="20"/>
        </w:rPr>
        <w:t>Desartinib</w:t>
      </w:r>
      <w:proofErr w:type="spellEnd"/>
    </w:p>
    <w:p w14:paraId="545D1CDE" w14:textId="77777777" w:rsidR="00C31F19" w:rsidRPr="00E448CD" w:rsidRDefault="00C31F19" w:rsidP="00C31F19">
      <w:pPr>
        <w:jc w:val="both"/>
        <w:rPr>
          <w:rFonts w:ascii="Arial" w:hAnsi="Arial" w:cs="Arial"/>
          <w:sz w:val="20"/>
          <w:szCs w:val="20"/>
        </w:rPr>
      </w:pPr>
      <w:r w:rsidRPr="00E448CD">
        <w:rPr>
          <w:rFonts w:ascii="Arial" w:hAnsi="Arial" w:cs="Arial"/>
          <w:b/>
          <w:bCs/>
          <w:sz w:val="20"/>
          <w:szCs w:val="20"/>
        </w:rPr>
        <w:t>Computational study</w:t>
      </w:r>
      <w:r w:rsidRPr="00E448CD">
        <w:rPr>
          <w:rFonts w:ascii="Arial" w:hAnsi="Arial" w:cs="Arial"/>
          <w:sz w:val="20"/>
          <w:szCs w:val="20"/>
        </w:rPr>
        <w:t>: computational study utilizes various in-silico tools to streamline drug discovery. Lipinski’s Rule of Five (ROF) is applied to assess drug-likeness, Pre-ADMET predicts pharmacokinetic behavio</w:t>
      </w:r>
      <w:r w:rsidR="0032423C" w:rsidRPr="00E448CD">
        <w:rPr>
          <w:rFonts w:ascii="Arial" w:hAnsi="Arial" w:cs="Arial"/>
          <w:sz w:val="20"/>
          <w:szCs w:val="20"/>
        </w:rPr>
        <w:t>u</w:t>
      </w:r>
      <w:r w:rsidRPr="00E448CD">
        <w:rPr>
          <w:rFonts w:ascii="Arial" w:hAnsi="Arial" w:cs="Arial"/>
          <w:sz w:val="20"/>
          <w:szCs w:val="20"/>
        </w:rPr>
        <w:t>r, Mol</w:t>
      </w:r>
      <w:r w:rsidR="0032423C" w:rsidRPr="00E448CD">
        <w:rPr>
          <w:rFonts w:ascii="Arial" w:hAnsi="Arial" w:cs="Arial"/>
          <w:sz w:val="20"/>
          <w:szCs w:val="20"/>
        </w:rPr>
        <w:t>i</w:t>
      </w:r>
      <w:r w:rsidRPr="00E448CD">
        <w:rPr>
          <w:rFonts w:ascii="Arial" w:hAnsi="Arial" w:cs="Arial"/>
          <w:sz w:val="20"/>
          <w:szCs w:val="20"/>
        </w:rPr>
        <w:t>nspiration evaluates bioactivity profiles, and molecular docking determines binding affinities with target proteins. Together, these approaches enable efficient compound screening and rational drug design in modern pharmaceutical research. Examples of commonly used computational tools include ROF, Pre-ADMET, Mol-Inspiration, and docking software.</w:t>
      </w:r>
    </w:p>
    <w:p w14:paraId="13294505" w14:textId="77777777" w:rsidR="00B03722" w:rsidRPr="00E448CD" w:rsidRDefault="0032423C" w:rsidP="00C31F19">
      <w:pPr>
        <w:jc w:val="both"/>
        <w:rPr>
          <w:rFonts w:ascii="Arial" w:hAnsi="Arial" w:cs="Arial"/>
          <w:sz w:val="20"/>
          <w:szCs w:val="20"/>
        </w:rPr>
      </w:pPr>
      <w:r w:rsidRPr="00E448CD">
        <w:rPr>
          <w:rFonts w:ascii="Arial" w:hAnsi="Arial" w:cs="Arial"/>
          <w:b/>
          <w:bCs/>
          <w:sz w:val="20"/>
          <w:szCs w:val="20"/>
        </w:rPr>
        <w:lastRenderedPageBreak/>
        <w:t xml:space="preserve">Lipinski’s Rule of </w:t>
      </w:r>
      <w:proofErr w:type="gramStart"/>
      <w:r w:rsidRPr="00E448CD">
        <w:rPr>
          <w:rFonts w:ascii="Arial" w:hAnsi="Arial" w:cs="Arial"/>
          <w:b/>
          <w:bCs/>
          <w:sz w:val="20"/>
          <w:szCs w:val="20"/>
        </w:rPr>
        <w:t>Five:</w:t>
      </w:r>
      <w:r w:rsidRPr="00E448CD">
        <w:rPr>
          <w:rFonts w:ascii="Arial" w:hAnsi="Arial" w:cs="Arial"/>
          <w:sz w:val="20"/>
          <w:szCs w:val="20"/>
        </w:rPr>
        <w:t>Lipinski’s</w:t>
      </w:r>
      <w:proofErr w:type="gramEnd"/>
      <w:r w:rsidRPr="00E448CD">
        <w:rPr>
          <w:rFonts w:ascii="Arial" w:hAnsi="Arial" w:cs="Arial"/>
          <w:sz w:val="20"/>
          <w:szCs w:val="20"/>
        </w:rPr>
        <w:t xml:space="preserve"> Rule of Five outlines four critical parameters for evaluating drug-likeness: molecular weight, hydrogen bond donors, hydrogen bond acceptors, and the octanol–water partition coefficient (log P). According to this guideline, compounds are more likely to exhibit favo</w:t>
      </w:r>
      <w:r w:rsidR="00461B0B" w:rsidRPr="00E448CD">
        <w:rPr>
          <w:rFonts w:ascii="Arial" w:hAnsi="Arial" w:cs="Arial"/>
          <w:sz w:val="20"/>
          <w:szCs w:val="20"/>
        </w:rPr>
        <w:t>u</w:t>
      </w:r>
      <w:r w:rsidRPr="00E448CD">
        <w:rPr>
          <w:rFonts w:ascii="Arial" w:hAnsi="Arial" w:cs="Arial"/>
          <w:sz w:val="20"/>
          <w:szCs w:val="20"/>
        </w:rPr>
        <w:t>rable pharmacokinetic and pharmaceutical properties when their molecular weight is under 500 Da, they contain no more than five hydrogen bond donors, no more than ten hydrogen bond acceptors, and have a log P value below 5 (6). By assessing these molecular characteristics, Lipinski’s Rule of Five helps predict oral bioavailability and overall drug-likeness.</w:t>
      </w:r>
    </w:p>
    <w:p w14:paraId="31499886" w14:textId="77777777" w:rsidR="00B03722" w:rsidRPr="00E448CD" w:rsidRDefault="0032423C" w:rsidP="00C31F19">
      <w:pPr>
        <w:jc w:val="both"/>
        <w:rPr>
          <w:rFonts w:ascii="Arial" w:hAnsi="Arial" w:cs="Arial"/>
          <w:sz w:val="20"/>
          <w:szCs w:val="20"/>
        </w:rPr>
      </w:pPr>
      <w:r w:rsidRPr="00E448CD">
        <w:rPr>
          <w:rFonts w:ascii="Arial" w:hAnsi="Arial" w:cs="Arial"/>
          <w:noProof/>
          <w:sz w:val="20"/>
          <w:szCs w:val="20"/>
          <w:lang w:val="en-US"/>
        </w:rPr>
        <w:drawing>
          <wp:inline distT="0" distB="0" distL="0" distR="0" wp14:anchorId="39DF1F5B" wp14:editId="6F1551CB">
            <wp:extent cx="3751385" cy="2061475"/>
            <wp:effectExtent l="0" t="0" r="1905" b="0"/>
            <wp:docPr id="370214713" name="Picture 1" descr="Lipinski Rule of 5 - Kathryn-has-W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pinski Rule of 5 - Kathryn-has-Wa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1779" cy="2078177"/>
                    </a:xfrm>
                    <a:prstGeom prst="rect">
                      <a:avLst/>
                    </a:prstGeom>
                    <a:noFill/>
                    <a:ln>
                      <a:noFill/>
                    </a:ln>
                  </pic:spPr>
                </pic:pic>
              </a:graphicData>
            </a:graphic>
          </wp:inline>
        </w:drawing>
      </w:r>
    </w:p>
    <w:p w14:paraId="6F6D1FFF" w14:textId="77777777" w:rsidR="0032423C" w:rsidRPr="00E448CD" w:rsidRDefault="0032423C" w:rsidP="00C31F19">
      <w:pPr>
        <w:jc w:val="both"/>
        <w:rPr>
          <w:rFonts w:ascii="Arial" w:hAnsi="Arial" w:cs="Arial"/>
          <w:b/>
          <w:bCs/>
          <w:sz w:val="20"/>
          <w:szCs w:val="20"/>
        </w:rPr>
      </w:pPr>
      <w:r w:rsidRPr="00E448CD">
        <w:rPr>
          <w:rFonts w:ascii="Arial" w:hAnsi="Arial" w:cs="Arial"/>
          <w:b/>
          <w:bCs/>
          <w:sz w:val="20"/>
          <w:szCs w:val="20"/>
        </w:rPr>
        <w:t xml:space="preserve">Figure 01: Lipinski’s rule of five  </w:t>
      </w:r>
    </w:p>
    <w:p w14:paraId="4871793D" w14:textId="77777777" w:rsidR="0032423C" w:rsidRPr="00E448CD" w:rsidRDefault="0032423C" w:rsidP="0032423C">
      <w:pPr>
        <w:jc w:val="both"/>
        <w:rPr>
          <w:rFonts w:ascii="Arial" w:hAnsi="Arial" w:cs="Arial"/>
          <w:sz w:val="20"/>
          <w:szCs w:val="20"/>
        </w:rPr>
      </w:pPr>
      <w:r w:rsidRPr="00E448CD">
        <w:rPr>
          <w:rFonts w:ascii="Arial" w:hAnsi="Arial" w:cs="Arial"/>
          <w:b/>
          <w:bCs/>
          <w:sz w:val="20"/>
          <w:szCs w:val="20"/>
        </w:rPr>
        <w:t>Pre-</w:t>
      </w:r>
      <w:proofErr w:type="gramStart"/>
      <w:r w:rsidRPr="00E448CD">
        <w:rPr>
          <w:rFonts w:ascii="Arial" w:hAnsi="Arial" w:cs="Arial"/>
          <w:b/>
          <w:bCs/>
          <w:sz w:val="20"/>
          <w:szCs w:val="20"/>
        </w:rPr>
        <w:t>ADMET:</w:t>
      </w:r>
      <w:r w:rsidRPr="00E448CD">
        <w:rPr>
          <w:rFonts w:ascii="Arial" w:hAnsi="Arial" w:cs="Arial"/>
          <w:sz w:val="20"/>
          <w:szCs w:val="20"/>
        </w:rPr>
        <w:t>Pre</w:t>
      </w:r>
      <w:proofErr w:type="gramEnd"/>
      <w:r w:rsidRPr="00E448CD">
        <w:rPr>
          <w:rFonts w:ascii="Arial" w:hAnsi="Arial" w:cs="Arial"/>
          <w:sz w:val="20"/>
          <w:szCs w:val="20"/>
        </w:rPr>
        <w:t>-ADMET evaluation is a crucial step in the early stages of drug discovery and development, allowing researchers to assess potential drug candidates for pharmacokinetic behavio</w:t>
      </w:r>
      <w:r w:rsidR="00461B0B" w:rsidRPr="00E448CD">
        <w:rPr>
          <w:rFonts w:ascii="Arial" w:hAnsi="Arial" w:cs="Arial"/>
          <w:sz w:val="20"/>
          <w:szCs w:val="20"/>
        </w:rPr>
        <w:t>u</w:t>
      </w:r>
      <w:r w:rsidRPr="00E448CD">
        <w:rPr>
          <w:rFonts w:ascii="Arial" w:hAnsi="Arial" w:cs="Arial"/>
          <w:sz w:val="20"/>
          <w:szCs w:val="20"/>
        </w:rPr>
        <w:t xml:space="preserve">r, safety, efficacy, and toxicity before progressing to expensive in vivo studies or clinical trials. (7) This analysis examines key parameters such as blood–brain barrier (BBB) penetration, </w:t>
      </w:r>
      <w:proofErr w:type="spellStart"/>
      <w:r w:rsidRPr="00E448CD">
        <w:rPr>
          <w:rFonts w:ascii="Arial" w:hAnsi="Arial" w:cs="Arial"/>
          <w:sz w:val="20"/>
          <w:szCs w:val="20"/>
        </w:rPr>
        <w:t>CaCO</w:t>
      </w:r>
      <w:proofErr w:type="spellEnd"/>
      <w:r w:rsidRPr="00E448CD">
        <w:rPr>
          <w:rFonts w:ascii="Times New Roman" w:hAnsi="Times New Roman" w:cs="Arial"/>
          <w:sz w:val="20"/>
          <w:szCs w:val="20"/>
        </w:rPr>
        <w:t>₂</w:t>
      </w:r>
      <w:r w:rsidRPr="00E448CD">
        <w:rPr>
          <w:rFonts w:ascii="Arial" w:hAnsi="Arial" w:cs="Arial"/>
          <w:sz w:val="20"/>
          <w:szCs w:val="20"/>
        </w:rPr>
        <w:t xml:space="preserve"> permeability, CYP2D6 inhibition, human intestinal absorption (HIA), MDCK cell transport, plasma protein binding, and skin permeability, thereby providing insights into a compound’s drug-likeness and overall safety profile.</w:t>
      </w:r>
    </w:p>
    <w:p w14:paraId="4444FFE3" w14:textId="77777777" w:rsidR="0032423C" w:rsidRPr="00E448CD" w:rsidRDefault="0032423C" w:rsidP="0032423C">
      <w:pPr>
        <w:jc w:val="both"/>
        <w:rPr>
          <w:rFonts w:ascii="Arial" w:hAnsi="Arial" w:cs="Arial"/>
          <w:sz w:val="20"/>
          <w:szCs w:val="20"/>
        </w:rPr>
      </w:pPr>
      <w:r w:rsidRPr="00E448CD">
        <w:rPr>
          <w:rFonts w:ascii="Arial" w:hAnsi="Arial" w:cs="Arial"/>
          <w:sz w:val="20"/>
          <w:szCs w:val="20"/>
        </w:rPr>
        <w:t>Pre-ADMET toxicity evaluation indicated an acceptable safety profile, with results showing non-mutagenicity in the Ames test, low carcinogenic risk in rats, and only weak inhibition of the HERG channel. These findings suggest a favo</w:t>
      </w:r>
      <w:r w:rsidR="00461B0B" w:rsidRPr="00E448CD">
        <w:rPr>
          <w:rFonts w:ascii="Arial" w:hAnsi="Arial" w:cs="Arial"/>
          <w:sz w:val="20"/>
          <w:szCs w:val="20"/>
        </w:rPr>
        <w:t>u</w:t>
      </w:r>
      <w:r w:rsidRPr="00E448CD">
        <w:rPr>
          <w:rFonts w:ascii="Arial" w:hAnsi="Arial" w:cs="Arial"/>
          <w:sz w:val="20"/>
          <w:szCs w:val="20"/>
        </w:rPr>
        <w:t>rable preliminary toxicity profile, supporting the potential of these compounds for further drug development.</w:t>
      </w:r>
    </w:p>
    <w:p w14:paraId="2619826E" w14:textId="77777777" w:rsidR="0032423C" w:rsidRPr="00E448CD" w:rsidRDefault="0032423C" w:rsidP="0032423C">
      <w:pPr>
        <w:jc w:val="both"/>
        <w:rPr>
          <w:rFonts w:ascii="Arial" w:hAnsi="Arial" w:cs="Arial"/>
          <w:sz w:val="20"/>
          <w:szCs w:val="20"/>
        </w:rPr>
      </w:pPr>
      <w:proofErr w:type="spellStart"/>
      <w:r w:rsidRPr="00E448CD">
        <w:rPr>
          <w:rFonts w:ascii="Arial" w:hAnsi="Arial" w:cs="Arial"/>
          <w:b/>
          <w:bCs/>
          <w:sz w:val="20"/>
          <w:szCs w:val="20"/>
        </w:rPr>
        <w:t>Mol-</w:t>
      </w:r>
      <w:proofErr w:type="gramStart"/>
      <w:r w:rsidRPr="00E448CD">
        <w:rPr>
          <w:rFonts w:ascii="Arial" w:hAnsi="Arial" w:cs="Arial"/>
          <w:b/>
          <w:bCs/>
          <w:sz w:val="20"/>
          <w:szCs w:val="20"/>
        </w:rPr>
        <w:t>Inspiration:</w:t>
      </w:r>
      <w:r w:rsidRPr="00E448CD">
        <w:rPr>
          <w:rFonts w:ascii="Arial" w:hAnsi="Arial" w:cs="Arial"/>
          <w:sz w:val="20"/>
          <w:szCs w:val="20"/>
        </w:rPr>
        <w:t>Mol</w:t>
      </w:r>
      <w:proofErr w:type="gramEnd"/>
      <w:r w:rsidRPr="00E448CD">
        <w:rPr>
          <w:rFonts w:ascii="Arial" w:hAnsi="Arial" w:cs="Arial"/>
          <w:sz w:val="20"/>
          <w:szCs w:val="20"/>
        </w:rPr>
        <w:t>-Inspiration</w:t>
      </w:r>
      <w:proofErr w:type="spellEnd"/>
      <w:r w:rsidRPr="00E448CD">
        <w:rPr>
          <w:rFonts w:ascii="Arial" w:hAnsi="Arial" w:cs="Arial"/>
          <w:sz w:val="20"/>
          <w:szCs w:val="20"/>
        </w:rPr>
        <w:t xml:space="preserve"> provides an accessible web-based platform for calculating a wide range of molecular descriptors, including </w:t>
      </w:r>
      <w:proofErr w:type="spellStart"/>
      <w:r w:rsidRPr="00E448CD">
        <w:rPr>
          <w:rFonts w:ascii="Arial" w:hAnsi="Arial" w:cs="Arial"/>
          <w:sz w:val="20"/>
          <w:szCs w:val="20"/>
        </w:rPr>
        <w:t>LogP</w:t>
      </w:r>
      <w:proofErr w:type="spellEnd"/>
      <w:r w:rsidRPr="00E448CD">
        <w:rPr>
          <w:rFonts w:ascii="Arial" w:hAnsi="Arial" w:cs="Arial"/>
          <w:sz w:val="20"/>
          <w:szCs w:val="20"/>
        </w:rPr>
        <w:t xml:space="preserve"> (octanol–water partition coefficient), topological polar surface area (TPSA), molecular weight, hydrogen bond donors and acceptors, and the number of rotatable bonds. In addition, it predicts bioactivity scores for key pharmaceutical targets such as nuclear receptor ligands, G-protein coupled receptors (GPCRs), ion channel modulators, kinase inhibitors, and general enzyme inhibitors. These predictions are derived from fragment-based models built using extensive datasets of biologically active compounds, making Mol-Inspiration a valuable tool for drug-likeness and bioactivity assessment.</w:t>
      </w:r>
    </w:p>
    <w:p w14:paraId="3BAD7D12" w14:textId="77777777" w:rsidR="00AE2542" w:rsidRPr="00E448CD" w:rsidRDefault="00F728FE" w:rsidP="0032423C">
      <w:pPr>
        <w:jc w:val="both"/>
        <w:rPr>
          <w:rFonts w:ascii="Arial" w:hAnsi="Arial" w:cs="Arial"/>
          <w:sz w:val="20"/>
          <w:szCs w:val="20"/>
        </w:rPr>
      </w:pPr>
      <w:r w:rsidRPr="00E448CD">
        <w:rPr>
          <w:rFonts w:ascii="Arial" w:hAnsi="Arial" w:cs="Arial"/>
          <w:b/>
          <w:bCs/>
          <w:sz w:val="20"/>
          <w:szCs w:val="20"/>
        </w:rPr>
        <w:t>Molecular docking</w:t>
      </w:r>
      <w:r w:rsidRPr="00E448CD">
        <w:rPr>
          <w:rFonts w:ascii="Arial" w:hAnsi="Arial" w:cs="Arial"/>
          <w:sz w:val="20"/>
          <w:szCs w:val="20"/>
        </w:rPr>
        <w:t xml:space="preserve">: </w:t>
      </w:r>
      <w:r w:rsidR="00AE2542" w:rsidRPr="00E448CD">
        <w:rPr>
          <w:rFonts w:ascii="Arial" w:hAnsi="Arial" w:cs="Arial"/>
          <w:sz w:val="20"/>
          <w:szCs w:val="20"/>
        </w:rPr>
        <w:t>Molecular docking is a widely applied computational technique in computer-aided drug design (CADD). It involves two key components: the protein, which serves as the target site, and the ligand, which binds to that protein.</w:t>
      </w:r>
      <w:r w:rsidRPr="00E448CD">
        <w:rPr>
          <w:rFonts w:ascii="Arial" w:hAnsi="Arial" w:cs="Arial"/>
          <w:sz w:val="20"/>
          <w:szCs w:val="20"/>
        </w:rPr>
        <w:t xml:space="preserve"> (9)</w:t>
      </w:r>
      <w:r w:rsidR="00AE2542" w:rsidRPr="00E448CD">
        <w:rPr>
          <w:rFonts w:ascii="Arial" w:hAnsi="Arial" w:cs="Arial"/>
          <w:sz w:val="20"/>
          <w:szCs w:val="20"/>
        </w:rPr>
        <w:t xml:space="preserve"> Docking predicts how a small molecule fits into a protein’s active site by estimating binding affinity, orientation, and critical molecular interactions. This approach aids in identifying potential inhibitors, analyzing structure–activity relationships, and prioritizing compounds before laboratory validation. By mode</w:t>
      </w:r>
      <w:r w:rsidR="00461B0B" w:rsidRPr="00E448CD">
        <w:rPr>
          <w:rFonts w:ascii="Arial" w:hAnsi="Arial" w:cs="Arial"/>
          <w:sz w:val="20"/>
          <w:szCs w:val="20"/>
        </w:rPr>
        <w:t>l</w:t>
      </w:r>
      <w:r w:rsidR="00AE2542" w:rsidRPr="00E448CD">
        <w:rPr>
          <w:rFonts w:ascii="Arial" w:hAnsi="Arial" w:cs="Arial"/>
          <w:sz w:val="20"/>
          <w:szCs w:val="20"/>
        </w:rPr>
        <w:t xml:space="preserve">ling ligand–receptor complementarity, molecular docking accelerates early drug discovery and facilitates the rational design of more selective and potent therapeutic </w:t>
      </w:r>
      <w:proofErr w:type="gramStart"/>
      <w:r w:rsidR="00AE2542" w:rsidRPr="00E448CD">
        <w:rPr>
          <w:rFonts w:ascii="Arial" w:hAnsi="Arial" w:cs="Arial"/>
          <w:sz w:val="20"/>
          <w:szCs w:val="20"/>
        </w:rPr>
        <w:t>agents.</w:t>
      </w:r>
      <w:r w:rsidR="00EE50E7" w:rsidRPr="00E448CD">
        <w:rPr>
          <w:rFonts w:ascii="Arial" w:hAnsi="Arial" w:cs="Arial"/>
          <w:sz w:val="20"/>
          <w:szCs w:val="20"/>
        </w:rPr>
        <w:t>(</w:t>
      </w:r>
      <w:proofErr w:type="gramEnd"/>
      <w:r w:rsidR="00EE50E7" w:rsidRPr="00E448CD">
        <w:rPr>
          <w:rFonts w:ascii="Arial" w:hAnsi="Arial" w:cs="Arial"/>
          <w:sz w:val="20"/>
          <w:szCs w:val="20"/>
        </w:rPr>
        <w:t>10)</w:t>
      </w:r>
    </w:p>
    <w:p w14:paraId="09A3DD7B" w14:textId="77777777" w:rsidR="008150B9" w:rsidRPr="00E448CD" w:rsidRDefault="00461B0B" w:rsidP="008150B9">
      <w:pPr>
        <w:jc w:val="both"/>
        <w:rPr>
          <w:rFonts w:ascii="Arial" w:eastAsia="Times New Roman" w:hAnsi="Arial" w:cs="Arial"/>
          <w:kern w:val="0"/>
          <w:sz w:val="20"/>
          <w:szCs w:val="20"/>
          <w:lang w:eastAsia="en-IN"/>
        </w:rPr>
      </w:pPr>
      <w:r w:rsidRPr="00E448CD">
        <w:rPr>
          <w:rFonts w:ascii="Arial" w:eastAsia="Times New Roman" w:hAnsi="Arial" w:cs="Arial"/>
          <w:b/>
          <w:bCs/>
          <w:kern w:val="0"/>
          <w:sz w:val="20"/>
          <w:szCs w:val="20"/>
          <w:lang w:eastAsia="en-IN"/>
        </w:rPr>
        <w:t xml:space="preserve">GMPPNP-bound G12R mutant of </w:t>
      </w:r>
      <w:r w:rsidR="008150B9" w:rsidRPr="00E448CD">
        <w:rPr>
          <w:rFonts w:ascii="Arial" w:eastAsia="Times New Roman" w:hAnsi="Arial" w:cs="Arial"/>
          <w:b/>
          <w:bCs/>
          <w:kern w:val="0"/>
          <w:sz w:val="20"/>
          <w:szCs w:val="20"/>
          <w:lang w:eastAsia="en-IN"/>
        </w:rPr>
        <w:t>Human KRAS4b</w:t>
      </w:r>
      <w:r w:rsidR="008150B9" w:rsidRPr="00E448CD">
        <w:rPr>
          <w:rFonts w:ascii="Arial" w:eastAsia="Times New Roman" w:hAnsi="Arial" w:cs="Arial"/>
          <w:kern w:val="0"/>
          <w:sz w:val="20"/>
          <w:szCs w:val="20"/>
          <w:lang w:eastAsia="en-IN"/>
        </w:rPr>
        <w:t xml:space="preserve"> (</w:t>
      </w:r>
      <w:r w:rsidR="008150B9" w:rsidRPr="00E448CD">
        <w:rPr>
          <w:rFonts w:ascii="Arial" w:eastAsia="Times New Roman" w:hAnsi="Arial" w:cs="Arial"/>
          <w:b/>
          <w:bCs/>
          <w:kern w:val="0"/>
          <w:sz w:val="20"/>
          <w:szCs w:val="20"/>
          <w:lang w:eastAsia="en-IN"/>
        </w:rPr>
        <w:t xml:space="preserve">6CU6): </w:t>
      </w:r>
      <w:r w:rsidR="008150B9" w:rsidRPr="00E448CD">
        <w:rPr>
          <w:rFonts w:ascii="Arial" w:hAnsi="Arial" w:cs="Arial"/>
          <w:sz w:val="20"/>
          <w:szCs w:val="20"/>
        </w:rPr>
        <w:t>The receptor target selected for the anti-lung cancer study was</w:t>
      </w:r>
      <w:r w:rsidRPr="00E448CD">
        <w:rPr>
          <w:rFonts w:ascii="Arial" w:hAnsi="Arial" w:cs="Arial"/>
          <w:sz w:val="20"/>
          <w:szCs w:val="20"/>
        </w:rPr>
        <w:t xml:space="preserve">GMPPNP-bound G12R mutant of </w:t>
      </w:r>
      <w:r w:rsidR="008150B9" w:rsidRPr="00E448CD">
        <w:rPr>
          <w:rFonts w:ascii="Arial" w:hAnsi="Arial" w:cs="Arial"/>
          <w:sz w:val="20"/>
          <w:szCs w:val="20"/>
        </w:rPr>
        <w:t xml:space="preserve"> human KRAS, an established oncogenic protein involved in cell proliferation and survival signalling pathways. The three-dimensional crystal </w:t>
      </w:r>
      <w:r w:rsidR="008150B9" w:rsidRPr="00E448CD">
        <w:rPr>
          <w:rFonts w:ascii="Arial" w:hAnsi="Arial" w:cs="Arial"/>
          <w:sz w:val="20"/>
          <w:szCs w:val="20"/>
        </w:rPr>
        <w:lastRenderedPageBreak/>
        <w:t>structure of KRAS was retrieved from the Protein Data Bank (PDB ID: 6CU6). This protein is classified as an oncoprotein and originates from Homo sapiens, while its recombinant expression was carried out in Escherichia coli. The selected structure contains mutation(s) relevant to cancer progression, making it a suitable target for evaluating anticancer activity. The crystal structure was resolved at a high resolution of 1.50 Å, ensuring structural accuracy and reliability for molecular docking and in silico interaction studies related to lung cancer therapeutics.</w:t>
      </w:r>
    </w:p>
    <w:p w14:paraId="6E74652A" w14:textId="77777777" w:rsidR="008150B9" w:rsidRPr="00E448CD" w:rsidRDefault="00B57553" w:rsidP="00B57553">
      <w:pPr>
        <w:jc w:val="center"/>
        <w:rPr>
          <w:rFonts w:ascii="Arial" w:hAnsi="Arial" w:cs="Arial"/>
          <w:sz w:val="20"/>
          <w:szCs w:val="20"/>
        </w:rPr>
      </w:pPr>
      <w:r w:rsidRPr="00E448CD">
        <w:rPr>
          <w:rFonts w:ascii="Arial" w:hAnsi="Arial" w:cs="Arial"/>
          <w:kern w:val="0"/>
          <w:sz w:val="20"/>
          <w:szCs w:val="20"/>
        </w:rPr>
        <w:object w:dxaOrig="5532" w:dyaOrig="7152" w14:anchorId="2DCA0669">
          <v:shape id="_x0000_i1028" type="#_x0000_t75" style="width:183.4pt;height:237.2pt" o:ole="">
            <v:imagedata r:id="rId14" o:title=""/>
          </v:shape>
          <o:OLEObject Type="Embed" ProgID="ChemDraw.Document.6.0" ShapeID="_x0000_i1028" DrawAspect="Content" ObjectID="_1831714027" r:id="rId15"/>
        </w:object>
      </w:r>
      <w:r w:rsidR="00D11BCF" w:rsidRPr="00E448CD">
        <w:rPr>
          <w:rFonts w:ascii="Arial" w:hAnsi="Arial" w:cs="Arial"/>
          <w:noProof/>
          <w:sz w:val="20"/>
          <w:szCs w:val="20"/>
          <w:lang w:val="en-US"/>
        </w:rPr>
        <w:drawing>
          <wp:inline distT="0" distB="0" distL="0" distR="0" wp14:anchorId="3A64A38A" wp14:editId="41E2C438">
            <wp:extent cx="2811780" cy="3444240"/>
            <wp:effectExtent l="0" t="0" r="7620" b="3810"/>
            <wp:docPr id="1222867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1780" cy="3444240"/>
                    </a:xfrm>
                    <a:prstGeom prst="rect">
                      <a:avLst/>
                    </a:prstGeom>
                    <a:noFill/>
                    <a:ln>
                      <a:noFill/>
                    </a:ln>
                  </pic:spPr>
                </pic:pic>
              </a:graphicData>
            </a:graphic>
          </wp:inline>
        </w:drawing>
      </w:r>
    </w:p>
    <w:p w14:paraId="0259DFEB" w14:textId="77777777" w:rsidR="00CD2853" w:rsidRPr="00E448CD" w:rsidRDefault="00B57553" w:rsidP="00B57553">
      <w:pPr>
        <w:jc w:val="center"/>
        <w:rPr>
          <w:rFonts w:ascii="Arial" w:eastAsia="Times New Roman" w:hAnsi="Arial" w:cs="Arial"/>
          <w:kern w:val="0"/>
          <w:sz w:val="20"/>
          <w:szCs w:val="20"/>
          <w:lang w:eastAsia="en-IN"/>
        </w:rPr>
      </w:pPr>
      <w:r w:rsidRPr="00E448CD">
        <w:rPr>
          <w:rFonts w:ascii="Arial" w:eastAsia="Times New Roman" w:hAnsi="Arial" w:cs="Arial"/>
          <w:b/>
          <w:kern w:val="0"/>
          <w:sz w:val="20"/>
          <w:szCs w:val="20"/>
          <w:lang w:eastAsia="en-IN"/>
        </w:rPr>
        <w:t xml:space="preserve">Figure </w:t>
      </w:r>
      <w:r w:rsidR="00A43C26" w:rsidRPr="00E448CD">
        <w:rPr>
          <w:rFonts w:ascii="Arial" w:eastAsia="Times New Roman" w:hAnsi="Arial" w:cs="Arial"/>
          <w:b/>
          <w:kern w:val="0"/>
          <w:sz w:val="20"/>
          <w:szCs w:val="20"/>
          <w:lang w:eastAsia="en-IN"/>
        </w:rPr>
        <w:t>02</w:t>
      </w:r>
      <w:r w:rsidRPr="00E448CD">
        <w:rPr>
          <w:rFonts w:ascii="Arial" w:eastAsia="Times New Roman" w:hAnsi="Arial" w:cs="Arial"/>
          <w:b/>
          <w:kern w:val="0"/>
          <w:sz w:val="20"/>
          <w:szCs w:val="20"/>
          <w:lang w:eastAsia="en-IN"/>
        </w:rPr>
        <w:t>.</w:t>
      </w:r>
      <w:r w:rsidR="00CD2853" w:rsidRPr="00E448CD">
        <w:rPr>
          <w:rFonts w:ascii="Arial" w:eastAsia="Times New Roman" w:hAnsi="Arial" w:cs="Arial"/>
          <w:kern w:val="0"/>
          <w:sz w:val="20"/>
          <w:szCs w:val="20"/>
          <w:lang w:eastAsia="en-IN"/>
        </w:rPr>
        <w:t>Crystal structure of GMPPNP-bound G12R mutant of human KRAS</w:t>
      </w:r>
    </w:p>
    <w:p w14:paraId="4CEFDDF6" w14:textId="77777777" w:rsidR="00A43C26" w:rsidRPr="00E448CD" w:rsidRDefault="00A43C26" w:rsidP="00A43C26">
      <w:pPr>
        <w:jc w:val="both"/>
        <w:rPr>
          <w:rFonts w:ascii="Arial" w:eastAsia="Times New Roman" w:hAnsi="Arial" w:cs="Arial"/>
          <w:b/>
          <w:kern w:val="0"/>
          <w:sz w:val="20"/>
          <w:szCs w:val="20"/>
          <w:lang w:eastAsia="en-IN"/>
        </w:rPr>
      </w:pPr>
      <w:r w:rsidRPr="00E448CD">
        <w:rPr>
          <w:rFonts w:ascii="Arial" w:eastAsia="Times New Roman" w:hAnsi="Arial" w:cs="Arial"/>
          <w:b/>
          <w:kern w:val="0"/>
          <w:sz w:val="20"/>
          <w:szCs w:val="20"/>
          <w:lang w:eastAsia="en-IN"/>
        </w:rPr>
        <w:t xml:space="preserve">Table 1: Computational tools for prediction of Drug likeness, Pharmacokinetics Properties and Toxicity </w:t>
      </w:r>
      <w:proofErr w:type="spellStart"/>
      <w:r w:rsidRPr="00E448CD">
        <w:rPr>
          <w:rFonts w:ascii="Arial" w:eastAsia="Times New Roman" w:hAnsi="Arial" w:cs="Arial"/>
          <w:b/>
          <w:kern w:val="0"/>
          <w:sz w:val="20"/>
          <w:szCs w:val="20"/>
          <w:lang w:eastAsia="en-IN"/>
        </w:rPr>
        <w:t>Stidy</w:t>
      </w:r>
      <w:proofErr w:type="spellEnd"/>
      <w:r w:rsidRPr="00E448CD">
        <w:rPr>
          <w:rFonts w:ascii="Arial" w:eastAsia="Times New Roman" w:hAnsi="Arial" w:cs="Arial"/>
          <w:b/>
          <w:kern w:val="0"/>
          <w:sz w:val="20"/>
          <w:szCs w:val="20"/>
          <w:lang w:eastAsia="en-IN"/>
        </w:rPr>
        <w:t>.</w:t>
      </w:r>
    </w:p>
    <w:tbl>
      <w:tblPr>
        <w:tblStyle w:val="TableGrid"/>
        <w:tblW w:w="0" w:type="auto"/>
        <w:tblLook w:val="04A0" w:firstRow="1" w:lastRow="0" w:firstColumn="1" w:lastColumn="0" w:noHBand="0" w:noVBand="1"/>
      </w:tblPr>
      <w:tblGrid>
        <w:gridCol w:w="988"/>
        <w:gridCol w:w="2409"/>
        <w:gridCol w:w="2835"/>
        <w:gridCol w:w="2784"/>
      </w:tblGrid>
      <w:tr w:rsidR="001A2D46" w:rsidRPr="00E448CD" w14:paraId="0C7948FD" w14:textId="77777777" w:rsidTr="000766C3">
        <w:tc>
          <w:tcPr>
            <w:tcW w:w="988" w:type="dxa"/>
          </w:tcPr>
          <w:p w14:paraId="29230AED" w14:textId="77777777" w:rsidR="001A2D46" w:rsidRPr="00E448CD" w:rsidRDefault="001A2D46" w:rsidP="000766C3">
            <w:pPr>
              <w:jc w:val="both"/>
              <w:rPr>
                <w:rFonts w:ascii="Arial" w:hAnsi="Arial" w:cs="Arial"/>
                <w:b/>
                <w:bCs/>
                <w:sz w:val="20"/>
                <w:szCs w:val="20"/>
              </w:rPr>
            </w:pPr>
            <w:r w:rsidRPr="00E448CD">
              <w:rPr>
                <w:rFonts w:ascii="Arial" w:hAnsi="Arial" w:cs="Arial"/>
                <w:b/>
                <w:bCs/>
                <w:sz w:val="20"/>
                <w:szCs w:val="20"/>
              </w:rPr>
              <w:t>Sr. no.</w:t>
            </w:r>
          </w:p>
        </w:tc>
        <w:tc>
          <w:tcPr>
            <w:tcW w:w="2409" w:type="dxa"/>
          </w:tcPr>
          <w:p w14:paraId="4066E76F" w14:textId="77777777" w:rsidR="001A2D46" w:rsidRPr="00E448CD" w:rsidRDefault="001A2D46" w:rsidP="000766C3">
            <w:pPr>
              <w:jc w:val="both"/>
              <w:rPr>
                <w:rFonts w:ascii="Arial" w:hAnsi="Arial" w:cs="Arial"/>
                <w:b/>
                <w:bCs/>
                <w:sz w:val="20"/>
                <w:szCs w:val="20"/>
              </w:rPr>
            </w:pPr>
            <w:r w:rsidRPr="00E448CD">
              <w:rPr>
                <w:rFonts w:ascii="Arial" w:hAnsi="Arial" w:cs="Arial"/>
                <w:b/>
                <w:bCs/>
                <w:sz w:val="20"/>
                <w:szCs w:val="20"/>
              </w:rPr>
              <w:t>Computational tool</w:t>
            </w:r>
          </w:p>
        </w:tc>
        <w:tc>
          <w:tcPr>
            <w:tcW w:w="2835" w:type="dxa"/>
            <w:vAlign w:val="center"/>
          </w:tcPr>
          <w:p w14:paraId="46C97626" w14:textId="77777777" w:rsidR="001A2D46" w:rsidRPr="00E448CD" w:rsidRDefault="001A2D46" w:rsidP="000766C3">
            <w:pPr>
              <w:jc w:val="both"/>
              <w:rPr>
                <w:rFonts w:ascii="Arial" w:hAnsi="Arial" w:cs="Arial"/>
                <w:sz w:val="20"/>
                <w:szCs w:val="20"/>
              </w:rPr>
            </w:pPr>
            <w:r w:rsidRPr="00E448CD">
              <w:rPr>
                <w:rStyle w:val="Strong"/>
                <w:rFonts w:ascii="Arial" w:hAnsi="Arial" w:cs="Arial"/>
                <w:sz w:val="20"/>
                <w:szCs w:val="20"/>
              </w:rPr>
              <w:t>Purpose</w:t>
            </w:r>
          </w:p>
        </w:tc>
        <w:tc>
          <w:tcPr>
            <w:tcW w:w="2784" w:type="dxa"/>
            <w:vAlign w:val="center"/>
          </w:tcPr>
          <w:p w14:paraId="39C66E11" w14:textId="77777777" w:rsidR="001A2D46" w:rsidRPr="00E448CD" w:rsidRDefault="001A2D46" w:rsidP="000766C3">
            <w:pPr>
              <w:jc w:val="both"/>
              <w:rPr>
                <w:rFonts w:ascii="Arial" w:hAnsi="Arial" w:cs="Arial"/>
                <w:sz w:val="20"/>
                <w:szCs w:val="20"/>
              </w:rPr>
            </w:pPr>
            <w:r w:rsidRPr="00E448CD">
              <w:rPr>
                <w:rStyle w:val="Strong"/>
                <w:rFonts w:ascii="Arial" w:hAnsi="Arial" w:cs="Arial"/>
                <w:sz w:val="20"/>
                <w:szCs w:val="20"/>
              </w:rPr>
              <w:t>Key Applications</w:t>
            </w:r>
          </w:p>
        </w:tc>
      </w:tr>
      <w:tr w:rsidR="001A2D46" w:rsidRPr="00E448CD" w14:paraId="428AB279" w14:textId="77777777" w:rsidTr="000766C3">
        <w:tc>
          <w:tcPr>
            <w:tcW w:w="988" w:type="dxa"/>
          </w:tcPr>
          <w:p w14:paraId="23F1B7FA"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1.</w:t>
            </w:r>
          </w:p>
        </w:tc>
        <w:tc>
          <w:tcPr>
            <w:tcW w:w="2409" w:type="dxa"/>
          </w:tcPr>
          <w:p w14:paraId="0B2BAFCA"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Rule of Five (ROF)</w:t>
            </w:r>
          </w:p>
        </w:tc>
        <w:tc>
          <w:tcPr>
            <w:tcW w:w="2835" w:type="dxa"/>
            <w:vAlign w:val="center"/>
          </w:tcPr>
          <w:p w14:paraId="2603942D"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Drug-likeness evaluation</w:t>
            </w:r>
          </w:p>
        </w:tc>
        <w:tc>
          <w:tcPr>
            <w:tcW w:w="2784" w:type="dxa"/>
            <w:vAlign w:val="center"/>
          </w:tcPr>
          <w:p w14:paraId="72585A3C"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Applies Lipinski’s criteria for oral bioavailability</w:t>
            </w:r>
          </w:p>
        </w:tc>
      </w:tr>
      <w:tr w:rsidR="001A2D46" w:rsidRPr="00E448CD" w14:paraId="463264DD" w14:textId="77777777" w:rsidTr="000766C3">
        <w:tc>
          <w:tcPr>
            <w:tcW w:w="988" w:type="dxa"/>
          </w:tcPr>
          <w:p w14:paraId="5DED9D67"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2.</w:t>
            </w:r>
          </w:p>
        </w:tc>
        <w:tc>
          <w:tcPr>
            <w:tcW w:w="2409" w:type="dxa"/>
          </w:tcPr>
          <w:p w14:paraId="7FBC6343"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Pre-ADMET</w:t>
            </w:r>
          </w:p>
        </w:tc>
        <w:tc>
          <w:tcPr>
            <w:tcW w:w="2835" w:type="dxa"/>
            <w:vAlign w:val="center"/>
          </w:tcPr>
          <w:p w14:paraId="7939024A"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Predicts pharmacokinetics (ADME/Tox)</w:t>
            </w:r>
          </w:p>
        </w:tc>
        <w:tc>
          <w:tcPr>
            <w:tcW w:w="2784" w:type="dxa"/>
            <w:vAlign w:val="center"/>
          </w:tcPr>
          <w:p w14:paraId="1B19C1F4"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Screens compounds for absorption, distribution, metabolism, excretion, and toxicity</w:t>
            </w:r>
          </w:p>
        </w:tc>
      </w:tr>
      <w:tr w:rsidR="001A2D46" w:rsidRPr="00E448CD" w14:paraId="1DAEF71A" w14:textId="77777777" w:rsidTr="000766C3">
        <w:tc>
          <w:tcPr>
            <w:tcW w:w="988" w:type="dxa"/>
          </w:tcPr>
          <w:p w14:paraId="1654471B"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3.</w:t>
            </w:r>
          </w:p>
        </w:tc>
        <w:tc>
          <w:tcPr>
            <w:tcW w:w="2409" w:type="dxa"/>
            <w:vAlign w:val="center"/>
          </w:tcPr>
          <w:p w14:paraId="3A38A1F6"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Mol-inspiration</w:t>
            </w:r>
          </w:p>
        </w:tc>
        <w:tc>
          <w:tcPr>
            <w:tcW w:w="2835" w:type="dxa"/>
            <w:vAlign w:val="center"/>
          </w:tcPr>
          <w:p w14:paraId="29AA3B53"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Bioactivity prediction</w:t>
            </w:r>
          </w:p>
        </w:tc>
        <w:tc>
          <w:tcPr>
            <w:tcW w:w="2784" w:type="dxa"/>
            <w:vAlign w:val="center"/>
          </w:tcPr>
          <w:p w14:paraId="02B2BAA5"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Estimates activity against GPCRs, ion channels, nuclear receptors, and enzymes</w:t>
            </w:r>
          </w:p>
        </w:tc>
      </w:tr>
      <w:tr w:rsidR="001A2D46" w:rsidRPr="00E448CD" w14:paraId="31D82AB3" w14:textId="77777777" w:rsidTr="000766C3">
        <w:tc>
          <w:tcPr>
            <w:tcW w:w="988" w:type="dxa"/>
          </w:tcPr>
          <w:p w14:paraId="5C4A6BE6"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4.</w:t>
            </w:r>
          </w:p>
        </w:tc>
        <w:tc>
          <w:tcPr>
            <w:tcW w:w="2409" w:type="dxa"/>
            <w:vAlign w:val="center"/>
          </w:tcPr>
          <w:p w14:paraId="2E1A4407"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Molecular Docking</w:t>
            </w:r>
          </w:p>
        </w:tc>
        <w:tc>
          <w:tcPr>
            <w:tcW w:w="2835" w:type="dxa"/>
            <w:vAlign w:val="center"/>
          </w:tcPr>
          <w:p w14:paraId="40B0827B"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Binding affinity simulation</w:t>
            </w:r>
          </w:p>
        </w:tc>
        <w:tc>
          <w:tcPr>
            <w:tcW w:w="2784" w:type="dxa"/>
            <w:vAlign w:val="center"/>
          </w:tcPr>
          <w:p w14:paraId="4E8A7C87" w14:textId="77777777" w:rsidR="001A2D46" w:rsidRPr="00E448CD" w:rsidRDefault="001A2D46" w:rsidP="000766C3">
            <w:pPr>
              <w:jc w:val="both"/>
              <w:rPr>
                <w:rFonts w:ascii="Arial" w:hAnsi="Arial" w:cs="Arial"/>
                <w:sz w:val="20"/>
                <w:szCs w:val="20"/>
              </w:rPr>
            </w:pPr>
            <w:r w:rsidRPr="00E448CD">
              <w:rPr>
                <w:rFonts w:ascii="Arial" w:hAnsi="Arial" w:cs="Arial"/>
                <w:sz w:val="20"/>
                <w:szCs w:val="20"/>
              </w:rPr>
              <w:t>Models ligand–protein interactions to identify potential drug candidates</w:t>
            </w:r>
          </w:p>
        </w:tc>
      </w:tr>
    </w:tbl>
    <w:p w14:paraId="4CEADED5" w14:textId="77777777" w:rsidR="001A2D46" w:rsidRPr="00EC46F0" w:rsidRDefault="001A2D46" w:rsidP="00CD2853">
      <w:pPr>
        <w:jc w:val="both"/>
        <w:rPr>
          <w:rFonts w:ascii="Arial" w:eastAsia="Times New Roman" w:hAnsi="Arial" w:cs="Arial"/>
          <w:kern w:val="0"/>
          <w:sz w:val="24"/>
          <w:szCs w:val="24"/>
          <w:lang w:eastAsia="en-IN"/>
        </w:rPr>
      </w:pPr>
    </w:p>
    <w:p w14:paraId="697367FE" w14:textId="77777777" w:rsidR="0032423C" w:rsidRPr="00E448CD" w:rsidRDefault="00E448CD" w:rsidP="0032423C">
      <w:pPr>
        <w:jc w:val="both"/>
        <w:rPr>
          <w:rFonts w:ascii="Arial" w:hAnsi="Arial" w:cs="Arial"/>
          <w:b/>
          <w:bCs/>
          <w:sz w:val="22"/>
        </w:rPr>
      </w:pPr>
      <w:r w:rsidRPr="00E448CD">
        <w:rPr>
          <w:rFonts w:ascii="Arial" w:hAnsi="Arial" w:cs="Arial"/>
          <w:b/>
          <w:bCs/>
          <w:sz w:val="22"/>
        </w:rPr>
        <w:t>MATERIAL AND METHOD:</w:t>
      </w:r>
    </w:p>
    <w:p w14:paraId="0B697A95" w14:textId="77777777" w:rsidR="001C4002" w:rsidRPr="00E448CD" w:rsidRDefault="001C4002" w:rsidP="0032423C">
      <w:pPr>
        <w:jc w:val="both"/>
        <w:rPr>
          <w:rFonts w:ascii="Arial" w:hAnsi="Arial" w:cs="Arial"/>
          <w:b/>
          <w:bCs/>
          <w:sz w:val="20"/>
          <w:szCs w:val="20"/>
        </w:rPr>
      </w:pPr>
      <w:r w:rsidRPr="00E448CD">
        <w:rPr>
          <w:rFonts w:ascii="Arial" w:hAnsi="Arial" w:cs="Arial"/>
          <w:b/>
          <w:bCs/>
          <w:sz w:val="20"/>
          <w:szCs w:val="20"/>
        </w:rPr>
        <w:t xml:space="preserve">Dataset </w:t>
      </w:r>
      <w:r w:rsidR="00251309" w:rsidRPr="00E448CD">
        <w:rPr>
          <w:rFonts w:ascii="Arial" w:hAnsi="Arial" w:cs="Arial"/>
          <w:b/>
          <w:bCs/>
          <w:sz w:val="20"/>
          <w:szCs w:val="20"/>
        </w:rPr>
        <w:t>of compounds:</w:t>
      </w:r>
    </w:p>
    <w:p w14:paraId="68904A8B" w14:textId="77777777" w:rsidR="0032423C" w:rsidRPr="00E448CD" w:rsidRDefault="001C4002" w:rsidP="00C31F19">
      <w:pPr>
        <w:jc w:val="both"/>
        <w:rPr>
          <w:rFonts w:ascii="Arial" w:hAnsi="Arial" w:cs="Arial"/>
          <w:kern w:val="0"/>
          <w:sz w:val="20"/>
          <w:szCs w:val="20"/>
        </w:rPr>
      </w:pPr>
      <w:r w:rsidRPr="00E448CD">
        <w:rPr>
          <w:rFonts w:ascii="Arial" w:hAnsi="Arial" w:cs="Arial"/>
          <w:kern w:val="0"/>
          <w:sz w:val="20"/>
          <w:szCs w:val="20"/>
        </w:rPr>
        <w:object w:dxaOrig="5832" w:dyaOrig="2916" w14:anchorId="338E5F14">
          <v:shape id="_x0000_i1029" type="#_x0000_t75" style="width:266.8pt;height:135.65pt" o:ole="">
            <v:imagedata r:id="rId17" o:title=""/>
          </v:shape>
          <o:OLEObject Type="Embed" ProgID="ChemDraw.Document.6.0" ShapeID="_x0000_i1029" DrawAspect="Content" ObjectID="_1831714028" r:id="rId18"/>
        </w:object>
      </w:r>
    </w:p>
    <w:p w14:paraId="02889AFB" w14:textId="77777777" w:rsidR="00F270C9" w:rsidRPr="00E448CD" w:rsidRDefault="00F270C9" w:rsidP="00F270C9">
      <w:pPr>
        <w:jc w:val="both"/>
        <w:rPr>
          <w:rFonts w:ascii="Arial" w:hAnsi="Arial" w:cs="Arial"/>
          <w:sz w:val="20"/>
          <w:szCs w:val="20"/>
        </w:rPr>
      </w:pPr>
      <w:r w:rsidRPr="00E448CD">
        <w:rPr>
          <w:rFonts w:ascii="Arial" w:hAnsi="Arial" w:cs="Arial"/>
          <w:sz w:val="20"/>
          <w:szCs w:val="20"/>
        </w:rPr>
        <w:t xml:space="preserve">                                                    Where R: Cl, NH</w:t>
      </w:r>
      <w:r w:rsidRPr="00E448CD">
        <w:rPr>
          <w:rFonts w:ascii="Arial" w:hAnsi="Arial" w:cs="Arial"/>
          <w:sz w:val="20"/>
          <w:szCs w:val="20"/>
          <w:vertAlign w:val="subscript"/>
        </w:rPr>
        <w:t xml:space="preserve">2, </w:t>
      </w:r>
      <w:r w:rsidRPr="00E448CD">
        <w:rPr>
          <w:rFonts w:ascii="Arial" w:hAnsi="Arial" w:cs="Arial"/>
          <w:sz w:val="20"/>
          <w:szCs w:val="20"/>
        </w:rPr>
        <w:t>CH</w:t>
      </w:r>
      <w:r w:rsidRPr="00E448CD">
        <w:rPr>
          <w:rFonts w:ascii="Arial" w:hAnsi="Arial" w:cs="Arial"/>
          <w:sz w:val="20"/>
          <w:szCs w:val="20"/>
          <w:vertAlign w:val="subscript"/>
        </w:rPr>
        <w:t xml:space="preserve">3, </w:t>
      </w:r>
      <w:r w:rsidRPr="00E448CD">
        <w:rPr>
          <w:rFonts w:ascii="Arial" w:hAnsi="Arial" w:cs="Arial"/>
          <w:sz w:val="20"/>
          <w:szCs w:val="20"/>
        </w:rPr>
        <w:t>C</w:t>
      </w:r>
      <w:r w:rsidRPr="00E448CD">
        <w:rPr>
          <w:rFonts w:ascii="Arial" w:hAnsi="Arial" w:cs="Arial"/>
          <w:sz w:val="20"/>
          <w:szCs w:val="20"/>
          <w:vertAlign w:val="subscript"/>
        </w:rPr>
        <w:t>2</w:t>
      </w:r>
      <w:r w:rsidRPr="00E448CD">
        <w:rPr>
          <w:rFonts w:ascii="Arial" w:hAnsi="Arial" w:cs="Arial"/>
          <w:sz w:val="20"/>
          <w:szCs w:val="20"/>
        </w:rPr>
        <w:t>H</w:t>
      </w:r>
      <w:r w:rsidRPr="00E448CD">
        <w:rPr>
          <w:rFonts w:ascii="Arial" w:hAnsi="Arial" w:cs="Arial"/>
          <w:sz w:val="20"/>
          <w:szCs w:val="20"/>
          <w:vertAlign w:val="subscript"/>
        </w:rPr>
        <w:t>5</w:t>
      </w:r>
      <w:r w:rsidRPr="00E448CD">
        <w:rPr>
          <w:rFonts w:ascii="Arial" w:hAnsi="Arial" w:cs="Arial"/>
          <w:sz w:val="20"/>
          <w:szCs w:val="20"/>
        </w:rPr>
        <w:t xml:space="preserve">, </w:t>
      </w:r>
    </w:p>
    <w:p w14:paraId="4DAE328D" w14:textId="77777777" w:rsidR="00F270C9" w:rsidRPr="00E448CD" w:rsidRDefault="003F5755" w:rsidP="00C31F19">
      <w:pPr>
        <w:jc w:val="both"/>
        <w:rPr>
          <w:rFonts w:ascii="Arial" w:hAnsi="Arial" w:cs="Arial"/>
          <w:sz w:val="20"/>
          <w:szCs w:val="20"/>
        </w:rPr>
      </w:pPr>
      <w:r w:rsidRPr="00E448CD">
        <w:rPr>
          <w:rFonts w:ascii="Arial" w:hAnsi="Arial" w:cs="Arial"/>
          <w:b/>
          <w:bCs/>
          <w:sz w:val="20"/>
          <w:szCs w:val="20"/>
        </w:rPr>
        <w:t>Methodologies</w:t>
      </w:r>
      <w:r w:rsidRPr="00E448CD">
        <w:rPr>
          <w:rFonts w:ascii="Arial" w:hAnsi="Arial" w:cs="Arial"/>
          <w:sz w:val="20"/>
          <w:szCs w:val="20"/>
        </w:rPr>
        <w:t xml:space="preserve">: The methodology comprised an in-silico investigation of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derivatives as potential therapeutic agents for lung cancer. Initially, the compounds were screened using Lipinski’s Rule of Five (ROF) to evaluate drug-likeness. Bioactivity predictions were then carried out with Mol-Inspiration. Pharmacokinetic and toxicity parameters were estimated through Pre-ADMET analysis. Finally, molecular docking studies were performed to assess binding affinity and interaction profiles with lung cancer-associated target proteins, thereby establishing their therapeutic relevance.</w:t>
      </w:r>
    </w:p>
    <w:p w14:paraId="2ED61AE0" w14:textId="77777777" w:rsidR="00971753" w:rsidRPr="00E448CD" w:rsidRDefault="00971753" w:rsidP="00971753">
      <w:pPr>
        <w:jc w:val="both"/>
        <w:rPr>
          <w:rFonts w:ascii="Arial" w:hAnsi="Arial" w:cs="Arial"/>
          <w:b/>
          <w:bCs/>
          <w:sz w:val="20"/>
          <w:szCs w:val="20"/>
        </w:rPr>
      </w:pPr>
      <w:r w:rsidRPr="00E448CD">
        <w:rPr>
          <w:rFonts w:ascii="Arial" w:hAnsi="Arial" w:cs="Arial"/>
          <w:b/>
          <w:bCs/>
          <w:sz w:val="20"/>
          <w:szCs w:val="20"/>
        </w:rPr>
        <w:t>Lipinski’s Rule of Five</w:t>
      </w:r>
    </w:p>
    <w:p w14:paraId="66D1D113" w14:textId="77777777" w:rsidR="00971753" w:rsidRPr="00E448CD" w:rsidRDefault="00971753" w:rsidP="00971753">
      <w:pPr>
        <w:jc w:val="both"/>
        <w:rPr>
          <w:rFonts w:ascii="Arial" w:hAnsi="Arial" w:cs="Arial"/>
          <w:sz w:val="20"/>
          <w:szCs w:val="20"/>
        </w:rPr>
      </w:pPr>
      <w:r w:rsidRPr="00E448CD">
        <w:rPr>
          <w:rFonts w:ascii="Arial" w:hAnsi="Arial" w:cs="Arial"/>
          <w:sz w:val="20"/>
          <w:szCs w:val="20"/>
        </w:rPr>
        <w:t>Central to the pursuit of ﬁnding suitable drugcandidates is the application of RO5. The RO5 wasproposed by Lipinski in 1997, which e</w:t>
      </w:r>
      <w:r w:rsidRPr="00E448CD">
        <w:rPr>
          <w:rFonts w:ascii="Arial" w:hAnsi="Times New Roman" w:cs="Arial"/>
          <w:sz w:val="20"/>
          <w:szCs w:val="20"/>
        </w:rPr>
        <w:t>ﬀ</w:t>
      </w:r>
      <w:r w:rsidRPr="00E448CD">
        <w:rPr>
          <w:rFonts w:ascii="Arial" w:hAnsi="Arial" w:cs="Arial"/>
          <w:sz w:val="20"/>
          <w:szCs w:val="20"/>
        </w:rPr>
        <w:t>ectively guidedthe design of smallmolecule drugs over thesubsequent 20 years. This rule has been widely used in medicinal research and a molecule that obeysthe physicochemical property guidelines of the rulewould be labelled as an ideal drug molecule. (1</w:t>
      </w:r>
      <w:r w:rsidR="00EE50E7" w:rsidRPr="00E448CD">
        <w:rPr>
          <w:rFonts w:ascii="Arial" w:hAnsi="Arial" w:cs="Arial"/>
          <w:sz w:val="20"/>
          <w:szCs w:val="20"/>
        </w:rPr>
        <w:t>1</w:t>
      </w:r>
      <w:r w:rsidRPr="00E448CD">
        <w:rPr>
          <w:rFonts w:ascii="Arial" w:hAnsi="Arial" w:cs="Arial"/>
          <w:sz w:val="20"/>
          <w:szCs w:val="20"/>
        </w:rPr>
        <w:t xml:space="preserve">) </w:t>
      </w:r>
    </w:p>
    <w:p w14:paraId="1A4EAD9B" w14:textId="77777777" w:rsidR="00B33E88" w:rsidRPr="00E448CD" w:rsidRDefault="00B33E88" w:rsidP="00B33E88">
      <w:pPr>
        <w:jc w:val="both"/>
        <w:rPr>
          <w:rFonts w:ascii="Arial" w:hAnsi="Arial" w:cs="Arial"/>
          <w:sz w:val="20"/>
          <w:szCs w:val="20"/>
        </w:rPr>
      </w:pPr>
      <w:r w:rsidRPr="00E448CD">
        <w:rPr>
          <w:rFonts w:ascii="Arial" w:hAnsi="Arial" w:cs="Arial"/>
          <w:sz w:val="20"/>
          <w:szCs w:val="20"/>
        </w:rPr>
        <w:t xml:space="preserve">Drug-likeness of compounds are measured by </w:t>
      </w:r>
      <w:hyperlink r:id="rId19" w:history="1">
        <w:r w:rsidRPr="00E448CD">
          <w:rPr>
            <w:rStyle w:val="Hyperlink"/>
            <w:rFonts w:ascii="Arial" w:hAnsi="Arial" w:cs="Arial"/>
            <w:color w:val="auto"/>
            <w:sz w:val="20"/>
            <w:szCs w:val="20"/>
            <w:u w:val="none"/>
          </w:rPr>
          <w:t>Lipinski Rule of Five</w:t>
        </w:r>
      </w:hyperlink>
    </w:p>
    <w:p w14:paraId="5766D5C5" w14:textId="77777777" w:rsidR="00A45436" w:rsidRPr="00E448CD" w:rsidRDefault="00A45436" w:rsidP="00A45436">
      <w:pPr>
        <w:jc w:val="both"/>
        <w:rPr>
          <w:rFonts w:ascii="Arial" w:hAnsi="Arial" w:cs="Arial"/>
          <w:sz w:val="20"/>
          <w:szCs w:val="20"/>
        </w:rPr>
      </w:pPr>
      <w:r w:rsidRPr="00E448CD">
        <w:rPr>
          <w:rFonts w:ascii="Arial" w:hAnsi="Arial" w:cs="Arial"/>
          <w:sz w:val="20"/>
          <w:szCs w:val="20"/>
        </w:rPr>
        <w:t xml:space="preserve">The evaluation of drug-likeness for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 xml:space="preserve">derivatives using Lipinski’s Rule of Five (ROF) began with molecular design in </w:t>
      </w:r>
      <w:proofErr w:type="spellStart"/>
      <w:r w:rsidRPr="00E448CD">
        <w:rPr>
          <w:rFonts w:ascii="Arial" w:hAnsi="Arial" w:cs="Arial"/>
          <w:sz w:val="20"/>
          <w:szCs w:val="20"/>
        </w:rPr>
        <w:t>ChemDraw</w:t>
      </w:r>
      <w:proofErr w:type="spellEnd"/>
      <w:r w:rsidRPr="00E448CD">
        <w:rPr>
          <w:rFonts w:ascii="Arial" w:hAnsi="Arial" w:cs="Arial"/>
          <w:sz w:val="20"/>
          <w:szCs w:val="20"/>
        </w:rPr>
        <w:t xml:space="preserve"> software. </w:t>
      </w:r>
      <w:proofErr w:type="spellStart"/>
      <w:r w:rsidRPr="00E448CD">
        <w:rPr>
          <w:rFonts w:ascii="Arial" w:hAnsi="Arial" w:cs="Arial"/>
          <w:sz w:val="20"/>
          <w:szCs w:val="20"/>
        </w:rPr>
        <w:t>ChemDraw</w:t>
      </w:r>
      <w:proofErr w:type="spellEnd"/>
      <w:r w:rsidRPr="00E448CD">
        <w:rPr>
          <w:rFonts w:ascii="Arial" w:hAnsi="Arial" w:cs="Arial"/>
          <w:sz w:val="20"/>
          <w:szCs w:val="20"/>
        </w:rPr>
        <w:t xml:space="preserve">, a widely adopted chemical drawing tool, enables precise construction and visualization of molecular structures with features such as bond alignment, stereochemical representation, and automated property generation. Derivatives of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 xml:space="preserve">were synthesized virtually by introducing aromatic amine substitutions onto the parent scaffold. The finalized structures were exported in </w:t>
      </w:r>
      <w:r w:rsidRPr="00E448CD">
        <w:rPr>
          <w:rFonts w:ascii="Arial" w:hAnsi="Arial" w:cs="Arial"/>
          <w:b/>
          <w:bCs/>
          <w:sz w:val="20"/>
          <w:szCs w:val="20"/>
        </w:rPr>
        <w:t>.mol format</w:t>
      </w:r>
      <w:r w:rsidRPr="00E448CD">
        <w:rPr>
          <w:rFonts w:ascii="Arial" w:hAnsi="Arial" w:cs="Arial"/>
          <w:sz w:val="20"/>
          <w:szCs w:val="20"/>
        </w:rPr>
        <w:t xml:space="preserve"> to preserve connectivity and stereochemistry, and in </w:t>
      </w:r>
      <w:r w:rsidRPr="00E448CD">
        <w:rPr>
          <w:rFonts w:ascii="Arial" w:hAnsi="Arial" w:cs="Arial"/>
          <w:b/>
          <w:bCs/>
          <w:sz w:val="20"/>
          <w:szCs w:val="20"/>
        </w:rPr>
        <w:t>.</w:t>
      </w:r>
      <w:proofErr w:type="spellStart"/>
      <w:r w:rsidRPr="00E448CD">
        <w:rPr>
          <w:rFonts w:ascii="Arial" w:hAnsi="Arial" w:cs="Arial"/>
          <w:b/>
          <w:bCs/>
          <w:sz w:val="20"/>
          <w:szCs w:val="20"/>
        </w:rPr>
        <w:t>pdb</w:t>
      </w:r>
      <w:proofErr w:type="spellEnd"/>
      <w:r w:rsidRPr="00E448CD">
        <w:rPr>
          <w:rFonts w:ascii="Arial" w:hAnsi="Arial" w:cs="Arial"/>
          <w:b/>
          <w:bCs/>
          <w:sz w:val="20"/>
          <w:szCs w:val="20"/>
        </w:rPr>
        <w:t xml:space="preserve"> format</w:t>
      </w:r>
      <w:r w:rsidRPr="00E448CD">
        <w:rPr>
          <w:rFonts w:ascii="Arial" w:hAnsi="Arial" w:cs="Arial"/>
          <w:sz w:val="20"/>
          <w:szCs w:val="20"/>
        </w:rPr>
        <w:t xml:space="preserve"> for computational analysis. Drug-likeness was then assessed using the ROF web platform, applying Lipinski’s criteria: molecular weight &lt; 500 Da, </w:t>
      </w:r>
      <w:proofErr w:type="spellStart"/>
      <w:r w:rsidRPr="00E448CD">
        <w:rPr>
          <w:rFonts w:ascii="Arial" w:hAnsi="Arial" w:cs="Arial"/>
          <w:sz w:val="20"/>
          <w:szCs w:val="20"/>
        </w:rPr>
        <w:t>logP</w:t>
      </w:r>
      <w:proofErr w:type="spellEnd"/>
      <w:r w:rsidRPr="00E448CD">
        <w:rPr>
          <w:rFonts w:ascii="Arial" w:hAnsi="Arial" w:cs="Arial"/>
          <w:sz w:val="20"/>
          <w:szCs w:val="20"/>
        </w:rPr>
        <w:t>&lt; 5, no more than 5 hydrogen bond donors, and no more than 10 hydrogen bond acceptors. Prior to submission, the system pH was standardized to 7 to reflect physiological conditions and ensure accurate ionization states. The ROF tool processed the uploaded files and identified derivatives that complied with Lipinski’s Rule of Five as drug-like candidates with potential oral bioavailability, while non-compliant molecules were flagged for further structural optimization.</w:t>
      </w:r>
      <w:r w:rsidR="00D24E35" w:rsidRPr="00E448CD">
        <w:rPr>
          <w:rFonts w:ascii="Arial" w:hAnsi="Arial" w:cs="Arial"/>
          <w:sz w:val="20"/>
          <w:szCs w:val="20"/>
        </w:rPr>
        <w:t xml:space="preserve"> (12)</w:t>
      </w:r>
    </w:p>
    <w:p w14:paraId="1F23C4D4" w14:textId="77777777" w:rsidR="00C17431" w:rsidRPr="00E448CD" w:rsidRDefault="00C17431" w:rsidP="00C17431">
      <w:pPr>
        <w:jc w:val="both"/>
        <w:rPr>
          <w:rFonts w:ascii="Arial" w:hAnsi="Arial" w:cs="Arial"/>
          <w:b/>
          <w:bCs/>
          <w:sz w:val="20"/>
          <w:szCs w:val="20"/>
        </w:rPr>
      </w:pPr>
      <w:r w:rsidRPr="00E448CD">
        <w:rPr>
          <w:rFonts w:ascii="Arial" w:hAnsi="Arial" w:cs="Arial"/>
          <w:b/>
          <w:bCs/>
          <w:sz w:val="20"/>
          <w:szCs w:val="20"/>
        </w:rPr>
        <w:t xml:space="preserve">Methodology </w:t>
      </w:r>
      <w:proofErr w:type="spellStart"/>
      <w:r w:rsidRPr="00E448CD">
        <w:rPr>
          <w:rFonts w:ascii="Arial" w:hAnsi="Arial" w:cs="Arial"/>
          <w:b/>
          <w:bCs/>
          <w:sz w:val="20"/>
          <w:szCs w:val="20"/>
        </w:rPr>
        <w:t>ofMol</w:t>
      </w:r>
      <w:proofErr w:type="spellEnd"/>
      <w:r w:rsidRPr="00E448CD">
        <w:rPr>
          <w:rFonts w:ascii="Arial" w:hAnsi="Arial" w:cs="Arial"/>
          <w:b/>
          <w:bCs/>
          <w:sz w:val="20"/>
          <w:szCs w:val="20"/>
        </w:rPr>
        <w:t>-inspiration:</w:t>
      </w:r>
    </w:p>
    <w:p w14:paraId="3A42BFD3" w14:textId="77777777" w:rsidR="009A02C6" w:rsidRPr="00E448CD" w:rsidRDefault="003C3B69" w:rsidP="009A02C6">
      <w:pPr>
        <w:jc w:val="both"/>
        <w:rPr>
          <w:rFonts w:ascii="Arial" w:hAnsi="Arial" w:cs="Arial"/>
          <w:sz w:val="20"/>
          <w:szCs w:val="20"/>
        </w:rPr>
      </w:pPr>
      <w:r w:rsidRPr="00E448CD">
        <w:rPr>
          <w:rFonts w:ascii="Arial" w:hAnsi="Arial" w:cs="Arial"/>
          <w:sz w:val="20"/>
          <w:szCs w:val="20"/>
        </w:rPr>
        <w:t xml:space="preserve">Physicochemical properties and pharmacokinetic descriptors of selected organic crystalline compounds were computed using the </w:t>
      </w:r>
      <w:proofErr w:type="spellStart"/>
      <w:r w:rsidRPr="00E448CD">
        <w:rPr>
          <w:rFonts w:ascii="Arial" w:hAnsi="Arial" w:cs="Arial"/>
          <w:sz w:val="20"/>
          <w:szCs w:val="20"/>
        </w:rPr>
        <w:t>Molinspiration</w:t>
      </w:r>
      <w:proofErr w:type="spellEnd"/>
      <w:r w:rsidRPr="00E448CD">
        <w:rPr>
          <w:rFonts w:ascii="Arial" w:hAnsi="Arial" w:cs="Arial"/>
          <w:sz w:val="20"/>
          <w:szCs w:val="20"/>
        </w:rPr>
        <w:t xml:space="preserve"> Cheminformatics server. Drug-likeness was evaluated by analyzing parameters such as </w:t>
      </w:r>
      <w:proofErr w:type="spellStart"/>
      <w:r w:rsidRPr="00E448CD">
        <w:rPr>
          <w:rFonts w:ascii="Arial" w:hAnsi="Arial" w:cs="Arial"/>
          <w:sz w:val="20"/>
          <w:szCs w:val="20"/>
        </w:rPr>
        <w:t>MiLogP</w:t>
      </w:r>
      <w:proofErr w:type="spellEnd"/>
      <w:r w:rsidRPr="00E448CD">
        <w:rPr>
          <w:rFonts w:ascii="Arial" w:hAnsi="Arial" w:cs="Arial"/>
          <w:sz w:val="20"/>
          <w:szCs w:val="20"/>
        </w:rPr>
        <w:t xml:space="preserve"> (partition coefficient), molecular weight, heavy atom count, hydrogen bond donors and acceptors, number of violations, rotatable bonds, and molecular volume. These descriptors provided a comprehensive assessment of the compounds’ suitability as drug candidates.</w:t>
      </w:r>
      <w:r w:rsidR="00670EC0" w:rsidRPr="00E448CD">
        <w:rPr>
          <w:rFonts w:ascii="Arial" w:hAnsi="Arial" w:cs="Arial"/>
          <w:sz w:val="20"/>
          <w:szCs w:val="20"/>
        </w:rPr>
        <w:t xml:space="preserve"> (1</w:t>
      </w:r>
      <w:r w:rsidR="00D24E35" w:rsidRPr="00E448CD">
        <w:rPr>
          <w:rFonts w:ascii="Arial" w:hAnsi="Arial" w:cs="Arial"/>
          <w:sz w:val="20"/>
          <w:szCs w:val="20"/>
        </w:rPr>
        <w:t>3</w:t>
      </w:r>
      <w:r w:rsidR="00670EC0" w:rsidRPr="00E448CD">
        <w:rPr>
          <w:rFonts w:ascii="Arial" w:hAnsi="Arial" w:cs="Arial"/>
          <w:sz w:val="20"/>
          <w:szCs w:val="20"/>
        </w:rPr>
        <w:t>)</w:t>
      </w:r>
    </w:p>
    <w:p w14:paraId="2DC5CE15" w14:textId="77777777" w:rsidR="009A02C6" w:rsidRPr="00E448CD" w:rsidRDefault="009A02C6" w:rsidP="009A02C6">
      <w:pPr>
        <w:jc w:val="both"/>
        <w:rPr>
          <w:rFonts w:ascii="Arial" w:hAnsi="Arial" w:cs="Arial"/>
          <w:sz w:val="20"/>
          <w:szCs w:val="20"/>
        </w:rPr>
      </w:pPr>
      <w:r w:rsidRPr="00E448CD">
        <w:rPr>
          <w:rFonts w:ascii="Arial" w:hAnsi="Arial" w:cs="Arial"/>
          <w:sz w:val="20"/>
          <w:szCs w:val="20"/>
        </w:rPr>
        <w:t xml:space="preserve">The activity of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 xml:space="preserve">derivatives was evaluated using the Mol-Inspiration Cheminformatics platform, which predicts drug-likeness and receptor binding potential. Molecular structures were first saved in </w:t>
      </w:r>
      <w:r w:rsidRPr="00E448CD">
        <w:rPr>
          <w:rFonts w:ascii="Arial" w:hAnsi="Arial" w:cs="Arial"/>
          <w:b/>
          <w:bCs/>
          <w:sz w:val="20"/>
          <w:szCs w:val="20"/>
        </w:rPr>
        <w:t>.mol format</w:t>
      </w:r>
      <w:r w:rsidRPr="00E448CD">
        <w:rPr>
          <w:rFonts w:ascii="Arial" w:hAnsi="Arial" w:cs="Arial"/>
          <w:sz w:val="20"/>
          <w:szCs w:val="20"/>
        </w:rPr>
        <w:t xml:space="preserve">, opened in Notepad, and converted into </w:t>
      </w:r>
      <w:r w:rsidRPr="00E448CD">
        <w:rPr>
          <w:rFonts w:ascii="Arial" w:hAnsi="Arial" w:cs="Arial"/>
          <w:b/>
          <w:bCs/>
          <w:sz w:val="20"/>
          <w:szCs w:val="20"/>
        </w:rPr>
        <w:t>SMILES notation</w:t>
      </w:r>
      <w:r w:rsidRPr="00E448CD">
        <w:rPr>
          <w:rFonts w:ascii="Arial" w:hAnsi="Arial" w:cs="Arial"/>
          <w:sz w:val="20"/>
          <w:szCs w:val="20"/>
        </w:rPr>
        <w:t xml:space="preserve">. The SMILES codes were then entered into the platform’s input interface, where the compounds were </w:t>
      </w:r>
      <w:r w:rsidRPr="00E448CD">
        <w:rPr>
          <w:rFonts w:ascii="Arial" w:hAnsi="Arial" w:cs="Arial"/>
          <w:sz w:val="20"/>
          <w:szCs w:val="20"/>
        </w:rPr>
        <w:lastRenderedPageBreak/>
        <w:t>reconstructed for visual verification. Upon submission, the server performed computational analysis and generated activity predictions, providing insights into the potential pharmacological relevance of the designed derivatives.</w:t>
      </w:r>
      <w:r w:rsidR="00D24E35" w:rsidRPr="00E448CD">
        <w:rPr>
          <w:rFonts w:ascii="Arial" w:hAnsi="Arial" w:cs="Arial"/>
          <w:sz w:val="20"/>
          <w:szCs w:val="20"/>
        </w:rPr>
        <w:t xml:space="preserve"> (14)</w:t>
      </w:r>
    </w:p>
    <w:p w14:paraId="187FB999" w14:textId="77777777" w:rsidR="00472037" w:rsidRPr="00E448CD" w:rsidRDefault="00472037" w:rsidP="00472037">
      <w:pPr>
        <w:jc w:val="both"/>
        <w:rPr>
          <w:rFonts w:ascii="Arial" w:hAnsi="Arial" w:cs="Arial"/>
          <w:sz w:val="20"/>
          <w:szCs w:val="20"/>
        </w:rPr>
      </w:pPr>
      <w:r w:rsidRPr="00E448CD">
        <w:rPr>
          <w:rFonts w:ascii="Arial" w:hAnsi="Arial" w:cs="Arial"/>
          <w:b/>
          <w:bCs/>
          <w:sz w:val="20"/>
          <w:szCs w:val="20"/>
        </w:rPr>
        <w:t>In silico ADME properties, Drug Likeness and Toxicity study of designed compounds</w:t>
      </w:r>
      <w:r w:rsidRPr="00E448CD">
        <w:rPr>
          <w:rFonts w:ascii="Arial" w:hAnsi="Arial" w:cs="Arial"/>
          <w:sz w:val="20"/>
          <w:szCs w:val="20"/>
        </w:rPr>
        <w:t>:</w:t>
      </w:r>
    </w:p>
    <w:p w14:paraId="76FFDE5F" w14:textId="77777777" w:rsidR="006B5FB8" w:rsidRPr="00E448CD" w:rsidRDefault="006B5FB8" w:rsidP="006B5FB8">
      <w:pPr>
        <w:jc w:val="both"/>
        <w:rPr>
          <w:rFonts w:ascii="Arial" w:hAnsi="Arial" w:cs="Arial"/>
          <w:sz w:val="20"/>
          <w:szCs w:val="20"/>
        </w:rPr>
      </w:pPr>
      <w:r w:rsidRPr="00E448CD">
        <w:rPr>
          <w:rFonts w:ascii="Arial" w:hAnsi="Arial" w:cs="Arial"/>
          <w:sz w:val="20"/>
          <w:szCs w:val="20"/>
        </w:rPr>
        <w:t>Four phases make up the pharmacokinetic Properties are: absorption, distribution, metabolism, and excretion (ADME). It recently included a phase for the toxicological assessment of new drug candidates, leading to the ADME-T research. (1</w:t>
      </w:r>
      <w:r w:rsidR="0040403D" w:rsidRPr="00E448CD">
        <w:rPr>
          <w:rFonts w:ascii="Arial" w:hAnsi="Arial" w:cs="Arial"/>
          <w:sz w:val="20"/>
          <w:szCs w:val="20"/>
        </w:rPr>
        <w:t>5</w:t>
      </w:r>
      <w:r w:rsidRPr="00E448CD">
        <w:rPr>
          <w:rFonts w:ascii="Arial" w:hAnsi="Arial" w:cs="Arial"/>
          <w:sz w:val="20"/>
          <w:szCs w:val="20"/>
        </w:rPr>
        <w:t xml:space="preserve">) </w:t>
      </w:r>
    </w:p>
    <w:p w14:paraId="5102E0C4" w14:textId="77777777" w:rsidR="00472037" w:rsidRPr="00E448CD" w:rsidRDefault="00EC7E1C" w:rsidP="009A02C6">
      <w:pPr>
        <w:jc w:val="both"/>
        <w:rPr>
          <w:rFonts w:ascii="Arial" w:hAnsi="Arial" w:cs="Arial"/>
          <w:sz w:val="20"/>
          <w:szCs w:val="20"/>
        </w:rPr>
      </w:pPr>
      <w:r w:rsidRPr="00E448CD">
        <w:rPr>
          <w:rFonts w:ascii="Arial" w:hAnsi="Arial" w:cs="Arial"/>
          <w:sz w:val="20"/>
          <w:szCs w:val="20"/>
        </w:rPr>
        <w:t>ADMET analysis was performed using reliable online platforms such as Pre ADMET (1</w:t>
      </w:r>
      <w:r w:rsidR="0040403D" w:rsidRPr="00E448CD">
        <w:rPr>
          <w:rFonts w:ascii="Arial" w:hAnsi="Arial" w:cs="Arial"/>
          <w:sz w:val="20"/>
          <w:szCs w:val="20"/>
        </w:rPr>
        <w:t>6</w:t>
      </w:r>
      <w:r w:rsidRPr="00E448CD">
        <w:rPr>
          <w:rFonts w:ascii="Arial" w:hAnsi="Arial" w:cs="Arial"/>
          <w:sz w:val="20"/>
          <w:szCs w:val="20"/>
        </w:rPr>
        <w:t>).</w:t>
      </w:r>
    </w:p>
    <w:p w14:paraId="76759B96" w14:textId="77777777" w:rsidR="00144697" w:rsidRPr="00E448CD" w:rsidRDefault="00144697" w:rsidP="00144697">
      <w:pPr>
        <w:jc w:val="both"/>
        <w:rPr>
          <w:rFonts w:ascii="Arial" w:hAnsi="Arial" w:cs="Arial"/>
          <w:sz w:val="20"/>
          <w:szCs w:val="20"/>
        </w:rPr>
      </w:pPr>
      <w:r w:rsidRPr="00E448CD">
        <w:rPr>
          <w:rFonts w:ascii="Arial" w:hAnsi="Arial" w:cs="Arial"/>
          <w:sz w:val="20"/>
          <w:szCs w:val="20"/>
        </w:rPr>
        <w:t xml:space="preserve">Computational tools were employed to generate in silico predictions of critical pharmacokinetic parameters, including oral bioavailability, gastrointestinal absorption, blood–brain barrier penetration, and possible metabolic pathways. Their use enables early evaluation of drug-like characteristics, thereby streamlining the drug discovery pipeline and supporting the identification of compounds with </w:t>
      </w:r>
      <w:proofErr w:type="spellStart"/>
      <w:r w:rsidRPr="00E448CD">
        <w:rPr>
          <w:rFonts w:ascii="Arial" w:hAnsi="Arial" w:cs="Arial"/>
          <w:sz w:val="20"/>
          <w:szCs w:val="20"/>
        </w:rPr>
        <w:t>favorable</w:t>
      </w:r>
      <w:proofErr w:type="spellEnd"/>
      <w:r w:rsidRPr="00E448CD">
        <w:rPr>
          <w:rFonts w:ascii="Arial" w:hAnsi="Arial" w:cs="Arial"/>
          <w:sz w:val="20"/>
          <w:szCs w:val="20"/>
        </w:rPr>
        <w:t xml:space="preserve"> pharmacokinetic profiles. (1</w:t>
      </w:r>
      <w:r w:rsidR="00467143" w:rsidRPr="00E448CD">
        <w:rPr>
          <w:rFonts w:ascii="Arial" w:hAnsi="Arial" w:cs="Arial"/>
          <w:sz w:val="20"/>
          <w:szCs w:val="20"/>
        </w:rPr>
        <w:t>7</w:t>
      </w:r>
      <w:r w:rsidRPr="00E448CD">
        <w:rPr>
          <w:rFonts w:ascii="Arial" w:hAnsi="Arial" w:cs="Arial"/>
          <w:sz w:val="20"/>
          <w:szCs w:val="20"/>
        </w:rPr>
        <w:t>)</w:t>
      </w:r>
    </w:p>
    <w:p w14:paraId="18DEC846" w14:textId="77777777" w:rsidR="00E61597" w:rsidRPr="00E448CD" w:rsidRDefault="00E61597" w:rsidP="00E61597">
      <w:pPr>
        <w:jc w:val="both"/>
        <w:rPr>
          <w:rFonts w:ascii="Arial" w:hAnsi="Arial" w:cs="Arial"/>
          <w:sz w:val="20"/>
          <w:szCs w:val="20"/>
        </w:rPr>
      </w:pPr>
      <w:r w:rsidRPr="00E448CD">
        <w:rPr>
          <w:rFonts w:ascii="Arial" w:hAnsi="Arial" w:cs="Arial"/>
          <w:sz w:val="20"/>
          <w:szCs w:val="20"/>
        </w:rPr>
        <w:t xml:space="preserve">The ADMET profiling of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 xml:space="preserve">derivatives was conducted using the Pre-ADMET tool through a structured computational workflow. Molecular structures were prepared in </w:t>
      </w:r>
      <w:r w:rsidRPr="00E448CD">
        <w:rPr>
          <w:rFonts w:ascii="Arial" w:hAnsi="Arial" w:cs="Arial"/>
          <w:b/>
          <w:bCs/>
          <w:sz w:val="20"/>
          <w:szCs w:val="20"/>
        </w:rPr>
        <w:t>.mol format</w:t>
      </w:r>
      <w:r w:rsidRPr="00E448CD">
        <w:rPr>
          <w:rFonts w:ascii="Arial" w:hAnsi="Arial" w:cs="Arial"/>
          <w:sz w:val="20"/>
          <w:szCs w:val="20"/>
        </w:rPr>
        <w:t xml:space="preserve"> with molecular </w:t>
      </w:r>
      <w:proofErr w:type="spellStart"/>
      <w:r w:rsidRPr="00E448CD">
        <w:rPr>
          <w:rFonts w:ascii="Arial" w:hAnsi="Arial" w:cs="Arial"/>
          <w:sz w:val="20"/>
          <w:szCs w:val="20"/>
        </w:rPr>
        <w:t>modeling</w:t>
      </w:r>
      <w:proofErr w:type="spellEnd"/>
      <w:r w:rsidRPr="00E448CD">
        <w:rPr>
          <w:rFonts w:ascii="Arial" w:hAnsi="Arial" w:cs="Arial"/>
          <w:sz w:val="20"/>
          <w:szCs w:val="20"/>
        </w:rPr>
        <w:t xml:space="preserve"> software and subsequently opened in a text editor to extract structural codes. These codes were entered into the Pre-ADMET web interface, which reconstructed the compounds for verification prior to analysis. Following submission, the platform generated predictive outputs for key ADMET parameters, including </w:t>
      </w:r>
      <w:r w:rsidRPr="00E448CD">
        <w:rPr>
          <w:rFonts w:ascii="Arial" w:hAnsi="Arial" w:cs="Arial"/>
          <w:b/>
          <w:bCs/>
          <w:sz w:val="20"/>
          <w:szCs w:val="20"/>
        </w:rPr>
        <w:t>absorption</w:t>
      </w:r>
      <w:r w:rsidRPr="00E448CD">
        <w:rPr>
          <w:rFonts w:ascii="Arial" w:hAnsi="Arial" w:cs="Arial"/>
          <w:sz w:val="20"/>
          <w:szCs w:val="20"/>
        </w:rPr>
        <w:t xml:space="preserve"> (human intestinal uptake), </w:t>
      </w:r>
      <w:r w:rsidRPr="00E448CD">
        <w:rPr>
          <w:rFonts w:ascii="Arial" w:hAnsi="Arial" w:cs="Arial"/>
          <w:b/>
          <w:bCs/>
          <w:sz w:val="20"/>
          <w:szCs w:val="20"/>
        </w:rPr>
        <w:t>distribution</w:t>
      </w:r>
      <w:r w:rsidRPr="00E448CD">
        <w:rPr>
          <w:rFonts w:ascii="Arial" w:hAnsi="Arial" w:cs="Arial"/>
          <w:sz w:val="20"/>
          <w:szCs w:val="20"/>
        </w:rPr>
        <w:t xml:space="preserve"> (blood–brain barrier penetration), </w:t>
      </w:r>
      <w:r w:rsidRPr="00E448CD">
        <w:rPr>
          <w:rFonts w:ascii="Arial" w:hAnsi="Arial" w:cs="Arial"/>
          <w:b/>
          <w:bCs/>
          <w:sz w:val="20"/>
          <w:szCs w:val="20"/>
        </w:rPr>
        <w:t>metabolism</w:t>
      </w:r>
      <w:r w:rsidRPr="00E448CD">
        <w:rPr>
          <w:rFonts w:ascii="Arial" w:hAnsi="Arial" w:cs="Arial"/>
          <w:sz w:val="20"/>
          <w:szCs w:val="20"/>
        </w:rPr>
        <w:t xml:space="preserve"> (cytochrome P450 interactions), </w:t>
      </w:r>
      <w:r w:rsidRPr="00E448CD">
        <w:rPr>
          <w:rFonts w:ascii="Arial" w:hAnsi="Arial" w:cs="Arial"/>
          <w:b/>
          <w:bCs/>
          <w:sz w:val="20"/>
          <w:szCs w:val="20"/>
        </w:rPr>
        <w:t>excretion tendencies</w:t>
      </w:r>
      <w:r w:rsidRPr="00E448CD">
        <w:rPr>
          <w:rFonts w:ascii="Arial" w:hAnsi="Arial" w:cs="Arial"/>
          <w:sz w:val="20"/>
          <w:szCs w:val="20"/>
        </w:rPr>
        <w:t xml:space="preserve">, and </w:t>
      </w:r>
      <w:r w:rsidRPr="00E448CD">
        <w:rPr>
          <w:rFonts w:ascii="Arial" w:hAnsi="Arial" w:cs="Arial"/>
          <w:b/>
          <w:bCs/>
          <w:sz w:val="20"/>
          <w:szCs w:val="20"/>
        </w:rPr>
        <w:t>toxicity</w:t>
      </w:r>
      <w:r w:rsidRPr="00E448CD">
        <w:rPr>
          <w:rFonts w:ascii="Arial" w:hAnsi="Arial" w:cs="Arial"/>
          <w:sz w:val="20"/>
          <w:szCs w:val="20"/>
        </w:rPr>
        <w:t xml:space="preserve"> (mutagenicity and carcinogenicity). This systematic approach ensured reliable in silico estimation of pharmacokinetic and toxicity profiles.</w:t>
      </w:r>
      <w:r w:rsidR="00467143" w:rsidRPr="00E448CD">
        <w:rPr>
          <w:rFonts w:ascii="Arial" w:hAnsi="Arial" w:cs="Arial"/>
          <w:sz w:val="20"/>
          <w:szCs w:val="20"/>
        </w:rPr>
        <w:t xml:space="preserve"> (18)</w:t>
      </w:r>
    </w:p>
    <w:p w14:paraId="35B5E5CB" w14:textId="77777777" w:rsidR="00A73700" w:rsidRPr="00E448CD" w:rsidRDefault="00C05881" w:rsidP="00A73700">
      <w:pPr>
        <w:jc w:val="both"/>
        <w:rPr>
          <w:rFonts w:ascii="Arial" w:hAnsi="Arial" w:cs="Arial"/>
          <w:sz w:val="20"/>
          <w:szCs w:val="20"/>
        </w:rPr>
      </w:pPr>
      <w:r w:rsidRPr="00E448CD">
        <w:rPr>
          <w:rFonts w:ascii="Arial" w:hAnsi="Arial" w:cs="Arial"/>
          <w:b/>
          <w:bCs/>
          <w:sz w:val="20"/>
          <w:szCs w:val="20"/>
        </w:rPr>
        <w:t xml:space="preserve">Molecular </w:t>
      </w:r>
      <w:proofErr w:type="gramStart"/>
      <w:r w:rsidRPr="00E448CD">
        <w:rPr>
          <w:rFonts w:ascii="Arial" w:hAnsi="Arial" w:cs="Arial"/>
          <w:b/>
          <w:bCs/>
          <w:sz w:val="20"/>
          <w:szCs w:val="20"/>
        </w:rPr>
        <w:t>docking:</w:t>
      </w:r>
      <w:r w:rsidR="00A73700" w:rsidRPr="00E448CD">
        <w:rPr>
          <w:rFonts w:ascii="Arial" w:hAnsi="Arial" w:cs="Arial"/>
          <w:sz w:val="20"/>
          <w:szCs w:val="20"/>
        </w:rPr>
        <w:t>Molecular</w:t>
      </w:r>
      <w:proofErr w:type="gramEnd"/>
      <w:r w:rsidR="00A73700" w:rsidRPr="00E448CD">
        <w:rPr>
          <w:rFonts w:ascii="Arial" w:hAnsi="Arial" w:cs="Arial"/>
          <w:sz w:val="20"/>
          <w:szCs w:val="20"/>
        </w:rPr>
        <w:t xml:space="preserve"> docking was conducted using </w:t>
      </w:r>
      <w:proofErr w:type="spellStart"/>
      <w:r w:rsidR="00A73700" w:rsidRPr="00E448CD">
        <w:rPr>
          <w:rFonts w:ascii="Arial" w:hAnsi="Arial" w:cs="Arial"/>
          <w:i/>
          <w:iCs/>
          <w:sz w:val="20"/>
          <w:szCs w:val="20"/>
        </w:rPr>
        <w:t>Molegro</w:t>
      </w:r>
      <w:proofErr w:type="spellEnd"/>
      <w:r w:rsidR="00A73700" w:rsidRPr="00E448CD">
        <w:rPr>
          <w:rFonts w:ascii="Arial" w:hAnsi="Arial" w:cs="Arial"/>
          <w:i/>
          <w:iCs/>
          <w:sz w:val="20"/>
          <w:szCs w:val="20"/>
        </w:rPr>
        <w:t xml:space="preserve"> Virtual Docker 6.0</w:t>
      </w:r>
      <w:r w:rsidR="00A73700" w:rsidRPr="00E448CD">
        <w:rPr>
          <w:rFonts w:ascii="Arial" w:hAnsi="Arial" w:cs="Arial"/>
          <w:sz w:val="20"/>
          <w:szCs w:val="20"/>
        </w:rPr>
        <w:t>. The overall workflow included several essential stages: retrieval of ligands and target proteins, preparation of protein structures, identification of potential leads or hits, prediction of active binding sites, execution of protein–ligand docking, and post-docking analysis. This systematic process enabled evaluation of binding affinities and interaction profiles to determine the therapeutic potential of the designed compounds.</w:t>
      </w:r>
    </w:p>
    <w:p w14:paraId="1E3D77B6" w14:textId="77777777" w:rsidR="00F2577C" w:rsidRPr="00E448CD" w:rsidRDefault="00D6547F" w:rsidP="00F2577C">
      <w:pPr>
        <w:jc w:val="both"/>
        <w:rPr>
          <w:rFonts w:ascii="Arial" w:eastAsia="Times New Roman" w:hAnsi="Arial" w:cs="Arial"/>
          <w:kern w:val="0"/>
          <w:sz w:val="20"/>
          <w:szCs w:val="20"/>
          <w:lang w:eastAsia="en-IN"/>
        </w:rPr>
      </w:pPr>
      <w:r w:rsidRPr="00E448CD">
        <w:rPr>
          <w:rFonts w:ascii="Arial" w:hAnsi="Arial" w:cs="Arial"/>
          <w:b/>
          <w:bCs/>
          <w:sz w:val="20"/>
          <w:szCs w:val="20"/>
        </w:rPr>
        <w:t xml:space="preserve">Ligand </w:t>
      </w:r>
      <w:r w:rsidR="006361B3" w:rsidRPr="00E448CD">
        <w:rPr>
          <w:rFonts w:ascii="Arial" w:hAnsi="Arial" w:cs="Arial"/>
          <w:b/>
          <w:bCs/>
          <w:sz w:val="20"/>
          <w:szCs w:val="20"/>
        </w:rPr>
        <w:t xml:space="preserve">preparation: </w:t>
      </w:r>
      <w:r w:rsidRPr="00E448CD">
        <w:rPr>
          <w:rFonts w:ascii="Arial" w:hAnsi="Arial" w:cs="Arial"/>
          <w:sz w:val="20"/>
          <w:szCs w:val="20"/>
        </w:rPr>
        <w:t xml:space="preserve">Ligand preparation constituted the first stage of the molecular docking study. The ligands were designed as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 xml:space="preserve">derivatives, incorporating diverse functional groups with varying polarities, such as amino, hydroxyl, carboxyl, acetoxy, and halogen substituents. Structural drawings were created using </w:t>
      </w:r>
      <w:proofErr w:type="spellStart"/>
      <w:r w:rsidRPr="00E448CD">
        <w:rPr>
          <w:rFonts w:ascii="Arial" w:hAnsi="Arial" w:cs="Arial"/>
          <w:i/>
          <w:iCs/>
          <w:sz w:val="20"/>
          <w:szCs w:val="20"/>
        </w:rPr>
        <w:t>ChemDraw</w:t>
      </w:r>
      <w:proofErr w:type="spellEnd"/>
      <w:r w:rsidRPr="00E448CD">
        <w:rPr>
          <w:rFonts w:ascii="Arial" w:hAnsi="Arial" w:cs="Arial"/>
          <w:i/>
          <w:iCs/>
          <w:sz w:val="20"/>
          <w:szCs w:val="20"/>
        </w:rPr>
        <w:t xml:space="preserve"> Ultra 2D 8.0</w:t>
      </w:r>
      <w:r w:rsidRPr="00E448CD">
        <w:rPr>
          <w:rFonts w:ascii="Arial" w:hAnsi="Arial" w:cs="Arial"/>
          <w:sz w:val="20"/>
          <w:szCs w:val="20"/>
        </w:rPr>
        <w:t xml:space="preserve"> for accurate representation, and </w:t>
      </w:r>
      <w:r w:rsidRPr="00E448CD">
        <w:rPr>
          <w:rFonts w:ascii="Arial" w:hAnsi="Arial" w:cs="Arial"/>
          <w:i/>
          <w:iCs/>
          <w:sz w:val="20"/>
          <w:szCs w:val="20"/>
        </w:rPr>
        <w:t>Chem3D Ultra</w:t>
      </w:r>
      <w:r w:rsidRPr="00E448CD">
        <w:rPr>
          <w:rFonts w:ascii="Arial" w:hAnsi="Arial" w:cs="Arial"/>
          <w:sz w:val="20"/>
          <w:szCs w:val="20"/>
        </w:rPr>
        <w:t xml:space="preserve"> was employed to generate and optimize three-dimensional molecular conformations.</w:t>
      </w:r>
    </w:p>
    <w:p w14:paraId="3726483A" w14:textId="77777777" w:rsidR="00F2577C" w:rsidRPr="00E448CD" w:rsidRDefault="00DD1A6C" w:rsidP="00F2577C">
      <w:pPr>
        <w:jc w:val="both"/>
        <w:rPr>
          <w:rFonts w:ascii="Arial" w:hAnsi="Arial" w:cs="Arial"/>
          <w:sz w:val="20"/>
          <w:szCs w:val="20"/>
        </w:rPr>
      </w:pPr>
      <w:r w:rsidRPr="00E448CD">
        <w:rPr>
          <w:rFonts w:ascii="Arial" w:hAnsi="Arial" w:cs="Arial"/>
          <w:b/>
          <w:bCs/>
          <w:sz w:val="20"/>
          <w:szCs w:val="20"/>
        </w:rPr>
        <w:t xml:space="preserve">Protein </w:t>
      </w:r>
      <w:proofErr w:type="gramStart"/>
      <w:r w:rsidRPr="00E448CD">
        <w:rPr>
          <w:rFonts w:ascii="Arial" w:hAnsi="Arial" w:cs="Arial"/>
          <w:b/>
          <w:bCs/>
          <w:sz w:val="20"/>
          <w:szCs w:val="20"/>
        </w:rPr>
        <w:t>preparation:</w:t>
      </w:r>
      <w:r w:rsidR="00F2577C" w:rsidRPr="00E448CD">
        <w:rPr>
          <w:rFonts w:ascii="Arial" w:hAnsi="Arial" w:cs="Arial"/>
          <w:sz w:val="20"/>
          <w:szCs w:val="20"/>
        </w:rPr>
        <w:t>For</w:t>
      </w:r>
      <w:proofErr w:type="gramEnd"/>
      <w:r w:rsidR="00F2577C" w:rsidRPr="00E448CD">
        <w:rPr>
          <w:rFonts w:ascii="Arial" w:hAnsi="Arial" w:cs="Arial"/>
          <w:sz w:val="20"/>
          <w:szCs w:val="20"/>
        </w:rPr>
        <w:t xml:space="preserve"> the anti-lung cancer docking study, receptor proteins were selected, including </w:t>
      </w:r>
      <w:r w:rsidR="00461B0B" w:rsidRPr="00E448CD">
        <w:rPr>
          <w:rFonts w:ascii="Arial" w:hAnsi="Arial" w:cs="Arial"/>
          <w:sz w:val="20"/>
          <w:szCs w:val="20"/>
        </w:rPr>
        <w:t>GMPPNP-bound G12R mutant of human KRAS</w:t>
      </w:r>
      <w:r w:rsidR="00F2577C" w:rsidRPr="00E448CD">
        <w:rPr>
          <w:rFonts w:ascii="Arial" w:hAnsi="Arial" w:cs="Arial"/>
          <w:sz w:val="20"/>
          <w:szCs w:val="20"/>
        </w:rPr>
        <w:t>(PDB ID: 6CU6), human dipeptidyl peptidase 4 (PDB ID: 5T4B), and human epidermal growth factor receptor (PDB IDs: 8A27 and 4ZSE). These structures were retrieved from the Protein Data Bank (</w:t>
      </w:r>
      <w:hyperlink r:id="rId20" w:history="1">
        <w:r w:rsidR="00F2577C" w:rsidRPr="00E448CD">
          <w:rPr>
            <w:rStyle w:val="Hyperlink"/>
            <w:rFonts w:ascii="Arial" w:hAnsi="Arial" w:cs="Arial"/>
            <w:sz w:val="20"/>
            <w:szCs w:val="20"/>
          </w:rPr>
          <w:t>http://www.rcsb.org</w:t>
        </w:r>
      </w:hyperlink>
      <w:r w:rsidR="00F2577C" w:rsidRPr="00E448CD">
        <w:rPr>
          <w:rFonts w:ascii="Arial" w:hAnsi="Arial" w:cs="Arial"/>
          <w:sz w:val="20"/>
          <w:szCs w:val="20"/>
        </w:rPr>
        <w:t>). The downloaded protein files were refined by adding missing atoms or residues and subjected to energy minimization to relieve steric clashes and stabilize the conformation. Protonation states of ionizable residues were assigned to ensure accurate electrostatic interactions during docking. To simplify the system, water molecules and non-essential ligands were removed. Finally, appropriate force field parameters were applied to optimize the protein structure, providing a reliable starting point for molecular docking simulations.</w:t>
      </w:r>
      <w:r w:rsidR="00266006" w:rsidRPr="00E448CD">
        <w:rPr>
          <w:rFonts w:ascii="Arial" w:hAnsi="Arial" w:cs="Arial"/>
          <w:sz w:val="20"/>
          <w:szCs w:val="20"/>
        </w:rPr>
        <w:t xml:space="preserve"> (1</w:t>
      </w:r>
      <w:r w:rsidR="00BE60C6" w:rsidRPr="00E448CD">
        <w:rPr>
          <w:rFonts w:ascii="Arial" w:hAnsi="Arial" w:cs="Arial"/>
          <w:sz w:val="20"/>
          <w:szCs w:val="20"/>
        </w:rPr>
        <w:t>9</w:t>
      </w:r>
      <w:r w:rsidR="00266006" w:rsidRPr="00E448CD">
        <w:rPr>
          <w:rFonts w:ascii="Arial" w:hAnsi="Arial" w:cs="Arial"/>
          <w:sz w:val="20"/>
          <w:szCs w:val="20"/>
        </w:rPr>
        <w:t>)</w:t>
      </w:r>
    </w:p>
    <w:p w14:paraId="52AD9B02" w14:textId="77777777" w:rsidR="00266006" w:rsidRPr="00E448CD" w:rsidRDefault="00266006" w:rsidP="00266006">
      <w:pPr>
        <w:jc w:val="both"/>
        <w:rPr>
          <w:rFonts w:ascii="Arial" w:hAnsi="Arial" w:cs="Arial"/>
          <w:sz w:val="20"/>
          <w:szCs w:val="20"/>
        </w:rPr>
      </w:pPr>
      <w:r w:rsidRPr="00E448CD">
        <w:rPr>
          <w:rFonts w:ascii="Arial" w:hAnsi="Arial" w:cs="Arial"/>
          <w:sz w:val="20"/>
          <w:szCs w:val="20"/>
        </w:rPr>
        <w:t>The ligands to be docked are selected based on various criteria, such as their chemical diversity, their known biological activity, or their potential for drug development. The ligands are then prepared for docking by assigning charges, generating conformers, and optimizing their geometry. (</w:t>
      </w:r>
      <w:r w:rsidR="00BE60C6" w:rsidRPr="00E448CD">
        <w:rPr>
          <w:rFonts w:ascii="Arial" w:hAnsi="Arial" w:cs="Arial"/>
          <w:sz w:val="20"/>
          <w:szCs w:val="20"/>
        </w:rPr>
        <w:t>20</w:t>
      </w:r>
      <w:r w:rsidRPr="00E448CD">
        <w:rPr>
          <w:rFonts w:ascii="Arial" w:hAnsi="Arial" w:cs="Arial"/>
          <w:sz w:val="20"/>
          <w:szCs w:val="20"/>
        </w:rPr>
        <w:t>)</w:t>
      </w:r>
    </w:p>
    <w:p w14:paraId="69206F92" w14:textId="77777777" w:rsidR="009F7E98" w:rsidRPr="00E448CD" w:rsidRDefault="002711BE" w:rsidP="009F7E98">
      <w:pPr>
        <w:jc w:val="both"/>
        <w:rPr>
          <w:rFonts w:ascii="Arial" w:hAnsi="Arial" w:cs="Arial"/>
          <w:sz w:val="20"/>
          <w:szCs w:val="20"/>
        </w:rPr>
      </w:pPr>
      <w:r w:rsidRPr="00E448CD">
        <w:rPr>
          <w:rFonts w:ascii="Arial" w:hAnsi="Arial" w:cs="Arial"/>
          <w:sz w:val="20"/>
          <w:szCs w:val="20"/>
        </w:rPr>
        <w:t xml:space="preserve">Molecular docking was performed using </w:t>
      </w:r>
      <w:proofErr w:type="spellStart"/>
      <w:r w:rsidRPr="00E448CD">
        <w:rPr>
          <w:rFonts w:ascii="Arial" w:hAnsi="Arial" w:cs="Arial"/>
          <w:i/>
          <w:iCs/>
          <w:sz w:val="20"/>
          <w:szCs w:val="20"/>
        </w:rPr>
        <w:t>Molegro</w:t>
      </w:r>
      <w:proofErr w:type="spellEnd"/>
      <w:r w:rsidRPr="00E448CD">
        <w:rPr>
          <w:rFonts w:ascii="Arial" w:hAnsi="Arial" w:cs="Arial"/>
          <w:i/>
          <w:iCs/>
          <w:sz w:val="20"/>
          <w:szCs w:val="20"/>
        </w:rPr>
        <w:t xml:space="preserve"> Virtual Docker</w:t>
      </w:r>
      <w:r w:rsidRPr="00E448CD">
        <w:rPr>
          <w:rFonts w:ascii="Arial" w:hAnsi="Arial" w:cs="Arial"/>
          <w:sz w:val="20"/>
          <w:szCs w:val="20"/>
        </w:rPr>
        <w:t xml:space="preserve">, with all stages visualized in three dimensions. Critical considerations during this process included the careful selection of docking </w:t>
      </w:r>
      <w:r w:rsidRPr="00E448CD">
        <w:rPr>
          <w:rFonts w:ascii="Arial" w:hAnsi="Arial" w:cs="Arial"/>
          <w:sz w:val="20"/>
          <w:szCs w:val="20"/>
        </w:rPr>
        <w:lastRenderedPageBreak/>
        <w:t>ligands and identification of the binding cavity within the target protein where drug–receptor interactions occur. These steps ensured accurate evaluation of binding affinity and molecular complementarity.</w:t>
      </w:r>
      <w:r w:rsidR="00FB11E6" w:rsidRPr="00E448CD">
        <w:rPr>
          <w:rFonts w:ascii="Arial" w:hAnsi="Arial" w:cs="Arial"/>
          <w:sz w:val="20"/>
          <w:szCs w:val="20"/>
        </w:rPr>
        <w:t xml:space="preserve"> (</w:t>
      </w:r>
      <w:r w:rsidR="000126E8" w:rsidRPr="00E448CD">
        <w:rPr>
          <w:rFonts w:ascii="Arial" w:hAnsi="Arial" w:cs="Arial"/>
          <w:sz w:val="20"/>
          <w:szCs w:val="20"/>
        </w:rPr>
        <w:t>21</w:t>
      </w:r>
      <w:r w:rsidR="00FB11E6" w:rsidRPr="00E448CD">
        <w:rPr>
          <w:rFonts w:ascii="Arial" w:hAnsi="Arial" w:cs="Arial"/>
          <w:sz w:val="20"/>
          <w:szCs w:val="20"/>
        </w:rPr>
        <w:t>)</w:t>
      </w:r>
      <w:r w:rsidR="009F7E98" w:rsidRPr="00E448CD">
        <w:rPr>
          <w:rFonts w:ascii="Arial" w:hAnsi="Arial" w:cs="Arial"/>
          <w:sz w:val="20"/>
          <w:szCs w:val="20"/>
        </w:rPr>
        <w:t xml:space="preserve">The binding pocket was identified using the cavity detection algorithm in </w:t>
      </w:r>
      <w:proofErr w:type="spellStart"/>
      <w:r w:rsidR="009F7E98" w:rsidRPr="00E448CD">
        <w:rPr>
          <w:rFonts w:ascii="Arial" w:hAnsi="Arial" w:cs="Arial"/>
          <w:i/>
          <w:iCs/>
          <w:sz w:val="20"/>
          <w:szCs w:val="20"/>
        </w:rPr>
        <w:t>Molegro</w:t>
      </w:r>
      <w:proofErr w:type="spellEnd"/>
      <w:r w:rsidR="009F7E98" w:rsidRPr="00E448CD">
        <w:rPr>
          <w:rFonts w:ascii="Arial" w:hAnsi="Arial" w:cs="Arial"/>
          <w:i/>
          <w:iCs/>
          <w:sz w:val="20"/>
          <w:szCs w:val="20"/>
        </w:rPr>
        <w:t xml:space="preserve"> Virtual Docker (MVD)</w:t>
      </w:r>
      <w:r w:rsidR="009F7E98" w:rsidRPr="00E448CD">
        <w:rPr>
          <w:rFonts w:ascii="Arial" w:hAnsi="Arial" w:cs="Arial"/>
          <w:sz w:val="20"/>
          <w:szCs w:val="20"/>
        </w:rPr>
        <w:t xml:space="preserve">, with emphasis on the largest druggable site. In certain cases, inhibition constants were calculated for ligand–protein complexes to assess binding affinity and inhibitory potential, though this step is dependent on the research objectives and study design. Ligands were docked against the prepared protein structures, and the resulting interactions were examined. The scoring function in MVD generated docking scores, with the most </w:t>
      </w:r>
      <w:proofErr w:type="spellStart"/>
      <w:r w:rsidR="009F7E98" w:rsidRPr="00E448CD">
        <w:rPr>
          <w:rFonts w:ascii="Arial" w:hAnsi="Arial" w:cs="Arial"/>
          <w:sz w:val="20"/>
          <w:szCs w:val="20"/>
        </w:rPr>
        <w:t>favorable</w:t>
      </w:r>
      <w:proofErr w:type="spellEnd"/>
      <w:r w:rsidR="009F7E98" w:rsidRPr="00E448CD">
        <w:rPr>
          <w:rFonts w:ascii="Arial" w:hAnsi="Arial" w:cs="Arial"/>
          <w:sz w:val="20"/>
          <w:szCs w:val="20"/>
        </w:rPr>
        <w:t xml:space="preserve"> ligand–protein complexes selected based on binding energy and interaction profiles. (</w:t>
      </w:r>
      <w:r w:rsidR="00BE60C6" w:rsidRPr="00E448CD">
        <w:rPr>
          <w:rFonts w:ascii="Arial" w:hAnsi="Arial" w:cs="Arial"/>
          <w:sz w:val="20"/>
          <w:szCs w:val="20"/>
        </w:rPr>
        <w:t>2</w:t>
      </w:r>
      <w:r w:rsidR="000126E8" w:rsidRPr="00E448CD">
        <w:rPr>
          <w:rFonts w:ascii="Arial" w:hAnsi="Arial" w:cs="Arial"/>
          <w:sz w:val="20"/>
          <w:szCs w:val="20"/>
        </w:rPr>
        <w:t>2</w:t>
      </w:r>
      <w:r w:rsidR="009F7E98" w:rsidRPr="00E448CD">
        <w:rPr>
          <w:rFonts w:ascii="Arial" w:hAnsi="Arial" w:cs="Arial"/>
          <w:sz w:val="20"/>
          <w:szCs w:val="20"/>
        </w:rPr>
        <w:t>)</w:t>
      </w:r>
    </w:p>
    <w:p w14:paraId="1C6517B2" w14:textId="77777777" w:rsidR="007D28FF" w:rsidRPr="00E448CD" w:rsidRDefault="007D28FF" w:rsidP="007D28FF">
      <w:pPr>
        <w:jc w:val="both"/>
        <w:rPr>
          <w:rFonts w:ascii="Arial" w:hAnsi="Arial" w:cs="Arial"/>
          <w:sz w:val="20"/>
          <w:szCs w:val="20"/>
        </w:rPr>
      </w:pPr>
      <w:r w:rsidRPr="00E448CD">
        <w:rPr>
          <w:rFonts w:ascii="Arial" w:hAnsi="Arial" w:cs="Arial"/>
          <w:b/>
          <w:bCs/>
          <w:sz w:val="20"/>
          <w:szCs w:val="20"/>
        </w:rPr>
        <w:t>Post docking analysis</w:t>
      </w:r>
      <w:r w:rsidRPr="00E448CD">
        <w:rPr>
          <w:rFonts w:ascii="Arial" w:hAnsi="Arial" w:cs="Arial"/>
          <w:sz w:val="20"/>
          <w:szCs w:val="20"/>
        </w:rPr>
        <w:t>: Following ligand docking to the target proteins, the results were examined to identify the most promising candidates for further investigation. Binding affinity was calculated based on predicted interaction energies, and ligands were ranked according to their affinity scores. The docked complexes were further analy</w:t>
      </w:r>
      <w:r w:rsidR="004D13D0" w:rsidRPr="00E448CD">
        <w:rPr>
          <w:rFonts w:ascii="Arial" w:hAnsi="Arial" w:cs="Arial"/>
          <w:sz w:val="20"/>
          <w:szCs w:val="20"/>
        </w:rPr>
        <w:t>s</w:t>
      </w:r>
      <w:r w:rsidRPr="00E448CD">
        <w:rPr>
          <w:rFonts w:ascii="Arial" w:hAnsi="Arial" w:cs="Arial"/>
          <w:sz w:val="20"/>
          <w:szCs w:val="20"/>
        </w:rPr>
        <w:t>ed to characterize key molecular interactions, including hydrogen bonding, hydrophobic contacts, and electrostatic forces. These interaction profiles provided valuable insights into the potential mechanisms of ligand action and guided structural optimization for enhanced therapeutic efficacy. (</w:t>
      </w:r>
      <w:r w:rsidR="000126E8" w:rsidRPr="00E448CD">
        <w:rPr>
          <w:rFonts w:ascii="Arial" w:hAnsi="Arial" w:cs="Arial"/>
          <w:sz w:val="20"/>
          <w:szCs w:val="20"/>
        </w:rPr>
        <w:t>23</w:t>
      </w:r>
      <w:r w:rsidRPr="00E448CD">
        <w:rPr>
          <w:rFonts w:ascii="Arial" w:hAnsi="Arial" w:cs="Arial"/>
          <w:sz w:val="20"/>
          <w:szCs w:val="20"/>
        </w:rPr>
        <w:t>)</w:t>
      </w:r>
    </w:p>
    <w:p w14:paraId="6D4AD177" w14:textId="77777777" w:rsidR="007E57C8" w:rsidRPr="00E448CD" w:rsidRDefault="007E57C8" w:rsidP="007E57C8">
      <w:pPr>
        <w:jc w:val="both"/>
        <w:rPr>
          <w:rFonts w:ascii="Arial" w:hAnsi="Arial" w:cs="Arial"/>
          <w:sz w:val="20"/>
          <w:szCs w:val="20"/>
        </w:rPr>
      </w:pPr>
      <w:r w:rsidRPr="00E448CD">
        <w:rPr>
          <w:rFonts w:ascii="Arial" w:hAnsi="Arial" w:cs="Arial"/>
          <w:sz w:val="20"/>
          <w:szCs w:val="20"/>
        </w:rPr>
        <w:t xml:space="preserve">During the docking process, several energy-based parameters were measured, including the </w:t>
      </w:r>
      <w:proofErr w:type="spellStart"/>
      <w:r w:rsidRPr="00E448CD">
        <w:rPr>
          <w:rFonts w:ascii="Arial" w:hAnsi="Arial" w:cs="Arial"/>
          <w:sz w:val="20"/>
          <w:szCs w:val="20"/>
        </w:rPr>
        <w:t>MolDock</w:t>
      </w:r>
      <w:proofErr w:type="spellEnd"/>
      <w:r w:rsidRPr="00E448CD">
        <w:rPr>
          <w:rFonts w:ascii="Arial" w:hAnsi="Arial" w:cs="Arial"/>
          <w:sz w:val="20"/>
          <w:szCs w:val="20"/>
        </w:rPr>
        <w:t xml:space="preserve"> Score, Re-rank Score, hydrogen bond energy, and the RMSD value. Among these, the Re-rank Score is most commonly used to evaluate the strength of drug–receptor binding, as it provides a reliable measure of binding affinity and stability of the docked complex.</w:t>
      </w:r>
    </w:p>
    <w:p w14:paraId="6A52BF35" w14:textId="77777777" w:rsidR="00277457" w:rsidRPr="00E448CD" w:rsidRDefault="00E448CD" w:rsidP="00277457">
      <w:pPr>
        <w:jc w:val="both"/>
        <w:rPr>
          <w:rFonts w:ascii="Arial" w:hAnsi="Arial" w:cs="Arial"/>
          <w:sz w:val="22"/>
        </w:rPr>
      </w:pPr>
      <w:r w:rsidRPr="00E448CD">
        <w:rPr>
          <w:rFonts w:ascii="Arial" w:hAnsi="Arial" w:cs="Arial"/>
          <w:b/>
          <w:bCs/>
          <w:sz w:val="22"/>
        </w:rPr>
        <w:t>RESULT AND DISCUSSION</w:t>
      </w:r>
      <w:r w:rsidRPr="00E448CD">
        <w:rPr>
          <w:rFonts w:ascii="Arial" w:hAnsi="Arial" w:cs="Arial"/>
          <w:sz w:val="22"/>
        </w:rPr>
        <w:t>:</w:t>
      </w:r>
    </w:p>
    <w:p w14:paraId="037E5390" w14:textId="77777777" w:rsidR="00203682" w:rsidRPr="00E448CD" w:rsidRDefault="002D732E" w:rsidP="00203682">
      <w:pPr>
        <w:jc w:val="both"/>
        <w:rPr>
          <w:rFonts w:ascii="Arial" w:hAnsi="Arial" w:cs="Arial"/>
          <w:sz w:val="20"/>
          <w:szCs w:val="20"/>
        </w:rPr>
      </w:pPr>
      <w:r w:rsidRPr="00E448CD">
        <w:rPr>
          <w:rFonts w:ascii="Arial" w:hAnsi="Arial" w:cs="Arial"/>
          <w:b/>
          <w:bCs/>
          <w:sz w:val="20"/>
          <w:szCs w:val="20"/>
        </w:rPr>
        <w:t xml:space="preserve">Result of </w:t>
      </w:r>
      <w:r w:rsidR="00310845" w:rsidRPr="00E448CD">
        <w:rPr>
          <w:rFonts w:ascii="Arial" w:hAnsi="Arial" w:cs="Arial"/>
          <w:b/>
          <w:bCs/>
          <w:sz w:val="20"/>
          <w:szCs w:val="20"/>
        </w:rPr>
        <w:t xml:space="preserve">physiochemical properties of </w:t>
      </w:r>
      <w:r w:rsidR="00F1181F" w:rsidRPr="00E448CD">
        <w:rPr>
          <w:rFonts w:ascii="Arial" w:hAnsi="Arial" w:cs="Arial"/>
          <w:b/>
          <w:bCs/>
          <w:sz w:val="20"/>
          <w:szCs w:val="20"/>
        </w:rPr>
        <w:t>designed c</w:t>
      </w:r>
      <w:r w:rsidR="00275941" w:rsidRPr="00E448CD">
        <w:rPr>
          <w:rFonts w:ascii="Arial" w:hAnsi="Arial" w:cs="Arial"/>
          <w:b/>
          <w:bCs/>
          <w:sz w:val="20"/>
          <w:szCs w:val="20"/>
        </w:rPr>
        <w:t xml:space="preserve">ompounds using </w:t>
      </w:r>
      <w:proofErr w:type="gramStart"/>
      <w:r w:rsidR="00275941" w:rsidRPr="00E448CD">
        <w:rPr>
          <w:rFonts w:ascii="Arial" w:hAnsi="Arial" w:cs="Arial"/>
          <w:b/>
          <w:bCs/>
          <w:sz w:val="20"/>
          <w:szCs w:val="20"/>
        </w:rPr>
        <w:t>ROF:</w:t>
      </w:r>
      <w:r w:rsidR="00A43C26" w:rsidRPr="00E448CD">
        <w:rPr>
          <w:rFonts w:ascii="Arial" w:hAnsi="Arial" w:cs="Arial"/>
          <w:sz w:val="20"/>
          <w:szCs w:val="20"/>
        </w:rPr>
        <w:t>As</w:t>
      </w:r>
      <w:proofErr w:type="gramEnd"/>
      <w:r w:rsidR="00A43C26" w:rsidRPr="00E448CD">
        <w:rPr>
          <w:rFonts w:ascii="Arial" w:hAnsi="Arial" w:cs="Arial"/>
          <w:sz w:val="20"/>
          <w:szCs w:val="20"/>
        </w:rPr>
        <w:t xml:space="preserve"> presented in Table 2</w:t>
      </w:r>
      <w:r w:rsidR="00203682" w:rsidRPr="00E448CD">
        <w:rPr>
          <w:rFonts w:ascii="Arial" w:hAnsi="Arial" w:cs="Arial"/>
          <w:sz w:val="20"/>
          <w:szCs w:val="20"/>
        </w:rPr>
        <w:t xml:space="preserve">, all </w:t>
      </w:r>
      <w:r w:rsidR="000D4F26" w:rsidRPr="00E448CD">
        <w:rPr>
          <w:rFonts w:ascii="Arial" w:hAnsi="Arial" w:cs="Arial"/>
          <w:sz w:val="20"/>
          <w:szCs w:val="20"/>
          <w:shd w:val="clear" w:color="auto" w:fill="FFFFFF"/>
        </w:rPr>
        <w:t>4-hydroxy-3-methoxycinnamic acid</w:t>
      </w:r>
      <w:r w:rsidR="00203682" w:rsidRPr="00E448CD">
        <w:rPr>
          <w:rFonts w:ascii="Arial" w:hAnsi="Arial" w:cs="Arial"/>
          <w:sz w:val="20"/>
          <w:szCs w:val="20"/>
        </w:rPr>
        <w:t xml:space="preserve">derivatives substituted with aromatic amines demonstrated acceptable drug-like properties alongside other drug-likeness parameters. This outcome is attributed to the fact that each derivative complied with Lipinski’s Rule of Five, meeting the criteria of molecular weight ≤ 500 Da, </w:t>
      </w:r>
      <w:proofErr w:type="spellStart"/>
      <w:r w:rsidR="00203682" w:rsidRPr="00E448CD">
        <w:rPr>
          <w:rFonts w:ascii="Arial" w:hAnsi="Arial" w:cs="Arial"/>
          <w:sz w:val="20"/>
          <w:szCs w:val="20"/>
        </w:rPr>
        <w:t>LogP</w:t>
      </w:r>
      <w:proofErr w:type="spellEnd"/>
      <w:r w:rsidR="00203682" w:rsidRPr="00E448CD">
        <w:rPr>
          <w:rFonts w:ascii="Arial" w:hAnsi="Arial" w:cs="Arial"/>
          <w:sz w:val="20"/>
          <w:szCs w:val="20"/>
        </w:rPr>
        <w:t>&lt; 5, hydrogen bond donors ≤ 5, and hydrogen bond acceptors ≤ 10.</w:t>
      </w:r>
    </w:p>
    <w:p w14:paraId="20585FBB" w14:textId="77777777" w:rsidR="00F1181F" w:rsidRPr="00E448CD" w:rsidRDefault="00F1181F" w:rsidP="00203682">
      <w:pPr>
        <w:jc w:val="both"/>
        <w:rPr>
          <w:rFonts w:ascii="Arial" w:hAnsi="Arial" w:cs="Arial"/>
          <w:sz w:val="20"/>
          <w:szCs w:val="20"/>
        </w:rPr>
      </w:pPr>
      <w:r w:rsidRPr="00E448CD">
        <w:rPr>
          <w:rFonts w:ascii="Arial" w:hAnsi="Arial" w:cs="Arial"/>
          <w:sz w:val="20"/>
          <w:szCs w:val="20"/>
        </w:rPr>
        <w:t>Although molecular weight (MW &lt; 500 Da) is an important factor influencing oral bioavailability, the 500 Da threshold does not strictly distinguish compounds with poor versus good bioavailability. Moreover, only molecules that violate two or more of Lipinski’s Rule of Five parameters are generally considered unlikely to exhibit oral bioavailability. (2</w:t>
      </w:r>
      <w:r w:rsidR="00F463AC" w:rsidRPr="00E448CD">
        <w:rPr>
          <w:rFonts w:ascii="Arial" w:hAnsi="Arial" w:cs="Arial"/>
          <w:sz w:val="20"/>
          <w:szCs w:val="20"/>
        </w:rPr>
        <w:t>4</w:t>
      </w:r>
      <w:r w:rsidRPr="00E448CD">
        <w:rPr>
          <w:rFonts w:ascii="Arial" w:hAnsi="Arial" w:cs="Arial"/>
          <w:sz w:val="20"/>
          <w:szCs w:val="20"/>
        </w:rPr>
        <w:t>)</w:t>
      </w:r>
    </w:p>
    <w:p w14:paraId="795D470C" w14:textId="77777777" w:rsidR="000E0E9B" w:rsidRPr="00E448CD" w:rsidRDefault="000E0E9B" w:rsidP="000E0E9B">
      <w:pPr>
        <w:jc w:val="both"/>
        <w:rPr>
          <w:rFonts w:ascii="Arial" w:hAnsi="Arial" w:cs="Arial"/>
          <w:sz w:val="20"/>
          <w:szCs w:val="20"/>
        </w:rPr>
      </w:pPr>
      <w:r w:rsidRPr="00E448CD">
        <w:rPr>
          <w:rFonts w:ascii="Arial" w:hAnsi="Arial" w:cs="Arial"/>
          <w:sz w:val="20"/>
          <w:szCs w:val="20"/>
        </w:rPr>
        <w:t xml:space="preserve">Table </w:t>
      </w:r>
      <w:r w:rsidR="00A43C26" w:rsidRPr="00E448CD">
        <w:rPr>
          <w:rFonts w:ascii="Arial" w:hAnsi="Arial" w:cs="Arial"/>
          <w:sz w:val="20"/>
          <w:szCs w:val="20"/>
        </w:rPr>
        <w:t>2</w:t>
      </w:r>
      <w:r w:rsidRPr="00E448CD">
        <w:rPr>
          <w:rFonts w:ascii="Arial" w:hAnsi="Arial" w:cs="Arial"/>
          <w:sz w:val="20"/>
          <w:szCs w:val="20"/>
        </w:rPr>
        <w:t>: Result of Molecular Properties using Lipinski rule of five</w:t>
      </w:r>
    </w:p>
    <w:tbl>
      <w:tblPr>
        <w:tblStyle w:val="TableGrid"/>
        <w:tblW w:w="0" w:type="auto"/>
        <w:jc w:val="center"/>
        <w:tblLook w:val="04A0" w:firstRow="1" w:lastRow="0" w:firstColumn="1" w:lastColumn="0" w:noHBand="0" w:noVBand="1"/>
      </w:tblPr>
      <w:tblGrid>
        <w:gridCol w:w="910"/>
        <w:gridCol w:w="899"/>
        <w:gridCol w:w="737"/>
        <w:gridCol w:w="737"/>
        <w:gridCol w:w="1176"/>
        <w:gridCol w:w="1089"/>
        <w:gridCol w:w="1316"/>
        <w:gridCol w:w="1122"/>
      </w:tblGrid>
      <w:tr w:rsidR="00842BCF" w:rsidRPr="00E448CD" w14:paraId="500C1BC6" w14:textId="77777777" w:rsidTr="000766C3">
        <w:trPr>
          <w:jc w:val="center"/>
        </w:trPr>
        <w:tc>
          <w:tcPr>
            <w:tcW w:w="910" w:type="dxa"/>
          </w:tcPr>
          <w:p w14:paraId="0A7B8775" w14:textId="77777777" w:rsidR="00842BCF" w:rsidRPr="00E448CD" w:rsidRDefault="00842BCF" w:rsidP="00842BCF">
            <w:pPr>
              <w:rPr>
                <w:rFonts w:ascii="Arial" w:hAnsi="Arial" w:cs="Arial"/>
                <w:sz w:val="20"/>
                <w:szCs w:val="20"/>
              </w:rPr>
            </w:pPr>
            <w:r w:rsidRPr="00E448CD">
              <w:rPr>
                <w:rFonts w:ascii="Arial" w:hAnsi="Arial" w:cs="Arial"/>
                <w:b/>
                <w:bCs/>
                <w:sz w:val="20"/>
                <w:szCs w:val="20"/>
              </w:rPr>
              <w:t>CODE</w:t>
            </w:r>
          </w:p>
        </w:tc>
        <w:tc>
          <w:tcPr>
            <w:tcW w:w="899" w:type="dxa"/>
          </w:tcPr>
          <w:p w14:paraId="40083CCA" w14:textId="77777777" w:rsidR="00842BCF" w:rsidRPr="00E448CD" w:rsidRDefault="00842BCF" w:rsidP="00842BCF">
            <w:pPr>
              <w:rPr>
                <w:rFonts w:ascii="Arial" w:hAnsi="Arial" w:cs="Arial"/>
                <w:sz w:val="20"/>
                <w:szCs w:val="20"/>
              </w:rPr>
            </w:pPr>
            <w:r w:rsidRPr="00E448CD">
              <w:rPr>
                <w:rFonts w:ascii="Arial" w:hAnsi="Arial" w:cs="Arial"/>
                <w:b/>
                <w:bCs/>
                <w:sz w:val="20"/>
                <w:szCs w:val="20"/>
              </w:rPr>
              <w:t>MW</w:t>
            </w:r>
          </w:p>
        </w:tc>
        <w:tc>
          <w:tcPr>
            <w:tcW w:w="737" w:type="dxa"/>
          </w:tcPr>
          <w:p w14:paraId="1710EE72" w14:textId="77777777" w:rsidR="00842BCF" w:rsidRPr="00E448CD" w:rsidRDefault="00842BCF" w:rsidP="00842BCF">
            <w:pPr>
              <w:rPr>
                <w:rFonts w:ascii="Arial" w:hAnsi="Arial" w:cs="Arial"/>
                <w:sz w:val="20"/>
                <w:szCs w:val="20"/>
              </w:rPr>
            </w:pPr>
            <w:r w:rsidRPr="00E448CD">
              <w:rPr>
                <w:rFonts w:ascii="Arial" w:hAnsi="Arial" w:cs="Arial"/>
                <w:b/>
                <w:bCs/>
                <w:sz w:val="20"/>
                <w:szCs w:val="20"/>
              </w:rPr>
              <w:t>HBA</w:t>
            </w:r>
          </w:p>
        </w:tc>
        <w:tc>
          <w:tcPr>
            <w:tcW w:w="737" w:type="dxa"/>
          </w:tcPr>
          <w:p w14:paraId="7F9855D0" w14:textId="77777777" w:rsidR="00842BCF" w:rsidRPr="00E448CD" w:rsidRDefault="00842BCF" w:rsidP="00842BCF">
            <w:pPr>
              <w:rPr>
                <w:rFonts w:ascii="Arial" w:hAnsi="Arial" w:cs="Arial"/>
                <w:sz w:val="20"/>
                <w:szCs w:val="20"/>
              </w:rPr>
            </w:pPr>
            <w:r w:rsidRPr="00E448CD">
              <w:rPr>
                <w:rFonts w:ascii="Arial" w:hAnsi="Arial" w:cs="Arial"/>
                <w:b/>
                <w:bCs/>
                <w:sz w:val="20"/>
                <w:szCs w:val="20"/>
              </w:rPr>
              <w:t>HBD</w:t>
            </w:r>
          </w:p>
        </w:tc>
        <w:tc>
          <w:tcPr>
            <w:tcW w:w="1176" w:type="dxa"/>
          </w:tcPr>
          <w:p w14:paraId="12211AEE" w14:textId="77777777" w:rsidR="00842BCF" w:rsidRPr="00E448CD" w:rsidRDefault="00842BCF" w:rsidP="00842BCF">
            <w:pPr>
              <w:rPr>
                <w:rFonts w:ascii="Arial" w:hAnsi="Arial" w:cs="Arial"/>
                <w:sz w:val="20"/>
                <w:szCs w:val="20"/>
              </w:rPr>
            </w:pPr>
            <w:proofErr w:type="spellStart"/>
            <w:r w:rsidRPr="00E448CD">
              <w:rPr>
                <w:rFonts w:ascii="Arial" w:hAnsi="Arial" w:cs="Arial"/>
                <w:b/>
                <w:bCs/>
                <w:sz w:val="20"/>
                <w:szCs w:val="20"/>
              </w:rPr>
              <w:t>MolLogP</w:t>
            </w:r>
            <w:proofErr w:type="spellEnd"/>
          </w:p>
        </w:tc>
        <w:tc>
          <w:tcPr>
            <w:tcW w:w="1089" w:type="dxa"/>
          </w:tcPr>
          <w:p w14:paraId="1B12D46F" w14:textId="77777777" w:rsidR="00842BCF" w:rsidRPr="00E448CD" w:rsidRDefault="00842BCF" w:rsidP="00842BCF">
            <w:pPr>
              <w:rPr>
                <w:rFonts w:ascii="Arial" w:hAnsi="Arial" w:cs="Arial"/>
                <w:sz w:val="20"/>
                <w:szCs w:val="20"/>
              </w:rPr>
            </w:pPr>
            <w:proofErr w:type="spellStart"/>
            <w:r w:rsidRPr="00E448CD">
              <w:rPr>
                <w:rFonts w:ascii="Arial" w:hAnsi="Arial" w:cs="Arial"/>
                <w:b/>
                <w:bCs/>
                <w:sz w:val="20"/>
                <w:szCs w:val="20"/>
              </w:rPr>
              <w:t>MolPSA</w:t>
            </w:r>
            <w:proofErr w:type="spellEnd"/>
          </w:p>
        </w:tc>
        <w:tc>
          <w:tcPr>
            <w:tcW w:w="1316" w:type="dxa"/>
          </w:tcPr>
          <w:p w14:paraId="3C6C741A" w14:textId="77777777" w:rsidR="00842BCF" w:rsidRPr="00E448CD" w:rsidRDefault="00842BCF" w:rsidP="00842BCF">
            <w:pPr>
              <w:rPr>
                <w:rFonts w:ascii="Arial" w:hAnsi="Arial" w:cs="Arial"/>
                <w:sz w:val="20"/>
                <w:szCs w:val="20"/>
              </w:rPr>
            </w:pPr>
            <w:proofErr w:type="spellStart"/>
            <w:r w:rsidRPr="00E448CD">
              <w:rPr>
                <w:rFonts w:ascii="Arial" w:hAnsi="Arial" w:cs="Arial"/>
                <w:b/>
                <w:bCs/>
                <w:sz w:val="20"/>
                <w:szCs w:val="20"/>
              </w:rPr>
              <w:t>MolVol</w:t>
            </w:r>
            <w:proofErr w:type="spellEnd"/>
          </w:p>
        </w:tc>
        <w:tc>
          <w:tcPr>
            <w:tcW w:w="1122" w:type="dxa"/>
          </w:tcPr>
          <w:p w14:paraId="27AED1C1" w14:textId="77777777" w:rsidR="00842BCF" w:rsidRPr="00E448CD" w:rsidRDefault="00842BCF" w:rsidP="00842BCF">
            <w:pPr>
              <w:rPr>
                <w:rFonts w:ascii="Arial" w:hAnsi="Arial" w:cs="Arial"/>
                <w:b/>
                <w:bCs/>
                <w:sz w:val="20"/>
                <w:szCs w:val="20"/>
              </w:rPr>
            </w:pPr>
            <w:r w:rsidRPr="00E448CD">
              <w:rPr>
                <w:rFonts w:ascii="Arial" w:hAnsi="Arial" w:cs="Arial"/>
                <w:b/>
                <w:bCs/>
                <w:sz w:val="20"/>
                <w:szCs w:val="20"/>
              </w:rPr>
              <w:t>Drug likeness model</w:t>
            </w:r>
          </w:p>
          <w:p w14:paraId="78B19773" w14:textId="77777777" w:rsidR="00842BCF" w:rsidRPr="00E448CD" w:rsidRDefault="00842BCF" w:rsidP="00842BCF">
            <w:pPr>
              <w:rPr>
                <w:rFonts w:ascii="Arial" w:hAnsi="Arial" w:cs="Arial"/>
                <w:sz w:val="20"/>
                <w:szCs w:val="20"/>
              </w:rPr>
            </w:pPr>
            <w:r w:rsidRPr="00E448CD">
              <w:rPr>
                <w:rFonts w:ascii="Arial" w:hAnsi="Arial" w:cs="Arial"/>
                <w:b/>
                <w:bCs/>
                <w:sz w:val="20"/>
                <w:szCs w:val="20"/>
              </w:rPr>
              <w:t>score</w:t>
            </w:r>
          </w:p>
        </w:tc>
      </w:tr>
      <w:tr w:rsidR="007C71D9" w:rsidRPr="00E448CD" w14:paraId="132D19C5" w14:textId="77777777" w:rsidTr="000766C3">
        <w:trPr>
          <w:jc w:val="center"/>
        </w:trPr>
        <w:tc>
          <w:tcPr>
            <w:tcW w:w="910" w:type="dxa"/>
          </w:tcPr>
          <w:p w14:paraId="7B9264A6" w14:textId="77777777" w:rsidR="007C71D9" w:rsidRPr="00E448CD" w:rsidRDefault="007C71D9" w:rsidP="000766C3">
            <w:pPr>
              <w:rPr>
                <w:rFonts w:ascii="Arial" w:hAnsi="Arial" w:cs="Arial"/>
                <w:sz w:val="20"/>
                <w:szCs w:val="20"/>
              </w:rPr>
            </w:pPr>
            <w:r w:rsidRPr="00E448CD">
              <w:rPr>
                <w:rFonts w:ascii="Arial" w:hAnsi="Arial" w:cs="Arial"/>
                <w:sz w:val="20"/>
                <w:szCs w:val="20"/>
              </w:rPr>
              <w:t>FA1</w:t>
            </w:r>
          </w:p>
        </w:tc>
        <w:tc>
          <w:tcPr>
            <w:tcW w:w="899" w:type="dxa"/>
          </w:tcPr>
          <w:p w14:paraId="3A2C3FD2" w14:textId="77777777" w:rsidR="007C71D9" w:rsidRPr="00E448CD" w:rsidRDefault="007C71D9" w:rsidP="000766C3">
            <w:pPr>
              <w:rPr>
                <w:rFonts w:ascii="Arial" w:hAnsi="Arial" w:cs="Arial"/>
                <w:sz w:val="20"/>
                <w:szCs w:val="20"/>
              </w:rPr>
            </w:pPr>
            <w:r w:rsidRPr="00E448CD">
              <w:rPr>
                <w:rFonts w:ascii="Arial" w:hAnsi="Arial" w:cs="Arial"/>
                <w:sz w:val="20"/>
                <w:szCs w:val="20"/>
              </w:rPr>
              <w:t>284.12</w:t>
            </w:r>
          </w:p>
        </w:tc>
        <w:tc>
          <w:tcPr>
            <w:tcW w:w="737" w:type="dxa"/>
          </w:tcPr>
          <w:p w14:paraId="4E993D85" w14:textId="77777777" w:rsidR="007C71D9" w:rsidRPr="00E448CD" w:rsidRDefault="007C71D9" w:rsidP="000766C3">
            <w:pPr>
              <w:rPr>
                <w:rFonts w:ascii="Arial" w:hAnsi="Arial" w:cs="Arial"/>
                <w:sz w:val="20"/>
                <w:szCs w:val="20"/>
              </w:rPr>
            </w:pPr>
            <w:r w:rsidRPr="00E448CD">
              <w:rPr>
                <w:rFonts w:ascii="Arial" w:hAnsi="Arial" w:cs="Arial"/>
                <w:sz w:val="20"/>
                <w:szCs w:val="20"/>
              </w:rPr>
              <w:t>4</w:t>
            </w:r>
          </w:p>
        </w:tc>
        <w:tc>
          <w:tcPr>
            <w:tcW w:w="737" w:type="dxa"/>
          </w:tcPr>
          <w:p w14:paraId="67D9F62C"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2FC5F48A" w14:textId="77777777" w:rsidR="007C71D9" w:rsidRPr="00E448CD" w:rsidRDefault="007C71D9" w:rsidP="000766C3">
            <w:pPr>
              <w:rPr>
                <w:rFonts w:ascii="Arial" w:hAnsi="Arial" w:cs="Arial"/>
                <w:sz w:val="20"/>
                <w:szCs w:val="20"/>
              </w:rPr>
            </w:pPr>
            <w:r w:rsidRPr="00E448CD">
              <w:rPr>
                <w:rFonts w:ascii="Arial" w:hAnsi="Arial" w:cs="Arial"/>
                <w:sz w:val="20"/>
                <w:szCs w:val="20"/>
              </w:rPr>
              <w:t>3.24</w:t>
            </w:r>
          </w:p>
        </w:tc>
        <w:tc>
          <w:tcPr>
            <w:tcW w:w="1089" w:type="dxa"/>
          </w:tcPr>
          <w:p w14:paraId="584323F4" w14:textId="77777777" w:rsidR="007C71D9" w:rsidRPr="00E448CD" w:rsidRDefault="007C71D9" w:rsidP="000766C3">
            <w:pPr>
              <w:rPr>
                <w:rFonts w:ascii="Arial" w:hAnsi="Arial" w:cs="Arial"/>
                <w:sz w:val="20"/>
                <w:szCs w:val="20"/>
              </w:rPr>
            </w:pPr>
            <w:r w:rsidRPr="00E448CD">
              <w:rPr>
                <w:rFonts w:ascii="Arial" w:hAnsi="Arial" w:cs="Arial"/>
                <w:sz w:val="20"/>
                <w:szCs w:val="20"/>
              </w:rPr>
              <w:t>57.00</w:t>
            </w:r>
          </w:p>
        </w:tc>
        <w:tc>
          <w:tcPr>
            <w:tcW w:w="1316" w:type="dxa"/>
          </w:tcPr>
          <w:p w14:paraId="22C72EF8" w14:textId="77777777" w:rsidR="007C71D9" w:rsidRPr="00E448CD" w:rsidRDefault="007C71D9" w:rsidP="000766C3">
            <w:pPr>
              <w:rPr>
                <w:rFonts w:ascii="Arial" w:hAnsi="Arial" w:cs="Arial"/>
                <w:sz w:val="20"/>
                <w:szCs w:val="20"/>
              </w:rPr>
            </w:pPr>
            <w:r w:rsidRPr="00E448CD">
              <w:rPr>
                <w:rFonts w:ascii="Arial" w:hAnsi="Arial" w:cs="Arial"/>
                <w:sz w:val="20"/>
                <w:szCs w:val="20"/>
              </w:rPr>
              <w:t>293.58</w:t>
            </w:r>
          </w:p>
        </w:tc>
        <w:tc>
          <w:tcPr>
            <w:tcW w:w="1122" w:type="dxa"/>
          </w:tcPr>
          <w:p w14:paraId="4E61A614" w14:textId="77777777" w:rsidR="007C71D9" w:rsidRPr="00E448CD" w:rsidRDefault="007C71D9" w:rsidP="000766C3">
            <w:pPr>
              <w:rPr>
                <w:rFonts w:ascii="Arial" w:hAnsi="Arial" w:cs="Arial"/>
                <w:sz w:val="20"/>
                <w:szCs w:val="20"/>
              </w:rPr>
            </w:pPr>
            <w:r w:rsidRPr="00E448CD">
              <w:rPr>
                <w:rFonts w:ascii="Arial" w:hAnsi="Arial" w:cs="Arial"/>
                <w:sz w:val="20"/>
                <w:szCs w:val="20"/>
              </w:rPr>
              <w:t>0.01</w:t>
            </w:r>
          </w:p>
        </w:tc>
      </w:tr>
      <w:tr w:rsidR="007C71D9" w:rsidRPr="00E448CD" w14:paraId="70FD07FA" w14:textId="77777777" w:rsidTr="000766C3">
        <w:trPr>
          <w:trHeight w:val="219"/>
          <w:jc w:val="center"/>
        </w:trPr>
        <w:tc>
          <w:tcPr>
            <w:tcW w:w="910" w:type="dxa"/>
          </w:tcPr>
          <w:p w14:paraId="44425F80" w14:textId="77777777" w:rsidR="007C71D9" w:rsidRPr="00E448CD" w:rsidRDefault="007C71D9" w:rsidP="000766C3">
            <w:pPr>
              <w:rPr>
                <w:rFonts w:ascii="Arial" w:hAnsi="Arial" w:cs="Arial"/>
                <w:sz w:val="20"/>
                <w:szCs w:val="20"/>
              </w:rPr>
            </w:pPr>
            <w:r w:rsidRPr="00E448CD">
              <w:rPr>
                <w:rFonts w:ascii="Arial" w:hAnsi="Arial" w:cs="Arial"/>
                <w:sz w:val="20"/>
                <w:szCs w:val="20"/>
              </w:rPr>
              <w:t>FA2</w:t>
            </w:r>
          </w:p>
        </w:tc>
        <w:tc>
          <w:tcPr>
            <w:tcW w:w="899" w:type="dxa"/>
          </w:tcPr>
          <w:p w14:paraId="41568F89" w14:textId="77777777" w:rsidR="007C71D9" w:rsidRPr="00E448CD" w:rsidRDefault="007C71D9" w:rsidP="000766C3">
            <w:pPr>
              <w:rPr>
                <w:rFonts w:ascii="Arial" w:hAnsi="Arial" w:cs="Arial"/>
                <w:sz w:val="20"/>
                <w:szCs w:val="20"/>
              </w:rPr>
            </w:pPr>
            <w:r w:rsidRPr="00E448CD">
              <w:rPr>
                <w:rFonts w:ascii="Arial" w:hAnsi="Arial" w:cs="Arial"/>
                <w:sz w:val="20"/>
                <w:szCs w:val="20"/>
              </w:rPr>
              <w:t>284.12</w:t>
            </w:r>
          </w:p>
        </w:tc>
        <w:tc>
          <w:tcPr>
            <w:tcW w:w="737" w:type="dxa"/>
          </w:tcPr>
          <w:p w14:paraId="30CD5309" w14:textId="77777777" w:rsidR="007C71D9" w:rsidRPr="00E448CD" w:rsidRDefault="007C71D9" w:rsidP="000766C3">
            <w:pPr>
              <w:rPr>
                <w:rFonts w:ascii="Arial" w:hAnsi="Arial" w:cs="Arial"/>
                <w:sz w:val="20"/>
                <w:szCs w:val="20"/>
              </w:rPr>
            </w:pPr>
            <w:r w:rsidRPr="00E448CD">
              <w:rPr>
                <w:rFonts w:ascii="Arial" w:hAnsi="Arial" w:cs="Arial"/>
                <w:sz w:val="20"/>
                <w:szCs w:val="20"/>
              </w:rPr>
              <w:t>4</w:t>
            </w:r>
          </w:p>
        </w:tc>
        <w:tc>
          <w:tcPr>
            <w:tcW w:w="737" w:type="dxa"/>
          </w:tcPr>
          <w:p w14:paraId="4FF7590F"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5F2077A7" w14:textId="77777777" w:rsidR="007C71D9" w:rsidRPr="00E448CD" w:rsidRDefault="007C71D9" w:rsidP="000766C3">
            <w:pPr>
              <w:rPr>
                <w:rFonts w:ascii="Arial" w:hAnsi="Arial" w:cs="Arial"/>
                <w:sz w:val="20"/>
                <w:szCs w:val="20"/>
              </w:rPr>
            </w:pPr>
            <w:r w:rsidRPr="00E448CD">
              <w:rPr>
                <w:rFonts w:ascii="Arial" w:hAnsi="Arial" w:cs="Arial"/>
                <w:sz w:val="20"/>
                <w:szCs w:val="20"/>
              </w:rPr>
              <w:t>2.49</w:t>
            </w:r>
          </w:p>
        </w:tc>
        <w:tc>
          <w:tcPr>
            <w:tcW w:w="1089" w:type="dxa"/>
          </w:tcPr>
          <w:p w14:paraId="7B9B2E63" w14:textId="77777777" w:rsidR="007C71D9" w:rsidRPr="00E448CD" w:rsidRDefault="007C71D9" w:rsidP="000766C3">
            <w:pPr>
              <w:rPr>
                <w:rFonts w:ascii="Arial" w:hAnsi="Arial" w:cs="Arial"/>
                <w:sz w:val="20"/>
                <w:szCs w:val="20"/>
              </w:rPr>
            </w:pPr>
            <w:r w:rsidRPr="00E448CD">
              <w:rPr>
                <w:rFonts w:ascii="Arial" w:hAnsi="Arial" w:cs="Arial"/>
                <w:sz w:val="20"/>
                <w:szCs w:val="20"/>
              </w:rPr>
              <w:t>56.28</w:t>
            </w:r>
          </w:p>
        </w:tc>
        <w:tc>
          <w:tcPr>
            <w:tcW w:w="1316" w:type="dxa"/>
          </w:tcPr>
          <w:p w14:paraId="0B4F7B50" w14:textId="77777777" w:rsidR="007C71D9" w:rsidRPr="00E448CD" w:rsidRDefault="007C71D9" w:rsidP="000766C3">
            <w:pPr>
              <w:rPr>
                <w:rFonts w:ascii="Arial" w:hAnsi="Arial" w:cs="Arial"/>
                <w:sz w:val="20"/>
                <w:szCs w:val="20"/>
              </w:rPr>
            </w:pPr>
            <w:r w:rsidRPr="00E448CD">
              <w:rPr>
                <w:rFonts w:ascii="Arial" w:hAnsi="Arial" w:cs="Arial"/>
                <w:sz w:val="20"/>
                <w:szCs w:val="20"/>
              </w:rPr>
              <w:t>294.39</w:t>
            </w:r>
          </w:p>
        </w:tc>
        <w:tc>
          <w:tcPr>
            <w:tcW w:w="1122" w:type="dxa"/>
          </w:tcPr>
          <w:p w14:paraId="033A5C8C" w14:textId="77777777" w:rsidR="007C71D9" w:rsidRPr="00E448CD" w:rsidRDefault="007C71D9" w:rsidP="000766C3">
            <w:pPr>
              <w:rPr>
                <w:rFonts w:ascii="Arial" w:hAnsi="Arial" w:cs="Arial"/>
                <w:sz w:val="20"/>
                <w:szCs w:val="20"/>
              </w:rPr>
            </w:pPr>
            <w:r w:rsidRPr="00E448CD">
              <w:rPr>
                <w:rFonts w:ascii="Arial" w:hAnsi="Arial" w:cs="Arial"/>
                <w:sz w:val="20"/>
                <w:szCs w:val="20"/>
              </w:rPr>
              <w:t>0.22</w:t>
            </w:r>
          </w:p>
        </w:tc>
      </w:tr>
      <w:tr w:rsidR="007C71D9" w:rsidRPr="00E448CD" w14:paraId="5BFAEF95" w14:textId="77777777" w:rsidTr="000766C3">
        <w:trPr>
          <w:jc w:val="center"/>
        </w:trPr>
        <w:tc>
          <w:tcPr>
            <w:tcW w:w="910" w:type="dxa"/>
          </w:tcPr>
          <w:p w14:paraId="3627E69A" w14:textId="77777777" w:rsidR="007C71D9" w:rsidRPr="00E448CD" w:rsidRDefault="007C71D9" w:rsidP="000766C3">
            <w:pPr>
              <w:rPr>
                <w:rFonts w:ascii="Arial" w:hAnsi="Arial" w:cs="Arial"/>
                <w:sz w:val="20"/>
                <w:szCs w:val="20"/>
              </w:rPr>
            </w:pPr>
            <w:r w:rsidRPr="00E448CD">
              <w:rPr>
                <w:rFonts w:ascii="Arial" w:hAnsi="Arial" w:cs="Arial"/>
                <w:sz w:val="20"/>
                <w:szCs w:val="20"/>
              </w:rPr>
              <w:t>FA3</w:t>
            </w:r>
          </w:p>
        </w:tc>
        <w:tc>
          <w:tcPr>
            <w:tcW w:w="899" w:type="dxa"/>
          </w:tcPr>
          <w:p w14:paraId="33C67830" w14:textId="77777777" w:rsidR="007C71D9" w:rsidRPr="00E448CD" w:rsidRDefault="007C71D9" w:rsidP="000766C3">
            <w:pPr>
              <w:rPr>
                <w:rFonts w:ascii="Arial" w:hAnsi="Arial" w:cs="Arial"/>
                <w:sz w:val="20"/>
                <w:szCs w:val="20"/>
              </w:rPr>
            </w:pPr>
            <w:r w:rsidRPr="00E448CD">
              <w:rPr>
                <w:rFonts w:ascii="Arial" w:hAnsi="Arial" w:cs="Arial"/>
                <w:sz w:val="20"/>
                <w:szCs w:val="20"/>
              </w:rPr>
              <w:t>270.10</w:t>
            </w:r>
          </w:p>
        </w:tc>
        <w:tc>
          <w:tcPr>
            <w:tcW w:w="737" w:type="dxa"/>
          </w:tcPr>
          <w:p w14:paraId="5FFDA5E6" w14:textId="77777777" w:rsidR="007C71D9" w:rsidRPr="00E448CD" w:rsidRDefault="007C71D9" w:rsidP="000766C3">
            <w:pPr>
              <w:rPr>
                <w:rFonts w:ascii="Arial" w:hAnsi="Arial" w:cs="Arial"/>
                <w:sz w:val="20"/>
                <w:szCs w:val="20"/>
              </w:rPr>
            </w:pPr>
            <w:r w:rsidRPr="00E448CD">
              <w:rPr>
                <w:rFonts w:ascii="Arial" w:hAnsi="Arial" w:cs="Arial"/>
                <w:sz w:val="20"/>
                <w:szCs w:val="20"/>
              </w:rPr>
              <w:t>4</w:t>
            </w:r>
          </w:p>
        </w:tc>
        <w:tc>
          <w:tcPr>
            <w:tcW w:w="737" w:type="dxa"/>
          </w:tcPr>
          <w:p w14:paraId="20D247F1"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3E1EA4CB" w14:textId="77777777" w:rsidR="007C71D9" w:rsidRPr="00E448CD" w:rsidRDefault="007C71D9" w:rsidP="000766C3">
            <w:pPr>
              <w:rPr>
                <w:rFonts w:ascii="Arial" w:hAnsi="Arial" w:cs="Arial"/>
                <w:sz w:val="20"/>
                <w:szCs w:val="20"/>
              </w:rPr>
            </w:pPr>
            <w:r w:rsidRPr="00E448CD">
              <w:rPr>
                <w:rFonts w:ascii="Arial" w:hAnsi="Arial" w:cs="Arial"/>
                <w:sz w:val="20"/>
                <w:szCs w:val="20"/>
              </w:rPr>
              <w:t>2.57</w:t>
            </w:r>
          </w:p>
        </w:tc>
        <w:tc>
          <w:tcPr>
            <w:tcW w:w="1089" w:type="dxa"/>
          </w:tcPr>
          <w:p w14:paraId="38A4DB16" w14:textId="77777777" w:rsidR="007C71D9" w:rsidRPr="00E448CD" w:rsidRDefault="007C71D9" w:rsidP="000766C3">
            <w:pPr>
              <w:rPr>
                <w:rFonts w:ascii="Arial" w:hAnsi="Arial" w:cs="Arial"/>
                <w:sz w:val="20"/>
                <w:szCs w:val="20"/>
              </w:rPr>
            </w:pPr>
            <w:r w:rsidRPr="00E448CD">
              <w:rPr>
                <w:rFonts w:ascii="Arial" w:hAnsi="Arial" w:cs="Arial"/>
                <w:sz w:val="20"/>
                <w:szCs w:val="20"/>
              </w:rPr>
              <w:t>56.91</w:t>
            </w:r>
          </w:p>
        </w:tc>
        <w:tc>
          <w:tcPr>
            <w:tcW w:w="1316" w:type="dxa"/>
          </w:tcPr>
          <w:p w14:paraId="27759E94" w14:textId="77777777" w:rsidR="007C71D9" w:rsidRPr="00E448CD" w:rsidRDefault="007C71D9" w:rsidP="000766C3">
            <w:pPr>
              <w:rPr>
                <w:rFonts w:ascii="Arial" w:hAnsi="Arial" w:cs="Arial"/>
                <w:sz w:val="20"/>
                <w:szCs w:val="20"/>
              </w:rPr>
            </w:pPr>
            <w:r w:rsidRPr="00E448CD">
              <w:rPr>
                <w:rFonts w:ascii="Arial" w:hAnsi="Arial" w:cs="Arial"/>
                <w:sz w:val="20"/>
                <w:szCs w:val="20"/>
              </w:rPr>
              <w:t>272.47</w:t>
            </w:r>
          </w:p>
        </w:tc>
        <w:tc>
          <w:tcPr>
            <w:tcW w:w="1122" w:type="dxa"/>
          </w:tcPr>
          <w:p w14:paraId="66516775" w14:textId="77777777" w:rsidR="007C71D9" w:rsidRPr="00E448CD" w:rsidRDefault="007C71D9" w:rsidP="000766C3">
            <w:pPr>
              <w:rPr>
                <w:rFonts w:ascii="Arial" w:hAnsi="Arial" w:cs="Arial"/>
                <w:sz w:val="20"/>
                <w:szCs w:val="20"/>
              </w:rPr>
            </w:pPr>
            <w:r w:rsidRPr="00E448CD">
              <w:rPr>
                <w:rFonts w:ascii="Arial" w:hAnsi="Arial" w:cs="Arial"/>
                <w:sz w:val="20"/>
                <w:szCs w:val="20"/>
              </w:rPr>
              <w:t>0.33</w:t>
            </w:r>
          </w:p>
        </w:tc>
      </w:tr>
      <w:tr w:rsidR="007C71D9" w:rsidRPr="00E448CD" w14:paraId="3A0F20D0" w14:textId="77777777" w:rsidTr="000766C3">
        <w:trPr>
          <w:jc w:val="center"/>
        </w:trPr>
        <w:tc>
          <w:tcPr>
            <w:tcW w:w="910" w:type="dxa"/>
          </w:tcPr>
          <w:p w14:paraId="44C61F8A" w14:textId="77777777" w:rsidR="007C71D9" w:rsidRPr="00E448CD" w:rsidRDefault="007C71D9" w:rsidP="000766C3">
            <w:pPr>
              <w:rPr>
                <w:rFonts w:ascii="Arial" w:hAnsi="Arial" w:cs="Arial"/>
                <w:sz w:val="20"/>
                <w:szCs w:val="20"/>
              </w:rPr>
            </w:pPr>
            <w:r w:rsidRPr="00E448CD">
              <w:rPr>
                <w:rFonts w:ascii="Arial" w:hAnsi="Arial" w:cs="Arial"/>
                <w:sz w:val="20"/>
                <w:szCs w:val="20"/>
              </w:rPr>
              <w:t>FA4</w:t>
            </w:r>
          </w:p>
        </w:tc>
        <w:tc>
          <w:tcPr>
            <w:tcW w:w="899" w:type="dxa"/>
          </w:tcPr>
          <w:p w14:paraId="7FB4C6FF" w14:textId="77777777" w:rsidR="007C71D9" w:rsidRPr="00E448CD" w:rsidRDefault="007C71D9" w:rsidP="000766C3">
            <w:pPr>
              <w:rPr>
                <w:rFonts w:ascii="Arial" w:hAnsi="Arial" w:cs="Arial"/>
                <w:sz w:val="20"/>
                <w:szCs w:val="20"/>
              </w:rPr>
            </w:pPr>
            <w:r w:rsidRPr="00E448CD">
              <w:rPr>
                <w:rFonts w:ascii="Arial" w:hAnsi="Arial" w:cs="Arial"/>
                <w:sz w:val="20"/>
                <w:szCs w:val="20"/>
              </w:rPr>
              <w:t>270.10</w:t>
            </w:r>
          </w:p>
        </w:tc>
        <w:tc>
          <w:tcPr>
            <w:tcW w:w="737" w:type="dxa"/>
          </w:tcPr>
          <w:p w14:paraId="55432AFB" w14:textId="77777777" w:rsidR="007C71D9" w:rsidRPr="00E448CD" w:rsidRDefault="007C71D9" w:rsidP="000766C3">
            <w:pPr>
              <w:rPr>
                <w:rFonts w:ascii="Arial" w:hAnsi="Arial" w:cs="Arial"/>
                <w:sz w:val="20"/>
                <w:szCs w:val="20"/>
              </w:rPr>
            </w:pPr>
            <w:r w:rsidRPr="00E448CD">
              <w:rPr>
                <w:rFonts w:ascii="Arial" w:hAnsi="Arial" w:cs="Arial"/>
                <w:sz w:val="20"/>
                <w:szCs w:val="20"/>
              </w:rPr>
              <w:t>4</w:t>
            </w:r>
          </w:p>
        </w:tc>
        <w:tc>
          <w:tcPr>
            <w:tcW w:w="737" w:type="dxa"/>
          </w:tcPr>
          <w:p w14:paraId="0CD4D340"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5BB8FF96" w14:textId="77777777" w:rsidR="007C71D9" w:rsidRPr="00E448CD" w:rsidRDefault="007C71D9" w:rsidP="000766C3">
            <w:pPr>
              <w:rPr>
                <w:rFonts w:ascii="Arial" w:hAnsi="Arial" w:cs="Arial"/>
                <w:sz w:val="20"/>
                <w:szCs w:val="20"/>
              </w:rPr>
            </w:pPr>
            <w:r w:rsidRPr="00E448CD">
              <w:rPr>
                <w:rFonts w:ascii="Arial" w:hAnsi="Arial" w:cs="Arial"/>
                <w:sz w:val="20"/>
                <w:szCs w:val="20"/>
              </w:rPr>
              <w:t>2.13</w:t>
            </w:r>
          </w:p>
        </w:tc>
        <w:tc>
          <w:tcPr>
            <w:tcW w:w="1089" w:type="dxa"/>
          </w:tcPr>
          <w:p w14:paraId="63320651" w14:textId="77777777" w:rsidR="007C71D9" w:rsidRPr="00E448CD" w:rsidRDefault="007C71D9" w:rsidP="000766C3">
            <w:pPr>
              <w:rPr>
                <w:rFonts w:ascii="Arial" w:hAnsi="Arial" w:cs="Arial"/>
                <w:sz w:val="20"/>
                <w:szCs w:val="20"/>
              </w:rPr>
            </w:pPr>
            <w:r w:rsidRPr="00E448CD">
              <w:rPr>
                <w:rFonts w:ascii="Arial" w:hAnsi="Arial" w:cs="Arial"/>
                <w:sz w:val="20"/>
                <w:szCs w:val="20"/>
              </w:rPr>
              <w:t>56.81</w:t>
            </w:r>
          </w:p>
        </w:tc>
        <w:tc>
          <w:tcPr>
            <w:tcW w:w="1316" w:type="dxa"/>
          </w:tcPr>
          <w:p w14:paraId="11292FB0" w14:textId="77777777" w:rsidR="007C71D9" w:rsidRPr="00E448CD" w:rsidRDefault="007C71D9" w:rsidP="000766C3">
            <w:pPr>
              <w:rPr>
                <w:rFonts w:ascii="Arial" w:hAnsi="Arial" w:cs="Arial"/>
                <w:sz w:val="20"/>
                <w:szCs w:val="20"/>
              </w:rPr>
            </w:pPr>
            <w:r w:rsidRPr="00E448CD">
              <w:rPr>
                <w:rFonts w:ascii="Arial" w:hAnsi="Arial" w:cs="Arial"/>
                <w:sz w:val="20"/>
                <w:szCs w:val="20"/>
              </w:rPr>
              <w:t>273.15</w:t>
            </w:r>
          </w:p>
        </w:tc>
        <w:tc>
          <w:tcPr>
            <w:tcW w:w="1122" w:type="dxa"/>
          </w:tcPr>
          <w:p w14:paraId="741739BE" w14:textId="77777777" w:rsidR="007C71D9" w:rsidRPr="00E448CD" w:rsidRDefault="007C71D9" w:rsidP="000766C3">
            <w:pPr>
              <w:rPr>
                <w:rFonts w:ascii="Arial" w:hAnsi="Arial" w:cs="Arial"/>
                <w:sz w:val="20"/>
                <w:szCs w:val="20"/>
              </w:rPr>
            </w:pPr>
            <w:r w:rsidRPr="00E448CD">
              <w:rPr>
                <w:rFonts w:ascii="Arial" w:hAnsi="Arial" w:cs="Arial"/>
                <w:sz w:val="20"/>
                <w:szCs w:val="20"/>
              </w:rPr>
              <w:t>0.36</w:t>
            </w:r>
          </w:p>
        </w:tc>
      </w:tr>
      <w:tr w:rsidR="007C71D9" w:rsidRPr="00E448CD" w14:paraId="0071DE36" w14:textId="77777777" w:rsidTr="000766C3">
        <w:trPr>
          <w:jc w:val="center"/>
        </w:trPr>
        <w:tc>
          <w:tcPr>
            <w:tcW w:w="910" w:type="dxa"/>
          </w:tcPr>
          <w:p w14:paraId="716AAFE4" w14:textId="77777777" w:rsidR="007C71D9" w:rsidRPr="00E448CD" w:rsidRDefault="007C71D9" w:rsidP="000766C3">
            <w:pPr>
              <w:rPr>
                <w:rFonts w:ascii="Arial" w:hAnsi="Arial" w:cs="Arial"/>
                <w:sz w:val="20"/>
                <w:szCs w:val="20"/>
              </w:rPr>
            </w:pPr>
            <w:r w:rsidRPr="00E448CD">
              <w:rPr>
                <w:rFonts w:ascii="Arial" w:hAnsi="Arial" w:cs="Arial"/>
                <w:sz w:val="20"/>
                <w:szCs w:val="20"/>
              </w:rPr>
              <w:t>FA5</w:t>
            </w:r>
          </w:p>
        </w:tc>
        <w:tc>
          <w:tcPr>
            <w:tcW w:w="899" w:type="dxa"/>
          </w:tcPr>
          <w:p w14:paraId="24EA9FFC" w14:textId="77777777" w:rsidR="007C71D9" w:rsidRPr="00E448CD" w:rsidRDefault="007C71D9" w:rsidP="000766C3">
            <w:pPr>
              <w:rPr>
                <w:rFonts w:ascii="Arial" w:hAnsi="Arial" w:cs="Arial"/>
                <w:sz w:val="20"/>
                <w:szCs w:val="20"/>
              </w:rPr>
            </w:pPr>
            <w:r w:rsidRPr="00E448CD">
              <w:rPr>
                <w:rFonts w:ascii="Arial" w:hAnsi="Arial" w:cs="Arial"/>
                <w:sz w:val="20"/>
                <w:szCs w:val="20"/>
              </w:rPr>
              <w:t>270.10</w:t>
            </w:r>
          </w:p>
        </w:tc>
        <w:tc>
          <w:tcPr>
            <w:tcW w:w="737" w:type="dxa"/>
          </w:tcPr>
          <w:p w14:paraId="58085E96" w14:textId="77777777" w:rsidR="007C71D9" w:rsidRPr="00E448CD" w:rsidRDefault="007C71D9" w:rsidP="000766C3">
            <w:pPr>
              <w:rPr>
                <w:rFonts w:ascii="Arial" w:hAnsi="Arial" w:cs="Arial"/>
                <w:sz w:val="20"/>
                <w:szCs w:val="20"/>
              </w:rPr>
            </w:pPr>
            <w:r w:rsidRPr="00E448CD">
              <w:rPr>
                <w:rFonts w:ascii="Arial" w:hAnsi="Arial" w:cs="Arial"/>
                <w:sz w:val="20"/>
                <w:szCs w:val="20"/>
              </w:rPr>
              <w:t>4</w:t>
            </w:r>
          </w:p>
        </w:tc>
        <w:tc>
          <w:tcPr>
            <w:tcW w:w="737" w:type="dxa"/>
          </w:tcPr>
          <w:p w14:paraId="54218ABD"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25D4643B" w14:textId="77777777" w:rsidR="007C71D9" w:rsidRPr="00E448CD" w:rsidRDefault="007C71D9" w:rsidP="000766C3">
            <w:pPr>
              <w:rPr>
                <w:rFonts w:ascii="Arial" w:hAnsi="Arial" w:cs="Arial"/>
                <w:sz w:val="20"/>
                <w:szCs w:val="20"/>
              </w:rPr>
            </w:pPr>
            <w:r w:rsidRPr="00E448CD">
              <w:rPr>
                <w:rFonts w:ascii="Arial" w:hAnsi="Arial" w:cs="Arial"/>
                <w:sz w:val="20"/>
                <w:szCs w:val="20"/>
              </w:rPr>
              <w:t>2.02</w:t>
            </w:r>
          </w:p>
        </w:tc>
        <w:tc>
          <w:tcPr>
            <w:tcW w:w="1089" w:type="dxa"/>
          </w:tcPr>
          <w:p w14:paraId="6015F0AA" w14:textId="77777777" w:rsidR="007C71D9" w:rsidRPr="00E448CD" w:rsidRDefault="007C71D9" w:rsidP="000766C3">
            <w:pPr>
              <w:rPr>
                <w:rFonts w:ascii="Arial" w:hAnsi="Arial" w:cs="Arial"/>
                <w:sz w:val="20"/>
                <w:szCs w:val="20"/>
              </w:rPr>
            </w:pPr>
            <w:r w:rsidRPr="00E448CD">
              <w:rPr>
                <w:rFonts w:ascii="Arial" w:hAnsi="Arial" w:cs="Arial"/>
                <w:sz w:val="20"/>
                <w:szCs w:val="20"/>
              </w:rPr>
              <w:t>56.72</w:t>
            </w:r>
          </w:p>
        </w:tc>
        <w:tc>
          <w:tcPr>
            <w:tcW w:w="1316" w:type="dxa"/>
          </w:tcPr>
          <w:p w14:paraId="44BEA3AB" w14:textId="77777777" w:rsidR="007C71D9" w:rsidRPr="00E448CD" w:rsidRDefault="007C71D9" w:rsidP="000766C3">
            <w:pPr>
              <w:rPr>
                <w:rFonts w:ascii="Arial" w:hAnsi="Arial" w:cs="Arial"/>
                <w:sz w:val="20"/>
                <w:szCs w:val="20"/>
              </w:rPr>
            </w:pPr>
            <w:r w:rsidRPr="00E448CD">
              <w:rPr>
                <w:rFonts w:ascii="Arial" w:hAnsi="Arial" w:cs="Arial"/>
                <w:sz w:val="20"/>
                <w:szCs w:val="20"/>
              </w:rPr>
              <w:t>272.98</w:t>
            </w:r>
          </w:p>
        </w:tc>
        <w:tc>
          <w:tcPr>
            <w:tcW w:w="1122" w:type="dxa"/>
          </w:tcPr>
          <w:p w14:paraId="60999EE7" w14:textId="77777777" w:rsidR="007C71D9" w:rsidRPr="00E448CD" w:rsidRDefault="007C71D9" w:rsidP="000766C3">
            <w:pPr>
              <w:rPr>
                <w:rFonts w:ascii="Arial" w:hAnsi="Arial" w:cs="Arial"/>
                <w:sz w:val="20"/>
                <w:szCs w:val="20"/>
              </w:rPr>
            </w:pPr>
            <w:r w:rsidRPr="00E448CD">
              <w:rPr>
                <w:rFonts w:ascii="Arial" w:hAnsi="Arial" w:cs="Arial"/>
                <w:sz w:val="20"/>
                <w:szCs w:val="20"/>
              </w:rPr>
              <w:t>0.33</w:t>
            </w:r>
          </w:p>
        </w:tc>
      </w:tr>
      <w:tr w:rsidR="007C71D9" w:rsidRPr="00E448CD" w14:paraId="33A13AB9" w14:textId="77777777" w:rsidTr="000766C3">
        <w:trPr>
          <w:jc w:val="center"/>
        </w:trPr>
        <w:tc>
          <w:tcPr>
            <w:tcW w:w="910" w:type="dxa"/>
          </w:tcPr>
          <w:p w14:paraId="2B666C60" w14:textId="77777777" w:rsidR="007C71D9" w:rsidRPr="00E448CD" w:rsidRDefault="007C71D9" w:rsidP="000766C3">
            <w:pPr>
              <w:rPr>
                <w:rFonts w:ascii="Arial" w:hAnsi="Arial" w:cs="Arial"/>
                <w:sz w:val="20"/>
                <w:szCs w:val="20"/>
              </w:rPr>
            </w:pPr>
            <w:r w:rsidRPr="00E448CD">
              <w:rPr>
                <w:rFonts w:ascii="Arial" w:hAnsi="Arial" w:cs="Arial"/>
                <w:sz w:val="20"/>
                <w:szCs w:val="20"/>
              </w:rPr>
              <w:t>FA6</w:t>
            </w:r>
          </w:p>
        </w:tc>
        <w:tc>
          <w:tcPr>
            <w:tcW w:w="899" w:type="dxa"/>
          </w:tcPr>
          <w:p w14:paraId="13585F8B" w14:textId="77777777" w:rsidR="007C71D9" w:rsidRPr="00E448CD" w:rsidRDefault="007C71D9" w:rsidP="000766C3">
            <w:pPr>
              <w:rPr>
                <w:rFonts w:ascii="Arial" w:hAnsi="Arial" w:cs="Arial"/>
                <w:sz w:val="20"/>
                <w:szCs w:val="20"/>
              </w:rPr>
            </w:pPr>
            <w:r w:rsidRPr="00E448CD">
              <w:rPr>
                <w:rFonts w:ascii="Arial" w:hAnsi="Arial" w:cs="Arial"/>
                <w:sz w:val="20"/>
                <w:szCs w:val="20"/>
              </w:rPr>
              <w:t>329.09</w:t>
            </w:r>
          </w:p>
        </w:tc>
        <w:tc>
          <w:tcPr>
            <w:tcW w:w="737" w:type="dxa"/>
          </w:tcPr>
          <w:p w14:paraId="40560D1C" w14:textId="77777777" w:rsidR="007C71D9" w:rsidRPr="00E448CD" w:rsidRDefault="007C71D9" w:rsidP="000766C3">
            <w:pPr>
              <w:rPr>
                <w:rFonts w:ascii="Arial" w:hAnsi="Arial" w:cs="Arial"/>
                <w:sz w:val="20"/>
                <w:szCs w:val="20"/>
              </w:rPr>
            </w:pPr>
            <w:r w:rsidRPr="00E448CD">
              <w:rPr>
                <w:rFonts w:ascii="Arial" w:hAnsi="Arial" w:cs="Arial"/>
                <w:sz w:val="20"/>
                <w:szCs w:val="20"/>
              </w:rPr>
              <w:t>6</w:t>
            </w:r>
          </w:p>
        </w:tc>
        <w:tc>
          <w:tcPr>
            <w:tcW w:w="737" w:type="dxa"/>
          </w:tcPr>
          <w:p w14:paraId="4041B072" w14:textId="77777777" w:rsidR="007C71D9" w:rsidRPr="00E448CD" w:rsidRDefault="007C71D9" w:rsidP="000766C3">
            <w:pPr>
              <w:rPr>
                <w:rFonts w:ascii="Arial" w:hAnsi="Arial" w:cs="Arial"/>
                <w:sz w:val="20"/>
                <w:szCs w:val="20"/>
              </w:rPr>
            </w:pPr>
            <w:r w:rsidRPr="00E448CD">
              <w:rPr>
                <w:rFonts w:ascii="Arial" w:hAnsi="Arial" w:cs="Arial"/>
                <w:sz w:val="20"/>
                <w:szCs w:val="20"/>
              </w:rPr>
              <w:t>4</w:t>
            </w:r>
          </w:p>
        </w:tc>
        <w:tc>
          <w:tcPr>
            <w:tcW w:w="1176" w:type="dxa"/>
          </w:tcPr>
          <w:p w14:paraId="331AC94D" w14:textId="77777777" w:rsidR="007C71D9" w:rsidRPr="00E448CD" w:rsidRDefault="007C71D9" w:rsidP="000766C3">
            <w:pPr>
              <w:rPr>
                <w:rFonts w:ascii="Arial" w:hAnsi="Arial" w:cs="Arial"/>
                <w:sz w:val="20"/>
                <w:szCs w:val="20"/>
              </w:rPr>
            </w:pPr>
            <w:r w:rsidRPr="00E448CD">
              <w:rPr>
                <w:rFonts w:ascii="Arial" w:hAnsi="Arial" w:cs="Arial"/>
                <w:sz w:val="20"/>
                <w:szCs w:val="20"/>
              </w:rPr>
              <w:t>3.12</w:t>
            </w:r>
          </w:p>
        </w:tc>
        <w:tc>
          <w:tcPr>
            <w:tcW w:w="1089" w:type="dxa"/>
          </w:tcPr>
          <w:p w14:paraId="25A9582E" w14:textId="77777777" w:rsidR="007C71D9" w:rsidRPr="00E448CD" w:rsidRDefault="007C71D9" w:rsidP="000766C3">
            <w:pPr>
              <w:rPr>
                <w:rFonts w:ascii="Arial" w:hAnsi="Arial" w:cs="Arial"/>
                <w:sz w:val="20"/>
                <w:szCs w:val="20"/>
              </w:rPr>
            </w:pPr>
            <w:r w:rsidRPr="00E448CD">
              <w:rPr>
                <w:rFonts w:ascii="Arial" w:hAnsi="Arial" w:cs="Arial"/>
                <w:sz w:val="20"/>
                <w:szCs w:val="20"/>
              </w:rPr>
              <w:t>92.25</w:t>
            </w:r>
          </w:p>
        </w:tc>
        <w:tc>
          <w:tcPr>
            <w:tcW w:w="1316" w:type="dxa"/>
          </w:tcPr>
          <w:p w14:paraId="6CA8A1F1" w14:textId="77777777" w:rsidR="007C71D9" w:rsidRPr="00E448CD" w:rsidRDefault="007C71D9" w:rsidP="000766C3">
            <w:pPr>
              <w:rPr>
                <w:rFonts w:ascii="Arial" w:hAnsi="Arial" w:cs="Arial"/>
                <w:sz w:val="20"/>
                <w:szCs w:val="20"/>
              </w:rPr>
            </w:pPr>
            <w:r w:rsidRPr="00E448CD">
              <w:rPr>
                <w:rFonts w:ascii="Arial" w:hAnsi="Arial" w:cs="Arial"/>
                <w:sz w:val="20"/>
                <w:szCs w:val="20"/>
              </w:rPr>
              <w:t>322.04</w:t>
            </w:r>
          </w:p>
        </w:tc>
        <w:tc>
          <w:tcPr>
            <w:tcW w:w="1122" w:type="dxa"/>
          </w:tcPr>
          <w:p w14:paraId="1C599476" w14:textId="77777777" w:rsidR="007C71D9" w:rsidRPr="00E448CD" w:rsidRDefault="007C71D9" w:rsidP="000766C3">
            <w:pPr>
              <w:rPr>
                <w:rFonts w:ascii="Arial" w:hAnsi="Arial" w:cs="Arial"/>
                <w:sz w:val="20"/>
                <w:szCs w:val="20"/>
              </w:rPr>
            </w:pPr>
            <w:r w:rsidRPr="00E448CD">
              <w:rPr>
                <w:rFonts w:ascii="Arial" w:hAnsi="Arial" w:cs="Arial"/>
                <w:sz w:val="20"/>
                <w:szCs w:val="20"/>
              </w:rPr>
              <w:t>0.72</w:t>
            </w:r>
          </w:p>
        </w:tc>
      </w:tr>
      <w:tr w:rsidR="007C71D9" w:rsidRPr="00E448CD" w14:paraId="32874632" w14:textId="77777777" w:rsidTr="000766C3">
        <w:trPr>
          <w:jc w:val="center"/>
        </w:trPr>
        <w:tc>
          <w:tcPr>
            <w:tcW w:w="910" w:type="dxa"/>
          </w:tcPr>
          <w:p w14:paraId="4B56AC77" w14:textId="77777777" w:rsidR="007C71D9" w:rsidRPr="00E448CD" w:rsidRDefault="007C71D9" w:rsidP="000766C3">
            <w:pPr>
              <w:rPr>
                <w:rFonts w:ascii="Arial" w:hAnsi="Arial" w:cs="Arial"/>
                <w:sz w:val="20"/>
                <w:szCs w:val="20"/>
              </w:rPr>
            </w:pPr>
            <w:r w:rsidRPr="00E448CD">
              <w:rPr>
                <w:rFonts w:ascii="Arial" w:hAnsi="Arial" w:cs="Arial"/>
                <w:sz w:val="20"/>
                <w:szCs w:val="20"/>
              </w:rPr>
              <w:t>FA7</w:t>
            </w:r>
          </w:p>
        </w:tc>
        <w:tc>
          <w:tcPr>
            <w:tcW w:w="899" w:type="dxa"/>
          </w:tcPr>
          <w:p w14:paraId="5723223A" w14:textId="77777777" w:rsidR="007C71D9" w:rsidRPr="00E448CD" w:rsidRDefault="007C71D9" w:rsidP="000766C3">
            <w:pPr>
              <w:rPr>
                <w:rFonts w:ascii="Arial" w:hAnsi="Arial" w:cs="Arial"/>
                <w:sz w:val="20"/>
                <w:szCs w:val="20"/>
              </w:rPr>
            </w:pPr>
            <w:r w:rsidRPr="00E448CD">
              <w:rPr>
                <w:rFonts w:ascii="Arial" w:hAnsi="Arial" w:cs="Arial"/>
                <w:sz w:val="20"/>
                <w:szCs w:val="20"/>
              </w:rPr>
              <w:t>299.12</w:t>
            </w:r>
          </w:p>
        </w:tc>
        <w:tc>
          <w:tcPr>
            <w:tcW w:w="737" w:type="dxa"/>
          </w:tcPr>
          <w:p w14:paraId="79E4F278" w14:textId="77777777" w:rsidR="007C71D9" w:rsidRPr="00E448CD" w:rsidRDefault="007C71D9" w:rsidP="000766C3">
            <w:pPr>
              <w:rPr>
                <w:rFonts w:ascii="Arial" w:hAnsi="Arial" w:cs="Arial"/>
                <w:sz w:val="20"/>
                <w:szCs w:val="20"/>
              </w:rPr>
            </w:pPr>
            <w:r w:rsidRPr="00E448CD">
              <w:rPr>
                <w:rFonts w:ascii="Arial" w:hAnsi="Arial" w:cs="Arial"/>
                <w:sz w:val="20"/>
                <w:szCs w:val="20"/>
              </w:rPr>
              <w:t>4</w:t>
            </w:r>
          </w:p>
        </w:tc>
        <w:tc>
          <w:tcPr>
            <w:tcW w:w="737" w:type="dxa"/>
          </w:tcPr>
          <w:p w14:paraId="5F36D8E8"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562C2B19" w14:textId="77777777" w:rsidR="007C71D9" w:rsidRPr="00E448CD" w:rsidRDefault="007C71D9" w:rsidP="000766C3">
            <w:pPr>
              <w:rPr>
                <w:rFonts w:ascii="Arial" w:hAnsi="Arial" w:cs="Arial"/>
                <w:sz w:val="20"/>
                <w:szCs w:val="20"/>
              </w:rPr>
            </w:pPr>
            <w:r w:rsidRPr="00E448CD">
              <w:rPr>
                <w:rFonts w:ascii="Arial" w:hAnsi="Arial" w:cs="Arial"/>
                <w:sz w:val="20"/>
                <w:szCs w:val="20"/>
              </w:rPr>
              <w:t>2.25</w:t>
            </w:r>
          </w:p>
        </w:tc>
        <w:tc>
          <w:tcPr>
            <w:tcW w:w="1089" w:type="dxa"/>
          </w:tcPr>
          <w:p w14:paraId="777E50B8" w14:textId="77777777" w:rsidR="007C71D9" w:rsidRPr="00E448CD" w:rsidRDefault="007C71D9" w:rsidP="000766C3">
            <w:pPr>
              <w:rPr>
                <w:rFonts w:ascii="Arial" w:hAnsi="Arial" w:cs="Arial"/>
                <w:sz w:val="20"/>
                <w:szCs w:val="20"/>
              </w:rPr>
            </w:pPr>
            <w:r w:rsidRPr="00E448CD">
              <w:rPr>
                <w:rFonts w:ascii="Arial" w:hAnsi="Arial" w:cs="Arial"/>
                <w:sz w:val="20"/>
                <w:szCs w:val="20"/>
              </w:rPr>
              <w:t>54.23</w:t>
            </w:r>
          </w:p>
        </w:tc>
        <w:tc>
          <w:tcPr>
            <w:tcW w:w="1316" w:type="dxa"/>
          </w:tcPr>
          <w:p w14:paraId="43EB9F99" w14:textId="77777777" w:rsidR="007C71D9" w:rsidRPr="00E448CD" w:rsidRDefault="007C71D9" w:rsidP="000766C3">
            <w:pPr>
              <w:rPr>
                <w:rFonts w:ascii="Arial" w:hAnsi="Arial" w:cs="Arial"/>
                <w:sz w:val="20"/>
                <w:szCs w:val="20"/>
              </w:rPr>
            </w:pPr>
            <w:r w:rsidRPr="00E448CD">
              <w:rPr>
                <w:rFonts w:ascii="Arial" w:hAnsi="Arial" w:cs="Arial"/>
                <w:sz w:val="20"/>
                <w:szCs w:val="20"/>
              </w:rPr>
              <w:t>309.92</w:t>
            </w:r>
          </w:p>
        </w:tc>
        <w:tc>
          <w:tcPr>
            <w:tcW w:w="1122" w:type="dxa"/>
          </w:tcPr>
          <w:p w14:paraId="41569B0E" w14:textId="77777777" w:rsidR="007C71D9" w:rsidRPr="00E448CD" w:rsidRDefault="007C71D9" w:rsidP="000766C3">
            <w:pPr>
              <w:rPr>
                <w:rFonts w:ascii="Arial" w:hAnsi="Arial" w:cs="Arial"/>
                <w:sz w:val="20"/>
                <w:szCs w:val="20"/>
              </w:rPr>
            </w:pPr>
            <w:r w:rsidRPr="00E448CD">
              <w:rPr>
                <w:rFonts w:ascii="Arial" w:hAnsi="Arial" w:cs="Arial"/>
                <w:sz w:val="20"/>
                <w:szCs w:val="20"/>
              </w:rPr>
              <w:t>-0.23</w:t>
            </w:r>
          </w:p>
        </w:tc>
      </w:tr>
      <w:tr w:rsidR="007C71D9" w:rsidRPr="00E448CD" w14:paraId="312DC480" w14:textId="77777777" w:rsidTr="000766C3">
        <w:trPr>
          <w:jc w:val="center"/>
        </w:trPr>
        <w:tc>
          <w:tcPr>
            <w:tcW w:w="910" w:type="dxa"/>
          </w:tcPr>
          <w:p w14:paraId="0A9CCB67" w14:textId="77777777" w:rsidR="007C71D9" w:rsidRPr="00E448CD" w:rsidRDefault="007C71D9" w:rsidP="000766C3">
            <w:pPr>
              <w:rPr>
                <w:rFonts w:ascii="Arial" w:hAnsi="Arial" w:cs="Arial"/>
                <w:sz w:val="20"/>
                <w:szCs w:val="20"/>
              </w:rPr>
            </w:pPr>
            <w:r w:rsidRPr="00E448CD">
              <w:rPr>
                <w:rFonts w:ascii="Arial" w:hAnsi="Arial" w:cs="Arial"/>
                <w:sz w:val="20"/>
                <w:szCs w:val="20"/>
              </w:rPr>
              <w:t>FA8</w:t>
            </w:r>
          </w:p>
        </w:tc>
        <w:tc>
          <w:tcPr>
            <w:tcW w:w="899" w:type="dxa"/>
          </w:tcPr>
          <w:p w14:paraId="3C33DCB9" w14:textId="77777777" w:rsidR="007C71D9" w:rsidRPr="00E448CD" w:rsidRDefault="007C71D9" w:rsidP="000766C3">
            <w:pPr>
              <w:rPr>
                <w:rFonts w:ascii="Arial" w:hAnsi="Arial" w:cs="Arial"/>
                <w:sz w:val="20"/>
                <w:szCs w:val="20"/>
              </w:rPr>
            </w:pPr>
            <w:r w:rsidRPr="00E448CD">
              <w:rPr>
                <w:rFonts w:ascii="Arial" w:hAnsi="Arial" w:cs="Arial"/>
                <w:sz w:val="20"/>
                <w:szCs w:val="20"/>
              </w:rPr>
              <w:t>299.12</w:t>
            </w:r>
          </w:p>
        </w:tc>
        <w:tc>
          <w:tcPr>
            <w:tcW w:w="737" w:type="dxa"/>
          </w:tcPr>
          <w:p w14:paraId="2CA788CA" w14:textId="77777777" w:rsidR="007C71D9" w:rsidRPr="00E448CD" w:rsidRDefault="007C71D9" w:rsidP="000766C3">
            <w:pPr>
              <w:rPr>
                <w:rFonts w:ascii="Arial" w:hAnsi="Arial" w:cs="Arial"/>
                <w:sz w:val="20"/>
                <w:szCs w:val="20"/>
              </w:rPr>
            </w:pPr>
            <w:r w:rsidRPr="00E448CD">
              <w:rPr>
                <w:rFonts w:ascii="Arial" w:hAnsi="Arial" w:cs="Arial"/>
                <w:sz w:val="20"/>
                <w:szCs w:val="20"/>
              </w:rPr>
              <w:t>4</w:t>
            </w:r>
          </w:p>
        </w:tc>
        <w:tc>
          <w:tcPr>
            <w:tcW w:w="737" w:type="dxa"/>
          </w:tcPr>
          <w:p w14:paraId="32377038"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13D8EF16" w14:textId="77777777" w:rsidR="007C71D9" w:rsidRPr="00E448CD" w:rsidRDefault="007C71D9" w:rsidP="000766C3">
            <w:pPr>
              <w:rPr>
                <w:rFonts w:ascii="Arial" w:hAnsi="Arial" w:cs="Arial"/>
                <w:sz w:val="20"/>
                <w:szCs w:val="20"/>
              </w:rPr>
            </w:pPr>
            <w:r w:rsidRPr="00E448CD">
              <w:rPr>
                <w:rFonts w:ascii="Arial" w:hAnsi="Arial" w:cs="Arial"/>
                <w:sz w:val="20"/>
                <w:szCs w:val="20"/>
              </w:rPr>
              <w:t>3.17</w:t>
            </w:r>
          </w:p>
        </w:tc>
        <w:tc>
          <w:tcPr>
            <w:tcW w:w="1089" w:type="dxa"/>
          </w:tcPr>
          <w:p w14:paraId="0458D133" w14:textId="77777777" w:rsidR="007C71D9" w:rsidRPr="00E448CD" w:rsidRDefault="007C71D9" w:rsidP="000766C3">
            <w:pPr>
              <w:rPr>
                <w:rFonts w:ascii="Arial" w:hAnsi="Arial" w:cs="Arial"/>
                <w:sz w:val="20"/>
                <w:szCs w:val="20"/>
              </w:rPr>
            </w:pPr>
            <w:r w:rsidRPr="00E448CD">
              <w:rPr>
                <w:rFonts w:ascii="Arial" w:hAnsi="Arial" w:cs="Arial"/>
                <w:sz w:val="20"/>
                <w:szCs w:val="20"/>
              </w:rPr>
              <w:t>54.84</w:t>
            </w:r>
          </w:p>
        </w:tc>
        <w:tc>
          <w:tcPr>
            <w:tcW w:w="1316" w:type="dxa"/>
          </w:tcPr>
          <w:p w14:paraId="5E5E3976" w14:textId="77777777" w:rsidR="007C71D9" w:rsidRPr="00E448CD" w:rsidRDefault="007C71D9" w:rsidP="000766C3">
            <w:pPr>
              <w:rPr>
                <w:rFonts w:ascii="Arial" w:hAnsi="Arial" w:cs="Arial"/>
                <w:sz w:val="20"/>
                <w:szCs w:val="20"/>
              </w:rPr>
            </w:pPr>
            <w:r w:rsidRPr="00E448CD">
              <w:rPr>
                <w:rFonts w:ascii="Arial" w:hAnsi="Arial" w:cs="Arial"/>
                <w:sz w:val="20"/>
                <w:szCs w:val="20"/>
              </w:rPr>
              <w:t>309.60</w:t>
            </w:r>
          </w:p>
        </w:tc>
        <w:tc>
          <w:tcPr>
            <w:tcW w:w="1122" w:type="dxa"/>
          </w:tcPr>
          <w:p w14:paraId="5FCF5CF3" w14:textId="77777777" w:rsidR="007C71D9" w:rsidRPr="00E448CD" w:rsidRDefault="007C71D9" w:rsidP="000766C3">
            <w:pPr>
              <w:rPr>
                <w:rFonts w:ascii="Arial" w:hAnsi="Arial" w:cs="Arial"/>
                <w:sz w:val="20"/>
                <w:szCs w:val="20"/>
              </w:rPr>
            </w:pPr>
            <w:r w:rsidRPr="00E448CD">
              <w:rPr>
                <w:rFonts w:ascii="Arial" w:hAnsi="Arial" w:cs="Arial"/>
                <w:sz w:val="20"/>
                <w:szCs w:val="20"/>
              </w:rPr>
              <w:t>-0.29</w:t>
            </w:r>
          </w:p>
        </w:tc>
      </w:tr>
      <w:tr w:rsidR="007C71D9" w:rsidRPr="00E448CD" w14:paraId="415264A3" w14:textId="77777777" w:rsidTr="000766C3">
        <w:trPr>
          <w:jc w:val="center"/>
        </w:trPr>
        <w:tc>
          <w:tcPr>
            <w:tcW w:w="910" w:type="dxa"/>
          </w:tcPr>
          <w:p w14:paraId="43D81D65" w14:textId="77777777" w:rsidR="007C71D9" w:rsidRPr="00E448CD" w:rsidRDefault="007C71D9" w:rsidP="000766C3">
            <w:pPr>
              <w:rPr>
                <w:rFonts w:ascii="Arial" w:hAnsi="Arial" w:cs="Arial"/>
                <w:sz w:val="20"/>
                <w:szCs w:val="20"/>
              </w:rPr>
            </w:pPr>
            <w:r w:rsidRPr="00E448CD">
              <w:rPr>
                <w:rFonts w:ascii="Arial" w:hAnsi="Arial" w:cs="Arial"/>
                <w:sz w:val="20"/>
                <w:szCs w:val="20"/>
              </w:rPr>
              <w:t>FA9</w:t>
            </w:r>
          </w:p>
        </w:tc>
        <w:tc>
          <w:tcPr>
            <w:tcW w:w="899" w:type="dxa"/>
          </w:tcPr>
          <w:p w14:paraId="54EC7CB0" w14:textId="77777777" w:rsidR="007C71D9" w:rsidRPr="00E448CD" w:rsidRDefault="007C71D9" w:rsidP="000766C3">
            <w:pPr>
              <w:rPr>
                <w:rFonts w:ascii="Arial" w:hAnsi="Arial" w:cs="Arial"/>
                <w:sz w:val="20"/>
                <w:szCs w:val="20"/>
              </w:rPr>
            </w:pPr>
            <w:r w:rsidRPr="00E448CD">
              <w:rPr>
                <w:rFonts w:ascii="Arial" w:hAnsi="Arial" w:cs="Arial"/>
                <w:sz w:val="20"/>
                <w:szCs w:val="20"/>
              </w:rPr>
              <w:t>299.12</w:t>
            </w:r>
          </w:p>
        </w:tc>
        <w:tc>
          <w:tcPr>
            <w:tcW w:w="737" w:type="dxa"/>
          </w:tcPr>
          <w:p w14:paraId="0F785358" w14:textId="77777777" w:rsidR="007C71D9" w:rsidRPr="00E448CD" w:rsidRDefault="007C71D9" w:rsidP="000766C3">
            <w:pPr>
              <w:rPr>
                <w:rFonts w:ascii="Arial" w:hAnsi="Arial" w:cs="Arial"/>
                <w:sz w:val="20"/>
                <w:szCs w:val="20"/>
              </w:rPr>
            </w:pPr>
            <w:r w:rsidRPr="00E448CD">
              <w:rPr>
                <w:rFonts w:ascii="Arial" w:hAnsi="Arial" w:cs="Arial"/>
                <w:sz w:val="20"/>
                <w:szCs w:val="20"/>
              </w:rPr>
              <w:t>4</w:t>
            </w:r>
          </w:p>
        </w:tc>
        <w:tc>
          <w:tcPr>
            <w:tcW w:w="737" w:type="dxa"/>
          </w:tcPr>
          <w:p w14:paraId="1621FD8F"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31091F55" w14:textId="77777777" w:rsidR="007C71D9" w:rsidRPr="00E448CD" w:rsidRDefault="007C71D9" w:rsidP="000766C3">
            <w:pPr>
              <w:rPr>
                <w:rFonts w:ascii="Arial" w:hAnsi="Arial" w:cs="Arial"/>
                <w:sz w:val="20"/>
                <w:szCs w:val="20"/>
              </w:rPr>
            </w:pPr>
            <w:r w:rsidRPr="00E448CD">
              <w:rPr>
                <w:rFonts w:ascii="Arial" w:hAnsi="Arial" w:cs="Arial"/>
                <w:sz w:val="20"/>
                <w:szCs w:val="20"/>
              </w:rPr>
              <w:t>3.05</w:t>
            </w:r>
          </w:p>
        </w:tc>
        <w:tc>
          <w:tcPr>
            <w:tcW w:w="1089" w:type="dxa"/>
          </w:tcPr>
          <w:p w14:paraId="4603C530" w14:textId="77777777" w:rsidR="007C71D9" w:rsidRPr="00E448CD" w:rsidRDefault="007C71D9" w:rsidP="000766C3">
            <w:pPr>
              <w:rPr>
                <w:rFonts w:ascii="Arial" w:hAnsi="Arial" w:cs="Arial"/>
                <w:sz w:val="20"/>
                <w:szCs w:val="20"/>
              </w:rPr>
            </w:pPr>
            <w:r w:rsidRPr="00E448CD">
              <w:rPr>
                <w:rFonts w:ascii="Arial" w:hAnsi="Arial" w:cs="Arial"/>
                <w:sz w:val="20"/>
                <w:szCs w:val="20"/>
              </w:rPr>
              <w:t>54.84</w:t>
            </w:r>
          </w:p>
        </w:tc>
        <w:tc>
          <w:tcPr>
            <w:tcW w:w="1316" w:type="dxa"/>
          </w:tcPr>
          <w:p w14:paraId="19B09CF4" w14:textId="77777777" w:rsidR="007C71D9" w:rsidRPr="00E448CD" w:rsidRDefault="007C71D9" w:rsidP="000766C3">
            <w:pPr>
              <w:rPr>
                <w:rFonts w:ascii="Arial" w:hAnsi="Arial" w:cs="Arial"/>
                <w:sz w:val="20"/>
                <w:szCs w:val="20"/>
              </w:rPr>
            </w:pPr>
            <w:r w:rsidRPr="00E448CD">
              <w:rPr>
                <w:rFonts w:ascii="Arial" w:hAnsi="Arial" w:cs="Arial"/>
                <w:sz w:val="20"/>
                <w:szCs w:val="20"/>
              </w:rPr>
              <w:t>309.53</w:t>
            </w:r>
          </w:p>
        </w:tc>
        <w:tc>
          <w:tcPr>
            <w:tcW w:w="1122" w:type="dxa"/>
          </w:tcPr>
          <w:p w14:paraId="2782004D" w14:textId="77777777" w:rsidR="007C71D9" w:rsidRPr="00E448CD" w:rsidRDefault="007C71D9" w:rsidP="000766C3">
            <w:pPr>
              <w:rPr>
                <w:rFonts w:ascii="Arial" w:hAnsi="Arial" w:cs="Arial"/>
                <w:sz w:val="20"/>
                <w:szCs w:val="20"/>
              </w:rPr>
            </w:pPr>
            <w:r w:rsidRPr="00E448CD">
              <w:rPr>
                <w:rFonts w:ascii="Arial" w:hAnsi="Arial" w:cs="Arial"/>
                <w:sz w:val="20"/>
                <w:szCs w:val="20"/>
              </w:rPr>
              <w:t>-0.08</w:t>
            </w:r>
          </w:p>
        </w:tc>
      </w:tr>
      <w:tr w:rsidR="007C71D9" w:rsidRPr="00E448CD" w14:paraId="7EFE5A77" w14:textId="77777777" w:rsidTr="000766C3">
        <w:trPr>
          <w:jc w:val="center"/>
        </w:trPr>
        <w:tc>
          <w:tcPr>
            <w:tcW w:w="910" w:type="dxa"/>
          </w:tcPr>
          <w:p w14:paraId="10EB92D1" w14:textId="77777777" w:rsidR="007C71D9" w:rsidRPr="00E448CD" w:rsidRDefault="007C71D9" w:rsidP="000766C3">
            <w:pPr>
              <w:rPr>
                <w:rFonts w:ascii="Arial" w:hAnsi="Arial" w:cs="Arial"/>
                <w:sz w:val="20"/>
                <w:szCs w:val="20"/>
              </w:rPr>
            </w:pPr>
            <w:r w:rsidRPr="00E448CD">
              <w:rPr>
                <w:rFonts w:ascii="Arial" w:hAnsi="Arial" w:cs="Arial"/>
                <w:sz w:val="20"/>
                <w:szCs w:val="20"/>
              </w:rPr>
              <w:t>FA10</w:t>
            </w:r>
          </w:p>
        </w:tc>
        <w:tc>
          <w:tcPr>
            <w:tcW w:w="899" w:type="dxa"/>
          </w:tcPr>
          <w:p w14:paraId="386C07FC" w14:textId="77777777" w:rsidR="007C71D9" w:rsidRPr="00E448CD" w:rsidRDefault="007C71D9" w:rsidP="000766C3">
            <w:pPr>
              <w:rPr>
                <w:rFonts w:ascii="Arial" w:hAnsi="Arial" w:cs="Arial"/>
                <w:sz w:val="20"/>
                <w:szCs w:val="20"/>
              </w:rPr>
            </w:pPr>
            <w:r w:rsidRPr="00E448CD">
              <w:rPr>
                <w:rFonts w:ascii="Arial" w:hAnsi="Arial" w:cs="Arial"/>
                <w:sz w:val="20"/>
                <w:szCs w:val="20"/>
              </w:rPr>
              <w:t>347.02</w:t>
            </w:r>
          </w:p>
        </w:tc>
        <w:tc>
          <w:tcPr>
            <w:tcW w:w="737" w:type="dxa"/>
          </w:tcPr>
          <w:p w14:paraId="237B20E5" w14:textId="77777777" w:rsidR="007C71D9" w:rsidRPr="00E448CD" w:rsidRDefault="007C71D9" w:rsidP="000766C3">
            <w:pPr>
              <w:rPr>
                <w:rFonts w:ascii="Arial" w:hAnsi="Arial" w:cs="Arial"/>
                <w:sz w:val="20"/>
                <w:szCs w:val="20"/>
              </w:rPr>
            </w:pPr>
            <w:r w:rsidRPr="00E448CD">
              <w:rPr>
                <w:rFonts w:ascii="Arial" w:hAnsi="Arial" w:cs="Arial"/>
                <w:sz w:val="20"/>
                <w:szCs w:val="20"/>
              </w:rPr>
              <w:t>3</w:t>
            </w:r>
          </w:p>
        </w:tc>
        <w:tc>
          <w:tcPr>
            <w:tcW w:w="737" w:type="dxa"/>
          </w:tcPr>
          <w:p w14:paraId="45A9BC92"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1BB3FC8A" w14:textId="77777777" w:rsidR="007C71D9" w:rsidRPr="00E448CD" w:rsidRDefault="007C71D9" w:rsidP="000766C3">
            <w:pPr>
              <w:rPr>
                <w:rFonts w:ascii="Arial" w:hAnsi="Arial" w:cs="Arial"/>
                <w:sz w:val="20"/>
                <w:szCs w:val="20"/>
              </w:rPr>
            </w:pPr>
            <w:r w:rsidRPr="00E448CD">
              <w:rPr>
                <w:rFonts w:ascii="Arial" w:hAnsi="Arial" w:cs="Arial"/>
                <w:sz w:val="20"/>
                <w:szCs w:val="20"/>
              </w:rPr>
              <w:t>3.93</w:t>
            </w:r>
          </w:p>
        </w:tc>
        <w:tc>
          <w:tcPr>
            <w:tcW w:w="1089" w:type="dxa"/>
          </w:tcPr>
          <w:p w14:paraId="62EC0941" w14:textId="77777777" w:rsidR="007C71D9" w:rsidRPr="00E448CD" w:rsidRDefault="007C71D9" w:rsidP="000766C3">
            <w:pPr>
              <w:rPr>
                <w:rFonts w:ascii="Arial" w:hAnsi="Arial" w:cs="Arial"/>
                <w:sz w:val="20"/>
                <w:szCs w:val="20"/>
              </w:rPr>
            </w:pPr>
            <w:r w:rsidRPr="00E448CD">
              <w:rPr>
                <w:rFonts w:ascii="Arial" w:hAnsi="Arial" w:cs="Arial"/>
                <w:sz w:val="20"/>
                <w:szCs w:val="20"/>
              </w:rPr>
              <w:t>47.29</w:t>
            </w:r>
          </w:p>
        </w:tc>
        <w:tc>
          <w:tcPr>
            <w:tcW w:w="1316" w:type="dxa"/>
          </w:tcPr>
          <w:p w14:paraId="142BFBA0" w14:textId="77777777" w:rsidR="007C71D9" w:rsidRPr="00E448CD" w:rsidRDefault="007C71D9" w:rsidP="000766C3">
            <w:pPr>
              <w:rPr>
                <w:rFonts w:ascii="Arial" w:hAnsi="Arial" w:cs="Arial"/>
                <w:sz w:val="20"/>
                <w:szCs w:val="20"/>
              </w:rPr>
            </w:pPr>
            <w:r w:rsidRPr="00E448CD">
              <w:rPr>
                <w:rFonts w:ascii="Arial" w:hAnsi="Arial" w:cs="Arial"/>
                <w:sz w:val="20"/>
                <w:szCs w:val="20"/>
              </w:rPr>
              <w:t>299.54</w:t>
            </w:r>
          </w:p>
        </w:tc>
        <w:tc>
          <w:tcPr>
            <w:tcW w:w="1122" w:type="dxa"/>
          </w:tcPr>
          <w:p w14:paraId="7660EA03" w14:textId="77777777" w:rsidR="007C71D9" w:rsidRPr="00E448CD" w:rsidRDefault="007C71D9" w:rsidP="000766C3">
            <w:pPr>
              <w:rPr>
                <w:rFonts w:ascii="Arial" w:hAnsi="Arial" w:cs="Arial"/>
                <w:sz w:val="20"/>
                <w:szCs w:val="20"/>
              </w:rPr>
            </w:pPr>
            <w:r w:rsidRPr="00E448CD">
              <w:rPr>
                <w:rFonts w:ascii="Arial" w:hAnsi="Arial" w:cs="Arial"/>
                <w:sz w:val="20"/>
                <w:szCs w:val="20"/>
              </w:rPr>
              <w:t>-0.13</w:t>
            </w:r>
          </w:p>
        </w:tc>
      </w:tr>
      <w:tr w:rsidR="007C71D9" w:rsidRPr="00E448CD" w14:paraId="349C82FA" w14:textId="77777777" w:rsidTr="000766C3">
        <w:trPr>
          <w:jc w:val="center"/>
        </w:trPr>
        <w:tc>
          <w:tcPr>
            <w:tcW w:w="910" w:type="dxa"/>
          </w:tcPr>
          <w:p w14:paraId="7EE17E4A" w14:textId="77777777" w:rsidR="007C71D9" w:rsidRPr="00E448CD" w:rsidRDefault="007C71D9" w:rsidP="000766C3">
            <w:pPr>
              <w:rPr>
                <w:rFonts w:ascii="Arial" w:hAnsi="Arial" w:cs="Arial"/>
                <w:sz w:val="20"/>
                <w:szCs w:val="20"/>
              </w:rPr>
            </w:pPr>
            <w:r w:rsidRPr="00E448CD">
              <w:rPr>
                <w:rFonts w:ascii="Arial" w:hAnsi="Arial" w:cs="Arial"/>
                <w:sz w:val="20"/>
                <w:szCs w:val="20"/>
              </w:rPr>
              <w:t>FA11</w:t>
            </w:r>
          </w:p>
        </w:tc>
        <w:tc>
          <w:tcPr>
            <w:tcW w:w="899" w:type="dxa"/>
          </w:tcPr>
          <w:p w14:paraId="2BB6CEDA" w14:textId="77777777" w:rsidR="007C71D9" w:rsidRPr="00E448CD" w:rsidRDefault="007C71D9" w:rsidP="000766C3">
            <w:pPr>
              <w:rPr>
                <w:rFonts w:ascii="Arial" w:hAnsi="Arial" w:cs="Arial"/>
                <w:sz w:val="20"/>
                <w:szCs w:val="20"/>
              </w:rPr>
            </w:pPr>
            <w:r w:rsidRPr="00E448CD">
              <w:rPr>
                <w:rFonts w:ascii="Arial" w:hAnsi="Arial" w:cs="Arial"/>
                <w:sz w:val="20"/>
                <w:szCs w:val="20"/>
              </w:rPr>
              <w:t>348.05</w:t>
            </w:r>
          </w:p>
        </w:tc>
        <w:tc>
          <w:tcPr>
            <w:tcW w:w="737" w:type="dxa"/>
          </w:tcPr>
          <w:p w14:paraId="1F2A3F50" w14:textId="77777777" w:rsidR="007C71D9" w:rsidRPr="00E448CD" w:rsidRDefault="007C71D9" w:rsidP="000766C3">
            <w:pPr>
              <w:rPr>
                <w:rFonts w:ascii="Arial" w:hAnsi="Arial" w:cs="Arial"/>
                <w:sz w:val="20"/>
                <w:szCs w:val="20"/>
              </w:rPr>
            </w:pPr>
            <w:r w:rsidRPr="00E448CD">
              <w:rPr>
                <w:rFonts w:ascii="Arial" w:hAnsi="Arial" w:cs="Arial"/>
                <w:sz w:val="20"/>
                <w:szCs w:val="20"/>
              </w:rPr>
              <w:t>5</w:t>
            </w:r>
          </w:p>
        </w:tc>
        <w:tc>
          <w:tcPr>
            <w:tcW w:w="737" w:type="dxa"/>
          </w:tcPr>
          <w:p w14:paraId="32CBA9CB"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4A3DA065" w14:textId="77777777" w:rsidR="007C71D9" w:rsidRPr="00E448CD" w:rsidRDefault="007C71D9" w:rsidP="000766C3">
            <w:pPr>
              <w:rPr>
                <w:rFonts w:ascii="Arial" w:hAnsi="Arial" w:cs="Arial"/>
                <w:sz w:val="20"/>
                <w:szCs w:val="20"/>
              </w:rPr>
            </w:pPr>
            <w:r w:rsidRPr="00E448CD">
              <w:rPr>
                <w:rFonts w:ascii="Arial" w:hAnsi="Arial" w:cs="Arial"/>
                <w:sz w:val="20"/>
                <w:szCs w:val="20"/>
              </w:rPr>
              <w:t>3.69</w:t>
            </w:r>
          </w:p>
        </w:tc>
        <w:tc>
          <w:tcPr>
            <w:tcW w:w="1089" w:type="dxa"/>
          </w:tcPr>
          <w:p w14:paraId="393F1FC1" w14:textId="77777777" w:rsidR="007C71D9" w:rsidRPr="00E448CD" w:rsidRDefault="007C71D9" w:rsidP="000766C3">
            <w:pPr>
              <w:rPr>
                <w:rFonts w:ascii="Arial" w:hAnsi="Arial" w:cs="Arial"/>
                <w:sz w:val="20"/>
                <w:szCs w:val="20"/>
              </w:rPr>
            </w:pPr>
            <w:r w:rsidRPr="00E448CD">
              <w:rPr>
                <w:rFonts w:ascii="Arial" w:hAnsi="Arial" w:cs="Arial"/>
                <w:sz w:val="20"/>
                <w:szCs w:val="20"/>
              </w:rPr>
              <w:t>79.98</w:t>
            </w:r>
          </w:p>
        </w:tc>
        <w:tc>
          <w:tcPr>
            <w:tcW w:w="1316" w:type="dxa"/>
          </w:tcPr>
          <w:p w14:paraId="45B1F984" w14:textId="77777777" w:rsidR="007C71D9" w:rsidRPr="00E448CD" w:rsidRDefault="007C71D9" w:rsidP="000766C3">
            <w:pPr>
              <w:rPr>
                <w:rFonts w:ascii="Arial" w:hAnsi="Arial" w:cs="Arial"/>
                <w:sz w:val="20"/>
                <w:szCs w:val="20"/>
              </w:rPr>
            </w:pPr>
            <w:r w:rsidRPr="00E448CD">
              <w:rPr>
                <w:rFonts w:ascii="Arial" w:hAnsi="Arial" w:cs="Arial"/>
                <w:sz w:val="20"/>
                <w:szCs w:val="20"/>
              </w:rPr>
              <w:t>319.13</w:t>
            </w:r>
          </w:p>
        </w:tc>
        <w:tc>
          <w:tcPr>
            <w:tcW w:w="1122" w:type="dxa"/>
          </w:tcPr>
          <w:p w14:paraId="57BE24F4" w14:textId="77777777" w:rsidR="007C71D9" w:rsidRPr="00E448CD" w:rsidRDefault="007C71D9" w:rsidP="000766C3">
            <w:pPr>
              <w:rPr>
                <w:rFonts w:ascii="Arial" w:hAnsi="Arial" w:cs="Arial"/>
                <w:sz w:val="20"/>
                <w:szCs w:val="20"/>
              </w:rPr>
            </w:pPr>
            <w:r w:rsidRPr="00E448CD">
              <w:rPr>
                <w:rFonts w:ascii="Arial" w:hAnsi="Arial" w:cs="Arial"/>
                <w:sz w:val="20"/>
                <w:szCs w:val="20"/>
              </w:rPr>
              <w:t>-0.60</w:t>
            </w:r>
          </w:p>
        </w:tc>
      </w:tr>
      <w:tr w:rsidR="007C71D9" w:rsidRPr="00E448CD" w14:paraId="5AC2CB6A" w14:textId="77777777" w:rsidTr="000766C3">
        <w:trPr>
          <w:jc w:val="center"/>
        </w:trPr>
        <w:tc>
          <w:tcPr>
            <w:tcW w:w="910" w:type="dxa"/>
          </w:tcPr>
          <w:p w14:paraId="73597E98" w14:textId="77777777" w:rsidR="007C71D9" w:rsidRPr="00E448CD" w:rsidRDefault="007C71D9" w:rsidP="000766C3">
            <w:pPr>
              <w:rPr>
                <w:rFonts w:ascii="Arial" w:hAnsi="Arial" w:cs="Arial"/>
                <w:sz w:val="20"/>
                <w:szCs w:val="20"/>
              </w:rPr>
            </w:pPr>
            <w:r w:rsidRPr="00E448CD">
              <w:rPr>
                <w:rFonts w:ascii="Arial" w:hAnsi="Arial" w:cs="Arial"/>
                <w:sz w:val="20"/>
                <w:szCs w:val="20"/>
              </w:rPr>
              <w:t>FA12</w:t>
            </w:r>
          </w:p>
        </w:tc>
        <w:tc>
          <w:tcPr>
            <w:tcW w:w="899" w:type="dxa"/>
          </w:tcPr>
          <w:p w14:paraId="4B5A7BE3" w14:textId="77777777" w:rsidR="007C71D9" w:rsidRPr="00E448CD" w:rsidRDefault="007C71D9" w:rsidP="000766C3">
            <w:pPr>
              <w:rPr>
                <w:rFonts w:ascii="Arial" w:hAnsi="Arial" w:cs="Arial"/>
                <w:sz w:val="20"/>
                <w:szCs w:val="20"/>
              </w:rPr>
            </w:pPr>
            <w:r w:rsidRPr="00E448CD">
              <w:rPr>
                <w:rFonts w:ascii="Arial" w:hAnsi="Arial" w:cs="Arial"/>
                <w:sz w:val="20"/>
                <w:szCs w:val="20"/>
              </w:rPr>
              <w:t>348.05</w:t>
            </w:r>
          </w:p>
        </w:tc>
        <w:tc>
          <w:tcPr>
            <w:tcW w:w="737" w:type="dxa"/>
          </w:tcPr>
          <w:p w14:paraId="694F983E" w14:textId="77777777" w:rsidR="007C71D9" w:rsidRPr="00E448CD" w:rsidRDefault="007C71D9" w:rsidP="000766C3">
            <w:pPr>
              <w:rPr>
                <w:rFonts w:ascii="Arial" w:hAnsi="Arial" w:cs="Arial"/>
                <w:sz w:val="20"/>
                <w:szCs w:val="20"/>
              </w:rPr>
            </w:pPr>
            <w:r w:rsidRPr="00E448CD">
              <w:rPr>
                <w:rFonts w:ascii="Arial" w:hAnsi="Arial" w:cs="Arial"/>
                <w:sz w:val="20"/>
                <w:szCs w:val="20"/>
              </w:rPr>
              <w:t>5</w:t>
            </w:r>
          </w:p>
        </w:tc>
        <w:tc>
          <w:tcPr>
            <w:tcW w:w="737" w:type="dxa"/>
          </w:tcPr>
          <w:p w14:paraId="2D906821"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17F77928" w14:textId="77777777" w:rsidR="007C71D9" w:rsidRPr="00E448CD" w:rsidRDefault="007C71D9" w:rsidP="000766C3">
            <w:pPr>
              <w:rPr>
                <w:rFonts w:ascii="Arial" w:hAnsi="Arial" w:cs="Arial"/>
                <w:sz w:val="20"/>
                <w:szCs w:val="20"/>
              </w:rPr>
            </w:pPr>
            <w:r w:rsidRPr="00E448CD">
              <w:rPr>
                <w:rFonts w:ascii="Arial" w:hAnsi="Arial" w:cs="Arial"/>
                <w:sz w:val="20"/>
                <w:szCs w:val="20"/>
              </w:rPr>
              <w:t>3.85</w:t>
            </w:r>
          </w:p>
        </w:tc>
        <w:tc>
          <w:tcPr>
            <w:tcW w:w="1089" w:type="dxa"/>
          </w:tcPr>
          <w:p w14:paraId="0BEFABBB" w14:textId="77777777" w:rsidR="007C71D9" w:rsidRPr="00E448CD" w:rsidRDefault="007C71D9" w:rsidP="000766C3">
            <w:pPr>
              <w:rPr>
                <w:rFonts w:ascii="Arial" w:hAnsi="Arial" w:cs="Arial"/>
                <w:sz w:val="20"/>
                <w:szCs w:val="20"/>
              </w:rPr>
            </w:pPr>
            <w:r w:rsidRPr="00E448CD">
              <w:rPr>
                <w:rFonts w:ascii="Arial" w:hAnsi="Arial" w:cs="Arial"/>
                <w:sz w:val="20"/>
                <w:szCs w:val="20"/>
              </w:rPr>
              <w:t>79.68</w:t>
            </w:r>
          </w:p>
        </w:tc>
        <w:tc>
          <w:tcPr>
            <w:tcW w:w="1316" w:type="dxa"/>
          </w:tcPr>
          <w:p w14:paraId="049BE141" w14:textId="77777777" w:rsidR="007C71D9" w:rsidRPr="00E448CD" w:rsidRDefault="007C71D9" w:rsidP="000766C3">
            <w:pPr>
              <w:rPr>
                <w:rFonts w:ascii="Arial" w:hAnsi="Arial" w:cs="Arial"/>
                <w:sz w:val="20"/>
                <w:szCs w:val="20"/>
              </w:rPr>
            </w:pPr>
            <w:r w:rsidRPr="00E448CD">
              <w:rPr>
                <w:rFonts w:ascii="Arial" w:hAnsi="Arial" w:cs="Arial"/>
                <w:sz w:val="20"/>
                <w:szCs w:val="20"/>
              </w:rPr>
              <w:t>321.11</w:t>
            </w:r>
          </w:p>
        </w:tc>
        <w:tc>
          <w:tcPr>
            <w:tcW w:w="1122" w:type="dxa"/>
          </w:tcPr>
          <w:p w14:paraId="6B1D368E" w14:textId="77777777" w:rsidR="007C71D9" w:rsidRPr="00E448CD" w:rsidRDefault="007C71D9" w:rsidP="000766C3">
            <w:pPr>
              <w:rPr>
                <w:rFonts w:ascii="Arial" w:hAnsi="Arial" w:cs="Arial"/>
                <w:sz w:val="20"/>
                <w:szCs w:val="20"/>
              </w:rPr>
            </w:pPr>
            <w:r w:rsidRPr="00E448CD">
              <w:rPr>
                <w:rFonts w:ascii="Arial" w:hAnsi="Arial" w:cs="Arial"/>
                <w:sz w:val="20"/>
                <w:szCs w:val="20"/>
              </w:rPr>
              <w:t>-0.46</w:t>
            </w:r>
          </w:p>
        </w:tc>
      </w:tr>
      <w:tr w:rsidR="007C71D9" w:rsidRPr="00E448CD" w14:paraId="2933B713" w14:textId="77777777" w:rsidTr="000766C3">
        <w:trPr>
          <w:jc w:val="center"/>
        </w:trPr>
        <w:tc>
          <w:tcPr>
            <w:tcW w:w="910" w:type="dxa"/>
          </w:tcPr>
          <w:p w14:paraId="7E0275A6" w14:textId="77777777" w:rsidR="007C71D9" w:rsidRPr="00E448CD" w:rsidRDefault="007C71D9" w:rsidP="000766C3">
            <w:pPr>
              <w:rPr>
                <w:rFonts w:ascii="Arial" w:hAnsi="Arial" w:cs="Arial"/>
                <w:sz w:val="20"/>
                <w:szCs w:val="20"/>
              </w:rPr>
            </w:pPr>
            <w:r w:rsidRPr="00E448CD">
              <w:rPr>
                <w:rFonts w:ascii="Arial" w:hAnsi="Arial" w:cs="Arial"/>
                <w:sz w:val="20"/>
                <w:szCs w:val="20"/>
              </w:rPr>
              <w:t>FA13</w:t>
            </w:r>
          </w:p>
        </w:tc>
        <w:tc>
          <w:tcPr>
            <w:tcW w:w="899" w:type="dxa"/>
          </w:tcPr>
          <w:p w14:paraId="3F6860D5" w14:textId="77777777" w:rsidR="007C71D9" w:rsidRPr="00E448CD" w:rsidRDefault="007C71D9" w:rsidP="000766C3">
            <w:pPr>
              <w:rPr>
                <w:rFonts w:ascii="Arial" w:hAnsi="Arial" w:cs="Arial"/>
                <w:sz w:val="20"/>
                <w:szCs w:val="20"/>
              </w:rPr>
            </w:pPr>
            <w:r w:rsidRPr="00E448CD">
              <w:rPr>
                <w:rFonts w:ascii="Arial" w:hAnsi="Arial" w:cs="Arial"/>
                <w:sz w:val="20"/>
                <w:szCs w:val="20"/>
              </w:rPr>
              <w:t>337.03</w:t>
            </w:r>
          </w:p>
        </w:tc>
        <w:tc>
          <w:tcPr>
            <w:tcW w:w="737" w:type="dxa"/>
          </w:tcPr>
          <w:p w14:paraId="2257AB37" w14:textId="77777777" w:rsidR="007C71D9" w:rsidRPr="00E448CD" w:rsidRDefault="007C71D9" w:rsidP="000766C3">
            <w:pPr>
              <w:rPr>
                <w:rFonts w:ascii="Arial" w:hAnsi="Arial" w:cs="Arial"/>
                <w:sz w:val="20"/>
                <w:szCs w:val="20"/>
              </w:rPr>
            </w:pPr>
            <w:r w:rsidRPr="00E448CD">
              <w:rPr>
                <w:rFonts w:ascii="Arial" w:hAnsi="Arial" w:cs="Arial"/>
                <w:sz w:val="20"/>
                <w:szCs w:val="20"/>
              </w:rPr>
              <w:t>3</w:t>
            </w:r>
          </w:p>
        </w:tc>
        <w:tc>
          <w:tcPr>
            <w:tcW w:w="737" w:type="dxa"/>
          </w:tcPr>
          <w:p w14:paraId="18501CAC"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5468B518" w14:textId="77777777" w:rsidR="007C71D9" w:rsidRPr="00E448CD" w:rsidRDefault="007C71D9" w:rsidP="000766C3">
            <w:pPr>
              <w:rPr>
                <w:rFonts w:ascii="Arial" w:hAnsi="Arial" w:cs="Arial"/>
                <w:sz w:val="20"/>
                <w:szCs w:val="20"/>
              </w:rPr>
            </w:pPr>
            <w:r w:rsidRPr="00E448CD">
              <w:rPr>
                <w:rFonts w:ascii="Arial" w:hAnsi="Arial" w:cs="Arial"/>
                <w:sz w:val="20"/>
                <w:szCs w:val="20"/>
              </w:rPr>
              <w:t>4.36</w:t>
            </w:r>
          </w:p>
        </w:tc>
        <w:tc>
          <w:tcPr>
            <w:tcW w:w="1089" w:type="dxa"/>
          </w:tcPr>
          <w:p w14:paraId="4FF845EA" w14:textId="77777777" w:rsidR="007C71D9" w:rsidRPr="00E448CD" w:rsidRDefault="007C71D9" w:rsidP="000766C3">
            <w:pPr>
              <w:rPr>
                <w:rFonts w:ascii="Arial" w:hAnsi="Arial" w:cs="Arial"/>
                <w:sz w:val="20"/>
                <w:szCs w:val="20"/>
              </w:rPr>
            </w:pPr>
            <w:r w:rsidRPr="00E448CD">
              <w:rPr>
                <w:rFonts w:ascii="Arial" w:hAnsi="Arial" w:cs="Arial"/>
                <w:sz w:val="20"/>
                <w:szCs w:val="20"/>
              </w:rPr>
              <w:t>46.60</w:t>
            </w:r>
          </w:p>
        </w:tc>
        <w:tc>
          <w:tcPr>
            <w:tcW w:w="1316" w:type="dxa"/>
          </w:tcPr>
          <w:p w14:paraId="029F06F1" w14:textId="77777777" w:rsidR="007C71D9" w:rsidRPr="00E448CD" w:rsidRDefault="007C71D9" w:rsidP="000766C3">
            <w:pPr>
              <w:rPr>
                <w:rFonts w:ascii="Arial" w:hAnsi="Arial" w:cs="Arial"/>
                <w:sz w:val="20"/>
                <w:szCs w:val="20"/>
              </w:rPr>
            </w:pPr>
            <w:r w:rsidRPr="00E448CD">
              <w:rPr>
                <w:rFonts w:ascii="Arial" w:hAnsi="Arial" w:cs="Arial"/>
                <w:sz w:val="20"/>
                <w:szCs w:val="20"/>
              </w:rPr>
              <w:t>311.34</w:t>
            </w:r>
          </w:p>
        </w:tc>
        <w:tc>
          <w:tcPr>
            <w:tcW w:w="1122" w:type="dxa"/>
          </w:tcPr>
          <w:p w14:paraId="29D9F25E" w14:textId="77777777" w:rsidR="007C71D9" w:rsidRPr="00E448CD" w:rsidRDefault="007C71D9" w:rsidP="000766C3">
            <w:pPr>
              <w:rPr>
                <w:rFonts w:ascii="Arial" w:hAnsi="Arial" w:cs="Arial"/>
                <w:sz w:val="20"/>
                <w:szCs w:val="20"/>
              </w:rPr>
            </w:pPr>
            <w:r w:rsidRPr="00E448CD">
              <w:rPr>
                <w:rFonts w:ascii="Arial" w:hAnsi="Arial" w:cs="Arial"/>
                <w:sz w:val="20"/>
                <w:szCs w:val="20"/>
              </w:rPr>
              <w:t>0.10</w:t>
            </w:r>
          </w:p>
        </w:tc>
      </w:tr>
      <w:tr w:rsidR="007C71D9" w:rsidRPr="00E448CD" w14:paraId="3B1C6B8C" w14:textId="77777777" w:rsidTr="000766C3">
        <w:trPr>
          <w:jc w:val="center"/>
        </w:trPr>
        <w:tc>
          <w:tcPr>
            <w:tcW w:w="910" w:type="dxa"/>
          </w:tcPr>
          <w:p w14:paraId="400323DA" w14:textId="77777777" w:rsidR="007C71D9" w:rsidRPr="00E448CD" w:rsidRDefault="007C71D9" w:rsidP="000766C3">
            <w:pPr>
              <w:rPr>
                <w:rFonts w:ascii="Arial" w:hAnsi="Arial" w:cs="Arial"/>
                <w:sz w:val="20"/>
                <w:szCs w:val="20"/>
              </w:rPr>
            </w:pPr>
            <w:r w:rsidRPr="00E448CD">
              <w:rPr>
                <w:rFonts w:ascii="Arial" w:hAnsi="Arial" w:cs="Arial"/>
                <w:sz w:val="20"/>
                <w:szCs w:val="20"/>
              </w:rPr>
              <w:t>FA14</w:t>
            </w:r>
          </w:p>
        </w:tc>
        <w:tc>
          <w:tcPr>
            <w:tcW w:w="899" w:type="dxa"/>
          </w:tcPr>
          <w:p w14:paraId="538334C4" w14:textId="77777777" w:rsidR="007C71D9" w:rsidRPr="00E448CD" w:rsidRDefault="007C71D9" w:rsidP="000766C3">
            <w:pPr>
              <w:rPr>
                <w:rFonts w:ascii="Arial" w:hAnsi="Arial" w:cs="Arial"/>
                <w:sz w:val="20"/>
                <w:szCs w:val="20"/>
              </w:rPr>
            </w:pPr>
            <w:r w:rsidRPr="00E448CD">
              <w:rPr>
                <w:rFonts w:ascii="Arial" w:hAnsi="Arial" w:cs="Arial"/>
                <w:sz w:val="20"/>
                <w:szCs w:val="20"/>
              </w:rPr>
              <w:t>297.14</w:t>
            </w:r>
          </w:p>
        </w:tc>
        <w:tc>
          <w:tcPr>
            <w:tcW w:w="737" w:type="dxa"/>
          </w:tcPr>
          <w:p w14:paraId="6B8C237C" w14:textId="77777777" w:rsidR="007C71D9" w:rsidRPr="00E448CD" w:rsidRDefault="007C71D9" w:rsidP="000766C3">
            <w:pPr>
              <w:rPr>
                <w:rFonts w:ascii="Arial" w:hAnsi="Arial" w:cs="Arial"/>
                <w:sz w:val="20"/>
                <w:szCs w:val="20"/>
              </w:rPr>
            </w:pPr>
            <w:r w:rsidRPr="00E448CD">
              <w:rPr>
                <w:rFonts w:ascii="Arial" w:hAnsi="Arial" w:cs="Arial"/>
                <w:sz w:val="20"/>
                <w:szCs w:val="20"/>
              </w:rPr>
              <w:t>3</w:t>
            </w:r>
          </w:p>
        </w:tc>
        <w:tc>
          <w:tcPr>
            <w:tcW w:w="737" w:type="dxa"/>
          </w:tcPr>
          <w:p w14:paraId="7A3A358B"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26250C1C" w14:textId="77777777" w:rsidR="007C71D9" w:rsidRPr="00E448CD" w:rsidRDefault="007C71D9" w:rsidP="000766C3">
            <w:pPr>
              <w:rPr>
                <w:rFonts w:ascii="Arial" w:hAnsi="Arial" w:cs="Arial"/>
                <w:sz w:val="20"/>
                <w:szCs w:val="20"/>
              </w:rPr>
            </w:pPr>
            <w:r w:rsidRPr="00E448CD">
              <w:rPr>
                <w:rFonts w:ascii="Arial" w:hAnsi="Arial" w:cs="Arial"/>
                <w:sz w:val="20"/>
                <w:szCs w:val="20"/>
              </w:rPr>
              <w:t>3.53</w:t>
            </w:r>
          </w:p>
        </w:tc>
        <w:tc>
          <w:tcPr>
            <w:tcW w:w="1089" w:type="dxa"/>
          </w:tcPr>
          <w:p w14:paraId="764E5653" w14:textId="77777777" w:rsidR="007C71D9" w:rsidRPr="00E448CD" w:rsidRDefault="007C71D9" w:rsidP="000766C3">
            <w:pPr>
              <w:rPr>
                <w:rFonts w:ascii="Arial" w:hAnsi="Arial" w:cs="Arial"/>
                <w:sz w:val="20"/>
                <w:szCs w:val="20"/>
              </w:rPr>
            </w:pPr>
            <w:r w:rsidRPr="00E448CD">
              <w:rPr>
                <w:rFonts w:ascii="Arial" w:hAnsi="Arial" w:cs="Arial"/>
                <w:sz w:val="20"/>
                <w:szCs w:val="20"/>
              </w:rPr>
              <w:t>45.90</w:t>
            </w:r>
          </w:p>
        </w:tc>
        <w:tc>
          <w:tcPr>
            <w:tcW w:w="1316" w:type="dxa"/>
          </w:tcPr>
          <w:p w14:paraId="3652AB49" w14:textId="77777777" w:rsidR="007C71D9" w:rsidRPr="00E448CD" w:rsidRDefault="007C71D9" w:rsidP="000766C3">
            <w:pPr>
              <w:rPr>
                <w:rFonts w:ascii="Arial" w:hAnsi="Arial" w:cs="Arial"/>
                <w:sz w:val="20"/>
                <w:szCs w:val="20"/>
              </w:rPr>
            </w:pPr>
            <w:r w:rsidRPr="00E448CD">
              <w:rPr>
                <w:rFonts w:ascii="Arial" w:hAnsi="Arial" w:cs="Arial"/>
                <w:sz w:val="20"/>
                <w:szCs w:val="20"/>
              </w:rPr>
              <w:t>319.38</w:t>
            </w:r>
          </w:p>
        </w:tc>
        <w:tc>
          <w:tcPr>
            <w:tcW w:w="1122" w:type="dxa"/>
          </w:tcPr>
          <w:p w14:paraId="1C81D02F" w14:textId="77777777" w:rsidR="007C71D9" w:rsidRPr="00E448CD" w:rsidRDefault="007C71D9" w:rsidP="000766C3">
            <w:pPr>
              <w:rPr>
                <w:rFonts w:ascii="Arial" w:hAnsi="Arial" w:cs="Arial"/>
                <w:sz w:val="20"/>
                <w:szCs w:val="20"/>
              </w:rPr>
            </w:pPr>
            <w:r w:rsidRPr="00E448CD">
              <w:rPr>
                <w:rFonts w:ascii="Arial" w:hAnsi="Arial" w:cs="Arial"/>
                <w:sz w:val="20"/>
                <w:szCs w:val="20"/>
              </w:rPr>
              <w:t>0.36</w:t>
            </w:r>
          </w:p>
        </w:tc>
      </w:tr>
      <w:tr w:rsidR="007C71D9" w:rsidRPr="00E448CD" w14:paraId="4AEB323F" w14:textId="77777777" w:rsidTr="000766C3">
        <w:trPr>
          <w:jc w:val="center"/>
        </w:trPr>
        <w:tc>
          <w:tcPr>
            <w:tcW w:w="910" w:type="dxa"/>
          </w:tcPr>
          <w:p w14:paraId="4C56B6D8" w14:textId="77777777" w:rsidR="007C71D9" w:rsidRPr="00E448CD" w:rsidRDefault="007C71D9" w:rsidP="000766C3">
            <w:pPr>
              <w:rPr>
                <w:rFonts w:ascii="Arial" w:hAnsi="Arial" w:cs="Arial"/>
                <w:sz w:val="20"/>
                <w:szCs w:val="20"/>
              </w:rPr>
            </w:pPr>
            <w:r w:rsidRPr="00E448CD">
              <w:rPr>
                <w:rFonts w:ascii="Arial" w:hAnsi="Arial" w:cs="Arial"/>
                <w:sz w:val="20"/>
                <w:szCs w:val="20"/>
              </w:rPr>
              <w:t>FA15</w:t>
            </w:r>
          </w:p>
        </w:tc>
        <w:tc>
          <w:tcPr>
            <w:tcW w:w="899" w:type="dxa"/>
          </w:tcPr>
          <w:p w14:paraId="35B16645" w14:textId="77777777" w:rsidR="007C71D9" w:rsidRPr="00E448CD" w:rsidRDefault="007C71D9" w:rsidP="000766C3">
            <w:pPr>
              <w:rPr>
                <w:rFonts w:ascii="Arial" w:hAnsi="Arial" w:cs="Arial"/>
                <w:sz w:val="20"/>
                <w:szCs w:val="20"/>
              </w:rPr>
            </w:pPr>
            <w:r w:rsidRPr="00E448CD">
              <w:rPr>
                <w:rFonts w:ascii="Arial" w:hAnsi="Arial" w:cs="Arial"/>
                <w:sz w:val="20"/>
                <w:szCs w:val="20"/>
              </w:rPr>
              <w:t>297.14</w:t>
            </w:r>
          </w:p>
        </w:tc>
        <w:tc>
          <w:tcPr>
            <w:tcW w:w="737" w:type="dxa"/>
          </w:tcPr>
          <w:p w14:paraId="71AD2AD2" w14:textId="77777777" w:rsidR="007C71D9" w:rsidRPr="00E448CD" w:rsidRDefault="007C71D9" w:rsidP="000766C3">
            <w:pPr>
              <w:rPr>
                <w:rFonts w:ascii="Arial" w:hAnsi="Arial" w:cs="Arial"/>
                <w:sz w:val="20"/>
                <w:szCs w:val="20"/>
              </w:rPr>
            </w:pPr>
            <w:r w:rsidRPr="00E448CD">
              <w:rPr>
                <w:rFonts w:ascii="Arial" w:hAnsi="Arial" w:cs="Arial"/>
                <w:sz w:val="20"/>
                <w:szCs w:val="20"/>
              </w:rPr>
              <w:t>3</w:t>
            </w:r>
          </w:p>
        </w:tc>
        <w:tc>
          <w:tcPr>
            <w:tcW w:w="737" w:type="dxa"/>
          </w:tcPr>
          <w:p w14:paraId="1B50BE9D" w14:textId="77777777" w:rsidR="007C71D9" w:rsidRPr="00E448CD" w:rsidRDefault="007C71D9" w:rsidP="000766C3">
            <w:pPr>
              <w:rPr>
                <w:rFonts w:ascii="Arial" w:hAnsi="Arial" w:cs="Arial"/>
                <w:sz w:val="20"/>
                <w:szCs w:val="20"/>
              </w:rPr>
            </w:pPr>
            <w:r w:rsidRPr="00E448CD">
              <w:rPr>
                <w:rFonts w:ascii="Arial" w:hAnsi="Arial" w:cs="Arial"/>
                <w:sz w:val="20"/>
                <w:szCs w:val="20"/>
              </w:rPr>
              <w:t>2</w:t>
            </w:r>
          </w:p>
        </w:tc>
        <w:tc>
          <w:tcPr>
            <w:tcW w:w="1176" w:type="dxa"/>
          </w:tcPr>
          <w:p w14:paraId="03AD5E7C" w14:textId="77777777" w:rsidR="007C71D9" w:rsidRPr="00E448CD" w:rsidRDefault="007C71D9" w:rsidP="000766C3">
            <w:pPr>
              <w:rPr>
                <w:rFonts w:ascii="Arial" w:hAnsi="Arial" w:cs="Arial"/>
                <w:sz w:val="20"/>
                <w:szCs w:val="20"/>
              </w:rPr>
            </w:pPr>
            <w:r w:rsidRPr="00E448CD">
              <w:rPr>
                <w:rFonts w:ascii="Arial" w:hAnsi="Arial" w:cs="Arial"/>
                <w:sz w:val="20"/>
                <w:szCs w:val="20"/>
              </w:rPr>
              <w:t>3.88</w:t>
            </w:r>
          </w:p>
        </w:tc>
        <w:tc>
          <w:tcPr>
            <w:tcW w:w="1089" w:type="dxa"/>
          </w:tcPr>
          <w:p w14:paraId="2D0E7F88" w14:textId="77777777" w:rsidR="007C71D9" w:rsidRPr="00E448CD" w:rsidRDefault="007C71D9" w:rsidP="000766C3">
            <w:pPr>
              <w:rPr>
                <w:rFonts w:ascii="Arial" w:hAnsi="Arial" w:cs="Arial"/>
                <w:sz w:val="20"/>
                <w:szCs w:val="20"/>
              </w:rPr>
            </w:pPr>
            <w:r w:rsidRPr="00E448CD">
              <w:rPr>
                <w:rFonts w:ascii="Arial" w:hAnsi="Arial" w:cs="Arial"/>
                <w:sz w:val="20"/>
                <w:szCs w:val="20"/>
              </w:rPr>
              <w:t>46.60</w:t>
            </w:r>
          </w:p>
        </w:tc>
        <w:tc>
          <w:tcPr>
            <w:tcW w:w="1316" w:type="dxa"/>
          </w:tcPr>
          <w:p w14:paraId="203F5EFF" w14:textId="77777777" w:rsidR="007C71D9" w:rsidRPr="00E448CD" w:rsidRDefault="007C71D9" w:rsidP="000766C3">
            <w:pPr>
              <w:rPr>
                <w:rFonts w:ascii="Arial" w:hAnsi="Arial" w:cs="Arial"/>
                <w:sz w:val="20"/>
                <w:szCs w:val="20"/>
              </w:rPr>
            </w:pPr>
            <w:r w:rsidRPr="00E448CD">
              <w:rPr>
                <w:rFonts w:ascii="Arial" w:hAnsi="Arial" w:cs="Arial"/>
                <w:sz w:val="20"/>
                <w:szCs w:val="20"/>
              </w:rPr>
              <w:t>319.44</w:t>
            </w:r>
          </w:p>
        </w:tc>
        <w:tc>
          <w:tcPr>
            <w:tcW w:w="1122" w:type="dxa"/>
          </w:tcPr>
          <w:p w14:paraId="3A2C2744" w14:textId="77777777" w:rsidR="007C71D9" w:rsidRPr="00E448CD" w:rsidRDefault="007C71D9" w:rsidP="000766C3">
            <w:pPr>
              <w:rPr>
                <w:rFonts w:ascii="Arial" w:hAnsi="Arial" w:cs="Arial"/>
                <w:sz w:val="20"/>
                <w:szCs w:val="20"/>
              </w:rPr>
            </w:pPr>
            <w:r w:rsidRPr="00E448CD">
              <w:rPr>
                <w:rFonts w:ascii="Arial" w:hAnsi="Arial" w:cs="Arial"/>
                <w:sz w:val="20"/>
                <w:szCs w:val="20"/>
              </w:rPr>
              <w:t>-0.29</w:t>
            </w:r>
          </w:p>
        </w:tc>
      </w:tr>
    </w:tbl>
    <w:p w14:paraId="3BF36CDC" w14:textId="77777777" w:rsidR="007C71D9" w:rsidRPr="00E448CD" w:rsidRDefault="007C71D9" w:rsidP="007C71D9">
      <w:pPr>
        <w:jc w:val="both"/>
        <w:rPr>
          <w:rFonts w:ascii="Arial" w:hAnsi="Arial" w:cs="Arial"/>
          <w:sz w:val="20"/>
          <w:szCs w:val="20"/>
        </w:rPr>
      </w:pPr>
    </w:p>
    <w:p w14:paraId="04A402D3" w14:textId="77777777" w:rsidR="005F39A8" w:rsidRPr="00E448CD" w:rsidRDefault="007B169B" w:rsidP="00104377">
      <w:pPr>
        <w:jc w:val="both"/>
        <w:rPr>
          <w:rFonts w:ascii="Arial" w:hAnsi="Arial" w:cs="Arial"/>
          <w:b/>
          <w:bCs/>
          <w:sz w:val="20"/>
          <w:szCs w:val="20"/>
        </w:rPr>
      </w:pPr>
      <w:r w:rsidRPr="00E448CD">
        <w:rPr>
          <w:rFonts w:ascii="Arial" w:hAnsi="Arial" w:cs="Arial"/>
          <w:b/>
          <w:bCs/>
          <w:sz w:val="20"/>
          <w:szCs w:val="20"/>
        </w:rPr>
        <w:lastRenderedPageBreak/>
        <w:t>Result of pharmacokinetic properties by pre-ADME tool</w:t>
      </w:r>
      <w:r w:rsidR="00104377" w:rsidRPr="00E448CD">
        <w:rPr>
          <w:rFonts w:ascii="Arial" w:hAnsi="Arial" w:cs="Arial"/>
          <w:b/>
          <w:bCs/>
          <w:sz w:val="20"/>
          <w:szCs w:val="20"/>
        </w:rPr>
        <w:t>:</w:t>
      </w:r>
    </w:p>
    <w:p w14:paraId="230D1665" w14:textId="77777777" w:rsidR="00104377" w:rsidRPr="00E448CD" w:rsidRDefault="00104377" w:rsidP="00104377">
      <w:pPr>
        <w:jc w:val="both"/>
        <w:rPr>
          <w:rFonts w:ascii="Arial" w:hAnsi="Arial" w:cs="Arial"/>
          <w:b/>
          <w:bCs/>
          <w:sz w:val="20"/>
          <w:szCs w:val="20"/>
        </w:rPr>
      </w:pPr>
      <w:r w:rsidRPr="00E448CD">
        <w:rPr>
          <w:rFonts w:ascii="Arial" w:hAnsi="Arial" w:cs="Arial"/>
          <w:sz w:val="20"/>
          <w:szCs w:val="20"/>
        </w:rPr>
        <w:t>Poor ADMET characteristics are often a major cause of drug developm</w:t>
      </w:r>
      <w:r w:rsidR="00A43C26" w:rsidRPr="00E448CD">
        <w:rPr>
          <w:rFonts w:ascii="Arial" w:hAnsi="Arial" w:cs="Arial"/>
          <w:sz w:val="20"/>
          <w:szCs w:val="20"/>
        </w:rPr>
        <w:t>ent failure. As shown in Table 3</w:t>
      </w:r>
      <w:r w:rsidRPr="00E448CD">
        <w:rPr>
          <w:rFonts w:ascii="Arial" w:hAnsi="Arial" w:cs="Arial"/>
          <w:sz w:val="20"/>
          <w:szCs w:val="20"/>
        </w:rPr>
        <w:t xml:space="preserve">, the theoretical ADMET profiles of the synthesized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derivatives were evaluated. Parameters such as P-glycoprotein (P-</w:t>
      </w:r>
      <w:proofErr w:type="spellStart"/>
      <w:r w:rsidRPr="00E448CD">
        <w:rPr>
          <w:rFonts w:ascii="Arial" w:hAnsi="Arial" w:cs="Arial"/>
          <w:sz w:val="20"/>
          <w:szCs w:val="20"/>
        </w:rPr>
        <w:t>gp</w:t>
      </w:r>
      <w:proofErr w:type="spellEnd"/>
      <w:r w:rsidRPr="00E448CD">
        <w:rPr>
          <w:rFonts w:ascii="Arial" w:hAnsi="Arial" w:cs="Arial"/>
          <w:sz w:val="20"/>
          <w:szCs w:val="20"/>
        </w:rPr>
        <w:t xml:space="preserve">) interaction and human intestinal absorption were used to assess the uptake potential of the compounds. Notably, intestinal absorption is considered </w:t>
      </w:r>
      <w:proofErr w:type="spellStart"/>
      <w:r w:rsidRPr="00E448CD">
        <w:rPr>
          <w:rFonts w:ascii="Arial" w:hAnsi="Arial" w:cs="Arial"/>
          <w:sz w:val="20"/>
          <w:szCs w:val="20"/>
        </w:rPr>
        <w:t>favorable</w:t>
      </w:r>
      <w:proofErr w:type="spellEnd"/>
      <w:r w:rsidRPr="00E448CD">
        <w:rPr>
          <w:rFonts w:ascii="Arial" w:hAnsi="Arial" w:cs="Arial"/>
          <w:sz w:val="20"/>
          <w:szCs w:val="20"/>
        </w:rPr>
        <w:t xml:space="preserve"> when the predicted score exceeds 30%</w:t>
      </w:r>
      <w:r w:rsidRPr="00E448CD">
        <w:rPr>
          <w:rFonts w:ascii="Arial" w:hAnsi="Arial" w:cs="Arial"/>
          <w:b/>
          <w:bCs/>
          <w:sz w:val="20"/>
          <w:szCs w:val="20"/>
        </w:rPr>
        <w:t xml:space="preserve">. </w:t>
      </w:r>
      <w:r w:rsidRPr="00E448CD">
        <w:rPr>
          <w:rFonts w:ascii="Arial" w:hAnsi="Arial" w:cs="Arial"/>
          <w:sz w:val="20"/>
          <w:szCs w:val="20"/>
        </w:rPr>
        <w:t>(</w:t>
      </w:r>
      <w:r w:rsidR="00AA64FC" w:rsidRPr="00E448CD">
        <w:rPr>
          <w:rFonts w:ascii="Arial" w:hAnsi="Arial" w:cs="Arial"/>
          <w:sz w:val="20"/>
          <w:szCs w:val="20"/>
        </w:rPr>
        <w:t>2</w:t>
      </w:r>
      <w:r w:rsidR="00F463AC" w:rsidRPr="00E448CD">
        <w:rPr>
          <w:rFonts w:ascii="Arial" w:hAnsi="Arial" w:cs="Arial"/>
          <w:sz w:val="20"/>
          <w:szCs w:val="20"/>
        </w:rPr>
        <w:t>5</w:t>
      </w:r>
      <w:r w:rsidR="00AA64FC" w:rsidRPr="00E448CD">
        <w:rPr>
          <w:rFonts w:ascii="Arial" w:hAnsi="Arial" w:cs="Arial"/>
          <w:sz w:val="20"/>
          <w:szCs w:val="20"/>
        </w:rPr>
        <w:t>)</w:t>
      </w:r>
    </w:p>
    <w:p w14:paraId="4820EDF1" w14:textId="77777777" w:rsidR="007A0405" w:rsidRPr="00E448CD" w:rsidRDefault="007A0405" w:rsidP="007A0405">
      <w:pPr>
        <w:jc w:val="both"/>
        <w:rPr>
          <w:rFonts w:ascii="Arial" w:hAnsi="Arial" w:cs="Arial"/>
          <w:sz w:val="20"/>
          <w:szCs w:val="20"/>
        </w:rPr>
      </w:pPr>
      <w:r w:rsidRPr="00E448CD">
        <w:rPr>
          <w:rFonts w:ascii="Arial" w:hAnsi="Arial" w:cs="Arial"/>
          <w:sz w:val="20"/>
          <w:szCs w:val="20"/>
        </w:rPr>
        <w:t>Pharmacokinetics prediction study like GI absorption, BBB penetration, Caco2 absorption, p-</w:t>
      </w:r>
      <w:proofErr w:type="spellStart"/>
      <w:r w:rsidRPr="00E448CD">
        <w:rPr>
          <w:rFonts w:ascii="Arial" w:hAnsi="Arial" w:cs="Arial"/>
          <w:sz w:val="20"/>
          <w:szCs w:val="20"/>
        </w:rPr>
        <w:t>gp</w:t>
      </w:r>
      <w:proofErr w:type="spellEnd"/>
      <w:r w:rsidRPr="00E448CD">
        <w:rPr>
          <w:rFonts w:ascii="Arial" w:hAnsi="Arial" w:cs="Arial"/>
          <w:sz w:val="20"/>
          <w:szCs w:val="20"/>
        </w:rPr>
        <w:t>, CYP2C19 Inhibitor, plasma protein binding and skin permeability mentioned in table 2.</w:t>
      </w:r>
    </w:p>
    <w:p w14:paraId="32551ACE" w14:textId="77777777" w:rsidR="00A43C26" w:rsidRPr="00E448CD" w:rsidRDefault="00A43C26" w:rsidP="00895539">
      <w:pPr>
        <w:jc w:val="both"/>
        <w:rPr>
          <w:rFonts w:ascii="Arial" w:hAnsi="Arial" w:cs="Arial"/>
          <w:sz w:val="20"/>
          <w:szCs w:val="20"/>
        </w:rPr>
      </w:pPr>
    </w:p>
    <w:p w14:paraId="05F22C07" w14:textId="77777777" w:rsidR="00A43C26" w:rsidRPr="00E448CD" w:rsidRDefault="00A43C26" w:rsidP="00895539">
      <w:pPr>
        <w:jc w:val="both"/>
        <w:rPr>
          <w:rFonts w:ascii="Arial" w:hAnsi="Arial" w:cs="Arial"/>
          <w:sz w:val="20"/>
          <w:szCs w:val="20"/>
        </w:rPr>
      </w:pPr>
    </w:p>
    <w:p w14:paraId="368FBE31" w14:textId="77777777" w:rsidR="00895539" w:rsidRPr="00E448CD" w:rsidRDefault="00895539" w:rsidP="00895539">
      <w:pPr>
        <w:jc w:val="both"/>
        <w:rPr>
          <w:rFonts w:ascii="Arial" w:hAnsi="Arial" w:cs="Arial"/>
          <w:sz w:val="20"/>
          <w:szCs w:val="20"/>
        </w:rPr>
      </w:pPr>
      <w:r w:rsidRPr="00E448CD">
        <w:rPr>
          <w:rFonts w:ascii="Arial" w:hAnsi="Arial" w:cs="Arial"/>
          <w:sz w:val="20"/>
          <w:szCs w:val="20"/>
        </w:rPr>
        <w:t xml:space="preserve">Table </w:t>
      </w:r>
      <w:r w:rsidR="00A43C26" w:rsidRPr="00E448CD">
        <w:rPr>
          <w:rFonts w:ascii="Arial" w:hAnsi="Arial" w:cs="Arial"/>
          <w:sz w:val="20"/>
          <w:szCs w:val="20"/>
        </w:rPr>
        <w:t>3</w:t>
      </w:r>
      <w:r w:rsidRPr="00E448CD">
        <w:rPr>
          <w:rFonts w:ascii="Arial" w:hAnsi="Arial" w:cs="Arial"/>
          <w:sz w:val="20"/>
          <w:szCs w:val="20"/>
        </w:rPr>
        <w:t>: In silico pharmacokinetic (ADME) properties of designed compounds</w:t>
      </w:r>
    </w:p>
    <w:tbl>
      <w:tblPr>
        <w:tblStyle w:val="TableGrid"/>
        <w:tblW w:w="0" w:type="auto"/>
        <w:tblLook w:val="04A0" w:firstRow="1" w:lastRow="0" w:firstColumn="1" w:lastColumn="0" w:noHBand="0" w:noVBand="1"/>
      </w:tblPr>
      <w:tblGrid>
        <w:gridCol w:w="855"/>
        <w:gridCol w:w="1053"/>
        <w:gridCol w:w="935"/>
        <w:gridCol w:w="922"/>
        <w:gridCol w:w="718"/>
        <w:gridCol w:w="922"/>
        <w:gridCol w:w="1352"/>
        <w:gridCol w:w="829"/>
        <w:gridCol w:w="1430"/>
      </w:tblGrid>
      <w:tr w:rsidR="002B1CD7" w:rsidRPr="00E448CD" w14:paraId="53D93D11" w14:textId="77777777" w:rsidTr="000766C3">
        <w:tc>
          <w:tcPr>
            <w:tcW w:w="855" w:type="dxa"/>
          </w:tcPr>
          <w:p w14:paraId="438039BD" w14:textId="77777777" w:rsidR="002B1CD7" w:rsidRPr="00E448CD" w:rsidRDefault="002B1CD7" w:rsidP="002B1CD7">
            <w:pPr>
              <w:rPr>
                <w:rFonts w:ascii="Arial" w:hAnsi="Arial" w:cs="Arial"/>
                <w:sz w:val="20"/>
                <w:szCs w:val="20"/>
              </w:rPr>
            </w:pPr>
            <w:r w:rsidRPr="00E448CD">
              <w:rPr>
                <w:rFonts w:ascii="Arial" w:hAnsi="Arial" w:cs="Arial"/>
                <w:b/>
                <w:bCs/>
                <w:sz w:val="20"/>
                <w:szCs w:val="20"/>
              </w:rPr>
              <w:t xml:space="preserve">Comp. </w:t>
            </w:r>
          </w:p>
        </w:tc>
        <w:tc>
          <w:tcPr>
            <w:tcW w:w="1053" w:type="dxa"/>
          </w:tcPr>
          <w:p w14:paraId="2933DCA1" w14:textId="77777777" w:rsidR="002B1CD7" w:rsidRPr="00E448CD" w:rsidRDefault="002B1CD7" w:rsidP="002B1CD7">
            <w:pPr>
              <w:rPr>
                <w:rFonts w:ascii="Arial" w:hAnsi="Arial" w:cs="Arial"/>
                <w:sz w:val="20"/>
                <w:szCs w:val="20"/>
              </w:rPr>
            </w:pPr>
            <w:r w:rsidRPr="00E448CD">
              <w:rPr>
                <w:rFonts w:ascii="Arial" w:hAnsi="Arial" w:cs="Arial"/>
                <w:b/>
                <w:bCs/>
                <w:sz w:val="20"/>
                <w:szCs w:val="20"/>
              </w:rPr>
              <w:t>BBB</w:t>
            </w:r>
          </w:p>
        </w:tc>
        <w:tc>
          <w:tcPr>
            <w:tcW w:w="935" w:type="dxa"/>
          </w:tcPr>
          <w:p w14:paraId="45A3E594" w14:textId="77777777" w:rsidR="002B1CD7" w:rsidRPr="00E448CD" w:rsidRDefault="002B1CD7" w:rsidP="002B1CD7">
            <w:pPr>
              <w:rPr>
                <w:rFonts w:ascii="Arial" w:hAnsi="Arial" w:cs="Arial"/>
                <w:sz w:val="20"/>
                <w:szCs w:val="20"/>
              </w:rPr>
            </w:pPr>
            <w:r w:rsidRPr="00E448CD">
              <w:rPr>
                <w:rFonts w:ascii="Arial" w:hAnsi="Arial" w:cs="Arial"/>
                <w:b/>
                <w:bCs/>
                <w:sz w:val="20"/>
                <w:szCs w:val="20"/>
              </w:rPr>
              <w:t>CaCO2</w:t>
            </w:r>
          </w:p>
        </w:tc>
        <w:tc>
          <w:tcPr>
            <w:tcW w:w="922" w:type="dxa"/>
          </w:tcPr>
          <w:p w14:paraId="3BAB377B" w14:textId="77777777" w:rsidR="002B1CD7" w:rsidRPr="00E448CD" w:rsidRDefault="002B1CD7" w:rsidP="002B1CD7">
            <w:pPr>
              <w:rPr>
                <w:rFonts w:ascii="Arial" w:hAnsi="Arial" w:cs="Arial"/>
                <w:sz w:val="20"/>
                <w:szCs w:val="20"/>
              </w:rPr>
            </w:pPr>
            <w:r w:rsidRPr="00E448CD">
              <w:rPr>
                <w:rFonts w:ascii="Arial" w:hAnsi="Arial" w:cs="Arial"/>
                <w:b/>
                <w:bCs/>
                <w:sz w:val="20"/>
                <w:szCs w:val="20"/>
              </w:rPr>
              <w:t>CY2D6</w:t>
            </w:r>
          </w:p>
        </w:tc>
        <w:tc>
          <w:tcPr>
            <w:tcW w:w="718" w:type="dxa"/>
          </w:tcPr>
          <w:p w14:paraId="327C45EC" w14:textId="77777777" w:rsidR="002B1CD7" w:rsidRPr="00E448CD" w:rsidRDefault="002B1CD7" w:rsidP="002B1CD7">
            <w:pPr>
              <w:rPr>
                <w:rFonts w:ascii="Arial" w:hAnsi="Arial" w:cs="Arial"/>
                <w:sz w:val="20"/>
                <w:szCs w:val="20"/>
              </w:rPr>
            </w:pPr>
            <w:r w:rsidRPr="00E448CD">
              <w:rPr>
                <w:rFonts w:ascii="Arial" w:hAnsi="Arial" w:cs="Arial"/>
                <w:b/>
                <w:bCs/>
                <w:sz w:val="20"/>
                <w:szCs w:val="20"/>
              </w:rPr>
              <w:t>HIA</w:t>
            </w:r>
          </w:p>
        </w:tc>
        <w:tc>
          <w:tcPr>
            <w:tcW w:w="922" w:type="dxa"/>
          </w:tcPr>
          <w:p w14:paraId="64933936" w14:textId="77777777" w:rsidR="002B1CD7" w:rsidRPr="00E448CD" w:rsidRDefault="002B1CD7" w:rsidP="002B1CD7">
            <w:pPr>
              <w:rPr>
                <w:rFonts w:ascii="Arial" w:hAnsi="Arial" w:cs="Arial"/>
                <w:sz w:val="20"/>
                <w:szCs w:val="20"/>
              </w:rPr>
            </w:pPr>
            <w:r w:rsidRPr="00E448CD">
              <w:rPr>
                <w:rFonts w:ascii="Arial" w:hAnsi="Arial" w:cs="Arial"/>
                <w:b/>
                <w:bCs/>
                <w:sz w:val="20"/>
                <w:szCs w:val="20"/>
              </w:rPr>
              <w:t>MDCK</w:t>
            </w:r>
          </w:p>
        </w:tc>
        <w:tc>
          <w:tcPr>
            <w:tcW w:w="1352" w:type="dxa"/>
          </w:tcPr>
          <w:p w14:paraId="7F06BB95" w14:textId="77777777" w:rsidR="002B1CD7" w:rsidRPr="00E448CD" w:rsidRDefault="002B1CD7" w:rsidP="002B1CD7">
            <w:pPr>
              <w:rPr>
                <w:rFonts w:ascii="Arial" w:hAnsi="Arial" w:cs="Arial"/>
                <w:sz w:val="20"/>
                <w:szCs w:val="20"/>
              </w:rPr>
            </w:pPr>
            <w:proofErr w:type="spellStart"/>
            <w:r w:rsidRPr="00E448CD">
              <w:rPr>
                <w:rFonts w:ascii="Arial" w:hAnsi="Arial" w:cs="Arial"/>
                <w:b/>
                <w:bCs/>
                <w:sz w:val="20"/>
                <w:szCs w:val="20"/>
              </w:rPr>
              <w:t>Pgp</w:t>
            </w:r>
            <w:proofErr w:type="spellEnd"/>
          </w:p>
        </w:tc>
        <w:tc>
          <w:tcPr>
            <w:tcW w:w="829" w:type="dxa"/>
          </w:tcPr>
          <w:p w14:paraId="405743B5" w14:textId="77777777" w:rsidR="002B1CD7" w:rsidRPr="00E448CD" w:rsidRDefault="002B1CD7" w:rsidP="002B1CD7">
            <w:pPr>
              <w:rPr>
                <w:rFonts w:ascii="Arial" w:hAnsi="Arial" w:cs="Arial"/>
                <w:sz w:val="20"/>
                <w:szCs w:val="20"/>
              </w:rPr>
            </w:pPr>
            <w:r w:rsidRPr="00E448CD">
              <w:rPr>
                <w:rFonts w:ascii="Arial" w:hAnsi="Arial" w:cs="Arial"/>
                <w:b/>
                <w:bCs/>
                <w:sz w:val="20"/>
                <w:szCs w:val="20"/>
              </w:rPr>
              <w:t>PPB</w:t>
            </w:r>
          </w:p>
        </w:tc>
        <w:tc>
          <w:tcPr>
            <w:tcW w:w="1430" w:type="dxa"/>
          </w:tcPr>
          <w:p w14:paraId="6ECD44E7" w14:textId="77777777" w:rsidR="002B1CD7" w:rsidRPr="00E448CD" w:rsidRDefault="002B1CD7" w:rsidP="002B1CD7">
            <w:pPr>
              <w:rPr>
                <w:rFonts w:ascii="Arial" w:hAnsi="Arial" w:cs="Arial"/>
                <w:sz w:val="20"/>
                <w:szCs w:val="20"/>
              </w:rPr>
            </w:pPr>
            <w:r w:rsidRPr="00E448CD">
              <w:rPr>
                <w:rFonts w:ascii="Arial" w:hAnsi="Arial" w:cs="Arial"/>
                <w:b/>
                <w:bCs/>
                <w:sz w:val="20"/>
                <w:szCs w:val="20"/>
              </w:rPr>
              <w:t>Skin permeability</w:t>
            </w:r>
          </w:p>
        </w:tc>
      </w:tr>
      <w:tr w:rsidR="00F30764" w:rsidRPr="00E448CD" w14:paraId="29CD33DD" w14:textId="77777777" w:rsidTr="000766C3">
        <w:tc>
          <w:tcPr>
            <w:tcW w:w="855" w:type="dxa"/>
          </w:tcPr>
          <w:p w14:paraId="5008856C" w14:textId="77777777" w:rsidR="00F30764" w:rsidRPr="00E448CD" w:rsidRDefault="00F30764" w:rsidP="000766C3">
            <w:pPr>
              <w:rPr>
                <w:rFonts w:ascii="Arial" w:hAnsi="Arial" w:cs="Arial"/>
                <w:sz w:val="20"/>
                <w:szCs w:val="20"/>
              </w:rPr>
            </w:pPr>
            <w:r w:rsidRPr="00E448CD">
              <w:rPr>
                <w:rFonts w:ascii="Arial" w:hAnsi="Arial" w:cs="Arial"/>
                <w:sz w:val="20"/>
                <w:szCs w:val="20"/>
              </w:rPr>
              <w:t>FA1</w:t>
            </w:r>
          </w:p>
        </w:tc>
        <w:tc>
          <w:tcPr>
            <w:tcW w:w="1053" w:type="dxa"/>
          </w:tcPr>
          <w:p w14:paraId="71F36EAD" w14:textId="77777777" w:rsidR="00F30764" w:rsidRPr="00E448CD" w:rsidRDefault="00F30764" w:rsidP="000766C3">
            <w:pPr>
              <w:rPr>
                <w:rFonts w:ascii="Arial" w:hAnsi="Arial" w:cs="Arial"/>
                <w:sz w:val="20"/>
                <w:szCs w:val="20"/>
              </w:rPr>
            </w:pPr>
            <w:r w:rsidRPr="00E448CD">
              <w:rPr>
                <w:rFonts w:ascii="Arial" w:hAnsi="Arial" w:cs="Arial"/>
                <w:sz w:val="20"/>
                <w:szCs w:val="20"/>
              </w:rPr>
              <w:t>0.263</w:t>
            </w:r>
          </w:p>
        </w:tc>
        <w:tc>
          <w:tcPr>
            <w:tcW w:w="935" w:type="dxa"/>
          </w:tcPr>
          <w:p w14:paraId="22E9D903" w14:textId="77777777" w:rsidR="00F30764" w:rsidRPr="00E448CD" w:rsidRDefault="00F30764" w:rsidP="000766C3">
            <w:pPr>
              <w:rPr>
                <w:rFonts w:ascii="Arial" w:hAnsi="Arial" w:cs="Arial"/>
                <w:sz w:val="20"/>
                <w:szCs w:val="20"/>
              </w:rPr>
            </w:pPr>
            <w:r w:rsidRPr="00E448CD">
              <w:rPr>
                <w:rFonts w:ascii="Arial" w:hAnsi="Arial" w:cs="Arial"/>
                <w:sz w:val="20"/>
                <w:szCs w:val="20"/>
              </w:rPr>
              <w:t>23.30</w:t>
            </w:r>
          </w:p>
        </w:tc>
        <w:tc>
          <w:tcPr>
            <w:tcW w:w="922" w:type="dxa"/>
          </w:tcPr>
          <w:p w14:paraId="00370CCE"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5AF2DD9A" w14:textId="77777777" w:rsidR="00F30764" w:rsidRPr="00E448CD" w:rsidRDefault="00F30764" w:rsidP="000766C3">
            <w:pPr>
              <w:rPr>
                <w:rFonts w:ascii="Arial" w:hAnsi="Arial" w:cs="Arial"/>
                <w:sz w:val="20"/>
                <w:szCs w:val="20"/>
              </w:rPr>
            </w:pPr>
            <w:r w:rsidRPr="00E448CD">
              <w:rPr>
                <w:rFonts w:ascii="Arial" w:hAnsi="Arial" w:cs="Arial"/>
                <w:sz w:val="20"/>
                <w:szCs w:val="20"/>
              </w:rPr>
              <w:t>92.99</w:t>
            </w:r>
          </w:p>
        </w:tc>
        <w:tc>
          <w:tcPr>
            <w:tcW w:w="922" w:type="dxa"/>
          </w:tcPr>
          <w:p w14:paraId="322C4194" w14:textId="77777777" w:rsidR="00F30764" w:rsidRPr="00E448CD" w:rsidRDefault="00F30764" w:rsidP="000766C3">
            <w:pPr>
              <w:rPr>
                <w:rFonts w:ascii="Arial" w:hAnsi="Arial" w:cs="Arial"/>
                <w:sz w:val="20"/>
                <w:szCs w:val="20"/>
              </w:rPr>
            </w:pPr>
            <w:r w:rsidRPr="00E448CD">
              <w:rPr>
                <w:rFonts w:ascii="Arial" w:hAnsi="Arial" w:cs="Arial"/>
                <w:sz w:val="20"/>
                <w:szCs w:val="20"/>
              </w:rPr>
              <w:t>1.167</w:t>
            </w:r>
          </w:p>
        </w:tc>
        <w:tc>
          <w:tcPr>
            <w:tcW w:w="1352" w:type="dxa"/>
          </w:tcPr>
          <w:p w14:paraId="66DC8A74"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35B86D1E" w14:textId="77777777" w:rsidR="00F30764" w:rsidRPr="00E448CD" w:rsidRDefault="00F30764" w:rsidP="000766C3">
            <w:pPr>
              <w:rPr>
                <w:rFonts w:ascii="Arial" w:hAnsi="Arial" w:cs="Arial"/>
                <w:sz w:val="20"/>
                <w:szCs w:val="20"/>
              </w:rPr>
            </w:pPr>
            <w:r w:rsidRPr="00E448CD">
              <w:rPr>
                <w:rFonts w:ascii="Arial" w:hAnsi="Arial" w:cs="Arial"/>
                <w:sz w:val="20"/>
                <w:szCs w:val="20"/>
              </w:rPr>
              <w:t>80.86</w:t>
            </w:r>
          </w:p>
        </w:tc>
        <w:tc>
          <w:tcPr>
            <w:tcW w:w="1430" w:type="dxa"/>
          </w:tcPr>
          <w:p w14:paraId="7F3EDDBA" w14:textId="77777777" w:rsidR="00F30764" w:rsidRPr="00E448CD" w:rsidRDefault="00F30764" w:rsidP="000766C3">
            <w:pPr>
              <w:rPr>
                <w:rFonts w:ascii="Arial" w:hAnsi="Arial" w:cs="Arial"/>
                <w:sz w:val="20"/>
                <w:szCs w:val="20"/>
              </w:rPr>
            </w:pPr>
            <w:r w:rsidRPr="00E448CD">
              <w:rPr>
                <w:rFonts w:ascii="Arial" w:hAnsi="Arial" w:cs="Arial"/>
                <w:sz w:val="20"/>
                <w:szCs w:val="20"/>
              </w:rPr>
              <w:t>-3.20</w:t>
            </w:r>
          </w:p>
        </w:tc>
      </w:tr>
      <w:tr w:rsidR="00F30764" w:rsidRPr="00E448CD" w14:paraId="4C98376E" w14:textId="77777777" w:rsidTr="000766C3">
        <w:tc>
          <w:tcPr>
            <w:tcW w:w="855" w:type="dxa"/>
          </w:tcPr>
          <w:p w14:paraId="404B7289" w14:textId="77777777" w:rsidR="00F30764" w:rsidRPr="00E448CD" w:rsidRDefault="00F30764" w:rsidP="000766C3">
            <w:pPr>
              <w:rPr>
                <w:rFonts w:ascii="Arial" w:hAnsi="Arial" w:cs="Arial"/>
                <w:sz w:val="20"/>
                <w:szCs w:val="20"/>
              </w:rPr>
            </w:pPr>
            <w:r w:rsidRPr="00E448CD">
              <w:rPr>
                <w:rFonts w:ascii="Arial" w:hAnsi="Arial" w:cs="Arial"/>
                <w:sz w:val="20"/>
                <w:szCs w:val="20"/>
              </w:rPr>
              <w:t>FA2</w:t>
            </w:r>
          </w:p>
        </w:tc>
        <w:tc>
          <w:tcPr>
            <w:tcW w:w="1053" w:type="dxa"/>
          </w:tcPr>
          <w:p w14:paraId="2975D606" w14:textId="77777777" w:rsidR="00F30764" w:rsidRPr="00E448CD" w:rsidRDefault="00F30764" w:rsidP="000766C3">
            <w:pPr>
              <w:rPr>
                <w:rFonts w:ascii="Arial" w:hAnsi="Arial" w:cs="Arial"/>
                <w:sz w:val="20"/>
                <w:szCs w:val="20"/>
              </w:rPr>
            </w:pPr>
            <w:r w:rsidRPr="00E448CD">
              <w:rPr>
                <w:rFonts w:ascii="Arial" w:hAnsi="Arial" w:cs="Arial"/>
                <w:sz w:val="20"/>
                <w:szCs w:val="20"/>
              </w:rPr>
              <w:t>0.202</w:t>
            </w:r>
          </w:p>
        </w:tc>
        <w:tc>
          <w:tcPr>
            <w:tcW w:w="935" w:type="dxa"/>
          </w:tcPr>
          <w:p w14:paraId="28A07F5F" w14:textId="77777777" w:rsidR="00F30764" w:rsidRPr="00E448CD" w:rsidRDefault="00F30764" w:rsidP="000766C3">
            <w:pPr>
              <w:rPr>
                <w:rFonts w:ascii="Arial" w:hAnsi="Arial" w:cs="Arial"/>
                <w:sz w:val="20"/>
                <w:szCs w:val="20"/>
              </w:rPr>
            </w:pPr>
            <w:r w:rsidRPr="00E448CD">
              <w:rPr>
                <w:rFonts w:ascii="Arial" w:hAnsi="Arial" w:cs="Arial"/>
                <w:sz w:val="20"/>
                <w:szCs w:val="20"/>
              </w:rPr>
              <w:t>24.00</w:t>
            </w:r>
          </w:p>
        </w:tc>
        <w:tc>
          <w:tcPr>
            <w:tcW w:w="922" w:type="dxa"/>
          </w:tcPr>
          <w:p w14:paraId="30431529"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188FA1D6" w14:textId="77777777" w:rsidR="00F30764" w:rsidRPr="00E448CD" w:rsidRDefault="00F30764" w:rsidP="000766C3">
            <w:pPr>
              <w:rPr>
                <w:rFonts w:ascii="Arial" w:hAnsi="Arial" w:cs="Arial"/>
                <w:sz w:val="20"/>
                <w:szCs w:val="20"/>
              </w:rPr>
            </w:pPr>
            <w:r w:rsidRPr="00E448CD">
              <w:rPr>
                <w:rFonts w:ascii="Arial" w:hAnsi="Arial" w:cs="Arial"/>
                <w:sz w:val="20"/>
                <w:szCs w:val="20"/>
              </w:rPr>
              <w:t>92.99</w:t>
            </w:r>
          </w:p>
        </w:tc>
        <w:tc>
          <w:tcPr>
            <w:tcW w:w="922" w:type="dxa"/>
          </w:tcPr>
          <w:p w14:paraId="59403D59" w14:textId="77777777" w:rsidR="00F30764" w:rsidRPr="00E448CD" w:rsidRDefault="00F30764" w:rsidP="000766C3">
            <w:pPr>
              <w:rPr>
                <w:rFonts w:ascii="Arial" w:hAnsi="Arial" w:cs="Arial"/>
                <w:sz w:val="20"/>
                <w:szCs w:val="20"/>
              </w:rPr>
            </w:pPr>
            <w:r w:rsidRPr="00E448CD">
              <w:rPr>
                <w:rFonts w:ascii="Arial" w:hAnsi="Arial" w:cs="Arial"/>
                <w:sz w:val="20"/>
                <w:szCs w:val="20"/>
              </w:rPr>
              <w:t>1.742</w:t>
            </w:r>
          </w:p>
        </w:tc>
        <w:tc>
          <w:tcPr>
            <w:tcW w:w="1352" w:type="dxa"/>
          </w:tcPr>
          <w:p w14:paraId="107E586D"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5A12FFF3" w14:textId="77777777" w:rsidR="00F30764" w:rsidRPr="00E448CD" w:rsidRDefault="00F30764" w:rsidP="000766C3">
            <w:pPr>
              <w:rPr>
                <w:rFonts w:ascii="Arial" w:hAnsi="Arial" w:cs="Arial"/>
                <w:sz w:val="20"/>
                <w:szCs w:val="20"/>
              </w:rPr>
            </w:pPr>
            <w:r w:rsidRPr="00E448CD">
              <w:rPr>
                <w:rFonts w:ascii="Arial" w:hAnsi="Arial" w:cs="Arial"/>
                <w:sz w:val="20"/>
                <w:szCs w:val="20"/>
              </w:rPr>
              <w:t>76.22</w:t>
            </w:r>
          </w:p>
        </w:tc>
        <w:tc>
          <w:tcPr>
            <w:tcW w:w="1430" w:type="dxa"/>
          </w:tcPr>
          <w:p w14:paraId="25F1E984" w14:textId="77777777" w:rsidR="00F30764" w:rsidRPr="00E448CD" w:rsidRDefault="00F30764" w:rsidP="000766C3">
            <w:pPr>
              <w:rPr>
                <w:rFonts w:ascii="Arial" w:hAnsi="Arial" w:cs="Arial"/>
                <w:sz w:val="20"/>
                <w:szCs w:val="20"/>
              </w:rPr>
            </w:pPr>
            <w:r w:rsidRPr="00E448CD">
              <w:rPr>
                <w:rFonts w:ascii="Arial" w:hAnsi="Arial" w:cs="Arial"/>
                <w:sz w:val="20"/>
                <w:szCs w:val="20"/>
              </w:rPr>
              <w:t>-3.19</w:t>
            </w:r>
          </w:p>
        </w:tc>
      </w:tr>
      <w:tr w:rsidR="00F30764" w:rsidRPr="00E448CD" w14:paraId="13BA7E95" w14:textId="77777777" w:rsidTr="000766C3">
        <w:tc>
          <w:tcPr>
            <w:tcW w:w="855" w:type="dxa"/>
          </w:tcPr>
          <w:p w14:paraId="069365EF" w14:textId="77777777" w:rsidR="00F30764" w:rsidRPr="00E448CD" w:rsidRDefault="00F30764" w:rsidP="000766C3">
            <w:pPr>
              <w:rPr>
                <w:rFonts w:ascii="Arial" w:hAnsi="Arial" w:cs="Arial"/>
                <w:sz w:val="20"/>
                <w:szCs w:val="20"/>
              </w:rPr>
            </w:pPr>
            <w:r w:rsidRPr="00E448CD">
              <w:rPr>
                <w:rFonts w:ascii="Arial" w:hAnsi="Arial" w:cs="Arial"/>
                <w:sz w:val="20"/>
                <w:szCs w:val="20"/>
              </w:rPr>
              <w:t>FA3</w:t>
            </w:r>
          </w:p>
        </w:tc>
        <w:tc>
          <w:tcPr>
            <w:tcW w:w="1053" w:type="dxa"/>
          </w:tcPr>
          <w:p w14:paraId="5FBA35AC" w14:textId="77777777" w:rsidR="00F30764" w:rsidRPr="00E448CD" w:rsidRDefault="00F30764" w:rsidP="000766C3">
            <w:pPr>
              <w:rPr>
                <w:rFonts w:ascii="Arial" w:hAnsi="Arial" w:cs="Arial"/>
                <w:sz w:val="20"/>
                <w:szCs w:val="20"/>
              </w:rPr>
            </w:pPr>
            <w:r w:rsidRPr="00E448CD">
              <w:rPr>
                <w:rFonts w:ascii="Arial" w:hAnsi="Arial" w:cs="Arial"/>
                <w:sz w:val="20"/>
                <w:szCs w:val="20"/>
              </w:rPr>
              <w:t>0.132</w:t>
            </w:r>
          </w:p>
        </w:tc>
        <w:tc>
          <w:tcPr>
            <w:tcW w:w="935" w:type="dxa"/>
          </w:tcPr>
          <w:p w14:paraId="05A9FC00" w14:textId="77777777" w:rsidR="00F30764" w:rsidRPr="00E448CD" w:rsidRDefault="00F30764" w:rsidP="000766C3">
            <w:pPr>
              <w:rPr>
                <w:rFonts w:ascii="Arial" w:hAnsi="Arial" w:cs="Arial"/>
                <w:sz w:val="20"/>
                <w:szCs w:val="20"/>
              </w:rPr>
            </w:pPr>
            <w:r w:rsidRPr="00E448CD">
              <w:rPr>
                <w:rFonts w:ascii="Arial" w:hAnsi="Arial" w:cs="Arial"/>
                <w:sz w:val="20"/>
                <w:szCs w:val="20"/>
              </w:rPr>
              <w:t>22.79</w:t>
            </w:r>
          </w:p>
        </w:tc>
        <w:tc>
          <w:tcPr>
            <w:tcW w:w="922" w:type="dxa"/>
          </w:tcPr>
          <w:p w14:paraId="653550C8"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4968FF1E" w14:textId="77777777" w:rsidR="00F30764" w:rsidRPr="00E448CD" w:rsidRDefault="00F30764" w:rsidP="000766C3">
            <w:pPr>
              <w:rPr>
                <w:rFonts w:ascii="Arial" w:hAnsi="Arial" w:cs="Arial"/>
                <w:sz w:val="20"/>
                <w:szCs w:val="20"/>
              </w:rPr>
            </w:pPr>
            <w:r w:rsidRPr="00E448CD">
              <w:rPr>
                <w:rFonts w:ascii="Arial" w:hAnsi="Arial" w:cs="Arial"/>
                <w:sz w:val="20"/>
                <w:szCs w:val="20"/>
              </w:rPr>
              <w:t>92.97</w:t>
            </w:r>
          </w:p>
        </w:tc>
        <w:tc>
          <w:tcPr>
            <w:tcW w:w="922" w:type="dxa"/>
          </w:tcPr>
          <w:p w14:paraId="5C100268" w14:textId="77777777" w:rsidR="00F30764" w:rsidRPr="00E448CD" w:rsidRDefault="00F30764" w:rsidP="000766C3">
            <w:pPr>
              <w:rPr>
                <w:rFonts w:ascii="Arial" w:hAnsi="Arial" w:cs="Arial"/>
                <w:sz w:val="20"/>
                <w:szCs w:val="20"/>
              </w:rPr>
            </w:pPr>
            <w:r w:rsidRPr="00E448CD">
              <w:rPr>
                <w:rFonts w:ascii="Arial" w:hAnsi="Arial" w:cs="Arial"/>
                <w:sz w:val="20"/>
                <w:szCs w:val="20"/>
              </w:rPr>
              <w:t>15.84</w:t>
            </w:r>
          </w:p>
        </w:tc>
        <w:tc>
          <w:tcPr>
            <w:tcW w:w="1352" w:type="dxa"/>
          </w:tcPr>
          <w:p w14:paraId="6D3927D2"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44B98D8A" w14:textId="77777777" w:rsidR="00F30764" w:rsidRPr="00E448CD" w:rsidRDefault="00F30764" w:rsidP="000766C3">
            <w:pPr>
              <w:rPr>
                <w:rFonts w:ascii="Arial" w:hAnsi="Arial" w:cs="Arial"/>
                <w:sz w:val="20"/>
                <w:szCs w:val="20"/>
              </w:rPr>
            </w:pPr>
            <w:r w:rsidRPr="00E448CD">
              <w:rPr>
                <w:rFonts w:ascii="Arial" w:hAnsi="Arial" w:cs="Arial"/>
                <w:sz w:val="20"/>
                <w:szCs w:val="20"/>
              </w:rPr>
              <w:t>75.72</w:t>
            </w:r>
          </w:p>
        </w:tc>
        <w:tc>
          <w:tcPr>
            <w:tcW w:w="1430" w:type="dxa"/>
          </w:tcPr>
          <w:p w14:paraId="1D77B07D" w14:textId="77777777" w:rsidR="00F30764" w:rsidRPr="00E448CD" w:rsidRDefault="00F30764" w:rsidP="000766C3">
            <w:pPr>
              <w:rPr>
                <w:rFonts w:ascii="Arial" w:hAnsi="Arial" w:cs="Arial"/>
                <w:sz w:val="20"/>
                <w:szCs w:val="20"/>
              </w:rPr>
            </w:pPr>
            <w:r w:rsidRPr="00E448CD">
              <w:rPr>
                <w:rFonts w:ascii="Arial" w:hAnsi="Arial" w:cs="Arial"/>
                <w:sz w:val="20"/>
                <w:szCs w:val="20"/>
              </w:rPr>
              <w:t>-3.32</w:t>
            </w:r>
          </w:p>
        </w:tc>
      </w:tr>
      <w:tr w:rsidR="00F30764" w:rsidRPr="00E448CD" w14:paraId="3DC5C08A" w14:textId="77777777" w:rsidTr="000766C3">
        <w:tc>
          <w:tcPr>
            <w:tcW w:w="855" w:type="dxa"/>
          </w:tcPr>
          <w:p w14:paraId="7496E56E" w14:textId="77777777" w:rsidR="00F30764" w:rsidRPr="00E448CD" w:rsidRDefault="00F30764" w:rsidP="000766C3">
            <w:pPr>
              <w:rPr>
                <w:rFonts w:ascii="Arial" w:hAnsi="Arial" w:cs="Arial"/>
                <w:sz w:val="20"/>
                <w:szCs w:val="20"/>
              </w:rPr>
            </w:pPr>
            <w:r w:rsidRPr="00E448CD">
              <w:rPr>
                <w:rFonts w:ascii="Arial" w:hAnsi="Arial" w:cs="Arial"/>
                <w:sz w:val="20"/>
                <w:szCs w:val="20"/>
              </w:rPr>
              <w:t>FA4</w:t>
            </w:r>
          </w:p>
        </w:tc>
        <w:tc>
          <w:tcPr>
            <w:tcW w:w="1053" w:type="dxa"/>
          </w:tcPr>
          <w:p w14:paraId="5BEC9BDA" w14:textId="77777777" w:rsidR="00F30764" w:rsidRPr="00E448CD" w:rsidRDefault="00F30764" w:rsidP="000766C3">
            <w:pPr>
              <w:rPr>
                <w:rFonts w:ascii="Arial" w:hAnsi="Arial" w:cs="Arial"/>
                <w:sz w:val="20"/>
                <w:szCs w:val="20"/>
              </w:rPr>
            </w:pPr>
            <w:r w:rsidRPr="00E448CD">
              <w:rPr>
                <w:rFonts w:ascii="Arial" w:hAnsi="Arial" w:cs="Arial"/>
                <w:sz w:val="20"/>
                <w:szCs w:val="20"/>
              </w:rPr>
              <w:t>0.076</w:t>
            </w:r>
          </w:p>
        </w:tc>
        <w:tc>
          <w:tcPr>
            <w:tcW w:w="935" w:type="dxa"/>
          </w:tcPr>
          <w:p w14:paraId="1F23F3CE" w14:textId="77777777" w:rsidR="00F30764" w:rsidRPr="00E448CD" w:rsidRDefault="00F30764" w:rsidP="000766C3">
            <w:pPr>
              <w:rPr>
                <w:rFonts w:ascii="Arial" w:hAnsi="Arial" w:cs="Arial"/>
                <w:sz w:val="20"/>
                <w:szCs w:val="20"/>
              </w:rPr>
            </w:pPr>
            <w:r w:rsidRPr="00E448CD">
              <w:rPr>
                <w:rFonts w:ascii="Arial" w:hAnsi="Arial" w:cs="Arial"/>
                <w:sz w:val="20"/>
                <w:szCs w:val="20"/>
              </w:rPr>
              <w:t>23.24</w:t>
            </w:r>
          </w:p>
        </w:tc>
        <w:tc>
          <w:tcPr>
            <w:tcW w:w="922" w:type="dxa"/>
          </w:tcPr>
          <w:p w14:paraId="414CF81C"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40D70E95" w14:textId="77777777" w:rsidR="00F30764" w:rsidRPr="00E448CD" w:rsidRDefault="00F30764" w:rsidP="000766C3">
            <w:pPr>
              <w:rPr>
                <w:rFonts w:ascii="Arial" w:hAnsi="Arial" w:cs="Arial"/>
                <w:sz w:val="20"/>
                <w:szCs w:val="20"/>
              </w:rPr>
            </w:pPr>
            <w:r w:rsidRPr="00E448CD">
              <w:rPr>
                <w:rFonts w:ascii="Arial" w:hAnsi="Arial" w:cs="Arial"/>
                <w:sz w:val="20"/>
                <w:szCs w:val="20"/>
              </w:rPr>
              <w:t>92.81</w:t>
            </w:r>
          </w:p>
        </w:tc>
        <w:tc>
          <w:tcPr>
            <w:tcW w:w="922" w:type="dxa"/>
          </w:tcPr>
          <w:p w14:paraId="15573DC0" w14:textId="77777777" w:rsidR="00F30764" w:rsidRPr="00E448CD" w:rsidRDefault="00F30764" w:rsidP="000766C3">
            <w:pPr>
              <w:rPr>
                <w:rFonts w:ascii="Arial" w:hAnsi="Arial" w:cs="Arial"/>
                <w:sz w:val="20"/>
                <w:szCs w:val="20"/>
              </w:rPr>
            </w:pPr>
            <w:r w:rsidRPr="00E448CD">
              <w:rPr>
                <w:rFonts w:ascii="Arial" w:hAnsi="Arial" w:cs="Arial"/>
                <w:sz w:val="20"/>
                <w:szCs w:val="20"/>
              </w:rPr>
              <w:t>49.49</w:t>
            </w:r>
          </w:p>
        </w:tc>
        <w:tc>
          <w:tcPr>
            <w:tcW w:w="1352" w:type="dxa"/>
          </w:tcPr>
          <w:p w14:paraId="4EE8BD80"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51BAADAB" w14:textId="77777777" w:rsidR="00F30764" w:rsidRPr="00E448CD" w:rsidRDefault="00F30764" w:rsidP="000766C3">
            <w:pPr>
              <w:rPr>
                <w:rFonts w:ascii="Arial" w:hAnsi="Arial" w:cs="Arial"/>
                <w:sz w:val="20"/>
                <w:szCs w:val="20"/>
              </w:rPr>
            </w:pPr>
            <w:r w:rsidRPr="00E448CD">
              <w:rPr>
                <w:rFonts w:ascii="Arial" w:hAnsi="Arial" w:cs="Arial"/>
                <w:sz w:val="20"/>
                <w:szCs w:val="20"/>
              </w:rPr>
              <w:t>62.87</w:t>
            </w:r>
          </w:p>
        </w:tc>
        <w:tc>
          <w:tcPr>
            <w:tcW w:w="1430" w:type="dxa"/>
          </w:tcPr>
          <w:p w14:paraId="01A54E9E" w14:textId="77777777" w:rsidR="00F30764" w:rsidRPr="00E448CD" w:rsidRDefault="00F30764" w:rsidP="000766C3">
            <w:pPr>
              <w:rPr>
                <w:rFonts w:ascii="Arial" w:hAnsi="Arial" w:cs="Arial"/>
                <w:sz w:val="20"/>
                <w:szCs w:val="20"/>
              </w:rPr>
            </w:pPr>
            <w:r w:rsidRPr="00E448CD">
              <w:rPr>
                <w:rFonts w:ascii="Arial" w:hAnsi="Arial" w:cs="Arial"/>
                <w:sz w:val="20"/>
                <w:szCs w:val="20"/>
              </w:rPr>
              <w:t>-3.56</w:t>
            </w:r>
          </w:p>
        </w:tc>
      </w:tr>
      <w:tr w:rsidR="00F30764" w:rsidRPr="00E448CD" w14:paraId="64B71D92" w14:textId="77777777" w:rsidTr="000766C3">
        <w:tc>
          <w:tcPr>
            <w:tcW w:w="855" w:type="dxa"/>
          </w:tcPr>
          <w:p w14:paraId="6678505D" w14:textId="77777777" w:rsidR="00F30764" w:rsidRPr="00E448CD" w:rsidRDefault="00F30764" w:rsidP="000766C3">
            <w:pPr>
              <w:rPr>
                <w:rFonts w:ascii="Arial" w:hAnsi="Arial" w:cs="Arial"/>
                <w:sz w:val="20"/>
                <w:szCs w:val="20"/>
              </w:rPr>
            </w:pPr>
            <w:r w:rsidRPr="00E448CD">
              <w:rPr>
                <w:rFonts w:ascii="Arial" w:hAnsi="Arial" w:cs="Arial"/>
                <w:sz w:val="20"/>
                <w:szCs w:val="20"/>
              </w:rPr>
              <w:t>FA5</w:t>
            </w:r>
          </w:p>
        </w:tc>
        <w:tc>
          <w:tcPr>
            <w:tcW w:w="1053" w:type="dxa"/>
          </w:tcPr>
          <w:p w14:paraId="30AFEA1C" w14:textId="77777777" w:rsidR="00F30764" w:rsidRPr="00E448CD" w:rsidRDefault="00F30764" w:rsidP="000766C3">
            <w:pPr>
              <w:rPr>
                <w:rFonts w:ascii="Arial" w:hAnsi="Arial" w:cs="Arial"/>
                <w:sz w:val="20"/>
                <w:szCs w:val="20"/>
              </w:rPr>
            </w:pPr>
            <w:r w:rsidRPr="00E448CD">
              <w:rPr>
                <w:rFonts w:ascii="Arial" w:hAnsi="Arial" w:cs="Arial"/>
                <w:sz w:val="20"/>
                <w:szCs w:val="20"/>
              </w:rPr>
              <w:t>0.063</w:t>
            </w:r>
          </w:p>
        </w:tc>
        <w:tc>
          <w:tcPr>
            <w:tcW w:w="935" w:type="dxa"/>
          </w:tcPr>
          <w:p w14:paraId="67B50458" w14:textId="77777777" w:rsidR="00F30764" w:rsidRPr="00E448CD" w:rsidRDefault="00F30764" w:rsidP="000766C3">
            <w:pPr>
              <w:rPr>
                <w:rFonts w:ascii="Arial" w:hAnsi="Arial" w:cs="Arial"/>
                <w:sz w:val="20"/>
                <w:szCs w:val="20"/>
              </w:rPr>
            </w:pPr>
            <w:r w:rsidRPr="00E448CD">
              <w:rPr>
                <w:rFonts w:ascii="Arial" w:hAnsi="Arial" w:cs="Arial"/>
                <w:sz w:val="20"/>
                <w:szCs w:val="20"/>
              </w:rPr>
              <w:t>23.42</w:t>
            </w:r>
          </w:p>
        </w:tc>
        <w:tc>
          <w:tcPr>
            <w:tcW w:w="922" w:type="dxa"/>
          </w:tcPr>
          <w:p w14:paraId="26748B72"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60166855" w14:textId="77777777" w:rsidR="00F30764" w:rsidRPr="00E448CD" w:rsidRDefault="00F30764" w:rsidP="000766C3">
            <w:pPr>
              <w:rPr>
                <w:rFonts w:ascii="Arial" w:hAnsi="Arial" w:cs="Arial"/>
                <w:sz w:val="20"/>
                <w:szCs w:val="20"/>
              </w:rPr>
            </w:pPr>
            <w:r w:rsidRPr="00E448CD">
              <w:rPr>
                <w:rFonts w:ascii="Arial" w:hAnsi="Arial" w:cs="Arial"/>
                <w:sz w:val="20"/>
                <w:szCs w:val="20"/>
              </w:rPr>
              <w:t>92.81</w:t>
            </w:r>
          </w:p>
        </w:tc>
        <w:tc>
          <w:tcPr>
            <w:tcW w:w="922" w:type="dxa"/>
          </w:tcPr>
          <w:p w14:paraId="56AD6F80" w14:textId="77777777" w:rsidR="00F30764" w:rsidRPr="00E448CD" w:rsidRDefault="00F30764" w:rsidP="000766C3">
            <w:pPr>
              <w:rPr>
                <w:rFonts w:ascii="Arial" w:hAnsi="Arial" w:cs="Arial"/>
                <w:sz w:val="20"/>
                <w:szCs w:val="20"/>
              </w:rPr>
            </w:pPr>
            <w:r w:rsidRPr="00E448CD">
              <w:rPr>
                <w:rFonts w:ascii="Arial" w:hAnsi="Arial" w:cs="Arial"/>
                <w:sz w:val="20"/>
                <w:szCs w:val="20"/>
              </w:rPr>
              <w:t>24.20</w:t>
            </w:r>
          </w:p>
        </w:tc>
        <w:tc>
          <w:tcPr>
            <w:tcW w:w="1352" w:type="dxa"/>
          </w:tcPr>
          <w:p w14:paraId="569B6D8C"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23C66ADA" w14:textId="77777777" w:rsidR="00F30764" w:rsidRPr="00E448CD" w:rsidRDefault="00F30764" w:rsidP="000766C3">
            <w:pPr>
              <w:rPr>
                <w:rFonts w:ascii="Arial" w:hAnsi="Arial" w:cs="Arial"/>
                <w:sz w:val="20"/>
                <w:szCs w:val="20"/>
              </w:rPr>
            </w:pPr>
            <w:r w:rsidRPr="00E448CD">
              <w:rPr>
                <w:rFonts w:ascii="Arial" w:hAnsi="Arial" w:cs="Arial"/>
                <w:sz w:val="20"/>
                <w:szCs w:val="20"/>
              </w:rPr>
              <w:t>64.90</w:t>
            </w:r>
          </w:p>
        </w:tc>
        <w:tc>
          <w:tcPr>
            <w:tcW w:w="1430" w:type="dxa"/>
          </w:tcPr>
          <w:p w14:paraId="0DFE029E" w14:textId="77777777" w:rsidR="00F30764" w:rsidRPr="00E448CD" w:rsidRDefault="00F30764" w:rsidP="000766C3">
            <w:pPr>
              <w:rPr>
                <w:rFonts w:ascii="Arial" w:hAnsi="Arial" w:cs="Arial"/>
                <w:sz w:val="20"/>
                <w:szCs w:val="20"/>
              </w:rPr>
            </w:pPr>
            <w:r w:rsidRPr="00E448CD">
              <w:rPr>
                <w:rFonts w:ascii="Arial" w:hAnsi="Arial" w:cs="Arial"/>
                <w:sz w:val="20"/>
                <w:szCs w:val="20"/>
              </w:rPr>
              <w:t>-3.56</w:t>
            </w:r>
          </w:p>
        </w:tc>
      </w:tr>
      <w:tr w:rsidR="00F30764" w:rsidRPr="00E448CD" w14:paraId="5ADEB7D6" w14:textId="77777777" w:rsidTr="000766C3">
        <w:tc>
          <w:tcPr>
            <w:tcW w:w="855" w:type="dxa"/>
          </w:tcPr>
          <w:p w14:paraId="5FF65064" w14:textId="77777777" w:rsidR="00F30764" w:rsidRPr="00E448CD" w:rsidRDefault="00F30764" w:rsidP="000766C3">
            <w:pPr>
              <w:rPr>
                <w:rFonts w:ascii="Arial" w:hAnsi="Arial" w:cs="Arial"/>
                <w:sz w:val="20"/>
                <w:szCs w:val="20"/>
              </w:rPr>
            </w:pPr>
            <w:r w:rsidRPr="00E448CD">
              <w:rPr>
                <w:rFonts w:ascii="Arial" w:hAnsi="Arial" w:cs="Arial"/>
                <w:sz w:val="20"/>
                <w:szCs w:val="20"/>
              </w:rPr>
              <w:t>FA6</w:t>
            </w:r>
          </w:p>
        </w:tc>
        <w:tc>
          <w:tcPr>
            <w:tcW w:w="1053" w:type="dxa"/>
          </w:tcPr>
          <w:p w14:paraId="0776EAD1" w14:textId="77777777" w:rsidR="00F30764" w:rsidRPr="00E448CD" w:rsidRDefault="00F30764" w:rsidP="000766C3">
            <w:pPr>
              <w:rPr>
                <w:rFonts w:ascii="Arial" w:hAnsi="Arial" w:cs="Arial"/>
                <w:sz w:val="20"/>
                <w:szCs w:val="20"/>
              </w:rPr>
            </w:pPr>
            <w:r w:rsidRPr="00E448CD">
              <w:rPr>
                <w:rFonts w:ascii="Arial" w:hAnsi="Arial" w:cs="Arial"/>
                <w:sz w:val="20"/>
                <w:szCs w:val="20"/>
              </w:rPr>
              <w:t>0.084</w:t>
            </w:r>
          </w:p>
        </w:tc>
        <w:tc>
          <w:tcPr>
            <w:tcW w:w="935" w:type="dxa"/>
          </w:tcPr>
          <w:p w14:paraId="781B0946" w14:textId="77777777" w:rsidR="00F30764" w:rsidRPr="00E448CD" w:rsidRDefault="00F30764" w:rsidP="000766C3">
            <w:pPr>
              <w:rPr>
                <w:rFonts w:ascii="Arial" w:hAnsi="Arial" w:cs="Arial"/>
                <w:sz w:val="20"/>
                <w:szCs w:val="20"/>
              </w:rPr>
            </w:pPr>
            <w:r w:rsidRPr="00E448CD">
              <w:rPr>
                <w:rFonts w:ascii="Arial" w:hAnsi="Arial" w:cs="Arial"/>
                <w:sz w:val="20"/>
                <w:szCs w:val="20"/>
              </w:rPr>
              <w:t>20.98</w:t>
            </w:r>
          </w:p>
        </w:tc>
        <w:tc>
          <w:tcPr>
            <w:tcW w:w="922" w:type="dxa"/>
          </w:tcPr>
          <w:p w14:paraId="403FA8DB"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653DBF16" w14:textId="77777777" w:rsidR="00F30764" w:rsidRPr="00E448CD" w:rsidRDefault="00F30764" w:rsidP="000766C3">
            <w:pPr>
              <w:rPr>
                <w:rFonts w:ascii="Arial" w:hAnsi="Arial" w:cs="Arial"/>
                <w:sz w:val="20"/>
                <w:szCs w:val="20"/>
              </w:rPr>
            </w:pPr>
            <w:r w:rsidRPr="00E448CD">
              <w:rPr>
                <w:rFonts w:ascii="Arial" w:hAnsi="Arial" w:cs="Arial"/>
                <w:sz w:val="20"/>
                <w:szCs w:val="20"/>
              </w:rPr>
              <w:t>84.94</w:t>
            </w:r>
          </w:p>
        </w:tc>
        <w:tc>
          <w:tcPr>
            <w:tcW w:w="922" w:type="dxa"/>
          </w:tcPr>
          <w:p w14:paraId="0CD88D8E" w14:textId="77777777" w:rsidR="00F30764" w:rsidRPr="00E448CD" w:rsidRDefault="00F30764" w:rsidP="000766C3">
            <w:pPr>
              <w:rPr>
                <w:rFonts w:ascii="Arial" w:hAnsi="Arial" w:cs="Arial"/>
                <w:sz w:val="20"/>
                <w:szCs w:val="20"/>
              </w:rPr>
            </w:pPr>
            <w:r w:rsidRPr="00E448CD">
              <w:rPr>
                <w:rFonts w:ascii="Arial" w:hAnsi="Arial" w:cs="Arial"/>
                <w:sz w:val="20"/>
                <w:szCs w:val="20"/>
              </w:rPr>
              <w:t>0.382</w:t>
            </w:r>
          </w:p>
        </w:tc>
        <w:tc>
          <w:tcPr>
            <w:tcW w:w="1352" w:type="dxa"/>
          </w:tcPr>
          <w:p w14:paraId="6ABB3CE7"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2C1C4C3A" w14:textId="77777777" w:rsidR="00F30764" w:rsidRPr="00E448CD" w:rsidRDefault="00F30764" w:rsidP="000766C3">
            <w:pPr>
              <w:rPr>
                <w:rFonts w:ascii="Arial" w:hAnsi="Arial" w:cs="Arial"/>
                <w:sz w:val="20"/>
                <w:szCs w:val="20"/>
              </w:rPr>
            </w:pPr>
            <w:r w:rsidRPr="00E448CD">
              <w:rPr>
                <w:rFonts w:ascii="Arial" w:hAnsi="Arial" w:cs="Arial"/>
                <w:sz w:val="20"/>
                <w:szCs w:val="20"/>
              </w:rPr>
              <w:t>81.07</w:t>
            </w:r>
          </w:p>
        </w:tc>
        <w:tc>
          <w:tcPr>
            <w:tcW w:w="1430" w:type="dxa"/>
          </w:tcPr>
          <w:p w14:paraId="54A50C89" w14:textId="77777777" w:rsidR="00F30764" w:rsidRPr="00E448CD" w:rsidRDefault="00F30764" w:rsidP="000766C3">
            <w:pPr>
              <w:rPr>
                <w:rFonts w:ascii="Arial" w:hAnsi="Arial" w:cs="Arial"/>
                <w:sz w:val="20"/>
                <w:szCs w:val="20"/>
              </w:rPr>
            </w:pPr>
            <w:r w:rsidRPr="00E448CD">
              <w:rPr>
                <w:rFonts w:ascii="Arial" w:hAnsi="Arial" w:cs="Arial"/>
                <w:sz w:val="20"/>
                <w:szCs w:val="20"/>
              </w:rPr>
              <w:t>-3.79</w:t>
            </w:r>
          </w:p>
        </w:tc>
      </w:tr>
      <w:tr w:rsidR="00F30764" w:rsidRPr="00E448CD" w14:paraId="593D1E80" w14:textId="77777777" w:rsidTr="000766C3">
        <w:tc>
          <w:tcPr>
            <w:tcW w:w="855" w:type="dxa"/>
          </w:tcPr>
          <w:p w14:paraId="2D3F854E" w14:textId="77777777" w:rsidR="00F30764" w:rsidRPr="00E448CD" w:rsidRDefault="00F30764" w:rsidP="000766C3">
            <w:pPr>
              <w:rPr>
                <w:rFonts w:ascii="Arial" w:hAnsi="Arial" w:cs="Arial"/>
                <w:sz w:val="20"/>
                <w:szCs w:val="20"/>
              </w:rPr>
            </w:pPr>
            <w:r w:rsidRPr="00E448CD">
              <w:rPr>
                <w:rFonts w:ascii="Arial" w:hAnsi="Arial" w:cs="Arial"/>
                <w:sz w:val="20"/>
                <w:szCs w:val="20"/>
              </w:rPr>
              <w:t>FA7</w:t>
            </w:r>
          </w:p>
        </w:tc>
        <w:tc>
          <w:tcPr>
            <w:tcW w:w="1053" w:type="dxa"/>
          </w:tcPr>
          <w:p w14:paraId="78E9BEC6" w14:textId="77777777" w:rsidR="00F30764" w:rsidRPr="00E448CD" w:rsidRDefault="00F30764" w:rsidP="000766C3">
            <w:pPr>
              <w:rPr>
                <w:rFonts w:ascii="Arial" w:hAnsi="Arial" w:cs="Arial"/>
                <w:sz w:val="20"/>
                <w:szCs w:val="20"/>
              </w:rPr>
            </w:pPr>
            <w:r w:rsidRPr="00E448CD">
              <w:rPr>
                <w:rFonts w:ascii="Arial" w:hAnsi="Arial" w:cs="Arial"/>
                <w:sz w:val="20"/>
                <w:szCs w:val="20"/>
              </w:rPr>
              <w:t>0.519</w:t>
            </w:r>
          </w:p>
        </w:tc>
        <w:tc>
          <w:tcPr>
            <w:tcW w:w="935" w:type="dxa"/>
          </w:tcPr>
          <w:p w14:paraId="3A48B009" w14:textId="77777777" w:rsidR="00F30764" w:rsidRPr="00E448CD" w:rsidRDefault="00F30764" w:rsidP="000766C3">
            <w:pPr>
              <w:rPr>
                <w:rFonts w:ascii="Arial" w:hAnsi="Arial" w:cs="Arial"/>
                <w:sz w:val="20"/>
                <w:szCs w:val="20"/>
              </w:rPr>
            </w:pPr>
            <w:r w:rsidRPr="00E448CD">
              <w:rPr>
                <w:rFonts w:ascii="Arial" w:hAnsi="Arial" w:cs="Arial"/>
                <w:sz w:val="20"/>
                <w:szCs w:val="20"/>
              </w:rPr>
              <w:t>28.82</w:t>
            </w:r>
          </w:p>
        </w:tc>
        <w:tc>
          <w:tcPr>
            <w:tcW w:w="922" w:type="dxa"/>
          </w:tcPr>
          <w:p w14:paraId="119617B9"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4618CE80" w14:textId="77777777" w:rsidR="00F30764" w:rsidRPr="00E448CD" w:rsidRDefault="00F30764" w:rsidP="000766C3">
            <w:pPr>
              <w:rPr>
                <w:rFonts w:ascii="Arial" w:hAnsi="Arial" w:cs="Arial"/>
                <w:sz w:val="20"/>
                <w:szCs w:val="20"/>
              </w:rPr>
            </w:pPr>
            <w:r w:rsidRPr="00E448CD">
              <w:rPr>
                <w:rFonts w:ascii="Arial" w:hAnsi="Arial" w:cs="Arial"/>
                <w:sz w:val="20"/>
                <w:szCs w:val="20"/>
              </w:rPr>
              <w:t>93.20</w:t>
            </w:r>
          </w:p>
        </w:tc>
        <w:tc>
          <w:tcPr>
            <w:tcW w:w="922" w:type="dxa"/>
          </w:tcPr>
          <w:p w14:paraId="40B6EA7A" w14:textId="77777777" w:rsidR="00F30764" w:rsidRPr="00E448CD" w:rsidRDefault="00F30764" w:rsidP="000766C3">
            <w:pPr>
              <w:rPr>
                <w:rFonts w:ascii="Arial" w:hAnsi="Arial" w:cs="Arial"/>
                <w:sz w:val="20"/>
                <w:szCs w:val="20"/>
              </w:rPr>
            </w:pPr>
            <w:r w:rsidRPr="00E448CD">
              <w:rPr>
                <w:rFonts w:ascii="Arial" w:hAnsi="Arial" w:cs="Arial"/>
                <w:sz w:val="20"/>
                <w:szCs w:val="20"/>
              </w:rPr>
              <w:t>0.200</w:t>
            </w:r>
          </w:p>
        </w:tc>
        <w:tc>
          <w:tcPr>
            <w:tcW w:w="1352" w:type="dxa"/>
          </w:tcPr>
          <w:p w14:paraId="444E2C54"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06075C79" w14:textId="77777777" w:rsidR="00F30764" w:rsidRPr="00E448CD" w:rsidRDefault="00F30764" w:rsidP="000766C3">
            <w:pPr>
              <w:rPr>
                <w:rFonts w:ascii="Arial" w:hAnsi="Arial" w:cs="Arial"/>
                <w:sz w:val="20"/>
                <w:szCs w:val="20"/>
              </w:rPr>
            </w:pPr>
            <w:r w:rsidRPr="00E448CD">
              <w:rPr>
                <w:rFonts w:ascii="Arial" w:hAnsi="Arial" w:cs="Arial"/>
                <w:sz w:val="20"/>
                <w:szCs w:val="20"/>
              </w:rPr>
              <w:t>81.10</w:t>
            </w:r>
          </w:p>
        </w:tc>
        <w:tc>
          <w:tcPr>
            <w:tcW w:w="1430" w:type="dxa"/>
          </w:tcPr>
          <w:p w14:paraId="63734C25" w14:textId="77777777" w:rsidR="00F30764" w:rsidRPr="00E448CD" w:rsidRDefault="00F30764" w:rsidP="000766C3">
            <w:pPr>
              <w:rPr>
                <w:rFonts w:ascii="Arial" w:hAnsi="Arial" w:cs="Arial"/>
                <w:sz w:val="20"/>
                <w:szCs w:val="20"/>
              </w:rPr>
            </w:pPr>
            <w:r w:rsidRPr="00E448CD">
              <w:rPr>
                <w:rFonts w:ascii="Arial" w:hAnsi="Arial" w:cs="Arial"/>
                <w:sz w:val="20"/>
                <w:szCs w:val="20"/>
              </w:rPr>
              <w:t>-2.95</w:t>
            </w:r>
          </w:p>
        </w:tc>
      </w:tr>
      <w:tr w:rsidR="00F30764" w:rsidRPr="00E448CD" w14:paraId="2E66958C" w14:textId="77777777" w:rsidTr="000766C3">
        <w:tc>
          <w:tcPr>
            <w:tcW w:w="855" w:type="dxa"/>
          </w:tcPr>
          <w:p w14:paraId="18C80665" w14:textId="77777777" w:rsidR="00F30764" w:rsidRPr="00E448CD" w:rsidRDefault="00F30764" w:rsidP="000766C3">
            <w:pPr>
              <w:rPr>
                <w:rFonts w:ascii="Arial" w:hAnsi="Arial" w:cs="Arial"/>
                <w:sz w:val="20"/>
                <w:szCs w:val="20"/>
              </w:rPr>
            </w:pPr>
            <w:r w:rsidRPr="00E448CD">
              <w:rPr>
                <w:rFonts w:ascii="Arial" w:hAnsi="Arial" w:cs="Arial"/>
                <w:sz w:val="20"/>
                <w:szCs w:val="20"/>
              </w:rPr>
              <w:t>FA8</w:t>
            </w:r>
          </w:p>
        </w:tc>
        <w:tc>
          <w:tcPr>
            <w:tcW w:w="1053" w:type="dxa"/>
          </w:tcPr>
          <w:p w14:paraId="4CAA07C3" w14:textId="77777777" w:rsidR="00F30764" w:rsidRPr="00E448CD" w:rsidRDefault="00F30764" w:rsidP="000766C3">
            <w:pPr>
              <w:rPr>
                <w:rFonts w:ascii="Arial" w:hAnsi="Arial" w:cs="Arial"/>
                <w:sz w:val="20"/>
                <w:szCs w:val="20"/>
              </w:rPr>
            </w:pPr>
            <w:r w:rsidRPr="00E448CD">
              <w:rPr>
                <w:rFonts w:ascii="Arial" w:hAnsi="Arial" w:cs="Arial"/>
                <w:sz w:val="20"/>
                <w:szCs w:val="20"/>
              </w:rPr>
              <w:t>0.459</w:t>
            </w:r>
          </w:p>
        </w:tc>
        <w:tc>
          <w:tcPr>
            <w:tcW w:w="935" w:type="dxa"/>
          </w:tcPr>
          <w:p w14:paraId="31F8B116" w14:textId="77777777" w:rsidR="00F30764" w:rsidRPr="00E448CD" w:rsidRDefault="00F30764" w:rsidP="000766C3">
            <w:pPr>
              <w:rPr>
                <w:rFonts w:ascii="Arial" w:hAnsi="Arial" w:cs="Arial"/>
                <w:sz w:val="20"/>
                <w:szCs w:val="20"/>
              </w:rPr>
            </w:pPr>
            <w:r w:rsidRPr="00E448CD">
              <w:rPr>
                <w:rFonts w:ascii="Arial" w:hAnsi="Arial" w:cs="Arial"/>
                <w:sz w:val="20"/>
                <w:szCs w:val="20"/>
              </w:rPr>
              <w:t>29.06</w:t>
            </w:r>
          </w:p>
        </w:tc>
        <w:tc>
          <w:tcPr>
            <w:tcW w:w="922" w:type="dxa"/>
          </w:tcPr>
          <w:p w14:paraId="2CAE6C64"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3A80F22C" w14:textId="77777777" w:rsidR="00F30764" w:rsidRPr="00E448CD" w:rsidRDefault="00F30764" w:rsidP="000766C3">
            <w:pPr>
              <w:rPr>
                <w:rFonts w:ascii="Arial" w:hAnsi="Arial" w:cs="Arial"/>
                <w:sz w:val="20"/>
                <w:szCs w:val="20"/>
              </w:rPr>
            </w:pPr>
            <w:r w:rsidRPr="00E448CD">
              <w:rPr>
                <w:rFonts w:ascii="Arial" w:hAnsi="Arial" w:cs="Arial"/>
                <w:sz w:val="20"/>
                <w:szCs w:val="20"/>
              </w:rPr>
              <w:t>93.20</w:t>
            </w:r>
          </w:p>
        </w:tc>
        <w:tc>
          <w:tcPr>
            <w:tcW w:w="922" w:type="dxa"/>
          </w:tcPr>
          <w:p w14:paraId="7FD76483" w14:textId="77777777" w:rsidR="00F30764" w:rsidRPr="00E448CD" w:rsidRDefault="00F30764" w:rsidP="000766C3">
            <w:pPr>
              <w:rPr>
                <w:rFonts w:ascii="Arial" w:hAnsi="Arial" w:cs="Arial"/>
                <w:sz w:val="20"/>
                <w:szCs w:val="20"/>
              </w:rPr>
            </w:pPr>
            <w:r w:rsidRPr="00E448CD">
              <w:rPr>
                <w:rFonts w:ascii="Arial" w:hAnsi="Arial" w:cs="Arial"/>
                <w:sz w:val="20"/>
                <w:szCs w:val="20"/>
              </w:rPr>
              <w:t>1.700</w:t>
            </w:r>
          </w:p>
        </w:tc>
        <w:tc>
          <w:tcPr>
            <w:tcW w:w="1352" w:type="dxa"/>
          </w:tcPr>
          <w:p w14:paraId="0537F054"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4E0B6802" w14:textId="77777777" w:rsidR="00F30764" w:rsidRPr="00E448CD" w:rsidRDefault="00F30764" w:rsidP="000766C3">
            <w:pPr>
              <w:rPr>
                <w:rFonts w:ascii="Arial" w:hAnsi="Arial" w:cs="Arial"/>
                <w:sz w:val="20"/>
                <w:szCs w:val="20"/>
              </w:rPr>
            </w:pPr>
            <w:r w:rsidRPr="00E448CD">
              <w:rPr>
                <w:rFonts w:ascii="Arial" w:hAnsi="Arial" w:cs="Arial"/>
                <w:sz w:val="20"/>
                <w:szCs w:val="20"/>
              </w:rPr>
              <w:t>82.45</w:t>
            </w:r>
          </w:p>
        </w:tc>
        <w:tc>
          <w:tcPr>
            <w:tcW w:w="1430" w:type="dxa"/>
          </w:tcPr>
          <w:p w14:paraId="26A1F5FC" w14:textId="77777777" w:rsidR="00F30764" w:rsidRPr="00E448CD" w:rsidRDefault="00F30764" w:rsidP="000766C3">
            <w:pPr>
              <w:rPr>
                <w:rFonts w:ascii="Arial" w:hAnsi="Arial" w:cs="Arial"/>
                <w:sz w:val="20"/>
                <w:szCs w:val="20"/>
              </w:rPr>
            </w:pPr>
            <w:r w:rsidRPr="00E448CD">
              <w:rPr>
                <w:rFonts w:ascii="Arial" w:hAnsi="Arial" w:cs="Arial"/>
                <w:sz w:val="20"/>
                <w:szCs w:val="20"/>
              </w:rPr>
              <w:t>-2.98</w:t>
            </w:r>
          </w:p>
        </w:tc>
      </w:tr>
      <w:tr w:rsidR="00F30764" w:rsidRPr="00E448CD" w14:paraId="0B2F33B9" w14:textId="77777777" w:rsidTr="000766C3">
        <w:tc>
          <w:tcPr>
            <w:tcW w:w="855" w:type="dxa"/>
          </w:tcPr>
          <w:p w14:paraId="3083DCE6" w14:textId="77777777" w:rsidR="00F30764" w:rsidRPr="00E448CD" w:rsidRDefault="00F30764" w:rsidP="000766C3">
            <w:pPr>
              <w:rPr>
                <w:rFonts w:ascii="Arial" w:hAnsi="Arial" w:cs="Arial"/>
                <w:sz w:val="20"/>
                <w:szCs w:val="20"/>
              </w:rPr>
            </w:pPr>
            <w:r w:rsidRPr="00E448CD">
              <w:rPr>
                <w:rFonts w:ascii="Arial" w:hAnsi="Arial" w:cs="Arial"/>
                <w:sz w:val="20"/>
                <w:szCs w:val="20"/>
              </w:rPr>
              <w:t>FA9</w:t>
            </w:r>
          </w:p>
        </w:tc>
        <w:tc>
          <w:tcPr>
            <w:tcW w:w="1053" w:type="dxa"/>
          </w:tcPr>
          <w:p w14:paraId="4DBE3081" w14:textId="77777777" w:rsidR="00F30764" w:rsidRPr="00E448CD" w:rsidRDefault="00F30764" w:rsidP="000766C3">
            <w:pPr>
              <w:rPr>
                <w:rFonts w:ascii="Arial" w:hAnsi="Arial" w:cs="Arial"/>
                <w:sz w:val="20"/>
                <w:szCs w:val="20"/>
              </w:rPr>
            </w:pPr>
            <w:r w:rsidRPr="00E448CD">
              <w:rPr>
                <w:rFonts w:ascii="Arial" w:hAnsi="Arial" w:cs="Arial"/>
                <w:sz w:val="20"/>
                <w:szCs w:val="20"/>
              </w:rPr>
              <w:t>0.545</w:t>
            </w:r>
          </w:p>
        </w:tc>
        <w:tc>
          <w:tcPr>
            <w:tcW w:w="935" w:type="dxa"/>
          </w:tcPr>
          <w:p w14:paraId="1457B39C" w14:textId="77777777" w:rsidR="00F30764" w:rsidRPr="00E448CD" w:rsidRDefault="00F30764" w:rsidP="000766C3">
            <w:pPr>
              <w:rPr>
                <w:rFonts w:ascii="Arial" w:hAnsi="Arial" w:cs="Arial"/>
                <w:sz w:val="20"/>
                <w:szCs w:val="20"/>
              </w:rPr>
            </w:pPr>
            <w:r w:rsidRPr="00E448CD">
              <w:rPr>
                <w:rFonts w:ascii="Arial" w:hAnsi="Arial" w:cs="Arial"/>
                <w:sz w:val="20"/>
                <w:szCs w:val="20"/>
              </w:rPr>
              <w:t>28.81</w:t>
            </w:r>
          </w:p>
        </w:tc>
        <w:tc>
          <w:tcPr>
            <w:tcW w:w="922" w:type="dxa"/>
          </w:tcPr>
          <w:p w14:paraId="03922CFC"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19D473B3" w14:textId="77777777" w:rsidR="00F30764" w:rsidRPr="00E448CD" w:rsidRDefault="00F30764" w:rsidP="000766C3">
            <w:pPr>
              <w:rPr>
                <w:rFonts w:ascii="Arial" w:hAnsi="Arial" w:cs="Arial"/>
                <w:sz w:val="20"/>
                <w:szCs w:val="20"/>
              </w:rPr>
            </w:pPr>
            <w:r w:rsidRPr="00E448CD">
              <w:rPr>
                <w:rFonts w:ascii="Arial" w:hAnsi="Arial" w:cs="Arial"/>
                <w:sz w:val="20"/>
                <w:szCs w:val="20"/>
              </w:rPr>
              <w:t>93.20</w:t>
            </w:r>
          </w:p>
        </w:tc>
        <w:tc>
          <w:tcPr>
            <w:tcW w:w="922" w:type="dxa"/>
          </w:tcPr>
          <w:p w14:paraId="06675DB1" w14:textId="77777777" w:rsidR="00F30764" w:rsidRPr="00E448CD" w:rsidRDefault="00F30764" w:rsidP="000766C3">
            <w:pPr>
              <w:rPr>
                <w:rFonts w:ascii="Arial" w:hAnsi="Arial" w:cs="Arial"/>
                <w:sz w:val="20"/>
                <w:szCs w:val="20"/>
              </w:rPr>
            </w:pPr>
            <w:r w:rsidRPr="00E448CD">
              <w:rPr>
                <w:rFonts w:ascii="Arial" w:hAnsi="Arial" w:cs="Arial"/>
                <w:sz w:val="20"/>
                <w:szCs w:val="20"/>
              </w:rPr>
              <w:t>1.718</w:t>
            </w:r>
          </w:p>
        </w:tc>
        <w:tc>
          <w:tcPr>
            <w:tcW w:w="1352" w:type="dxa"/>
          </w:tcPr>
          <w:p w14:paraId="4682039A"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04D0FC8C" w14:textId="77777777" w:rsidR="00F30764" w:rsidRPr="00E448CD" w:rsidRDefault="00F30764" w:rsidP="000766C3">
            <w:pPr>
              <w:rPr>
                <w:rFonts w:ascii="Arial" w:hAnsi="Arial" w:cs="Arial"/>
                <w:sz w:val="20"/>
                <w:szCs w:val="20"/>
              </w:rPr>
            </w:pPr>
            <w:r w:rsidRPr="00E448CD">
              <w:rPr>
                <w:rFonts w:ascii="Arial" w:hAnsi="Arial" w:cs="Arial"/>
                <w:sz w:val="20"/>
                <w:szCs w:val="20"/>
              </w:rPr>
              <w:t>79.10</w:t>
            </w:r>
          </w:p>
        </w:tc>
        <w:tc>
          <w:tcPr>
            <w:tcW w:w="1430" w:type="dxa"/>
          </w:tcPr>
          <w:p w14:paraId="607532EA" w14:textId="77777777" w:rsidR="00F30764" w:rsidRPr="00E448CD" w:rsidRDefault="00F30764" w:rsidP="000766C3">
            <w:pPr>
              <w:rPr>
                <w:rFonts w:ascii="Arial" w:hAnsi="Arial" w:cs="Arial"/>
                <w:sz w:val="20"/>
                <w:szCs w:val="20"/>
              </w:rPr>
            </w:pPr>
            <w:r w:rsidRPr="00E448CD">
              <w:rPr>
                <w:rFonts w:ascii="Arial" w:hAnsi="Arial" w:cs="Arial"/>
                <w:sz w:val="20"/>
                <w:szCs w:val="20"/>
              </w:rPr>
              <w:t>-2.98</w:t>
            </w:r>
          </w:p>
        </w:tc>
      </w:tr>
      <w:tr w:rsidR="00F30764" w:rsidRPr="00E448CD" w14:paraId="70912E86" w14:textId="77777777" w:rsidTr="000766C3">
        <w:tc>
          <w:tcPr>
            <w:tcW w:w="855" w:type="dxa"/>
          </w:tcPr>
          <w:p w14:paraId="2CDFE539" w14:textId="77777777" w:rsidR="00F30764" w:rsidRPr="00E448CD" w:rsidRDefault="00F30764" w:rsidP="000766C3">
            <w:pPr>
              <w:rPr>
                <w:rFonts w:ascii="Arial" w:hAnsi="Arial" w:cs="Arial"/>
                <w:sz w:val="20"/>
                <w:szCs w:val="20"/>
              </w:rPr>
            </w:pPr>
            <w:r w:rsidRPr="00E448CD">
              <w:rPr>
                <w:rFonts w:ascii="Arial" w:hAnsi="Arial" w:cs="Arial"/>
                <w:sz w:val="20"/>
                <w:szCs w:val="20"/>
              </w:rPr>
              <w:t>FA10</w:t>
            </w:r>
          </w:p>
        </w:tc>
        <w:tc>
          <w:tcPr>
            <w:tcW w:w="1053" w:type="dxa"/>
          </w:tcPr>
          <w:p w14:paraId="24698B35" w14:textId="77777777" w:rsidR="00F30764" w:rsidRPr="00E448CD" w:rsidRDefault="00F30764" w:rsidP="000766C3">
            <w:pPr>
              <w:rPr>
                <w:rFonts w:ascii="Arial" w:hAnsi="Arial" w:cs="Arial"/>
                <w:sz w:val="20"/>
                <w:szCs w:val="20"/>
              </w:rPr>
            </w:pPr>
            <w:r w:rsidRPr="00E448CD">
              <w:rPr>
                <w:rFonts w:ascii="Arial" w:hAnsi="Arial" w:cs="Arial"/>
                <w:sz w:val="20"/>
                <w:szCs w:val="20"/>
              </w:rPr>
              <w:t>2.203</w:t>
            </w:r>
          </w:p>
        </w:tc>
        <w:tc>
          <w:tcPr>
            <w:tcW w:w="935" w:type="dxa"/>
          </w:tcPr>
          <w:p w14:paraId="000E3F62" w14:textId="77777777" w:rsidR="00F30764" w:rsidRPr="00E448CD" w:rsidRDefault="00F30764" w:rsidP="000766C3">
            <w:pPr>
              <w:rPr>
                <w:rFonts w:ascii="Arial" w:hAnsi="Arial" w:cs="Arial"/>
                <w:sz w:val="20"/>
                <w:szCs w:val="20"/>
              </w:rPr>
            </w:pPr>
            <w:r w:rsidRPr="00E448CD">
              <w:rPr>
                <w:rFonts w:ascii="Arial" w:hAnsi="Arial" w:cs="Arial"/>
                <w:sz w:val="20"/>
                <w:szCs w:val="20"/>
              </w:rPr>
              <w:t>24.80</w:t>
            </w:r>
          </w:p>
        </w:tc>
        <w:tc>
          <w:tcPr>
            <w:tcW w:w="922" w:type="dxa"/>
          </w:tcPr>
          <w:p w14:paraId="3DA23EE2"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14534B5B" w14:textId="77777777" w:rsidR="00F30764" w:rsidRPr="00E448CD" w:rsidRDefault="00F30764" w:rsidP="000766C3">
            <w:pPr>
              <w:rPr>
                <w:rFonts w:ascii="Arial" w:hAnsi="Arial" w:cs="Arial"/>
                <w:sz w:val="20"/>
                <w:szCs w:val="20"/>
              </w:rPr>
            </w:pPr>
            <w:r w:rsidRPr="00E448CD">
              <w:rPr>
                <w:rFonts w:ascii="Arial" w:hAnsi="Arial" w:cs="Arial"/>
                <w:sz w:val="20"/>
                <w:szCs w:val="20"/>
              </w:rPr>
              <w:t>94.56</w:t>
            </w:r>
          </w:p>
        </w:tc>
        <w:tc>
          <w:tcPr>
            <w:tcW w:w="922" w:type="dxa"/>
          </w:tcPr>
          <w:p w14:paraId="5A7EAEB5" w14:textId="77777777" w:rsidR="00F30764" w:rsidRPr="00E448CD" w:rsidRDefault="00F30764" w:rsidP="000766C3">
            <w:pPr>
              <w:rPr>
                <w:rFonts w:ascii="Arial" w:hAnsi="Arial" w:cs="Arial"/>
                <w:sz w:val="20"/>
                <w:szCs w:val="20"/>
              </w:rPr>
            </w:pPr>
            <w:r w:rsidRPr="00E448CD">
              <w:rPr>
                <w:rFonts w:ascii="Arial" w:hAnsi="Arial" w:cs="Arial"/>
                <w:sz w:val="20"/>
                <w:szCs w:val="20"/>
              </w:rPr>
              <w:t>0.032</w:t>
            </w:r>
          </w:p>
        </w:tc>
        <w:tc>
          <w:tcPr>
            <w:tcW w:w="1352" w:type="dxa"/>
          </w:tcPr>
          <w:p w14:paraId="49014EFD"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524015B4" w14:textId="77777777" w:rsidR="00F30764" w:rsidRPr="00E448CD" w:rsidRDefault="00F30764" w:rsidP="000766C3">
            <w:pPr>
              <w:rPr>
                <w:rFonts w:ascii="Arial" w:hAnsi="Arial" w:cs="Arial"/>
                <w:sz w:val="20"/>
                <w:szCs w:val="20"/>
              </w:rPr>
            </w:pPr>
            <w:r w:rsidRPr="00E448CD">
              <w:rPr>
                <w:rFonts w:ascii="Arial" w:hAnsi="Arial" w:cs="Arial"/>
                <w:sz w:val="20"/>
                <w:szCs w:val="20"/>
              </w:rPr>
              <w:t>90.17</w:t>
            </w:r>
          </w:p>
        </w:tc>
        <w:tc>
          <w:tcPr>
            <w:tcW w:w="1430" w:type="dxa"/>
          </w:tcPr>
          <w:p w14:paraId="7F8D7367" w14:textId="77777777" w:rsidR="00F30764" w:rsidRPr="00E448CD" w:rsidRDefault="00F30764" w:rsidP="000766C3">
            <w:pPr>
              <w:rPr>
                <w:rFonts w:ascii="Arial" w:hAnsi="Arial" w:cs="Arial"/>
                <w:sz w:val="20"/>
                <w:szCs w:val="20"/>
              </w:rPr>
            </w:pPr>
            <w:r w:rsidRPr="00E448CD">
              <w:rPr>
                <w:rFonts w:ascii="Arial" w:hAnsi="Arial" w:cs="Arial"/>
                <w:sz w:val="20"/>
                <w:szCs w:val="20"/>
              </w:rPr>
              <w:t>-2.75</w:t>
            </w:r>
          </w:p>
        </w:tc>
      </w:tr>
      <w:tr w:rsidR="00F30764" w:rsidRPr="00E448CD" w14:paraId="716907A4" w14:textId="77777777" w:rsidTr="000766C3">
        <w:tc>
          <w:tcPr>
            <w:tcW w:w="855" w:type="dxa"/>
          </w:tcPr>
          <w:p w14:paraId="0CB2D17B" w14:textId="77777777" w:rsidR="00F30764" w:rsidRPr="00E448CD" w:rsidRDefault="00F30764" w:rsidP="000766C3">
            <w:pPr>
              <w:rPr>
                <w:rFonts w:ascii="Arial" w:hAnsi="Arial" w:cs="Arial"/>
                <w:sz w:val="20"/>
                <w:szCs w:val="20"/>
              </w:rPr>
            </w:pPr>
            <w:r w:rsidRPr="00E448CD">
              <w:rPr>
                <w:rFonts w:ascii="Arial" w:hAnsi="Arial" w:cs="Arial"/>
                <w:sz w:val="20"/>
                <w:szCs w:val="20"/>
              </w:rPr>
              <w:t>FA11</w:t>
            </w:r>
          </w:p>
        </w:tc>
        <w:tc>
          <w:tcPr>
            <w:tcW w:w="1053" w:type="dxa"/>
          </w:tcPr>
          <w:p w14:paraId="431B0678" w14:textId="77777777" w:rsidR="00F30764" w:rsidRPr="00E448CD" w:rsidRDefault="00F30764" w:rsidP="000766C3">
            <w:pPr>
              <w:rPr>
                <w:rFonts w:ascii="Arial" w:hAnsi="Arial" w:cs="Arial"/>
                <w:sz w:val="20"/>
                <w:szCs w:val="20"/>
              </w:rPr>
            </w:pPr>
            <w:r w:rsidRPr="00E448CD">
              <w:rPr>
                <w:rFonts w:ascii="Arial" w:hAnsi="Arial" w:cs="Arial"/>
                <w:sz w:val="20"/>
                <w:szCs w:val="20"/>
              </w:rPr>
              <w:t>0.044</w:t>
            </w:r>
          </w:p>
        </w:tc>
        <w:tc>
          <w:tcPr>
            <w:tcW w:w="935" w:type="dxa"/>
          </w:tcPr>
          <w:p w14:paraId="7ED3F891" w14:textId="77777777" w:rsidR="00F30764" w:rsidRPr="00E448CD" w:rsidRDefault="00F30764" w:rsidP="000766C3">
            <w:pPr>
              <w:rPr>
                <w:rFonts w:ascii="Arial" w:hAnsi="Arial" w:cs="Arial"/>
                <w:sz w:val="20"/>
                <w:szCs w:val="20"/>
              </w:rPr>
            </w:pPr>
            <w:r w:rsidRPr="00E448CD">
              <w:rPr>
                <w:rFonts w:ascii="Arial" w:hAnsi="Arial" w:cs="Arial"/>
                <w:sz w:val="20"/>
                <w:szCs w:val="20"/>
              </w:rPr>
              <w:t>10.78</w:t>
            </w:r>
          </w:p>
        </w:tc>
        <w:tc>
          <w:tcPr>
            <w:tcW w:w="922" w:type="dxa"/>
          </w:tcPr>
          <w:p w14:paraId="24F3BDC0"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35C337F5" w14:textId="77777777" w:rsidR="00F30764" w:rsidRPr="00E448CD" w:rsidRDefault="00F30764" w:rsidP="000766C3">
            <w:pPr>
              <w:rPr>
                <w:rFonts w:ascii="Arial" w:hAnsi="Arial" w:cs="Arial"/>
                <w:sz w:val="20"/>
                <w:szCs w:val="20"/>
              </w:rPr>
            </w:pPr>
            <w:r w:rsidRPr="00E448CD">
              <w:rPr>
                <w:rFonts w:ascii="Arial" w:hAnsi="Arial" w:cs="Arial"/>
                <w:sz w:val="20"/>
                <w:szCs w:val="20"/>
              </w:rPr>
              <w:t>94.04</w:t>
            </w:r>
          </w:p>
        </w:tc>
        <w:tc>
          <w:tcPr>
            <w:tcW w:w="922" w:type="dxa"/>
          </w:tcPr>
          <w:p w14:paraId="1D46773D" w14:textId="77777777" w:rsidR="00F30764" w:rsidRPr="00E448CD" w:rsidRDefault="00F30764" w:rsidP="000766C3">
            <w:pPr>
              <w:rPr>
                <w:rFonts w:ascii="Arial" w:hAnsi="Arial" w:cs="Arial"/>
                <w:sz w:val="20"/>
                <w:szCs w:val="20"/>
              </w:rPr>
            </w:pPr>
            <w:r w:rsidRPr="00E448CD">
              <w:rPr>
                <w:rFonts w:ascii="Arial" w:hAnsi="Arial" w:cs="Arial"/>
                <w:sz w:val="20"/>
                <w:szCs w:val="20"/>
              </w:rPr>
              <w:t>0.059</w:t>
            </w:r>
          </w:p>
        </w:tc>
        <w:tc>
          <w:tcPr>
            <w:tcW w:w="1352" w:type="dxa"/>
          </w:tcPr>
          <w:p w14:paraId="335932B5" w14:textId="77777777" w:rsidR="00F30764" w:rsidRPr="00E448CD" w:rsidRDefault="00F30764" w:rsidP="000766C3">
            <w:pPr>
              <w:rPr>
                <w:rFonts w:ascii="Arial" w:hAnsi="Arial" w:cs="Arial"/>
                <w:sz w:val="20"/>
                <w:szCs w:val="20"/>
              </w:rPr>
            </w:pPr>
            <w:r w:rsidRPr="00E448CD">
              <w:rPr>
                <w:rFonts w:ascii="Arial" w:hAnsi="Arial" w:cs="Arial"/>
                <w:sz w:val="20"/>
                <w:szCs w:val="20"/>
              </w:rPr>
              <w:t>INHIBITOR</w:t>
            </w:r>
          </w:p>
        </w:tc>
        <w:tc>
          <w:tcPr>
            <w:tcW w:w="829" w:type="dxa"/>
          </w:tcPr>
          <w:p w14:paraId="7FFB1188" w14:textId="77777777" w:rsidR="00F30764" w:rsidRPr="00E448CD" w:rsidRDefault="00F30764" w:rsidP="000766C3">
            <w:pPr>
              <w:rPr>
                <w:rFonts w:ascii="Arial" w:hAnsi="Arial" w:cs="Arial"/>
                <w:sz w:val="20"/>
                <w:szCs w:val="20"/>
              </w:rPr>
            </w:pPr>
            <w:r w:rsidRPr="00E448CD">
              <w:rPr>
                <w:rFonts w:ascii="Arial" w:hAnsi="Arial" w:cs="Arial"/>
                <w:sz w:val="20"/>
                <w:szCs w:val="20"/>
              </w:rPr>
              <w:t>100.00</w:t>
            </w:r>
          </w:p>
        </w:tc>
        <w:tc>
          <w:tcPr>
            <w:tcW w:w="1430" w:type="dxa"/>
          </w:tcPr>
          <w:p w14:paraId="5DDC8F0E" w14:textId="77777777" w:rsidR="00F30764" w:rsidRPr="00E448CD" w:rsidRDefault="00F30764" w:rsidP="000766C3">
            <w:pPr>
              <w:rPr>
                <w:rFonts w:ascii="Arial" w:hAnsi="Arial" w:cs="Arial"/>
                <w:sz w:val="20"/>
                <w:szCs w:val="20"/>
              </w:rPr>
            </w:pPr>
            <w:r w:rsidRPr="00E448CD">
              <w:rPr>
                <w:rFonts w:ascii="Arial" w:hAnsi="Arial" w:cs="Arial"/>
                <w:sz w:val="20"/>
                <w:szCs w:val="20"/>
              </w:rPr>
              <w:t>-2.92</w:t>
            </w:r>
          </w:p>
        </w:tc>
      </w:tr>
      <w:tr w:rsidR="00F30764" w:rsidRPr="00E448CD" w14:paraId="19EB1F16" w14:textId="77777777" w:rsidTr="000766C3">
        <w:tc>
          <w:tcPr>
            <w:tcW w:w="855" w:type="dxa"/>
          </w:tcPr>
          <w:p w14:paraId="65570C92" w14:textId="77777777" w:rsidR="00F30764" w:rsidRPr="00E448CD" w:rsidRDefault="00F30764" w:rsidP="000766C3">
            <w:pPr>
              <w:rPr>
                <w:rFonts w:ascii="Arial" w:hAnsi="Arial" w:cs="Arial"/>
                <w:sz w:val="20"/>
                <w:szCs w:val="20"/>
              </w:rPr>
            </w:pPr>
            <w:r w:rsidRPr="00E448CD">
              <w:rPr>
                <w:rFonts w:ascii="Arial" w:hAnsi="Arial" w:cs="Arial"/>
                <w:sz w:val="20"/>
                <w:szCs w:val="20"/>
              </w:rPr>
              <w:t>FA12</w:t>
            </w:r>
          </w:p>
        </w:tc>
        <w:tc>
          <w:tcPr>
            <w:tcW w:w="1053" w:type="dxa"/>
          </w:tcPr>
          <w:p w14:paraId="578A2FC1" w14:textId="77777777" w:rsidR="00F30764" w:rsidRPr="00E448CD" w:rsidRDefault="00F30764" w:rsidP="000766C3">
            <w:pPr>
              <w:rPr>
                <w:rFonts w:ascii="Arial" w:hAnsi="Arial" w:cs="Arial"/>
                <w:sz w:val="20"/>
                <w:szCs w:val="20"/>
              </w:rPr>
            </w:pPr>
            <w:r w:rsidRPr="00E448CD">
              <w:rPr>
                <w:rFonts w:ascii="Arial" w:hAnsi="Arial" w:cs="Arial"/>
                <w:sz w:val="20"/>
                <w:szCs w:val="20"/>
              </w:rPr>
              <w:t>0.044</w:t>
            </w:r>
          </w:p>
        </w:tc>
        <w:tc>
          <w:tcPr>
            <w:tcW w:w="935" w:type="dxa"/>
          </w:tcPr>
          <w:p w14:paraId="6B56DC79" w14:textId="77777777" w:rsidR="00F30764" w:rsidRPr="00E448CD" w:rsidRDefault="00F30764" w:rsidP="000766C3">
            <w:pPr>
              <w:rPr>
                <w:rFonts w:ascii="Arial" w:hAnsi="Arial" w:cs="Arial"/>
                <w:sz w:val="20"/>
                <w:szCs w:val="20"/>
              </w:rPr>
            </w:pPr>
            <w:r w:rsidRPr="00E448CD">
              <w:rPr>
                <w:rFonts w:ascii="Arial" w:hAnsi="Arial" w:cs="Arial"/>
                <w:sz w:val="20"/>
                <w:szCs w:val="20"/>
              </w:rPr>
              <w:t>12.86</w:t>
            </w:r>
          </w:p>
        </w:tc>
        <w:tc>
          <w:tcPr>
            <w:tcW w:w="922" w:type="dxa"/>
          </w:tcPr>
          <w:p w14:paraId="7E54F43B"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1C2A7964" w14:textId="77777777" w:rsidR="00F30764" w:rsidRPr="00E448CD" w:rsidRDefault="00F30764" w:rsidP="000766C3">
            <w:pPr>
              <w:rPr>
                <w:rFonts w:ascii="Arial" w:hAnsi="Arial" w:cs="Arial"/>
                <w:sz w:val="20"/>
                <w:szCs w:val="20"/>
              </w:rPr>
            </w:pPr>
            <w:r w:rsidRPr="00E448CD">
              <w:rPr>
                <w:rFonts w:ascii="Arial" w:hAnsi="Arial" w:cs="Arial"/>
                <w:sz w:val="20"/>
                <w:szCs w:val="20"/>
              </w:rPr>
              <w:t>94.04</w:t>
            </w:r>
          </w:p>
        </w:tc>
        <w:tc>
          <w:tcPr>
            <w:tcW w:w="922" w:type="dxa"/>
          </w:tcPr>
          <w:p w14:paraId="247FB1D8" w14:textId="77777777" w:rsidR="00F30764" w:rsidRPr="00E448CD" w:rsidRDefault="00F30764" w:rsidP="000766C3">
            <w:pPr>
              <w:rPr>
                <w:rFonts w:ascii="Arial" w:hAnsi="Arial" w:cs="Arial"/>
                <w:sz w:val="20"/>
                <w:szCs w:val="20"/>
              </w:rPr>
            </w:pPr>
            <w:r w:rsidRPr="00E448CD">
              <w:rPr>
                <w:rFonts w:ascii="Arial" w:hAnsi="Arial" w:cs="Arial"/>
                <w:sz w:val="20"/>
                <w:szCs w:val="20"/>
              </w:rPr>
              <w:t>0.057</w:t>
            </w:r>
          </w:p>
        </w:tc>
        <w:tc>
          <w:tcPr>
            <w:tcW w:w="1352" w:type="dxa"/>
          </w:tcPr>
          <w:p w14:paraId="51D66E01" w14:textId="77777777" w:rsidR="00F30764" w:rsidRPr="00E448CD" w:rsidRDefault="00F30764" w:rsidP="000766C3">
            <w:pPr>
              <w:rPr>
                <w:rFonts w:ascii="Arial" w:hAnsi="Arial" w:cs="Arial"/>
                <w:sz w:val="20"/>
                <w:szCs w:val="20"/>
              </w:rPr>
            </w:pPr>
            <w:r w:rsidRPr="00E448CD">
              <w:rPr>
                <w:rFonts w:ascii="Arial" w:hAnsi="Arial" w:cs="Arial"/>
                <w:sz w:val="20"/>
                <w:szCs w:val="20"/>
              </w:rPr>
              <w:t>INHIBITOR</w:t>
            </w:r>
          </w:p>
        </w:tc>
        <w:tc>
          <w:tcPr>
            <w:tcW w:w="829" w:type="dxa"/>
          </w:tcPr>
          <w:p w14:paraId="2A470198" w14:textId="77777777" w:rsidR="00F30764" w:rsidRPr="00E448CD" w:rsidRDefault="00F30764" w:rsidP="000766C3">
            <w:pPr>
              <w:rPr>
                <w:rFonts w:ascii="Arial" w:hAnsi="Arial" w:cs="Arial"/>
                <w:sz w:val="20"/>
                <w:szCs w:val="20"/>
              </w:rPr>
            </w:pPr>
            <w:r w:rsidRPr="00E448CD">
              <w:rPr>
                <w:rFonts w:ascii="Arial" w:hAnsi="Arial" w:cs="Arial"/>
                <w:sz w:val="20"/>
                <w:szCs w:val="20"/>
              </w:rPr>
              <w:t>100.00</w:t>
            </w:r>
          </w:p>
        </w:tc>
        <w:tc>
          <w:tcPr>
            <w:tcW w:w="1430" w:type="dxa"/>
          </w:tcPr>
          <w:p w14:paraId="0114E6E9" w14:textId="77777777" w:rsidR="00F30764" w:rsidRPr="00E448CD" w:rsidRDefault="00F30764" w:rsidP="000766C3">
            <w:pPr>
              <w:rPr>
                <w:rFonts w:ascii="Arial" w:hAnsi="Arial" w:cs="Arial"/>
                <w:sz w:val="20"/>
                <w:szCs w:val="20"/>
              </w:rPr>
            </w:pPr>
            <w:r w:rsidRPr="00E448CD">
              <w:rPr>
                <w:rFonts w:ascii="Arial" w:hAnsi="Arial" w:cs="Arial"/>
                <w:sz w:val="20"/>
                <w:szCs w:val="20"/>
              </w:rPr>
              <w:t>-2.92</w:t>
            </w:r>
          </w:p>
        </w:tc>
      </w:tr>
      <w:tr w:rsidR="00F30764" w:rsidRPr="00E448CD" w14:paraId="1B726BE0" w14:textId="77777777" w:rsidTr="000766C3">
        <w:tc>
          <w:tcPr>
            <w:tcW w:w="855" w:type="dxa"/>
          </w:tcPr>
          <w:p w14:paraId="6C14496F" w14:textId="77777777" w:rsidR="00F30764" w:rsidRPr="00E448CD" w:rsidRDefault="00F30764" w:rsidP="000766C3">
            <w:pPr>
              <w:rPr>
                <w:rFonts w:ascii="Arial" w:hAnsi="Arial" w:cs="Arial"/>
                <w:sz w:val="20"/>
                <w:szCs w:val="20"/>
              </w:rPr>
            </w:pPr>
            <w:r w:rsidRPr="00E448CD">
              <w:rPr>
                <w:rFonts w:ascii="Arial" w:hAnsi="Arial" w:cs="Arial"/>
                <w:sz w:val="20"/>
                <w:szCs w:val="20"/>
              </w:rPr>
              <w:t>FA13</w:t>
            </w:r>
          </w:p>
        </w:tc>
        <w:tc>
          <w:tcPr>
            <w:tcW w:w="1053" w:type="dxa"/>
          </w:tcPr>
          <w:p w14:paraId="615226BD" w14:textId="77777777" w:rsidR="00F30764" w:rsidRPr="00E448CD" w:rsidRDefault="00F30764" w:rsidP="000766C3">
            <w:pPr>
              <w:rPr>
                <w:rFonts w:ascii="Arial" w:hAnsi="Arial" w:cs="Arial"/>
                <w:sz w:val="20"/>
                <w:szCs w:val="20"/>
              </w:rPr>
            </w:pPr>
            <w:r w:rsidRPr="00E448CD">
              <w:rPr>
                <w:rFonts w:ascii="Arial" w:hAnsi="Arial" w:cs="Arial"/>
                <w:sz w:val="20"/>
                <w:szCs w:val="20"/>
              </w:rPr>
              <w:t>3.593</w:t>
            </w:r>
          </w:p>
        </w:tc>
        <w:tc>
          <w:tcPr>
            <w:tcW w:w="935" w:type="dxa"/>
          </w:tcPr>
          <w:p w14:paraId="27A50930" w14:textId="77777777" w:rsidR="00F30764" w:rsidRPr="00E448CD" w:rsidRDefault="00F30764" w:rsidP="000766C3">
            <w:pPr>
              <w:rPr>
                <w:rFonts w:ascii="Arial" w:hAnsi="Arial" w:cs="Arial"/>
                <w:sz w:val="20"/>
                <w:szCs w:val="20"/>
              </w:rPr>
            </w:pPr>
            <w:r w:rsidRPr="00E448CD">
              <w:rPr>
                <w:rFonts w:ascii="Arial" w:hAnsi="Arial" w:cs="Arial"/>
                <w:sz w:val="20"/>
                <w:szCs w:val="20"/>
              </w:rPr>
              <w:t>25.90</w:t>
            </w:r>
          </w:p>
        </w:tc>
        <w:tc>
          <w:tcPr>
            <w:tcW w:w="922" w:type="dxa"/>
          </w:tcPr>
          <w:p w14:paraId="015E38D4"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16B6CDF2" w14:textId="77777777" w:rsidR="00F30764" w:rsidRPr="00E448CD" w:rsidRDefault="00F30764" w:rsidP="000766C3">
            <w:pPr>
              <w:rPr>
                <w:rFonts w:ascii="Arial" w:hAnsi="Arial" w:cs="Arial"/>
                <w:sz w:val="20"/>
                <w:szCs w:val="20"/>
              </w:rPr>
            </w:pPr>
            <w:r w:rsidRPr="00E448CD">
              <w:rPr>
                <w:rFonts w:ascii="Arial" w:hAnsi="Arial" w:cs="Arial"/>
                <w:sz w:val="20"/>
                <w:szCs w:val="20"/>
              </w:rPr>
              <w:t>94.75</w:t>
            </w:r>
          </w:p>
        </w:tc>
        <w:tc>
          <w:tcPr>
            <w:tcW w:w="922" w:type="dxa"/>
          </w:tcPr>
          <w:p w14:paraId="7E0787D7" w14:textId="77777777" w:rsidR="00F30764" w:rsidRPr="00E448CD" w:rsidRDefault="00F30764" w:rsidP="000766C3">
            <w:pPr>
              <w:rPr>
                <w:rFonts w:ascii="Arial" w:hAnsi="Arial" w:cs="Arial"/>
                <w:sz w:val="20"/>
                <w:szCs w:val="20"/>
              </w:rPr>
            </w:pPr>
            <w:r w:rsidRPr="00E448CD">
              <w:rPr>
                <w:rFonts w:ascii="Arial" w:hAnsi="Arial" w:cs="Arial"/>
                <w:sz w:val="20"/>
                <w:szCs w:val="20"/>
              </w:rPr>
              <w:t>0.071</w:t>
            </w:r>
          </w:p>
        </w:tc>
        <w:tc>
          <w:tcPr>
            <w:tcW w:w="1352" w:type="dxa"/>
          </w:tcPr>
          <w:p w14:paraId="01F34107" w14:textId="77777777" w:rsidR="00F30764" w:rsidRPr="00E448CD" w:rsidRDefault="00F30764" w:rsidP="000766C3">
            <w:pPr>
              <w:rPr>
                <w:rFonts w:ascii="Arial" w:hAnsi="Arial" w:cs="Arial"/>
                <w:sz w:val="20"/>
                <w:szCs w:val="20"/>
              </w:rPr>
            </w:pPr>
            <w:r w:rsidRPr="00E448CD">
              <w:rPr>
                <w:rFonts w:ascii="Arial" w:hAnsi="Arial" w:cs="Arial"/>
                <w:sz w:val="20"/>
                <w:szCs w:val="20"/>
              </w:rPr>
              <w:t>INHIBITOR</w:t>
            </w:r>
          </w:p>
        </w:tc>
        <w:tc>
          <w:tcPr>
            <w:tcW w:w="829" w:type="dxa"/>
          </w:tcPr>
          <w:p w14:paraId="6C12536D" w14:textId="77777777" w:rsidR="00F30764" w:rsidRPr="00E448CD" w:rsidRDefault="00F30764" w:rsidP="000766C3">
            <w:pPr>
              <w:rPr>
                <w:rFonts w:ascii="Arial" w:hAnsi="Arial" w:cs="Arial"/>
                <w:sz w:val="20"/>
                <w:szCs w:val="20"/>
              </w:rPr>
            </w:pPr>
            <w:r w:rsidRPr="00E448CD">
              <w:rPr>
                <w:rFonts w:ascii="Arial" w:hAnsi="Arial" w:cs="Arial"/>
                <w:sz w:val="20"/>
                <w:szCs w:val="20"/>
              </w:rPr>
              <w:t>87.95</w:t>
            </w:r>
          </w:p>
        </w:tc>
        <w:tc>
          <w:tcPr>
            <w:tcW w:w="1430" w:type="dxa"/>
          </w:tcPr>
          <w:p w14:paraId="16176B0C" w14:textId="77777777" w:rsidR="00F30764" w:rsidRPr="00E448CD" w:rsidRDefault="00F30764" w:rsidP="000766C3">
            <w:pPr>
              <w:rPr>
                <w:rFonts w:ascii="Arial" w:hAnsi="Arial" w:cs="Arial"/>
                <w:sz w:val="20"/>
                <w:szCs w:val="20"/>
              </w:rPr>
            </w:pPr>
            <w:r w:rsidRPr="00E448CD">
              <w:rPr>
                <w:rFonts w:ascii="Arial" w:hAnsi="Arial" w:cs="Arial"/>
                <w:sz w:val="20"/>
                <w:szCs w:val="20"/>
              </w:rPr>
              <w:t>-2.97</w:t>
            </w:r>
          </w:p>
        </w:tc>
      </w:tr>
      <w:tr w:rsidR="00F30764" w:rsidRPr="00E448CD" w14:paraId="1C87D1AE" w14:textId="77777777" w:rsidTr="000766C3">
        <w:tc>
          <w:tcPr>
            <w:tcW w:w="855" w:type="dxa"/>
          </w:tcPr>
          <w:p w14:paraId="0FA132EA" w14:textId="77777777" w:rsidR="00F30764" w:rsidRPr="00E448CD" w:rsidRDefault="00F30764" w:rsidP="000766C3">
            <w:pPr>
              <w:rPr>
                <w:rFonts w:ascii="Arial" w:hAnsi="Arial" w:cs="Arial"/>
                <w:sz w:val="20"/>
                <w:szCs w:val="20"/>
              </w:rPr>
            </w:pPr>
            <w:r w:rsidRPr="00E448CD">
              <w:rPr>
                <w:rFonts w:ascii="Arial" w:hAnsi="Arial" w:cs="Arial"/>
                <w:sz w:val="20"/>
                <w:szCs w:val="20"/>
              </w:rPr>
              <w:t>FA14</w:t>
            </w:r>
          </w:p>
        </w:tc>
        <w:tc>
          <w:tcPr>
            <w:tcW w:w="1053" w:type="dxa"/>
          </w:tcPr>
          <w:p w14:paraId="362AF9E0" w14:textId="77777777" w:rsidR="00F30764" w:rsidRPr="00E448CD" w:rsidRDefault="00F30764" w:rsidP="000766C3">
            <w:pPr>
              <w:rPr>
                <w:rFonts w:ascii="Arial" w:hAnsi="Arial" w:cs="Arial"/>
                <w:sz w:val="20"/>
                <w:szCs w:val="20"/>
              </w:rPr>
            </w:pPr>
            <w:r w:rsidRPr="00E448CD">
              <w:rPr>
                <w:rFonts w:ascii="Arial" w:hAnsi="Arial" w:cs="Arial"/>
                <w:sz w:val="20"/>
                <w:szCs w:val="20"/>
              </w:rPr>
              <w:t>2.585</w:t>
            </w:r>
          </w:p>
        </w:tc>
        <w:tc>
          <w:tcPr>
            <w:tcW w:w="935" w:type="dxa"/>
          </w:tcPr>
          <w:p w14:paraId="29C0C910" w14:textId="77777777" w:rsidR="00F30764" w:rsidRPr="00E448CD" w:rsidRDefault="00F30764" w:rsidP="000766C3">
            <w:pPr>
              <w:rPr>
                <w:rFonts w:ascii="Arial" w:hAnsi="Arial" w:cs="Arial"/>
                <w:sz w:val="20"/>
                <w:szCs w:val="20"/>
              </w:rPr>
            </w:pPr>
            <w:r w:rsidRPr="00E448CD">
              <w:rPr>
                <w:rFonts w:ascii="Arial" w:hAnsi="Arial" w:cs="Arial"/>
                <w:sz w:val="20"/>
                <w:szCs w:val="20"/>
              </w:rPr>
              <w:t>26.95</w:t>
            </w:r>
          </w:p>
        </w:tc>
        <w:tc>
          <w:tcPr>
            <w:tcW w:w="922" w:type="dxa"/>
          </w:tcPr>
          <w:p w14:paraId="63EE379D"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44D862D8" w14:textId="77777777" w:rsidR="00F30764" w:rsidRPr="00E448CD" w:rsidRDefault="00F30764" w:rsidP="000766C3">
            <w:pPr>
              <w:rPr>
                <w:rFonts w:ascii="Arial" w:hAnsi="Arial" w:cs="Arial"/>
                <w:sz w:val="20"/>
                <w:szCs w:val="20"/>
              </w:rPr>
            </w:pPr>
            <w:r w:rsidRPr="00E448CD">
              <w:rPr>
                <w:rFonts w:ascii="Arial" w:hAnsi="Arial" w:cs="Arial"/>
                <w:sz w:val="20"/>
                <w:szCs w:val="20"/>
              </w:rPr>
              <w:t>93.45</w:t>
            </w:r>
          </w:p>
        </w:tc>
        <w:tc>
          <w:tcPr>
            <w:tcW w:w="922" w:type="dxa"/>
          </w:tcPr>
          <w:p w14:paraId="3C54C605" w14:textId="77777777" w:rsidR="00F30764" w:rsidRPr="00E448CD" w:rsidRDefault="00F30764" w:rsidP="000766C3">
            <w:pPr>
              <w:rPr>
                <w:rFonts w:ascii="Arial" w:hAnsi="Arial" w:cs="Arial"/>
                <w:sz w:val="20"/>
                <w:szCs w:val="20"/>
              </w:rPr>
            </w:pPr>
            <w:r w:rsidRPr="00E448CD">
              <w:rPr>
                <w:rFonts w:ascii="Arial" w:hAnsi="Arial" w:cs="Arial"/>
                <w:sz w:val="20"/>
                <w:szCs w:val="20"/>
              </w:rPr>
              <w:t>0.050</w:t>
            </w:r>
          </w:p>
        </w:tc>
        <w:tc>
          <w:tcPr>
            <w:tcW w:w="1352" w:type="dxa"/>
          </w:tcPr>
          <w:p w14:paraId="1B3D8795"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228729D6" w14:textId="77777777" w:rsidR="00F30764" w:rsidRPr="00E448CD" w:rsidRDefault="00F30764" w:rsidP="000766C3">
            <w:pPr>
              <w:rPr>
                <w:rFonts w:ascii="Arial" w:hAnsi="Arial" w:cs="Arial"/>
                <w:sz w:val="20"/>
                <w:szCs w:val="20"/>
              </w:rPr>
            </w:pPr>
            <w:r w:rsidRPr="00E448CD">
              <w:rPr>
                <w:rFonts w:ascii="Arial" w:hAnsi="Arial" w:cs="Arial"/>
                <w:sz w:val="20"/>
                <w:szCs w:val="20"/>
              </w:rPr>
              <w:t>85.11</w:t>
            </w:r>
          </w:p>
        </w:tc>
        <w:tc>
          <w:tcPr>
            <w:tcW w:w="1430" w:type="dxa"/>
          </w:tcPr>
          <w:p w14:paraId="365CADE4" w14:textId="77777777" w:rsidR="00F30764" w:rsidRPr="00E448CD" w:rsidRDefault="00F30764" w:rsidP="000766C3">
            <w:pPr>
              <w:rPr>
                <w:rFonts w:ascii="Arial" w:hAnsi="Arial" w:cs="Arial"/>
                <w:sz w:val="20"/>
                <w:szCs w:val="20"/>
              </w:rPr>
            </w:pPr>
            <w:r w:rsidRPr="00E448CD">
              <w:rPr>
                <w:rFonts w:ascii="Arial" w:hAnsi="Arial" w:cs="Arial"/>
                <w:sz w:val="20"/>
                <w:szCs w:val="20"/>
              </w:rPr>
              <w:t>-2.61</w:t>
            </w:r>
          </w:p>
        </w:tc>
      </w:tr>
      <w:tr w:rsidR="00F30764" w:rsidRPr="00E448CD" w14:paraId="6239C5DC" w14:textId="77777777" w:rsidTr="000766C3">
        <w:tc>
          <w:tcPr>
            <w:tcW w:w="855" w:type="dxa"/>
          </w:tcPr>
          <w:p w14:paraId="2183CF7D" w14:textId="77777777" w:rsidR="00F30764" w:rsidRPr="00E448CD" w:rsidRDefault="00F30764" w:rsidP="000766C3">
            <w:pPr>
              <w:rPr>
                <w:rFonts w:ascii="Arial" w:hAnsi="Arial" w:cs="Arial"/>
                <w:sz w:val="20"/>
                <w:szCs w:val="20"/>
              </w:rPr>
            </w:pPr>
            <w:r w:rsidRPr="00E448CD">
              <w:rPr>
                <w:rFonts w:ascii="Arial" w:hAnsi="Arial" w:cs="Arial"/>
                <w:sz w:val="20"/>
                <w:szCs w:val="20"/>
              </w:rPr>
              <w:t>FA15</w:t>
            </w:r>
          </w:p>
        </w:tc>
        <w:tc>
          <w:tcPr>
            <w:tcW w:w="1053" w:type="dxa"/>
          </w:tcPr>
          <w:p w14:paraId="58BBA8A1" w14:textId="77777777" w:rsidR="00F30764" w:rsidRPr="00E448CD" w:rsidRDefault="00F30764" w:rsidP="000766C3">
            <w:pPr>
              <w:rPr>
                <w:rFonts w:ascii="Arial" w:hAnsi="Arial" w:cs="Arial"/>
                <w:sz w:val="20"/>
                <w:szCs w:val="20"/>
              </w:rPr>
            </w:pPr>
            <w:r w:rsidRPr="00E448CD">
              <w:rPr>
                <w:rFonts w:ascii="Arial" w:hAnsi="Arial" w:cs="Arial"/>
                <w:sz w:val="20"/>
                <w:szCs w:val="20"/>
              </w:rPr>
              <w:t>2.612</w:t>
            </w:r>
          </w:p>
        </w:tc>
        <w:tc>
          <w:tcPr>
            <w:tcW w:w="935" w:type="dxa"/>
          </w:tcPr>
          <w:p w14:paraId="32410780" w14:textId="77777777" w:rsidR="00F30764" w:rsidRPr="00E448CD" w:rsidRDefault="00F30764" w:rsidP="000766C3">
            <w:pPr>
              <w:rPr>
                <w:rFonts w:ascii="Arial" w:hAnsi="Arial" w:cs="Arial"/>
                <w:sz w:val="20"/>
                <w:szCs w:val="20"/>
              </w:rPr>
            </w:pPr>
            <w:r w:rsidRPr="00E448CD">
              <w:rPr>
                <w:rFonts w:ascii="Arial" w:hAnsi="Arial" w:cs="Arial"/>
                <w:sz w:val="20"/>
                <w:szCs w:val="20"/>
              </w:rPr>
              <w:t>26.95</w:t>
            </w:r>
          </w:p>
        </w:tc>
        <w:tc>
          <w:tcPr>
            <w:tcW w:w="922" w:type="dxa"/>
          </w:tcPr>
          <w:p w14:paraId="03C97945"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718" w:type="dxa"/>
          </w:tcPr>
          <w:p w14:paraId="633DEF48" w14:textId="77777777" w:rsidR="00F30764" w:rsidRPr="00E448CD" w:rsidRDefault="00F30764" w:rsidP="000766C3">
            <w:pPr>
              <w:rPr>
                <w:rFonts w:ascii="Arial" w:hAnsi="Arial" w:cs="Arial"/>
                <w:sz w:val="20"/>
                <w:szCs w:val="20"/>
              </w:rPr>
            </w:pPr>
            <w:r w:rsidRPr="00E448CD">
              <w:rPr>
                <w:rFonts w:ascii="Arial" w:hAnsi="Arial" w:cs="Arial"/>
                <w:sz w:val="20"/>
                <w:szCs w:val="20"/>
              </w:rPr>
              <w:t>93.45</w:t>
            </w:r>
          </w:p>
        </w:tc>
        <w:tc>
          <w:tcPr>
            <w:tcW w:w="922" w:type="dxa"/>
          </w:tcPr>
          <w:p w14:paraId="5A11853B" w14:textId="77777777" w:rsidR="00F30764" w:rsidRPr="00E448CD" w:rsidRDefault="00F30764" w:rsidP="000766C3">
            <w:pPr>
              <w:rPr>
                <w:rFonts w:ascii="Arial" w:hAnsi="Arial" w:cs="Arial"/>
                <w:sz w:val="20"/>
                <w:szCs w:val="20"/>
              </w:rPr>
            </w:pPr>
            <w:r w:rsidRPr="00E448CD">
              <w:rPr>
                <w:rFonts w:ascii="Arial" w:hAnsi="Arial" w:cs="Arial"/>
                <w:sz w:val="20"/>
                <w:szCs w:val="20"/>
              </w:rPr>
              <w:t>0.076</w:t>
            </w:r>
          </w:p>
        </w:tc>
        <w:tc>
          <w:tcPr>
            <w:tcW w:w="1352" w:type="dxa"/>
          </w:tcPr>
          <w:p w14:paraId="6D310DBC" w14:textId="77777777" w:rsidR="00F30764" w:rsidRPr="00E448CD" w:rsidRDefault="00F30764" w:rsidP="000766C3">
            <w:pPr>
              <w:rPr>
                <w:rFonts w:ascii="Arial" w:hAnsi="Arial" w:cs="Arial"/>
                <w:sz w:val="20"/>
                <w:szCs w:val="20"/>
              </w:rPr>
            </w:pPr>
            <w:r w:rsidRPr="00E448CD">
              <w:rPr>
                <w:rFonts w:ascii="Arial" w:hAnsi="Arial" w:cs="Arial"/>
                <w:sz w:val="20"/>
                <w:szCs w:val="20"/>
              </w:rPr>
              <w:t>NON</w:t>
            </w:r>
          </w:p>
        </w:tc>
        <w:tc>
          <w:tcPr>
            <w:tcW w:w="829" w:type="dxa"/>
          </w:tcPr>
          <w:p w14:paraId="0DE8D551" w14:textId="77777777" w:rsidR="00F30764" w:rsidRPr="00E448CD" w:rsidRDefault="00F30764" w:rsidP="000766C3">
            <w:pPr>
              <w:rPr>
                <w:rFonts w:ascii="Arial" w:hAnsi="Arial" w:cs="Arial"/>
                <w:sz w:val="20"/>
                <w:szCs w:val="20"/>
              </w:rPr>
            </w:pPr>
            <w:r w:rsidRPr="00E448CD">
              <w:rPr>
                <w:rFonts w:ascii="Arial" w:hAnsi="Arial" w:cs="Arial"/>
                <w:sz w:val="20"/>
                <w:szCs w:val="20"/>
              </w:rPr>
              <w:t>85.75</w:t>
            </w:r>
          </w:p>
        </w:tc>
        <w:tc>
          <w:tcPr>
            <w:tcW w:w="1430" w:type="dxa"/>
          </w:tcPr>
          <w:p w14:paraId="384C4D2F" w14:textId="77777777" w:rsidR="00F30764" w:rsidRPr="00E448CD" w:rsidRDefault="00F30764" w:rsidP="000766C3">
            <w:pPr>
              <w:rPr>
                <w:rFonts w:ascii="Arial" w:hAnsi="Arial" w:cs="Arial"/>
                <w:sz w:val="20"/>
                <w:szCs w:val="20"/>
              </w:rPr>
            </w:pPr>
            <w:r w:rsidRPr="00E448CD">
              <w:rPr>
                <w:rFonts w:ascii="Arial" w:hAnsi="Arial" w:cs="Arial"/>
                <w:sz w:val="20"/>
                <w:szCs w:val="20"/>
              </w:rPr>
              <w:t>-2.64</w:t>
            </w:r>
          </w:p>
        </w:tc>
      </w:tr>
    </w:tbl>
    <w:p w14:paraId="5D687531" w14:textId="77777777" w:rsidR="00207BFC" w:rsidRPr="00E448CD" w:rsidRDefault="00207BFC" w:rsidP="00207BFC">
      <w:pPr>
        <w:jc w:val="both"/>
        <w:rPr>
          <w:rFonts w:ascii="Arial" w:hAnsi="Arial" w:cs="Arial"/>
          <w:sz w:val="20"/>
          <w:szCs w:val="20"/>
        </w:rPr>
      </w:pPr>
    </w:p>
    <w:p w14:paraId="0B64C4B3" w14:textId="04B612CF" w:rsidR="00207BFC" w:rsidRPr="00E448CD" w:rsidRDefault="00207BFC" w:rsidP="00207BFC">
      <w:pPr>
        <w:jc w:val="both"/>
        <w:rPr>
          <w:rFonts w:ascii="Arial" w:hAnsi="Arial" w:cs="Arial"/>
          <w:sz w:val="20"/>
          <w:szCs w:val="20"/>
        </w:rPr>
      </w:pPr>
      <w:r w:rsidRPr="00E448CD">
        <w:rPr>
          <w:rFonts w:ascii="Arial" w:hAnsi="Arial" w:cs="Arial"/>
          <w:sz w:val="20"/>
          <w:szCs w:val="20"/>
        </w:rPr>
        <w:t xml:space="preserve">The evaluation of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derivatives indicated an overall favo</w:t>
      </w:r>
      <w:r w:rsidR="00DC3A7F" w:rsidRPr="00E448CD">
        <w:rPr>
          <w:rFonts w:ascii="Arial" w:hAnsi="Arial" w:cs="Arial"/>
          <w:sz w:val="20"/>
          <w:szCs w:val="20"/>
        </w:rPr>
        <w:t>u</w:t>
      </w:r>
      <w:r w:rsidRPr="00E448CD">
        <w:rPr>
          <w:rFonts w:ascii="Arial" w:hAnsi="Arial" w:cs="Arial"/>
          <w:sz w:val="20"/>
          <w:szCs w:val="20"/>
        </w:rPr>
        <w:t xml:space="preserve">rable pharmacokinetic profile across most parameters. With respect to human intestinal absorption (HIA), </w:t>
      </w:r>
      <w:r w:rsidR="000E6870" w:rsidRPr="00E448CD">
        <w:rPr>
          <w:rFonts w:ascii="Arial" w:hAnsi="Arial" w:cs="Arial"/>
          <w:sz w:val="20"/>
          <w:szCs w:val="20"/>
        </w:rPr>
        <w:t xml:space="preserve">all </w:t>
      </w:r>
      <w:r w:rsidRPr="00E448CD">
        <w:rPr>
          <w:rFonts w:ascii="Arial" w:hAnsi="Arial" w:cs="Arial"/>
          <w:sz w:val="20"/>
          <w:szCs w:val="20"/>
        </w:rPr>
        <w:t xml:space="preserve">compounds exhibited high absorption, suggesting strong oral bioavailability potential. Plasma protein binding (PPB) results revealed that </w:t>
      </w:r>
      <w:r w:rsidR="009742DD" w:rsidRPr="00E448CD">
        <w:rPr>
          <w:rFonts w:ascii="Arial" w:hAnsi="Arial" w:cs="Arial"/>
          <w:sz w:val="20"/>
          <w:szCs w:val="20"/>
        </w:rPr>
        <w:t>3</w:t>
      </w:r>
      <w:r w:rsidRPr="00E448CD">
        <w:rPr>
          <w:rFonts w:ascii="Arial" w:hAnsi="Arial" w:cs="Arial"/>
          <w:sz w:val="20"/>
          <w:szCs w:val="20"/>
        </w:rPr>
        <w:t xml:space="preserve"> derivatives (FA</w:t>
      </w:r>
      <w:r w:rsidR="00CA3942" w:rsidRPr="00E448CD">
        <w:rPr>
          <w:rFonts w:ascii="Arial" w:hAnsi="Arial" w:cs="Arial"/>
          <w:sz w:val="20"/>
          <w:szCs w:val="20"/>
        </w:rPr>
        <w:t>10, FA11</w:t>
      </w:r>
      <w:r w:rsidRPr="00E448CD">
        <w:rPr>
          <w:rFonts w:ascii="Arial" w:hAnsi="Arial" w:cs="Arial"/>
          <w:sz w:val="20"/>
          <w:szCs w:val="20"/>
        </w:rPr>
        <w:t xml:space="preserve"> and FA1</w:t>
      </w:r>
      <w:r w:rsidR="00CA3942" w:rsidRPr="00E448CD">
        <w:rPr>
          <w:rFonts w:ascii="Arial" w:hAnsi="Arial" w:cs="Arial"/>
          <w:sz w:val="20"/>
          <w:szCs w:val="20"/>
        </w:rPr>
        <w:t>2</w:t>
      </w:r>
      <w:r w:rsidRPr="00E448CD">
        <w:rPr>
          <w:rFonts w:ascii="Arial" w:hAnsi="Arial" w:cs="Arial"/>
          <w:sz w:val="20"/>
          <w:szCs w:val="20"/>
        </w:rPr>
        <w:t>) were highly bound, whereas the majority (1</w:t>
      </w:r>
      <w:r w:rsidR="00CA3942" w:rsidRPr="00E448CD">
        <w:rPr>
          <w:rFonts w:ascii="Arial" w:hAnsi="Arial" w:cs="Arial"/>
          <w:sz w:val="20"/>
          <w:szCs w:val="20"/>
        </w:rPr>
        <w:t>0</w:t>
      </w:r>
      <w:r w:rsidRPr="00E448CD">
        <w:rPr>
          <w:rFonts w:ascii="Arial" w:hAnsi="Arial" w:cs="Arial"/>
          <w:sz w:val="20"/>
          <w:szCs w:val="20"/>
        </w:rPr>
        <w:t xml:space="preserve"> compounds) displayed weak binding, reflecting variability in distribution. For </w:t>
      </w:r>
      <w:proofErr w:type="spellStart"/>
      <w:r w:rsidRPr="00E448CD">
        <w:rPr>
          <w:rFonts w:ascii="Arial" w:hAnsi="Arial" w:cs="Arial"/>
          <w:sz w:val="20"/>
          <w:szCs w:val="20"/>
        </w:rPr>
        <w:t>CaCO</w:t>
      </w:r>
      <w:proofErr w:type="spellEnd"/>
      <w:r w:rsidRPr="00E448CD">
        <w:rPr>
          <w:rFonts w:ascii="Times New Roman" w:hAnsi="Times New Roman" w:cs="Arial"/>
          <w:sz w:val="20"/>
          <w:szCs w:val="20"/>
        </w:rPr>
        <w:t>₂</w:t>
      </w:r>
      <w:r w:rsidRPr="00E448CD">
        <w:rPr>
          <w:rFonts w:ascii="Arial" w:hAnsi="Arial" w:cs="Arial"/>
          <w:sz w:val="20"/>
          <w:szCs w:val="20"/>
        </w:rPr>
        <w:t xml:space="preserve"> </w:t>
      </w:r>
      <w:proofErr w:type="spellStart"/>
      <w:proofErr w:type="gramStart"/>
      <w:r w:rsidRPr="00E448CD">
        <w:rPr>
          <w:rFonts w:ascii="Arial" w:hAnsi="Arial" w:cs="Arial"/>
          <w:sz w:val="20"/>
          <w:szCs w:val="20"/>
        </w:rPr>
        <w:t>permeation,all</w:t>
      </w:r>
      <w:proofErr w:type="spellEnd"/>
      <w:proofErr w:type="gramEnd"/>
      <w:r w:rsidRPr="00E448CD">
        <w:rPr>
          <w:rFonts w:ascii="Arial" w:hAnsi="Arial" w:cs="Arial"/>
          <w:sz w:val="20"/>
          <w:szCs w:val="20"/>
        </w:rPr>
        <w:t xml:space="preserve"> compounds demonstrated moderate permeation. Importantly, all derivatives were identified as non-inhibitors of CYP2D6, thereby reducing the risk of drug–drug interactions. In MDCK cell permeability assays, one compound (FA</w:t>
      </w:r>
      <w:r w:rsidR="00D66AF7" w:rsidRPr="00E448CD">
        <w:rPr>
          <w:rFonts w:ascii="Arial" w:hAnsi="Arial" w:cs="Arial"/>
          <w:sz w:val="20"/>
          <w:szCs w:val="20"/>
        </w:rPr>
        <w:t>4</w:t>
      </w:r>
      <w:r w:rsidRPr="00E448CD">
        <w:rPr>
          <w:rFonts w:ascii="Arial" w:hAnsi="Arial" w:cs="Arial"/>
          <w:sz w:val="20"/>
          <w:szCs w:val="20"/>
        </w:rPr>
        <w:t>) exhibited moderate permeation, while the remaining 14 showed lower transport efficiency. Regarding P-glycoprotein (P-</w:t>
      </w:r>
      <w:proofErr w:type="spellStart"/>
      <w:r w:rsidRPr="00E448CD">
        <w:rPr>
          <w:rFonts w:ascii="Arial" w:hAnsi="Arial" w:cs="Arial"/>
          <w:sz w:val="20"/>
          <w:szCs w:val="20"/>
        </w:rPr>
        <w:t>gp</w:t>
      </w:r>
      <w:proofErr w:type="spellEnd"/>
      <w:r w:rsidRPr="00E448CD">
        <w:rPr>
          <w:rFonts w:ascii="Arial" w:hAnsi="Arial" w:cs="Arial"/>
          <w:sz w:val="20"/>
          <w:szCs w:val="20"/>
        </w:rPr>
        <w:t xml:space="preserve">) interactions, only </w:t>
      </w:r>
      <w:r w:rsidR="00905D5C" w:rsidRPr="00E448CD">
        <w:rPr>
          <w:rFonts w:ascii="Arial" w:hAnsi="Arial" w:cs="Arial"/>
          <w:sz w:val="20"/>
          <w:szCs w:val="20"/>
        </w:rPr>
        <w:t>3 compound</w:t>
      </w:r>
      <w:r w:rsidR="00DC3A7F" w:rsidRPr="00E448CD">
        <w:rPr>
          <w:rFonts w:ascii="Arial" w:hAnsi="Arial" w:cs="Arial"/>
          <w:sz w:val="20"/>
          <w:szCs w:val="20"/>
        </w:rPr>
        <w:t xml:space="preserve">s </w:t>
      </w:r>
      <w:r w:rsidR="002C5F06" w:rsidRPr="00E448CD">
        <w:rPr>
          <w:rFonts w:ascii="Arial" w:hAnsi="Arial" w:cs="Arial"/>
          <w:sz w:val="20"/>
          <w:szCs w:val="20"/>
        </w:rPr>
        <w:t>(</w:t>
      </w:r>
      <w:r w:rsidRPr="00E448CD">
        <w:rPr>
          <w:rFonts w:ascii="Arial" w:hAnsi="Arial" w:cs="Arial"/>
          <w:sz w:val="20"/>
          <w:szCs w:val="20"/>
        </w:rPr>
        <w:t>FA11</w:t>
      </w:r>
      <w:r w:rsidR="002C5F06" w:rsidRPr="00E448CD">
        <w:rPr>
          <w:rFonts w:ascii="Arial" w:hAnsi="Arial" w:cs="Arial"/>
          <w:sz w:val="20"/>
          <w:szCs w:val="20"/>
        </w:rPr>
        <w:t>, FA12 and FA13)</w:t>
      </w:r>
      <w:r w:rsidRPr="00E448CD">
        <w:rPr>
          <w:rFonts w:ascii="Arial" w:hAnsi="Arial" w:cs="Arial"/>
          <w:sz w:val="20"/>
          <w:szCs w:val="20"/>
        </w:rPr>
        <w:t xml:space="preserve"> acted as an inhibitor, while the majority (</w:t>
      </w:r>
      <w:r w:rsidR="002C5F06" w:rsidRPr="00E448CD">
        <w:rPr>
          <w:rFonts w:ascii="Arial" w:hAnsi="Arial" w:cs="Arial"/>
          <w:sz w:val="20"/>
          <w:szCs w:val="20"/>
        </w:rPr>
        <w:t>11</w:t>
      </w:r>
      <w:r w:rsidRPr="00E448CD">
        <w:rPr>
          <w:rFonts w:ascii="Arial" w:hAnsi="Arial" w:cs="Arial"/>
          <w:sz w:val="20"/>
          <w:szCs w:val="20"/>
        </w:rPr>
        <w:t xml:space="preserve">) were non-inhibitors, minimizing concerns about efflux-related bioavailability issues. Blood–brain barrier (BBB) penetration analysis revealed that </w:t>
      </w:r>
      <w:r w:rsidR="00D97873" w:rsidRPr="00E448CD">
        <w:rPr>
          <w:rFonts w:ascii="Arial" w:hAnsi="Arial" w:cs="Arial"/>
          <w:sz w:val="20"/>
          <w:szCs w:val="20"/>
        </w:rPr>
        <w:t>4</w:t>
      </w:r>
      <w:r w:rsidRPr="00E448CD">
        <w:rPr>
          <w:rFonts w:ascii="Arial" w:hAnsi="Arial" w:cs="Arial"/>
          <w:sz w:val="20"/>
          <w:szCs w:val="20"/>
        </w:rPr>
        <w:t xml:space="preserve"> compounds were CNS-active, indicating potential neurological applications, while </w:t>
      </w:r>
      <w:r w:rsidR="00D97873" w:rsidRPr="00E448CD">
        <w:rPr>
          <w:rFonts w:ascii="Arial" w:hAnsi="Arial" w:cs="Arial"/>
          <w:sz w:val="20"/>
          <w:szCs w:val="20"/>
        </w:rPr>
        <w:t>11</w:t>
      </w:r>
      <w:r w:rsidRPr="00E448CD">
        <w:rPr>
          <w:rFonts w:ascii="Arial" w:hAnsi="Arial" w:cs="Arial"/>
          <w:sz w:val="20"/>
          <w:szCs w:val="20"/>
        </w:rPr>
        <w:t xml:space="preserve"> were non-CNS active. Collectively, the derivatives demonstrated promising absorption and metabolic safety, with notable CNS activity in a subset of compounds</w:t>
      </w:r>
      <w:r w:rsidRPr="00E448CD">
        <w:rPr>
          <w:rFonts w:ascii="Arial" w:hAnsi="Arial" w:cs="Arial"/>
          <w:color w:val="EE0000"/>
          <w:sz w:val="20"/>
          <w:szCs w:val="20"/>
        </w:rPr>
        <w:t xml:space="preserve">. </w:t>
      </w:r>
      <w:r w:rsidRPr="00E448CD">
        <w:rPr>
          <w:rFonts w:ascii="Arial" w:hAnsi="Arial" w:cs="Arial"/>
          <w:sz w:val="20"/>
          <w:szCs w:val="20"/>
        </w:rPr>
        <w:t>The boiled egg model of FA11 is presented in Figure</w:t>
      </w:r>
      <w:r w:rsidR="004B3F6B" w:rsidRPr="00E448CD">
        <w:rPr>
          <w:rFonts w:ascii="Arial" w:hAnsi="Arial" w:cs="Arial"/>
          <w:sz w:val="20"/>
          <w:szCs w:val="20"/>
        </w:rPr>
        <w:t xml:space="preserve"> </w:t>
      </w:r>
      <w:r w:rsidR="009073BF">
        <w:rPr>
          <w:rFonts w:ascii="Arial" w:hAnsi="Arial" w:cs="Arial"/>
          <w:sz w:val="20"/>
          <w:szCs w:val="20"/>
        </w:rPr>
        <w:t>3</w:t>
      </w:r>
    </w:p>
    <w:p w14:paraId="33DAD015" w14:textId="77777777" w:rsidR="00A43C26" w:rsidRPr="00E448CD" w:rsidRDefault="00A43C26" w:rsidP="00A43C26">
      <w:pPr>
        <w:jc w:val="center"/>
        <w:rPr>
          <w:rFonts w:ascii="Arial" w:hAnsi="Arial" w:cs="Arial"/>
          <w:color w:val="EE0000"/>
          <w:sz w:val="20"/>
          <w:szCs w:val="20"/>
        </w:rPr>
      </w:pPr>
      <w:r w:rsidRPr="00E448CD">
        <w:rPr>
          <w:rFonts w:ascii="Arial" w:hAnsi="Arial" w:cs="Arial"/>
          <w:noProof/>
          <w:sz w:val="20"/>
          <w:szCs w:val="20"/>
          <w:lang w:val="en-US"/>
        </w:rPr>
        <w:lastRenderedPageBreak/>
        <w:drawing>
          <wp:inline distT="0" distB="0" distL="0" distR="0" wp14:anchorId="77E247B9" wp14:editId="3EE66CA8">
            <wp:extent cx="4238624"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12308" t="15681" r="13677" b="10946"/>
                    <a:stretch/>
                  </pic:blipFill>
                  <pic:spPr bwMode="auto">
                    <a:xfrm>
                      <a:off x="0" y="0"/>
                      <a:ext cx="4242162" cy="2364172"/>
                    </a:xfrm>
                    <a:prstGeom prst="rect">
                      <a:avLst/>
                    </a:prstGeom>
                    <a:ln>
                      <a:noFill/>
                    </a:ln>
                    <a:extLst>
                      <a:ext uri="{53640926-AAD7-44D8-BBD7-CCE9431645EC}">
                        <a14:shadowObscured xmlns:a14="http://schemas.microsoft.com/office/drawing/2010/main"/>
                      </a:ext>
                    </a:extLst>
                  </pic:spPr>
                </pic:pic>
              </a:graphicData>
            </a:graphic>
          </wp:inline>
        </w:drawing>
      </w:r>
    </w:p>
    <w:p w14:paraId="6C6D9349" w14:textId="1BE5A51D" w:rsidR="00A43C26" w:rsidRPr="00E448CD" w:rsidRDefault="00A43C26" w:rsidP="00A43C26">
      <w:pPr>
        <w:jc w:val="center"/>
        <w:rPr>
          <w:rFonts w:ascii="Arial" w:hAnsi="Arial" w:cs="Arial"/>
          <w:b/>
          <w:sz w:val="20"/>
          <w:szCs w:val="20"/>
        </w:rPr>
      </w:pPr>
      <w:r w:rsidRPr="00E448CD">
        <w:rPr>
          <w:rFonts w:ascii="Arial" w:hAnsi="Arial" w:cs="Arial"/>
          <w:b/>
          <w:sz w:val="20"/>
          <w:szCs w:val="20"/>
        </w:rPr>
        <w:t>Figure 0</w:t>
      </w:r>
      <w:r w:rsidR="009073BF">
        <w:rPr>
          <w:rFonts w:ascii="Arial" w:hAnsi="Arial" w:cs="Arial"/>
          <w:b/>
          <w:sz w:val="20"/>
          <w:szCs w:val="20"/>
        </w:rPr>
        <w:t>3</w:t>
      </w:r>
      <w:r w:rsidRPr="00E448CD">
        <w:rPr>
          <w:rFonts w:ascii="Arial" w:hAnsi="Arial" w:cs="Arial"/>
          <w:b/>
          <w:sz w:val="20"/>
          <w:szCs w:val="20"/>
        </w:rPr>
        <w:t xml:space="preserve">: Boiled Egg model for compound FA6 as </w:t>
      </w:r>
      <w:proofErr w:type="spellStart"/>
      <w:r w:rsidRPr="00E448CD">
        <w:rPr>
          <w:rFonts w:ascii="Arial" w:hAnsi="Arial" w:cs="Arial"/>
          <w:b/>
          <w:sz w:val="20"/>
          <w:szCs w:val="20"/>
        </w:rPr>
        <w:t>HIAInhibitor</w:t>
      </w:r>
      <w:proofErr w:type="spellEnd"/>
    </w:p>
    <w:p w14:paraId="42B859AC" w14:textId="77777777" w:rsidR="00E5380E" w:rsidRPr="00E448CD" w:rsidRDefault="00E5380E" w:rsidP="00E5380E">
      <w:pPr>
        <w:jc w:val="both"/>
        <w:rPr>
          <w:rFonts w:ascii="Arial" w:hAnsi="Arial" w:cs="Arial"/>
          <w:sz w:val="20"/>
          <w:szCs w:val="20"/>
        </w:rPr>
      </w:pPr>
      <w:r w:rsidRPr="00E448CD">
        <w:rPr>
          <w:rFonts w:ascii="Arial" w:hAnsi="Arial" w:cs="Arial"/>
          <w:b/>
          <w:bCs/>
          <w:sz w:val="20"/>
          <w:szCs w:val="20"/>
        </w:rPr>
        <w:t>Result of toxicity of compounds by pre-ADMET tool</w:t>
      </w:r>
      <w:r w:rsidRPr="00E448CD">
        <w:rPr>
          <w:rFonts w:ascii="Arial" w:hAnsi="Arial" w:cs="Arial"/>
          <w:sz w:val="20"/>
          <w:szCs w:val="20"/>
        </w:rPr>
        <w:t>:</w:t>
      </w:r>
    </w:p>
    <w:p w14:paraId="3554E298" w14:textId="77777777" w:rsidR="00B26249" w:rsidRPr="00E448CD" w:rsidRDefault="00B26249" w:rsidP="00E5380E">
      <w:pPr>
        <w:jc w:val="both"/>
        <w:rPr>
          <w:rFonts w:ascii="Arial" w:hAnsi="Arial" w:cs="Arial"/>
          <w:sz w:val="20"/>
          <w:szCs w:val="20"/>
        </w:rPr>
      </w:pPr>
      <w:r w:rsidRPr="00E448CD">
        <w:rPr>
          <w:rFonts w:ascii="Arial" w:hAnsi="Arial" w:cs="Arial"/>
          <w:sz w:val="20"/>
          <w:szCs w:val="20"/>
        </w:rPr>
        <w:t xml:space="preserve">The result of toxicity of </w:t>
      </w:r>
      <w:r w:rsidR="009848C8" w:rsidRPr="00E448CD">
        <w:rPr>
          <w:rFonts w:ascii="Arial" w:hAnsi="Arial" w:cs="Arial"/>
          <w:sz w:val="20"/>
          <w:szCs w:val="20"/>
        </w:rPr>
        <w:t>designed compounds</w:t>
      </w:r>
      <w:r w:rsidR="00A43C26" w:rsidRPr="00E448CD">
        <w:rPr>
          <w:rFonts w:ascii="Arial" w:hAnsi="Arial" w:cs="Arial"/>
          <w:sz w:val="20"/>
          <w:szCs w:val="20"/>
        </w:rPr>
        <w:t>detailed in table 4</w:t>
      </w:r>
    </w:p>
    <w:p w14:paraId="1485A329" w14:textId="77777777" w:rsidR="00E5380E" w:rsidRPr="00E448CD" w:rsidRDefault="00E5380E" w:rsidP="00E5380E">
      <w:pPr>
        <w:jc w:val="both"/>
        <w:rPr>
          <w:rFonts w:ascii="Arial" w:hAnsi="Arial" w:cs="Arial"/>
          <w:sz w:val="20"/>
          <w:szCs w:val="20"/>
        </w:rPr>
      </w:pPr>
      <w:r w:rsidRPr="00E448CD">
        <w:rPr>
          <w:rFonts w:ascii="Arial" w:hAnsi="Arial" w:cs="Arial"/>
          <w:sz w:val="20"/>
          <w:szCs w:val="20"/>
        </w:rPr>
        <w:t xml:space="preserve">At the Ames test endpoint of PreADMET, there are </w:t>
      </w:r>
      <w:r w:rsidR="001B11B3" w:rsidRPr="00E448CD">
        <w:rPr>
          <w:rFonts w:ascii="Arial" w:hAnsi="Arial" w:cs="Arial"/>
          <w:sz w:val="20"/>
          <w:szCs w:val="20"/>
        </w:rPr>
        <w:t>14</w:t>
      </w:r>
      <w:r w:rsidRPr="00E448CD">
        <w:rPr>
          <w:rFonts w:ascii="Arial" w:hAnsi="Arial" w:cs="Arial"/>
          <w:sz w:val="20"/>
          <w:szCs w:val="20"/>
        </w:rPr>
        <w:t xml:space="preserve">mutagenic compounds and </w:t>
      </w:r>
      <w:r w:rsidR="001B11B3" w:rsidRPr="00E448CD">
        <w:rPr>
          <w:rFonts w:ascii="Arial" w:hAnsi="Arial" w:cs="Arial"/>
          <w:sz w:val="20"/>
          <w:szCs w:val="20"/>
        </w:rPr>
        <w:t>only 1</w:t>
      </w:r>
      <w:r w:rsidRPr="00E448CD">
        <w:rPr>
          <w:rFonts w:ascii="Arial" w:hAnsi="Arial" w:cs="Arial"/>
          <w:sz w:val="20"/>
          <w:szCs w:val="20"/>
        </w:rPr>
        <w:t xml:space="preserve"> compound (</w:t>
      </w:r>
      <w:r w:rsidR="001B11B3" w:rsidRPr="00E448CD">
        <w:rPr>
          <w:rFonts w:ascii="Arial" w:hAnsi="Arial" w:cs="Arial"/>
          <w:sz w:val="20"/>
          <w:szCs w:val="20"/>
        </w:rPr>
        <w:t>FA13</w:t>
      </w:r>
      <w:r w:rsidRPr="00E448CD">
        <w:rPr>
          <w:rFonts w:ascii="Arial" w:hAnsi="Arial" w:cs="Arial"/>
          <w:sz w:val="20"/>
          <w:szCs w:val="20"/>
        </w:rPr>
        <w:t xml:space="preserve">) are non-mutagenic compounds. The positive test results on Ames test indicate that the compound is mutagenic and has the possibility as carcinogenic. In the prediction of carcinogenicity in rat produced </w:t>
      </w:r>
      <w:r w:rsidR="007635C5" w:rsidRPr="00E448CD">
        <w:rPr>
          <w:rFonts w:ascii="Arial" w:hAnsi="Arial" w:cs="Arial"/>
          <w:sz w:val="20"/>
          <w:szCs w:val="20"/>
        </w:rPr>
        <w:t>14</w:t>
      </w:r>
      <w:r w:rsidRPr="00E448CD">
        <w:rPr>
          <w:rFonts w:ascii="Arial" w:hAnsi="Arial" w:cs="Arial"/>
          <w:sz w:val="20"/>
          <w:szCs w:val="20"/>
        </w:rPr>
        <w:t xml:space="preserve">carcinogenic positive compounds and </w:t>
      </w:r>
      <w:r w:rsidR="007635C5" w:rsidRPr="00E448CD">
        <w:rPr>
          <w:rFonts w:ascii="Arial" w:hAnsi="Arial" w:cs="Arial"/>
          <w:sz w:val="20"/>
          <w:szCs w:val="20"/>
        </w:rPr>
        <w:t xml:space="preserve">only </w:t>
      </w:r>
      <w:r w:rsidRPr="00E448CD">
        <w:rPr>
          <w:rFonts w:ascii="Arial" w:hAnsi="Arial" w:cs="Arial"/>
          <w:sz w:val="20"/>
          <w:szCs w:val="20"/>
        </w:rPr>
        <w:t xml:space="preserve">compound </w:t>
      </w:r>
      <w:r w:rsidR="00374240" w:rsidRPr="00E448CD">
        <w:rPr>
          <w:rFonts w:ascii="Arial" w:hAnsi="Arial" w:cs="Arial"/>
          <w:sz w:val="20"/>
          <w:szCs w:val="20"/>
        </w:rPr>
        <w:t xml:space="preserve">is </w:t>
      </w:r>
      <w:r w:rsidRPr="00E448CD">
        <w:rPr>
          <w:rFonts w:ascii="Arial" w:hAnsi="Arial" w:cs="Arial"/>
          <w:sz w:val="20"/>
          <w:szCs w:val="20"/>
        </w:rPr>
        <w:t xml:space="preserve">negative carcinogenic. While in the prediction of carcinogenicity in mouse </w:t>
      </w:r>
      <w:r w:rsidR="00374240" w:rsidRPr="00E448CD">
        <w:rPr>
          <w:rFonts w:ascii="Arial" w:hAnsi="Arial" w:cs="Arial"/>
          <w:sz w:val="20"/>
          <w:szCs w:val="20"/>
        </w:rPr>
        <w:t>5</w:t>
      </w:r>
      <w:r w:rsidRPr="00E448CD">
        <w:rPr>
          <w:rFonts w:ascii="Arial" w:hAnsi="Arial" w:cs="Arial"/>
          <w:sz w:val="20"/>
          <w:szCs w:val="20"/>
        </w:rPr>
        <w:t xml:space="preserve"> compounds are not carcinogenicity. At the H ERG Inhibition all compounds show medium risk.</w:t>
      </w:r>
    </w:p>
    <w:p w14:paraId="65D10960" w14:textId="77777777" w:rsidR="00B26249" w:rsidRPr="00E448CD" w:rsidRDefault="00A43C26" w:rsidP="00E5380E">
      <w:pPr>
        <w:jc w:val="both"/>
        <w:rPr>
          <w:rFonts w:ascii="Arial" w:hAnsi="Arial" w:cs="Arial"/>
          <w:b/>
          <w:sz w:val="20"/>
          <w:szCs w:val="20"/>
        </w:rPr>
      </w:pPr>
      <w:r w:rsidRPr="00E448CD">
        <w:rPr>
          <w:rFonts w:ascii="Arial" w:hAnsi="Arial" w:cs="Arial"/>
          <w:b/>
          <w:sz w:val="20"/>
          <w:szCs w:val="20"/>
        </w:rPr>
        <w:t>Table 4</w:t>
      </w:r>
      <w:r w:rsidR="00B26249" w:rsidRPr="00E448CD">
        <w:rPr>
          <w:rFonts w:ascii="Arial" w:hAnsi="Arial" w:cs="Arial"/>
          <w:b/>
          <w:sz w:val="20"/>
          <w:szCs w:val="20"/>
        </w:rPr>
        <w:t>: Result of Toxicity studies and drug likeness of designed compounds</w:t>
      </w:r>
    </w:p>
    <w:tbl>
      <w:tblPr>
        <w:tblStyle w:val="TableGrid"/>
        <w:tblpPr w:leftFromText="180" w:rightFromText="180" w:vertAnchor="text" w:tblpY="1"/>
        <w:tblOverlap w:val="never"/>
        <w:tblW w:w="0" w:type="auto"/>
        <w:tblLook w:val="04A0" w:firstRow="1" w:lastRow="0" w:firstColumn="1" w:lastColumn="0" w:noHBand="0" w:noVBand="1"/>
      </w:tblPr>
      <w:tblGrid>
        <w:gridCol w:w="1502"/>
        <w:gridCol w:w="1708"/>
        <w:gridCol w:w="1297"/>
        <w:gridCol w:w="1503"/>
        <w:gridCol w:w="1503"/>
      </w:tblGrid>
      <w:tr w:rsidR="001B11B3" w:rsidRPr="00E448CD" w14:paraId="3399AC2B" w14:textId="77777777" w:rsidTr="000766C3">
        <w:tc>
          <w:tcPr>
            <w:tcW w:w="1502" w:type="dxa"/>
          </w:tcPr>
          <w:p w14:paraId="1F618B88" w14:textId="77777777" w:rsidR="001B11B3" w:rsidRPr="00E448CD" w:rsidRDefault="001B11B3" w:rsidP="001B11B3">
            <w:pPr>
              <w:rPr>
                <w:rFonts w:ascii="Arial" w:hAnsi="Arial" w:cs="Arial"/>
                <w:sz w:val="20"/>
                <w:szCs w:val="20"/>
              </w:rPr>
            </w:pPr>
            <w:r w:rsidRPr="00E448CD">
              <w:rPr>
                <w:rFonts w:ascii="Arial" w:hAnsi="Arial" w:cs="Arial"/>
                <w:sz w:val="20"/>
                <w:szCs w:val="20"/>
              </w:rPr>
              <w:t>COMP</w:t>
            </w:r>
          </w:p>
        </w:tc>
        <w:tc>
          <w:tcPr>
            <w:tcW w:w="1708" w:type="dxa"/>
          </w:tcPr>
          <w:p w14:paraId="7C32AA35" w14:textId="77777777" w:rsidR="001B11B3" w:rsidRPr="00E448CD" w:rsidRDefault="001B11B3" w:rsidP="001B11B3">
            <w:pPr>
              <w:rPr>
                <w:rFonts w:ascii="Arial" w:hAnsi="Arial" w:cs="Arial"/>
                <w:sz w:val="20"/>
                <w:szCs w:val="20"/>
              </w:rPr>
            </w:pPr>
            <w:r w:rsidRPr="00E448CD">
              <w:rPr>
                <w:rFonts w:ascii="Arial" w:hAnsi="Arial" w:cs="Arial"/>
                <w:sz w:val="20"/>
                <w:szCs w:val="20"/>
              </w:rPr>
              <w:t>AMES TEST</w:t>
            </w:r>
          </w:p>
        </w:tc>
        <w:tc>
          <w:tcPr>
            <w:tcW w:w="1297" w:type="dxa"/>
          </w:tcPr>
          <w:p w14:paraId="3EB8B03C" w14:textId="77777777" w:rsidR="001B11B3" w:rsidRPr="00E448CD" w:rsidRDefault="001B11B3" w:rsidP="001B11B3">
            <w:pPr>
              <w:rPr>
                <w:rFonts w:ascii="Arial" w:hAnsi="Arial" w:cs="Arial"/>
                <w:sz w:val="20"/>
                <w:szCs w:val="20"/>
              </w:rPr>
            </w:pPr>
            <w:r w:rsidRPr="00E448CD">
              <w:rPr>
                <w:rFonts w:ascii="Arial" w:hAnsi="Arial" w:cs="Arial"/>
                <w:sz w:val="20"/>
                <w:szCs w:val="20"/>
              </w:rPr>
              <w:t>CARCINO MOUSE</w:t>
            </w:r>
          </w:p>
        </w:tc>
        <w:tc>
          <w:tcPr>
            <w:tcW w:w="1503" w:type="dxa"/>
          </w:tcPr>
          <w:p w14:paraId="4E4DC6BC" w14:textId="77777777" w:rsidR="001B11B3" w:rsidRPr="00E448CD" w:rsidRDefault="001B11B3" w:rsidP="001B11B3">
            <w:pPr>
              <w:rPr>
                <w:rFonts w:ascii="Arial" w:hAnsi="Arial" w:cs="Arial"/>
                <w:sz w:val="20"/>
                <w:szCs w:val="20"/>
              </w:rPr>
            </w:pPr>
            <w:r w:rsidRPr="00E448CD">
              <w:rPr>
                <w:rFonts w:ascii="Arial" w:hAnsi="Arial" w:cs="Arial"/>
                <w:sz w:val="20"/>
                <w:szCs w:val="20"/>
              </w:rPr>
              <w:t>CARCINO RAT</w:t>
            </w:r>
          </w:p>
        </w:tc>
        <w:tc>
          <w:tcPr>
            <w:tcW w:w="1503" w:type="dxa"/>
          </w:tcPr>
          <w:p w14:paraId="18CE0B71" w14:textId="77777777" w:rsidR="001B11B3" w:rsidRPr="00E448CD" w:rsidRDefault="001B11B3" w:rsidP="001B11B3">
            <w:pPr>
              <w:rPr>
                <w:rFonts w:ascii="Arial" w:hAnsi="Arial" w:cs="Arial"/>
                <w:sz w:val="20"/>
                <w:szCs w:val="20"/>
              </w:rPr>
            </w:pPr>
            <w:r w:rsidRPr="00E448CD">
              <w:rPr>
                <w:rFonts w:ascii="Arial" w:hAnsi="Arial" w:cs="Arial"/>
                <w:sz w:val="20"/>
                <w:szCs w:val="20"/>
              </w:rPr>
              <w:t>HERG</w:t>
            </w:r>
          </w:p>
        </w:tc>
      </w:tr>
      <w:tr w:rsidR="00CE0EA3" w:rsidRPr="00E448CD" w14:paraId="4DB7145D" w14:textId="77777777" w:rsidTr="000766C3">
        <w:tc>
          <w:tcPr>
            <w:tcW w:w="1502" w:type="dxa"/>
          </w:tcPr>
          <w:p w14:paraId="296EB75A" w14:textId="77777777" w:rsidR="00CE0EA3" w:rsidRPr="00E448CD" w:rsidRDefault="00CE0EA3" w:rsidP="000766C3">
            <w:pPr>
              <w:rPr>
                <w:rFonts w:ascii="Arial" w:hAnsi="Arial" w:cs="Arial"/>
                <w:sz w:val="20"/>
                <w:szCs w:val="20"/>
              </w:rPr>
            </w:pPr>
            <w:r w:rsidRPr="00E448CD">
              <w:rPr>
                <w:rFonts w:ascii="Arial" w:hAnsi="Arial" w:cs="Arial"/>
                <w:sz w:val="20"/>
                <w:szCs w:val="20"/>
              </w:rPr>
              <w:t>FA1</w:t>
            </w:r>
          </w:p>
        </w:tc>
        <w:tc>
          <w:tcPr>
            <w:tcW w:w="1708" w:type="dxa"/>
          </w:tcPr>
          <w:p w14:paraId="177CC759"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28F85808"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5A55F54F"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2EB0BFB3"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7ECAFE31" w14:textId="77777777" w:rsidTr="000766C3">
        <w:tc>
          <w:tcPr>
            <w:tcW w:w="1502" w:type="dxa"/>
          </w:tcPr>
          <w:p w14:paraId="03950191" w14:textId="77777777" w:rsidR="00CE0EA3" w:rsidRPr="00E448CD" w:rsidRDefault="00CE0EA3" w:rsidP="000766C3">
            <w:pPr>
              <w:rPr>
                <w:rFonts w:ascii="Arial" w:hAnsi="Arial" w:cs="Arial"/>
                <w:sz w:val="20"/>
                <w:szCs w:val="20"/>
              </w:rPr>
            </w:pPr>
            <w:r w:rsidRPr="00E448CD">
              <w:rPr>
                <w:rFonts w:ascii="Arial" w:hAnsi="Arial" w:cs="Arial"/>
                <w:sz w:val="20"/>
                <w:szCs w:val="20"/>
              </w:rPr>
              <w:t>FA2</w:t>
            </w:r>
          </w:p>
        </w:tc>
        <w:tc>
          <w:tcPr>
            <w:tcW w:w="1708" w:type="dxa"/>
          </w:tcPr>
          <w:p w14:paraId="0669B99F"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2102C71B"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029D0F15"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5E585BEA"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6E5C3AE9" w14:textId="77777777" w:rsidTr="000766C3">
        <w:tc>
          <w:tcPr>
            <w:tcW w:w="1502" w:type="dxa"/>
          </w:tcPr>
          <w:p w14:paraId="4C869B01" w14:textId="77777777" w:rsidR="00CE0EA3" w:rsidRPr="00E448CD" w:rsidRDefault="00CE0EA3" w:rsidP="000766C3">
            <w:pPr>
              <w:rPr>
                <w:rFonts w:ascii="Arial" w:hAnsi="Arial" w:cs="Arial"/>
                <w:sz w:val="20"/>
                <w:szCs w:val="20"/>
              </w:rPr>
            </w:pPr>
            <w:r w:rsidRPr="00E448CD">
              <w:rPr>
                <w:rFonts w:ascii="Arial" w:hAnsi="Arial" w:cs="Arial"/>
                <w:sz w:val="20"/>
                <w:szCs w:val="20"/>
              </w:rPr>
              <w:t>FA3</w:t>
            </w:r>
          </w:p>
        </w:tc>
        <w:tc>
          <w:tcPr>
            <w:tcW w:w="1708" w:type="dxa"/>
          </w:tcPr>
          <w:p w14:paraId="62F56348"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7AEEACE6"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316BFB67"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16985E09"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5BC0D51A" w14:textId="77777777" w:rsidTr="000766C3">
        <w:tc>
          <w:tcPr>
            <w:tcW w:w="1502" w:type="dxa"/>
          </w:tcPr>
          <w:p w14:paraId="634CECF6" w14:textId="77777777" w:rsidR="00CE0EA3" w:rsidRPr="00E448CD" w:rsidRDefault="00CE0EA3" w:rsidP="000766C3">
            <w:pPr>
              <w:rPr>
                <w:rFonts w:ascii="Arial" w:hAnsi="Arial" w:cs="Arial"/>
                <w:sz w:val="20"/>
                <w:szCs w:val="20"/>
              </w:rPr>
            </w:pPr>
            <w:r w:rsidRPr="00E448CD">
              <w:rPr>
                <w:rFonts w:ascii="Arial" w:hAnsi="Arial" w:cs="Arial"/>
                <w:sz w:val="20"/>
                <w:szCs w:val="20"/>
              </w:rPr>
              <w:t>FA4</w:t>
            </w:r>
          </w:p>
        </w:tc>
        <w:tc>
          <w:tcPr>
            <w:tcW w:w="1708" w:type="dxa"/>
          </w:tcPr>
          <w:p w14:paraId="192B7E00"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348D774E"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3226B2BE"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11A400D6"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452AEB76" w14:textId="77777777" w:rsidTr="000766C3">
        <w:tc>
          <w:tcPr>
            <w:tcW w:w="1502" w:type="dxa"/>
          </w:tcPr>
          <w:p w14:paraId="0FBC2B9A" w14:textId="77777777" w:rsidR="00CE0EA3" w:rsidRPr="00E448CD" w:rsidRDefault="00CE0EA3" w:rsidP="000766C3">
            <w:pPr>
              <w:rPr>
                <w:rFonts w:ascii="Arial" w:hAnsi="Arial" w:cs="Arial"/>
                <w:sz w:val="20"/>
                <w:szCs w:val="20"/>
              </w:rPr>
            </w:pPr>
            <w:r w:rsidRPr="00E448CD">
              <w:rPr>
                <w:rFonts w:ascii="Arial" w:hAnsi="Arial" w:cs="Arial"/>
                <w:sz w:val="20"/>
                <w:szCs w:val="20"/>
              </w:rPr>
              <w:t>FA5</w:t>
            </w:r>
          </w:p>
        </w:tc>
        <w:tc>
          <w:tcPr>
            <w:tcW w:w="1708" w:type="dxa"/>
          </w:tcPr>
          <w:p w14:paraId="40E16EAA"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235F40AF"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184133A5"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18671204"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4981EFAE" w14:textId="77777777" w:rsidTr="000766C3">
        <w:tc>
          <w:tcPr>
            <w:tcW w:w="1502" w:type="dxa"/>
          </w:tcPr>
          <w:p w14:paraId="1A97D6B3" w14:textId="77777777" w:rsidR="00CE0EA3" w:rsidRPr="00E448CD" w:rsidRDefault="00CE0EA3" w:rsidP="000766C3">
            <w:pPr>
              <w:rPr>
                <w:rFonts w:ascii="Arial" w:hAnsi="Arial" w:cs="Arial"/>
                <w:sz w:val="20"/>
                <w:szCs w:val="20"/>
              </w:rPr>
            </w:pPr>
            <w:r w:rsidRPr="00E448CD">
              <w:rPr>
                <w:rFonts w:ascii="Arial" w:hAnsi="Arial" w:cs="Arial"/>
                <w:sz w:val="20"/>
                <w:szCs w:val="20"/>
              </w:rPr>
              <w:t>FA6</w:t>
            </w:r>
          </w:p>
        </w:tc>
        <w:tc>
          <w:tcPr>
            <w:tcW w:w="1708" w:type="dxa"/>
          </w:tcPr>
          <w:p w14:paraId="4E1459C8"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7DC535CE"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11AE0C1C"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5D1353C7"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4B98416A" w14:textId="77777777" w:rsidTr="000766C3">
        <w:tc>
          <w:tcPr>
            <w:tcW w:w="1502" w:type="dxa"/>
          </w:tcPr>
          <w:p w14:paraId="18D4BFC1" w14:textId="77777777" w:rsidR="00CE0EA3" w:rsidRPr="00E448CD" w:rsidRDefault="00CE0EA3" w:rsidP="000766C3">
            <w:pPr>
              <w:rPr>
                <w:rFonts w:ascii="Arial" w:hAnsi="Arial" w:cs="Arial"/>
                <w:sz w:val="20"/>
                <w:szCs w:val="20"/>
              </w:rPr>
            </w:pPr>
            <w:r w:rsidRPr="00E448CD">
              <w:rPr>
                <w:rFonts w:ascii="Arial" w:hAnsi="Arial" w:cs="Arial"/>
                <w:sz w:val="20"/>
                <w:szCs w:val="20"/>
              </w:rPr>
              <w:t>FA7</w:t>
            </w:r>
          </w:p>
        </w:tc>
        <w:tc>
          <w:tcPr>
            <w:tcW w:w="1708" w:type="dxa"/>
          </w:tcPr>
          <w:p w14:paraId="34CD04EA"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38424885"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61E4E30B"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24E6F6D6"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4654E0DA" w14:textId="77777777" w:rsidTr="000766C3">
        <w:tc>
          <w:tcPr>
            <w:tcW w:w="1502" w:type="dxa"/>
          </w:tcPr>
          <w:p w14:paraId="2B1258E6" w14:textId="77777777" w:rsidR="00CE0EA3" w:rsidRPr="00E448CD" w:rsidRDefault="00CE0EA3" w:rsidP="000766C3">
            <w:pPr>
              <w:rPr>
                <w:rFonts w:ascii="Arial" w:hAnsi="Arial" w:cs="Arial"/>
                <w:sz w:val="20"/>
                <w:szCs w:val="20"/>
              </w:rPr>
            </w:pPr>
            <w:r w:rsidRPr="00E448CD">
              <w:rPr>
                <w:rFonts w:ascii="Arial" w:hAnsi="Arial" w:cs="Arial"/>
                <w:sz w:val="20"/>
                <w:szCs w:val="20"/>
              </w:rPr>
              <w:t>FA8</w:t>
            </w:r>
          </w:p>
        </w:tc>
        <w:tc>
          <w:tcPr>
            <w:tcW w:w="1708" w:type="dxa"/>
          </w:tcPr>
          <w:p w14:paraId="79E93DC7"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03F3ED6A"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3FE7A132"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341FE304"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713B461B" w14:textId="77777777" w:rsidTr="000766C3">
        <w:tc>
          <w:tcPr>
            <w:tcW w:w="1502" w:type="dxa"/>
          </w:tcPr>
          <w:p w14:paraId="4142E137" w14:textId="77777777" w:rsidR="00CE0EA3" w:rsidRPr="00E448CD" w:rsidRDefault="00CE0EA3" w:rsidP="000766C3">
            <w:pPr>
              <w:rPr>
                <w:rFonts w:ascii="Arial" w:hAnsi="Arial" w:cs="Arial"/>
                <w:sz w:val="20"/>
                <w:szCs w:val="20"/>
              </w:rPr>
            </w:pPr>
            <w:r w:rsidRPr="00E448CD">
              <w:rPr>
                <w:rFonts w:ascii="Arial" w:hAnsi="Arial" w:cs="Arial"/>
                <w:sz w:val="20"/>
                <w:szCs w:val="20"/>
              </w:rPr>
              <w:t>FA9</w:t>
            </w:r>
          </w:p>
        </w:tc>
        <w:tc>
          <w:tcPr>
            <w:tcW w:w="1708" w:type="dxa"/>
          </w:tcPr>
          <w:p w14:paraId="3DC6C28A"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0D21ED85"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69A1C26F"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7DAD0239"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5BFA2FBF" w14:textId="77777777" w:rsidTr="000766C3">
        <w:tc>
          <w:tcPr>
            <w:tcW w:w="1502" w:type="dxa"/>
          </w:tcPr>
          <w:p w14:paraId="09FD6E53" w14:textId="77777777" w:rsidR="00CE0EA3" w:rsidRPr="00E448CD" w:rsidRDefault="00CE0EA3" w:rsidP="000766C3">
            <w:pPr>
              <w:rPr>
                <w:rFonts w:ascii="Arial" w:hAnsi="Arial" w:cs="Arial"/>
                <w:sz w:val="20"/>
                <w:szCs w:val="20"/>
              </w:rPr>
            </w:pPr>
            <w:r w:rsidRPr="00E448CD">
              <w:rPr>
                <w:rFonts w:ascii="Arial" w:hAnsi="Arial" w:cs="Arial"/>
                <w:sz w:val="20"/>
                <w:szCs w:val="20"/>
              </w:rPr>
              <w:t>FA10</w:t>
            </w:r>
          </w:p>
        </w:tc>
        <w:tc>
          <w:tcPr>
            <w:tcW w:w="1708" w:type="dxa"/>
          </w:tcPr>
          <w:p w14:paraId="5A7E2B03"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3544E928"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2FB17FEB"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478532C9"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01D04A4D" w14:textId="77777777" w:rsidTr="000766C3">
        <w:tc>
          <w:tcPr>
            <w:tcW w:w="1502" w:type="dxa"/>
          </w:tcPr>
          <w:p w14:paraId="28068D5A" w14:textId="77777777" w:rsidR="00CE0EA3" w:rsidRPr="00E448CD" w:rsidRDefault="00CE0EA3" w:rsidP="000766C3">
            <w:pPr>
              <w:rPr>
                <w:rFonts w:ascii="Arial" w:hAnsi="Arial" w:cs="Arial"/>
                <w:sz w:val="20"/>
                <w:szCs w:val="20"/>
              </w:rPr>
            </w:pPr>
            <w:r w:rsidRPr="00E448CD">
              <w:rPr>
                <w:rFonts w:ascii="Arial" w:hAnsi="Arial" w:cs="Arial"/>
                <w:sz w:val="20"/>
                <w:szCs w:val="20"/>
              </w:rPr>
              <w:t>FA11</w:t>
            </w:r>
          </w:p>
        </w:tc>
        <w:tc>
          <w:tcPr>
            <w:tcW w:w="1708" w:type="dxa"/>
          </w:tcPr>
          <w:p w14:paraId="1E697CCE"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4FE5ACC6"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3921FBC6"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67C4BE95"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4C2BE1A2" w14:textId="77777777" w:rsidTr="000766C3">
        <w:tc>
          <w:tcPr>
            <w:tcW w:w="1502" w:type="dxa"/>
          </w:tcPr>
          <w:p w14:paraId="2EBF1C3A" w14:textId="77777777" w:rsidR="00CE0EA3" w:rsidRPr="00E448CD" w:rsidRDefault="00CE0EA3" w:rsidP="000766C3">
            <w:pPr>
              <w:rPr>
                <w:rFonts w:ascii="Arial" w:hAnsi="Arial" w:cs="Arial"/>
                <w:sz w:val="20"/>
                <w:szCs w:val="20"/>
              </w:rPr>
            </w:pPr>
            <w:r w:rsidRPr="00E448CD">
              <w:rPr>
                <w:rFonts w:ascii="Arial" w:hAnsi="Arial" w:cs="Arial"/>
                <w:sz w:val="20"/>
                <w:szCs w:val="20"/>
              </w:rPr>
              <w:t>FA12</w:t>
            </w:r>
          </w:p>
        </w:tc>
        <w:tc>
          <w:tcPr>
            <w:tcW w:w="1708" w:type="dxa"/>
          </w:tcPr>
          <w:p w14:paraId="74AAB602"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541572DF"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55E4B080"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4153F006"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2E2A6B15" w14:textId="77777777" w:rsidTr="000766C3">
        <w:tc>
          <w:tcPr>
            <w:tcW w:w="1502" w:type="dxa"/>
          </w:tcPr>
          <w:p w14:paraId="4A7BDA52" w14:textId="77777777" w:rsidR="00CE0EA3" w:rsidRPr="00E448CD" w:rsidRDefault="00CE0EA3" w:rsidP="000766C3">
            <w:pPr>
              <w:rPr>
                <w:rFonts w:ascii="Arial" w:hAnsi="Arial" w:cs="Arial"/>
                <w:sz w:val="20"/>
                <w:szCs w:val="20"/>
              </w:rPr>
            </w:pPr>
            <w:r w:rsidRPr="00E448CD">
              <w:rPr>
                <w:rFonts w:ascii="Arial" w:hAnsi="Arial" w:cs="Arial"/>
                <w:sz w:val="20"/>
                <w:szCs w:val="20"/>
              </w:rPr>
              <w:t>FA13</w:t>
            </w:r>
          </w:p>
        </w:tc>
        <w:tc>
          <w:tcPr>
            <w:tcW w:w="1708" w:type="dxa"/>
          </w:tcPr>
          <w:p w14:paraId="0C7346CC" w14:textId="77777777" w:rsidR="00CE0EA3" w:rsidRPr="00E448CD" w:rsidRDefault="00CE0EA3" w:rsidP="000766C3">
            <w:pPr>
              <w:rPr>
                <w:rFonts w:ascii="Arial" w:hAnsi="Arial" w:cs="Arial"/>
                <w:sz w:val="20"/>
                <w:szCs w:val="20"/>
              </w:rPr>
            </w:pPr>
            <w:r w:rsidRPr="00E448CD">
              <w:rPr>
                <w:rFonts w:ascii="Arial" w:hAnsi="Arial" w:cs="Arial"/>
                <w:sz w:val="20"/>
                <w:szCs w:val="20"/>
              </w:rPr>
              <w:t>Non mutagen</w:t>
            </w:r>
          </w:p>
        </w:tc>
        <w:tc>
          <w:tcPr>
            <w:tcW w:w="1297" w:type="dxa"/>
          </w:tcPr>
          <w:p w14:paraId="3D6FACC4"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0043BEF0"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4200A799"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5BCC93B1" w14:textId="77777777" w:rsidTr="000766C3">
        <w:tc>
          <w:tcPr>
            <w:tcW w:w="1502" w:type="dxa"/>
          </w:tcPr>
          <w:p w14:paraId="2C5AC5F8" w14:textId="77777777" w:rsidR="00CE0EA3" w:rsidRPr="00E448CD" w:rsidRDefault="00CE0EA3" w:rsidP="000766C3">
            <w:pPr>
              <w:rPr>
                <w:rFonts w:ascii="Arial" w:hAnsi="Arial" w:cs="Arial"/>
                <w:sz w:val="20"/>
                <w:szCs w:val="20"/>
              </w:rPr>
            </w:pPr>
            <w:r w:rsidRPr="00E448CD">
              <w:rPr>
                <w:rFonts w:ascii="Arial" w:hAnsi="Arial" w:cs="Arial"/>
                <w:sz w:val="20"/>
                <w:szCs w:val="20"/>
              </w:rPr>
              <w:t>FA14</w:t>
            </w:r>
          </w:p>
        </w:tc>
        <w:tc>
          <w:tcPr>
            <w:tcW w:w="1708" w:type="dxa"/>
          </w:tcPr>
          <w:p w14:paraId="31697D8E"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37028ED9"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782EE1A3"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39931D01"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r w:rsidR="00CE0EA3" w:rsidRPr="00E448CD" w14:paraId="59A3C3F2" w14:textId="77777777" w:rsidTr="000766C3">
        <w:tc>
          <w:tcPr>
            <w:tcW w:w="1502" w:type="dxa"/>
          </w:tcPr>
          <w:p w14:paraId="524ACF75" w14:textId="77777777" w:rsidR="00CE0EA3" w:rsidRPr="00E448CD" w:rsidRDefault="00CE0EA3" w:rsidP="000766C3">
            <w:pPr>
              <w:rPr>
                <w:rFonts w:ascii="Arial" w:hAnsi="Arial" w:cs="Arial"/>
                <w:sz w:val="20"/>
                <w:szCs w:val="20"/>
              </w:rPr>
            </w:pPr>
            <w:r w:rsidRPr="00E448CD">
              <w:rPr>
                <w:rFonts w:ascii="Arial" w:hAnsi="Arial" w:cs="Arial"/>
                <w:sz w:val="20"/>
                <w:szCs w:val="20"/>
              </w:rPr>
              <w:t>FA15</w:t>
            </w:r>
          </w:p>
        </w:tc>
        <w:tc>
          <w:tcPr>
            <w:tcW w:w="1708" w:type="dxa"/>
          </w:tcPr>
          <w:p w14:paraId="1B059366" w14:textId="77777777" w:rsidR="00CE0EA3" w:rsidRPr="00E448CD" w:rsidRDefault="00CE0EA3" w:rsidP="000766C3">
            <w:pPr>
              <w:rPr>
                <w:rFonts w:ascii="Arial" w:hAnsi="Arial" w:cs="Arial"/>
                <w:sz w:val="20"/>
                <w:szCs w:val="20"/>
              </w:rPr>
            </w:pPr>
            <w:r w:rsidRPr="00E448CD">
              <w:rPr>
                <w:rFonts w:ascii="Arial" w:hAnsi="Arial" w:cs="Arial"/>
                <w:sz w:val="20"/>
                <w:szCs w:val="20"/>
              </w:rPr>
              <w:t>mutagen</w:t>
            </w:r>
          </w:p>
        </w:tc>
        <w:tc>
          <w:tcPr>
            <w:tcW w:w="1297" w:type="dxa"/>
          </w:tcPr>
          <w:p w14:paraId="3FF46601"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1DFA05D0" w14:textId="77777777" w:rsidR="00CE0EA3" w:rsidRPr="00E448CD" w:rsidRDefault="00CE0EA3" w:rsidP="000766C3">
            <w:pPr>
              <w:rPr>
                <w:rFonts w:ascii="Arial" w:hAnsi="Arial" w:cs="Arial"/>
                <w:sz w:val="20"/>
                <w:szCs w:val="20"/>
              </w:rPr>
            </w:pPr>
            <w:r w:rsidRPr="00E448CD">
              <w:rPr>
                <w:rFonts w:ascii="Arial" w:hAnsi="Arial" w:cs="Arial"/>
                <w:sz w:val="20"/>
                <w:szCs w:val="20"/>
              </w:rPr>
              <w:t>+</w:t>
            </w:r>
            <w:proofErr w:type="spellStart"/>
            <w:r w:rsidRPr="00E448CD">
              <w:rPr>
                <w:rFonts w:ascii="Arial" w:hAnsi="Arial" w:cs="Arial"/>
                <w:sz w:val="20"/>
                <w:szCs w:val="20"/>
              </w:rPr>
              <w:t>ve</w:t>
            </w:r>
            <w:proofErr w:type="spellEnd"/>
          </w:p>
        </w:tc>
        <w:tc>
          <w:tcPr>
            <w:tcW w:w="1503" w:type="dxa"/>
          </w:tcPr>
          <w:p w14:paraId="1BBDC10D" w14:textId="77777777" w:rsidR="00CE0EA3" w:rsidRPr="00E448CD" w:rsidRDefault="00CE0EA3" w:rsidP="000766C3">
            <w:pPr>
              <w:rPr>
                <w:rFonts w:ascii="Arial" w:hAnsi="Arial" w:cs="Arial"/>
                <w:sz w:val="20"/>
                <w:szCs w:val="20"/>
              </w:rPr>
            </w:pPr>
            <w:r w:rsidRPr="00E448CD">
              <w:rPr>
                <w:rFonts w:ascii="Arial" w:hAnsi="Arial" w:cs="Arial"/>
                <w:sz w:val="20"/>
                <w:szCs w:val="20"/>
              </w:rPr>
              <w:t>Medium risk</w:t>
            </w:r>
          </w:p>
        </w:tc>
      </w:tr>
    </w:tbl>
    <w:p w14:paraId="7AA10BE7" w14:textId="77777777" w:rsidR="00E5380E" w:rsidRPr="00E448CD" w:rsidRDefault="00E5380E" w:rsidP="00207BFC">
      <w:pPr>
        <w:jc w:val="both"/>
        <w:rPr>
          <w:rFonts w:ascii="Arial" w:hAnsi="Arial" w:cs="Arial"/>
          <w:color w:val="EE0000"/>
          <w:sz w:val="20"/>
          <w:szCs w:val="20"/>
        </w:rPr>
      </w:pPr>
    </w:p>
    <w:p w14:paraId="0F5299D4" w14:textId="77777777" w:rsidR="007A0405" w:rsidRPr="00E448CD" w:rsidRDefault="007A0405" w:rsidP="00104377">
      <w:pPr>
        <w:jc w:val="both"/>
        <w:rPr>
          <w:rFonts w:ascii="Arial" w:hAnsi="Arial" w:cs="Arial"/>
          <w:sz w:val="20"/>
          <w:szCs w:val="20"/>
        </w:rPr>
      </w:pPr>
    </w:p>
    <w:p w14:paraId="6EE405B2" w14:textId="77777777" w:rsidR="007B169B" w:rsidRPr="00E448CD" w:rsidRDefault="007B169B" w:rsidP="007C71D9">
      <w:pPr>
        <w:jc w:val="both"/>
        <w:rPr>
          <w:rFonts w:ascii="Arial" w:hAnsi="Arial" w:cs="Arial"/>
          <w:sz w:val="20"/>
          <w:szCs w:val="20"/>
        </w:rPr>
      </w:pPr>
    </w:p>
    <w:p w14:paraId="3CBB79E5" w14:textId="77777777" w:rsidR="007C71D9" w:rsidRPr="00E448CD" w:rsidRDefault="007C71D9" w:rsidP="007C71D9">
      <w:pPr>
        <w:jc w:val="both"/>
        <w:rPr>
          <w:rFonts w:ascii="Arial" w:hAnsi="Arial" w:cs="Arial"/>
          <w:sz w:val="20"/>
          <w:szCs w:val="20"/>
        </w:rPr>
      </w:pPr>
    </w:p>
    <w:p w14:paraId="7F402652" w14:textId="77777777" w:rsidR="000E0E9B" w:rsidRPr="00E448CD" w:rsidRDefault="000E0E9B" w:rsidP="00203682">
      <w:pPr>
        <w:jc w:val="both"/>
        <w:rPr>
          <w:rFonts w:ascii="Arial" w:hAnsi="Arial" w:cs="Arial"/>
          <w:sz w:val="20"/>
          <w:szCs w:val="20"/>
        </w:rPr>
      </w:pPr>
    </w:p>
    <w:p w14:paraId="5B0B19B7" w14:textId="77777777" w:rsidR="00277457" w:rsidRPr="00E448CD" w:rsidRDefault="00277457" w:rsidP="007E57C8">
      <w:pPr>
        <w:jc w:val="both"/>
        <w:rPr>
          <w:rFonts w:ascii="Arial" w:hAnsi="Arial" w:cs="Arial"/>
          <w:sz w:val="20"/>
          <w:szCs w:val="20"/>
        </w:rPr>
      </w:pPr>
    </w:p>
    <w:p w14:paraId="53E65A1F" w14:textId="77777777" w:rsidR="000D4F26" w:rsidRPr="00E448CD" w:rsidRDefault="000D4F26" w:rsidP="00896930">
      <w:pPr>
        <w:jc w:val="both"/>
        <w:rPr>
          <w:rFonts w:ascii="Arial" w:hAnsi="Arial" w:cs="Arial"/>
          <w:b/>
          <w:bCs/>
          <w:sz w:val="20"/>
          <w:szCs w:val="20"/>
        </w:rPr>
      </w:pPr>
    </w:p>
    <w:p w14:paraId="471C2C88" w14:textId="77777777" w:rsidR="000D4F26" w:rsidRPr="00E448CD" w:rsidRDefault="000D4F26" w:rsidP="00896930">
      <w:pPr>
        <w:jc w:val="both"/>
        <w:rPr>
          <w:rFonts w:ascii="Arial" w:hAnsi="Arial" w:cs="Arial"/>
          <w:b/>
          <w:bCs/>
          <w:sz w:val="20"/>
          <w:szCs w:val="20"/>
        </w:rPr>
      </w:pPr>
    </w:p>
    <w:p w14:paraId="1EE52C02" w14:textId="77777777" w:rsidR="00A43C26" w:rsidRPr="00E448CD" w:rsidRDefault="00A43C26" w:rsidP="00896930">
      <w:pPr>
        <w:jc w:val="both"/>
        <w:rPr>
          <w:rFonts w:ascii="Arial" w:hAnsi="Arial" w:cs="Arial"/>
          <w:b/>
          <w:bCs/>
          <w:sz w:val="20"/>
          <w:szCs w:val="20"/>
        </w:rPr>
      </w:pPr>
    </w:p>
    <w:p w14:paraId="58D610F5" w14:textId="77777777" w:rsidR="00A43C26" w:rsidRPr="00E448CD" w:rsidRDefault="00A43C26" w:rsidP="00896930">
      <w:pPr>
        <w:jc w:val="both"/>
        <w:rPr>
          <w:rFonts w:ascii="Arial" w:hAnsi="Arial" w:cs="Arial"/>
          <w:b/>
          <w:bCs/>
          <w:sz w:val="20"/>
          <w:szCs w:val="20"/>
        </w:rPr>
      </w:pPr>
    </w:p>
    <w:p w14:paraId="275564BE" w14:textId="77777777" w:rsidR="00A43C26" w:rsidRPr="00E448CD" w:rsidRDefault="00A43C26" w:rsidP="00896930">
      <w:pPr>
        <w:jc w:val="both"/>
        <w:rPr>
          <w:rFonts w:ascii="Arial" w:hAnsi="Arial" w:cs="Arial"/>
          <w:b/>
          <w:bCs/>
          <w:sz w:val="20"/>
          <w:szCs w:val="20"/>
        </w:rPr>
      </w:pPr>
    </w:p>
    <w:p w14:paraId="1206896B" w14:textId="77777777" w:rsidR="00A43C26" w:rsidRPr="00E448CD" w:rsidRDefault="00A43C26" w:rsidP="00896930">
      <w:pPr>
        <w:jc w:val="both"/>
        <w:rPr>
          <w:rFonts w:ascii="Arial" w:hAnsi="Arial" w:cs="Arial"/>
          <w:b/>
          <w:bCs/>
          <w:sz w:val="20"/>
          <w:szCs w:val="20"/>
        </w:rPr>
      </w:pPr>
    </w:p>
    <w:p w14:paraId="1FD290C9" w14:textId="77777777" w:rsidR="00896930" w:rsidRPr="00E448CD" w:rsidRDefault="00896930" w:rsidP="00896930">
      <w:pPr>
        <w:jc w:val="both"/>
        <w:rPr>
          <w:rFonts w:ascii="Arial" w:hAnsi="Arial" w:cs="Arial"/>
          <w:b/>
          <w:bCs/>
          <w:sz w:val="20"/>
          <w:szCs w:val="20"/>
        </w:rPr>
      </w:pPr>
      <w:r w:rsidRPr="00E448CD">
        <w:rPr>
          <w:rFonts w:ascii="Arial" w:hAnsi="Arial" w:cs="Arial"/>
          <w:b/>
          <w:bCs/>
          <w:sz w:val="20"/>
          <w:szCs w:val="20"/>
        </w:rPr>
        <w:t xml:space="preserve">Result of Drug likeness properties of designed derivatives of </w:t>
      </w:r>
      <w:r w:rsidR="000D4F26" w:rsidRPr="00E448CD">
        <w:rPr>
          <w:rFonts w:ascii="Arial" w:hAnsi="Arial" w:cs="Arial"/>
          <w:b/>
          <w:sz w:val="20"/>
          <w:szCs w:val="20"/>
          <w:shd w:val="clear" w:color="auto" w:fill="FFFFFF"/>
        </w:rPr>
        <w:t>4-hydroxy-3-methoxycinnamic acid</w:t>
      </w:r>
      <w:r w:rsidRPr="00E448CD">
        <w:rPr>
          <w:rFonts w:ascii="Arial" w:hAnsi="Arial" w:cs="Arial"/>
          <w:b/>
          <w:bCs/>
          <w:sz w:val="20"/>
          <w:szCs w:val="20"/>
        </w:rPr>
        <w:t>:</w:t>
      </w:r>
    </w:p>
    <w:p w14:paraId="6C092A5C" w14:textId="77777777" w:rsidR="00896930" w:rsidRPr="00E448CD" w:rsidRDefault="00896930" w:rsidP="00896930">
      <w:pPr>
        <w:jc w:val="both"/>
        <w:rPr>
          <w:rFonts w:ascii="Arial" w:hAnsi="Arial" w:cs="Arial"/>
          <w:b/>
          <w:sz w:val="20"/>
          <w:szCs w:val="20"/>
        </w:rPr>
      </w:pPr>
      <w:r w:rsidRPr="00E448CD">
        <w:rPr>
          <w:rFonts w:ascii="Arial" w:hAnsi="Arial" w:cs="Arial"/>
          <w:b/>
          <w:bCs/>
          <w:sz w:val="20"/>
          <w:szCs w:val="20"/>
        </w:rPr>
        <w:t>T</w:t>
      </w:r>
      <w:r w:rsidRPr="00E448CD">
        <w:rPr>
          <w:rFonts w:ascii="Arial" w:hAnsi="Arial" w:cs="Arial"/>
          <w:b/>
          <w:sz w:val="20"/>
          <w:szCs w:val="20"/>
        </w:rPr>
        <w:t xml:space="preserve">able </w:t>
      </w:r>
      <w:r w:rsidR="00A43C26" w:rsidRPr="00E448CD">
        <w:rPr>
          <w:rFonts w:ascii="Arial" w:hAnsi="Arial" w:cs="Arial"/>
          <w:b/>
          <w:sz w:val="20"/>
          <w:szCs w:val="20"/>
        </w:rPr>
        <w:t>5</w:t>
      </w:r>
      <w:r w:rsidRPr="00E448CD">
        <w:rPr>
          <w:rFonts w:ascii="Arial" w:hAnsi="Arial" w:cs="Arial"/>
          <w:b/>
          <w:sz w:val="20"/>
          <w:szCs w:val="20"/>
        </w:rPr>
        <w:t>: Result of Molecular Properties using online program (Molinspiration)</w:t>
      </w:r>
    </w:p>
    <w:tbl>
      <w:tblPr>
        <w:tblStyle w:val="TableGrid"/>
        <w:tblW w:w="0" w:type="auto"/>
        <w:tblLayout w:type="fixed"/>
        <w:tblLook w:val="04A0" w:firstRow="1" w:lastRow="0" w:firstColumn="1" w:lastColumn="0" w:noHBand="0" w:noVBand="1"/>
      </w:tblPr>
      <w:tblGrid>
        <w:gridCol w:w="846"/>
        <w:gridCol w:w="709"/>
        <w:gridCol w:w="992"/>
        <w:gridCol w:w="479"/>
        <w:gridCol w:w="1061"/>
        <w:gridCol w:w="617"/>
        <w:gridCol w:w="890"/>
        <w:gridCol w:w="1182"/>
        <w:gridCol w:w="449"/>
        <w:gridCol w:w="992"/>
      </w:tblGrid>
      <w:tr w:rsidR="003868B4" w:rsidRPr="00E448CD" w14:paraId="0FE26AD0" w14:textId="77777777" w:rsidTr="003868B4">
        <w:tc>
          <w:tcPr>
            <w:tcW w:w="846" w:type="dxa"/>
          </w:tcPr>
          <w:p w14:paraId="36AB063B" w14:textId="77777777" w:rsidR="003868B4" w:rsidRPr="00E448CD" w:rsidRDefault="003868B4" w:rsidP="003868B4">
            <w:pPr>
              <w:rPr>
                <w:rFonts w:ascii="Arial" w:hAnsi="Arial" w:cs="Arial"/>
                <w:sz w:val="20"/>
                <w:szCs w:val="20"/>
              </w:rPr>
            </w:pPr>
            <w:r w:rsidRPr="00E448CD">
              <w:rPr>
                <w:rFonts w:ascii="Arial" w:hAnsi="Arial" w:cs="Arial"/>
                <w:sz w:val="20"/>
                <w:szCs w:val="20"/>
              </w:rPr>
              <w:br w:type="page"/>
            </w:r>
            <w:r w:rsidRPr="00E448CD">
              <w:rPr>
                <w:rFonts w:ascii="Arial" w:hAnsi="Arial" w:cs="Arial"/>
                <w:b/>
                <w:bCs/>
                <w:sz w:val="20"/>
                <w:szCs w:val="20"/>
              </w:rPr>
              <w:t>code</w:t>
            </w:r>
          </w:p>
        </w:tc>
        <w:tc>
          <w:tcPr>
            <w:tcW w:w="709" w:type="dxa"/>
          </w:tcPr>
          <w:p w14:paraId="5A1AD42F" w14:textId="77777777" w:rsidR="003868B4" w:rsidRPr="00E448CD" w:rsidRDefault="003868B4" w:rsidP="003868B4">
            <w:pPr>
              <w:rPr>
                <w:rFonts w:ascii="Arial" w:hAnsi="Arial" w:cs="Arial"/>
                <w:sz w:val="20"/>
                <w:szCs w:val="20"/>
              </w:rPr>
            </w:pPr>
            <w:proofErr w:type="spellStart"/>
            <w:r w:rsidRPr="00E448CD">
              <w:rPr>
                <w:rFonts w:ascii="Arial" w:hAnsi="Arial" w:cs="Arial"/>
                <w:b/>
                <w:bCs/>
                <w:sz w:val="20"/>
                <w:szCs w:val="20"/>
              </w:rPr>
              <w:t>miLogP</w:t>
            </w:r>
            <w:proofErr w:type="spellEnd"/>
          </w:p>
        </w:tc>
        <w:tc>
          <w:tcPr>
            <w:tcW w:w="992" w:type="dxa"/>
          </w:tcPr>
          <w:p w14:paraId="524AE53E" w14:textId="77777777" w:rsidR="003868B4" w:rsidRPr="00E448CD" w:rsidRDefault="003868B4" w:rsidP="003868B4">
            <w:pPr>
              <w:rPr>
                <w:rFonts w:ascii="Arial" w:hAnsi="Arial" w:cs="Arial"/>
                <w:sz w:val="20"/>
                <w:szCs w:val="20"/>
              </w:rPr>
            </w:pPr>
            <w:r w:rsidRPr="00E448CD">
              <w:rPr>
                <w:rFonts w:ascii="Arial" w:hAnsi="Arial" w:cs="Arial"/>
                <w:b/>
                <w:bCs/>
                <w:sz w:val="20"/>
                <w:szCs w:val="20"/>
              </w:rPr>
              <w:t>TPSA</w:t>
            </w:r>
          </w:p>
        </w:tc>
        <w:tc>
          <w:tcPr>
            <w:tcW w:w="479" w:type="dxa"/>
          </w:tcPr>
          <w:p w14:paraId="1E495105" w14:textId="77777777" w:rsidR="003868B4" w:rsidRPr="00E448CD" w:rsidRDefault="003868B4" w:rsidP="003868B4">
            <w:pPr>
              <w:rPr>
                <w:rFonts w:ascii="Arial" w:hAnsi="Arial" w:cs="Arial"/>
                <w:sz w:val="20"/>
                <w:szCs w:val="20"/>
              </w:rPr>
            </w:pPr>
            <w:proofErr w:type="spellStart"/>
            <w:r w:rsidRPr="00E448CD">
              <w:rPr>
                <w:rFonts w:ascii="Arial" w:hAnsi="Arial" w:cs="Arial"/>
                <w:b/>
                <w:bCs/>
                <w:sz w:val="20"/>
                <w:szCs w:val="20"/>
              </w:rPr>
              <w:t>natom</w:t>
            </w:r>
            <w:r w:rsidRPr="00E448CD">
              <w:rPr>
                <w:rFonts w:ascii="Arial" w:hAnsi="Arial" w:cs="Arial"/>
                <w:b/>
                <w:bCs/>
                <w:sz w:val="20"/>
                <w:szCs w:val="20"/>
              </w:rPr>
              <w:lastRenderedPageBreak/>
              <w:t>s</w:t>
            </w:r>
            <w:proofErr w:type="spellEnd"/>
          </w:p>
        </w:tc>
        <w:tc>
          <w:tcPr>
            <w:tcW w:w="1061" w:type="dxa"/>
          </w:tcPr>
          <w:p w14:paraId="7DB5E9F4" w14:textId="77777777" w:rsidR="003868B4" w:rsidRPr="00E448CD" w:rsidRDefault="003868B4" w:rsidP="003868B4">
            <w:pPr>
              <w:rPr>
                <w:rFonts w:ascii="Arial" w:hAnsi="Arial" w:cs="Arial"/>
                <w:sz w:val="20"/>
                <w:szCs w:val="20"/>
              </w:rPr>
            </w:pPr>
            <w:r w:rsidRPr="00E448CD">
              <w:rPr>
                <w:rFonts w:ascii="Arial" w:hAnsi="Arial" w:cs="Arial"/>
                <w:b/>
                <w:bCs/>
                <w:sz w:val="20"/>
                <w:szCs w:val="20"/>
              </w:rPr>
              <w:lastRenderedPageBreak/>
              <w:t>MW</w:t>
            </w:r>
          </w:p>
        </w:tc>
        <w:tc>
          <w:tcPr>
            <w:tcW w:w="617" w:type="dxa"/>
          </w:tcPr>
          <w:p w14:paraId="46DD3E3C" w14:textId="77777777" w:rsidR="003868B4" w:rsidRPr="00E448CD" w:rsidRDefault="003868B4" w:rsidP="003868B4">
            <w:pPr>
              <w:rPr>
                <w:rFonts w:ascii="Arial" w:hAnsi="Arial" w:cs="Arial"/>
                <w:sz w:val="20"/>
                <w:szCs w:val="20"/>
              </w:rPr>
            </w:pPr>
            <w:proofErr w:type="spellStart"/>
            <w:r w:rsidRPr="00E448CD">
              <w:rPr>
                <w:rFonts w:ascii="Arial" w:hAnsi="Arial" w:cs="Arial"/>
                <w:b/>
                <w:bCs/>
                <w:sz w:val="20"/>
                <w:szCs w:val="20"/>
              </w:rPr>
              <w:t>nON</w:t>
            </w:r>
            <w:proofErr w:type="spellEnd"/>
          </w:p>
        </w:tc>
        <w:tc>
          <w:tcPr>
            <w:tcW w:w="890" w:type="dxa"/>
          </w:tcPr>
          <w:p w14:paraId="30A962BB" w14:textId="77777777" w:rsidR="003868B4" w:rsidRPr="00E448CD" w:rsidRDefault="003868B4" w:rsidP="003868B4">
            <w:pPr>
              <w:rPr>
                <w:rFonts w:ascii="Arial" w:hAnsi="Arial" w:cs="Arial"/>
                <w:sz w:val="20"/>
                <w:szCs w:val="20"/>
              </w:rPr>
            </w:pPr>
            <w:proofErr w:type="spellStart"/>
            <w:r w:rsidRPr="00E448CD">
              <w:rPr>
                <w:rFonts w:ascii="Arial" w:hAnsi="Arial" w:cs="Arial"/>
                <w:b/>
                <w:bCs/>
                <w:sz w:val="20"/>
                <w:szCs w:val="20"/>
              </w:rPr>
              <w:t>nOHNH</w:t>
            </w:r>
            <w:proofErr w:type="spellEnd"/>
          </w:p>
        </w:tc>
        <w:tc>
          <w:tcPr>
            <w:tcW w:w="1182" w:type="dxa"/>
          </w:tcPr>
          <w:p w14:paraId="6D3D7F17" w14:textId="77777777" w:rsidR="003868B4" w:rsidRPr="00E448CD" w:rsidRDefault="003868B4" w:rsidP="003868B4">
            <w:pPr>
              <w:rPr>
                <w:rFonts w:ascii="Arial" w:hAnsi="Arial" w:cs="Arial"/>
                <w:sz w:val="20"/>
                <w:szCs w:val="20"/>
              </w:rPr>
            </w:pPr>
            <w:proofErr w:type="spellStart"/>
            <w:r w:rsidRPr="00E448CD">
              <w:rPr>
                <w:rFonts w:ascii="Arial" w:hAnsi="Arial" w:cs="Arial"/>
                <w:b/>
                <w:bCs/>
                <w:sz w:val="20"/>
                <w:szCs w:val="20"/>
              </w:rPr>
              <w:t>nviolations</w:t>
            </w:r>
            <w:proofErr w:type="spellEnd"/>
          </w:p>
        </w:tc>
        <w:tc>
          <w:tcPr>
            <w:tcW w:w="449" w:type="dxa"/>
          </w:tcPr>
          <w:p w14:paraId="6B41896B" w14:textId="77777777" w:rsidR="003868B4" w:rsidRPr="00E448CD" w:rsidRDefault="003868B4" w:rsidP="003868B4">
            <w:pPr>
              <w:rPr>
                <w:rFonts w:ascii="Arial" w:hAnsi="Arial" w:cs="Arial"/>
                <w:sz w:val="20"/>
                <w:szCs w:val="20"/>
              </w:rPr>
            </w:pPr>
            <w:proofErr w:type="spellStart"/>
            <w:r w:rsidRPr="00E448CD">
              <w:rPr>
                <w:rFonts w:ascii="Arial" w:hAnsi="Arial" w:cs="Arial"/>
                <w:b/>
                <w:bCs/>
                <w:sz w:val="20"/>
                <w:szCs w:val="20"/>
              </w:rPr>
              <w:t>nrotb</w:t>
            </w:r>
            <w:proofErr w:type="spellEnd"/>
          </w:p>
        </w:tc>
        <w:tc>
          <w:tcPr>
            <w:tcW w:w="992" w:type="dxa"/>
          </w:tcPr>
          <w:p w14:paraId="4C41B5A5" w14:textId="77777777" w:rsidR="003868B4" w:rsidRPr="00E448CD" w:rsidRDefault="003868B4" w:rsidP="003868B4">
            <w:pPr>
              <w:rPr>
                <w:rFonts w:ascii="Arial" w:hAnsi="Arial" w:cs="Arial"/>
                <w:sz w:val="20"/>
                <w:szCs w:val="20"/>
              </w:rPr>
            </w:pPr>
            <w:r w:rsidRPr="00E448CD">
              <w:rPr>
                <w:rFonts w:ascii="Arial" w:hAnsi="Arial" w:cs="Arial"/>
                <w:b/>
                <w:bCs/>
                <w:sz w:val="20"/>
                <w:szCs w:val="20"/>
              </w:rPr>
              <w:t>volume</w:t>
            </w:r>
          </w:p>
        </w:tc>
      </w:tr>
      <w:tr w:rsidR="00042625" w:rsidRPr="00E448CD" w14:paraId="40EEE50C" w14:textId="77777777" w:rsidTr="003868B4">
        <w:tc>
          <w:tcPr>
            <w:tcW w:w="846" w:type="dxa"/>
          </w:tcPr>
          <w:p w14:paraId="7C28684E" w14:textId="77777777" w:rsidR="00042625" w:rsidRPr="00E448CD" w:rsidRDefault="00042625" w:rsidP="000766C3">
            <w:pPr>
              <w:rPr>
                <w:rFonts w:ascii="Arial" w:hAnsi="Arial" w:cs="Arial"/>
                <w:sz w:val="20"/>
                <w:szCs w:val="20"/>
              </w:rPr>
            </w:pPr>
            <w:r w:rsidRPr="00E448CD">
              <w:rPr>
                <w:rFonts w:ascii="Arial" w:hAnsi="Arial" w:cs="Arial"/>
                <w:sz w:val="20"/>
                <w:szCs w:val="20"/>
              </w:rPr>
              <w:t>FA1</w:t>
            </w:r>
          </w:p>
        </w:tc>
        <w:tc>
          <w:tcPr>
            <w:tcW w:w="709" w:type="dxa"/>
          </w:tcPr>
          <w:p w14:paraId="353661C3" w14:textId="77777777" w:rsidR="00042625" w:rsidRPr="00E448CD" w:rsidRDefault="00042625" w:rsidP="000766C3">
            <w:pPr>
              <w:rPr>
                <w:rFonts w:ascii="Arial" w:hAnsi="Arial" w:cs="Arial"/>
                <w:sz w:val="20"/>
                <w:szCs w:val="20"/>
              </w:rPr>
            </w:pPr>
            <w:r w:rsidRPr="00E448CD">
              <w:rPr>
                <w:rFonts w:ascii="Arial" w:hAnsi="Arial" w:cs="Arial"/>
                <w:sz w:val="20"/>
                <w:szCs w:val="20"/>
              </w:rPr>
              <w:t>2.36</w:t>
            </w:r>
          </w:p>
        </w:tc>
        <w:tc>
          <w:tcPr>
            <w:tcW w:w="992" w:type="dxa"/>
          </w:tcPr>
          <w:p w14:paraId="02513F33" w14:textId="77777777" w:rsidR="00042625" w:rsidRPr="00E448CD" w:rsidRDefault="00042625" w:rsidP="000766C3">
            <w:pPr>
              <w:rPr>
                <w:rFonts w:ascii="Arial" w:hAnsi="Arial" w:cs="Arial"/>
                <w:sz w:val="20"/>
                <w:szCs w:val="20"/>
              </w:rPr>
            </w:pPr>
            <w:r w:rsidRPr="00E448CD">
              <w:rPr>
                <w:rFonts w:ascii="Arial" w:hAnsi="Arial" w:cs="Arial"/>
                <w:sz w:val="20"/>
                <w:szCs w:val="20"/>
              </w:rPr>
              <w:t>71.45</w:t>
            </w:r>
          </w:p>
        </w:tc>
        <w:tc>
          <w:tcPr>
            <w:tcW w:w="479" w:type="dxa"/>
          </w:tcPr>
          <w:p w14:paraId="01F23457" w14:textId="77777777" w:rsidR="00042625" w:rsidRPr="00E448CD" w:rsidRDefault="00042625" w:rsidP="000766C3">
            <w:pPr>
              <w:rPr>
                <w:rFonts w:ascii="Arial" w:hAnsi="Arial" w:cs="Arial"/>
                <w:sz w:val="20"/>
                <w:szCs w:val="20"/>
              </w:rPr>
            </w:pPr>
            <w:r w:rsidRPr="00E448CD">
              <w:rPr>
                <w:rFonts w:ascii="Arial" w:hAnsi="Arial" w:cs="Arial"/>
                <w:sz w:val="20"/>
                <w:szCs w:val="20"/>
              </w:rPr>
              <w:t>21</w:t>
            </w:r>
          </w:p>
        </w:tc>
        <w:tc>
          <w:tcPr>
            <w:tcW w:w="1061" w:type="dxa"/>
          </w:tcPr>
          <w:p w14:paraId="43CE928C" w14:textId="77777777" w:rsidR="00042625" w:rsidRPr="00E448CD" w:rsidRDefault="00042625" w:rsidP="000766C3">
            <w:pPr>
              <w:rPr>
                <w:rFonts w:ascii="Arial" w:hAnsi="Arial" w:cs="Arial"/>
                <w:sz w:val="20"/>
                <w:szCs w:val="20"/>
              </w:rPr>
            </w:pPr>
            <w:r w:rsidRPr="00E448CD">
              <w:rPr>
                <w:rFonts w:ascii="Arial" w:hAnsi="Arial" w:cs="Arial"/>
                <w:sz w:val="20"/>
                <w:szCs w:val="20"/>
              </w:rPr>
              <w:t>284.31</w:t>
            </w:r>
          </w:p>
        </w:tc>
        <w:tc>
          <w:tcPr>
            <w:tcW w:w="617" w:type="dxa"/>
          </w:tcPr>
          <w:p w14:paraId="66D8E463"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890" w:type="dxa"/>
          </w:tcPr>
          <w:p w14:paraId="29BE92DE"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0F150D84"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35B443A4"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992" w:type="dxa"/>
          </w:tcPr>
          <w:p w14:paraId="5F93B761" w14:textId="77777777" w:rsidR="00042625" w:rsidRPr="00E448CD" w:rsidRDefault="00042625" w:rsidP="000766C3">
            <w:pPr>
              <w:rPr>
                <w:rFonts w:ascii="Arial" w:hAnsi="Arial" w:cs="Arial"/>
                <w:sz w:val="20"/>
                <w:szCs w:val="20"/>
              </w:rPr>
            </w:pPr>
            <w:r w:rsidRPr="00E448CD">
              <w:rPr>
                <w:rFonts w:ascii="Arial" w:hAnsi="Arial" w:cs="Arial"/>
                <w:sz w:val="20"/>
                <w:szCs w:val="20"/>
              </w:rPr>
              <w:t>260.22</w:t>
            </w:r>
          </w:p>
        </w:tc>
      </w:tr>
      <w:tr w:rsidR="00042625" w:rsidRPr="00E448CD" w14:paraId="4D00F2BF" w14:textId="77777777" w:rsidTr="003868B4">
        <w:tc>
          <w:tcPr>
            <w:tcW w:w="846" w:type="dxa"/>
          </w:tcPr>
          <w:p w14:paraId="27D5CAE9" w14:textId="77777777" w:rsidR="00042625" w:rsidRPr="00E448CD" w:rsidRDefault="00042625" w:rsidP="000766C3">
            <w:pPr>
              <w:rPr>
                <w:rFonts w:ascii="Arial" w:hAnsi="Arial" w:cs="Arial"/>
                <w:sz w:val="20"/>
                <w:szCs w:val="20"/>
              </w:rPr>
            </w:pPr>
            <w:r w:rsidRPr="00E448CD">
              <w:rPr>
                <w:rFonts w:ascii="Arial" w:hAnsi="Arial" w:cs="Arial"/>
                <w:sz w:val="20"/>
                <w:szCs w:val="20"/>
              </w:rPr>
              <w:t>FA2</w:t>
            </w:r>
          </w:p>
        </w:tc>
        <w:tc>
          <w:tcPr>
            <w:tcW w:w="709" w:type="dxa"/>
          </w:tcPr>
          <w:p w14:paraId="4FD62668" w14:textId="77777777" w:rsidR="00042625" w:rsidRPr="00E448CD" w:rsidRDefault="00042625" w:rsidP="000766C3">
            <w:pPr>
              <w:rPr>
                <w:rFonts w:ascii="Arial" w:hAnsi="Arial" w:cs="Arial"/>
                <w:sz w:val="20"/>
                <w:szCs w:val="20"/>
              </w:rPr>
            </w:pPr>
            <w:r w:rsidRPr="00E448CD">
              <w:rPr>
                <w:rFonts w:ascii="Arial" w:hAnsi="Arial" w:cs="Arial"/>
                <w:sz w:val="20"/>
                <w:szCs w:val="20"/>
              </w:rPr>
              <w:t>1.96</w:t>
            </w:r>
          </w:p>
        </w:tc>
        <w:tc>
          <w:tcPr>
            <w:tcW w:w="992" w:type="dxa"/>
          </w:tcPr>
          <w:p w14:paraId="658C54D9" w14:textId="77777777" w:rsidR="00042625" w:rsidRPr="00E448CD" w:rsidRDefault="00042625" w:rsidP="000766C3">
            <w:pPr>
              <w:rPr>
                <w:rFonts w:ascii="Arial" w:hAnsi="Arial" w:cs="Arial"/>
                <w:sz w:val="20"/>
                <w:szCs w:val="20"/>
              </w:rPr>
            </w:pPr>
            <w:r w:rsidRPr="00E448CD">
              <w:rPr>
                <w:rFonts w:ascii="Arial" w:hAnsi="Arial" w:cs="Arial"/>
                <w:sz w:val="20"/>
                <w:szCs w:val="20"/>
              </w:rPr>
              <w:t>71.45</w:t>
            </w:r>
          </w:p>
        </w:tc>
        <w:tc>
          <w:tcPr>
            <w:tcW w:w="479" w:type="dxa"/>
          </w:tcPr>
          <w:p w14:paraId="539FE657" w14:textId="77777777" w:rsidR="00042625" w:rsidRPr="00E448CD" w:rsidRDefault="00042625" w:rsidP="000766C3">
            <w:pPr>
              <w:rPr>
                <w:rFonts w:ascii="Arial" w:hAnsi="Arial" w:cs="Arial"/>
                <w:sz w:val="20"/>
                <w:szCs w:val="20"/>
              </w:rPr>
            </w:pPr>
            <w:r w:rsidRPr="00E448CD">
              <w:rPr>
                <w:rFonts w:ascii="Arial" w:hAnsi="Arial" w:cs="Arial"/>
                <w:sz w:val="20"/>
                <w:szCs w:val="20"/>
              </w:rPr>
              <w:t>21</w:t>
            </w:r>
          </w:p>
        </w:tc>
        <w:tc>
          <w:tcPr>
            <w:tcW w:w="1061" w:type="dxa"/>
          </w:tcPr>
          <w:p w14:paraId="38548BD2" w14:textId="77777777" w:rsidR="00042625" w:rsidRPr="00E448CD" w:rsidRDefault="00042625" w:rsidP="000766C3">
            <w:pPr>
              <w:rPr>
                <w:rFonts w:ascii="Arial" w:hAnsi="Arial" w:cs="Arial"/>
                <w:sz w:val="20"/>
                <w:szCs w:val="20"/>
              </w:rPr>
            </w:pPr>
            <w:r w:rsidRPr="00E448CD">
              <w:rPr>
                <w:rFonts w:ascii="Arial" w:hAnsi="Arial" w:cs="Arial"/>
                <w:sz w:val="20"/>
                <w:szCs w:val="20"/>
              </w:rPr>
              <w:t>284.31</w:t>
            </w:r>
          </w:p>
        </w:tc>
        <w:tc>
          <w:tcPr>
            <w:tcW w:w="617" w:type="dxa"/>
          </w:tcPr>
          <w:p w14:paraId="1E84C691"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890" w:type="dxa"/>
          </w:tcPr>
          <w:p w14:paraId="66C262E5"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4A58CA33"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4B51ECA7"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992" w:type="dxa"/>
          </w:tcPr>
          <w:p w14:paraId="20F0B29D" w14:textId="77777777" w:rsidR="00042625" w:rsidRPr="00E448CD" w:rsidRDefault="00042625" w:rsidP="000766C3">
            <w:pPr>
              <w:rPr>
                <w:rFonts w:ascii="Arial" w:hAnsi="Arial" w:cs="Arial"/>
                <w:sz w:val="20"/>
                <w:szCs w:val="20"/>
              </w:rPr>
            </w:pPr>
            <w:r w:rsidRPr="00E448CD">
              <w:rPr>
                <w:rFonts w:ascii="Arial" w:hAnsi="Arial" w:cs="Arial"/>
                <w:sz w:val="20"/>
                <w:szCs w:val="20"/>
              </w:rPr>
              <w:t>260.22</w:t>
            </w:r>
          </w:p>
        </w:tc>
      </w:tr>
      <w:tr w:rsidR="00042625" w:rsidRPr="00E448CD" w14:paraId="1FE614BA" w14:textId="77777777" w:rsidTr="003868B4">
        <w:tc>
          <w:tcPr>
            <w:tcW w:w="846" w:type="dxa"/>
          </w:tcPr>
          <w:p w14:paraId="386D6EB1" w14:textId="77777777" w:rsidR="00042625" w:rsidRPr="00E448CD" w:rsidRDefault="00042625" w:rsidP="000766C3">
            <w:pPr>
              <w:rPr>
                <w:rFonts w:ascii="Arial" w:hAnsi="Arial" w:cs="Arial"/>
                <w:sz w:val="20"/>
                <w:szCs w:val="20"/>
              </w:rPr>
            </w:pPr>
            <w:r w:rsidRPr="00E448CD">
              <w:rPr>
                <w:rFonts w:ascii="Arial" w:hAnsi="Arial" w:cs="Arial"/>
                <w:sz w:val="20"/>
                <w:szCs w:val="20"/>
              </w:rPr>
              <w:t>FA3</w:t>
            </w:r>
          </w:p>
        </w:tc>
        <w:tc>
          <w:tcPr>
            <w:tcW w:w="709" w:type="dxa"/>
          </w:tcPr>
          <w:p w14:paraId="593C45F4" w14:textId="77777777" w:rsidR="00042625" w:rsidRPr="00E448CD" w:rsidRDefault="00042625" w:rsidP="000766C3">
            <w:pPr>
              <w:rPr>
                <w:rFonts w:ascii="Arial" w:hAnsi="Arial" w:cs="Arial"/>
                <w:sz w:val="20"/>
                <w:szCs w:val="20"/>
              </w:rPr>
            </w:pPr>
            <w:r w:rsidRPr="00E448CD">
              <w:rPr>
                <w:rFonts w:ascii="Arial" w:hAnsi="Arial" w:cs="Arial"/>
                <w:sz w:val="20"/>
                <w:szCs w:val="20"/>
              </w:rPr>
              <w:t>1.91</w:t>
            </w:r>
          </w:p>
        </w:tc>
        <w:tc>
          <w:tcPr>
            <w:tcW w:w="992" w:type="dxa"/>
          </w:tcPr>
          <w:p w14:paraId="785490AE" w14:textId="77777777" w:rsidR="00042625" w:rsidRPr="00E448CD" w:rsidRDefault="00042625" w:rsidP="000766C3">
            <w:pPr>
              <w:rPr>
                <w:rFonts w:ascii="Arial" w:hAnsi="Arial" w:cs="Arial"/>
                <w:sz w:val="20"/>
                <w:szCs w:val="20"/>
              </w:rPr>
            </w:pPr>
            <w:r w:rsidRPr="00E448CD">
              <w:rPr>
                <w:rFonts w:ascii="Arial" w:hAnsi="Arial" w:cs="Arial"/>
                <w:sz w:val="20"/>
                <w:szCs w:val="20"/>
              </w:rPr>
              <w:t>71.45</w:t>
            </w:r>
          </w:p>
        </w:tc>
        <w:tc>
          <w:tcPr>
            <w:tcW w:w="479" w:type="dxa"/>
          </w:tcPr>
          <w:p w14:paraId="5F3F6AC1" w14:textId="77777777" w:rsidR="00042625" w:rsidRPr="00E448CD" w:rsidRDefault="00042625" w:rsidP="000766C3">
            <w:pPr>
              <w:rPr>
                <w:rFonts w:ascii="Arial" w:hAnsi="Arial" w:cs="Arial"/>
                <w:sz w:val="20"/>
                <w:szCs w:val="20"/>
              </w:rPr>
            </w:pPr>
            <w:r w:rsidRPr="00E448CD">
              <w:rPr>
                <w:rFonts w:ascii="Arial" w:hAnsi="Arial" w:cs="Arial"/>
                <w:sz w:val="20"/>
                <w:szCs w:val="20"/>
              </w:rPr>
              <w:t>20</w:t>
            </w:r>
          </w:p>
        </w:tc>
        <w:tc>
          <w:tcPr>
            <w:tcW w:w="1061" w:type="dxa"/>
          </w:tcPr>
          <w:p w14:paraId="1EEF5E95" w14:textId="77777777" w:rsidR="00042625" w:rsidRPr="00E448CD" w:rsidRDefault="00042625" w:rsidP="000766C3">
            <w:pPr>
              <w:rPr>
                <w:rFonts w:ascii="Arial" w:hAnsi="Arial" w:cs="Arial"/>
                <w:sz w:val="20"/>
                <w:szCs w:val="20"/>
              </w:rPr>
            </w:pPr>
            <w:r w:rsidRPr="00E448CD">
              <w:rPr>
                <w:rFonts w:ascii="Arial" w:hAnsi="Arial" w:cs="Arial"/>
                <w:sz w:val="20"/>
                <w:szCs w:val="20"/>
              </w:rPr>
              <w:t>270.29</w:t>
            </w:r>
          </w:p>
        </w:tc>
        <w:tc>
          <w:tcPr>
            <w:tcW w:w="617" w:type="dxa"/>
          </w:tcPr>
          <w:p w14:paraId="600C4641"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890" w:type="dxa"/>
          </w:tcPr>
          <w:p w14:paraId="51F01A6E"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0332E09B"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51DF4A56"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992" w:type="dxa"/>
          </w:tcPr>
          <w:p w14:paraId="7E33AFA4" w14:textId="77777777" w:rsidR="00042625" w:rsidRPr="00E448CD" w:rsidRDefault="00042625" w:rsidP="000766C3">
            <w:pPr>
              <w:rPr>
                <w:rFonts w:ascii="Arial" w:hAnsi="Arial" w:cs="Arial"/>
                <w:sz w:val="20"/>
                <w:szCs w:val="20"/>
              </w:rPr>
            </w:pPr>
            <w:r w:rsidRPr="00E448CD">
              <w:rPr>
                <w:rFonts w:ascii="Arial" w:hAnsi="Arial" w:cs="Arial"/>
                <w:sz w:val="20"/>
                <w:szCs w:val="20"/>
              </w:rPr>
              <w:t>243.66</w:t>
            </w:r>
          </w:p>
        </w:tc>
      </w:tr>
      <w:tr w:rsidR="00042625" w:rsidRPr="00E448CD" w14:paraId="4C6AA2E4" w14:textId="77777777" w:rsidTr="003868B4">
        <w:tc>
          <w:tcPr>
            <w:tcW w:w="846" w:type="dxa"/>
          </w:tcPr>
          <w:p w14:paraId="58B5D7A5" w14:textId="77777777" w:rsidR="00042625" w:rsidRPr="00E448CD" w:rsidRDefault="00042625" w:rsidP="000766C3">
            <w:pPr>
              <w:rPr>
                <w:rFonts w:ascii="Arial" w:hAnsi="Arial" w:cs="Arial"/>
                <w:sz w:val="20"/>
                <w:szCs w:val="20"/>
              </w:rPr>
            </w:pPr>
            <w:r w:rsidRPr="00E448CD">
              <w:rPr>
                <w:rFonts w:ascii="Arial" w:hAnsi="Arial" w:cs="Arial"/>
                <w:sz w:val="20"/>
                <w:szCs w:val="20"/>
              </w:rPr>
              <w:t>FA4</w:t>
            </w:r>
          </w:p>
        </w:tc>
        <w:tc>
          <w:tcPr>
            <w:tcW w:w="709" w:type="dxa"/>
          </w:tcPr>
          <w:p w14:paraId="531EB7FF" w14:textId="77777777" w:rsidR="00042625" w:rsidRPr="00E448CD" w:rsidRDefault="00042625" w:rsidP="000766C3">
            <w:pPr>
              <w:rPr>
                <w:rFonts w:ascii="Arial" w:hAnsi="Arial" w:cs="Arial"/>
                <w:sz w:val="20"/>
                <w:szCs w:val="20"/>
              </w:rPr>
            </w:pPr>
            <w:r w:rsidRPr="00E448CD">
              <w:rPr>
                <w:rFonts w:ascii="Arial" w:hAnsi="Arial" w:cs="Arial"/>
                <w:sz w:val="20"/>
                <w:szCs w:val="20"/>
              </w:rPr>
              <w:t>1.74</w:t>
            </w:r>
          </w:p>
        </w:tc>
        <w:tc>
          <w:tcPr>
            <w:tcW w:w="992" w:type="dxa"/>
          </w:tcPr>
          <w:p w14:paraId="5C85906B" w14:textId="77777777" w:rsidR="00042625" w:rsidRPr="00E448CD" w:rsidRDefault="00042625" w:rsidP="000766C3">
            <w:pPr>
              <w:rPr>
                <w:rFonts w:ascii="Arial" w:hAnsi="Arial" w:cs="Arial"/>
                <w:sz w:val="20"/>
                <w:szCs w:val="20"/>
              </w:rPr>
            </w:pPr>
            <w:r w:rsidRPr="00E448CD">
              <w:rPr>
                <w:rFonts w:ascii="Arial" w:hAnsi="Arial" w:cs="Arial"/>
                <w:sz w:val="20"/>
                <w:szCs w:val="20"/>
              </w:rPr>
              <w:t>71.45</w:t>
            </w:r>
          </w:p>
        </w:tc>
        <w:tc>
          <w:tcPr>
            <w:tcW w:w="479" w:type="dxa"/>
          </w:tcPr>
          <w:p w14:paraId="0B025076" w14:textId="77777777" w:rsidR="00042625" w:rsidRPr="00E448CD" w:rsidRDefault="00042625" w:rsidP="000766C3">
            <w:pPr>
              <w:rPr>
                <w:rFonts w:ascii="Arial" w:hAnsi="Arial" w:cs="Arial"/>
                <w:sz w:val="20"/>
                <w:szCs w:val="20"/>
              </w:rPr>
            </w:pPr>
            <w:r w:rsidRPr="00E448CD">
              <w:rPr>
                <w:rFonts w:ascii="Arial" w:hAnsi="Arial" w:cs="Arial"/>
                <w:sz w:val="20"/>
                <w:szCs w:val="20"/>
              </w:rPr>
              <w:t>20</w:t>
            </w:r>
          </w:p>
        </w:tc>
        <w:tc>
          <w:tcPr>
            <w:tcW w:w="1061" w:type="dxa"/>
          </w:tcPr>
          <w:p w14:paraId="72D56E72" w14:textId="77777777" w:rsidR="00042625" w:rsidRPr="00E448CD" w:rsidRDefault="00042625" w:rsidP="000766C3">
            <w:pPr>
              <w:rPr>
                <w:rFonts w:ascii="Arial" w:hAnsi="Arial" w:cs="Arial"/>
                <w:sz w:val="20"/>
                <w:szCs w:val="20"/>
              </w:rPr>
            </w:pPr>
            <w:r w:rsidRPr="00E448CD">
              <w:rPr>
                <w:rFonts w:ascii="Arial" w:hAnsi="Arial" w:cs="Arial"/>
                <w:sz w:val="20"/>
                <w:szCs w:val="20"/>
              </w:rPr>
              <w:t>270.29</w:t>
            </w:r>
          </w:p>
        </w:tc>
        <w:tc>
          <w:tcPr>
            <w:tcW w:w="617" w:type="dxa"/>
          </w:tcPr>
          <w:p w14:paraId="00FAF25F"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890" w:type="dxa"/>
          </w:tcPr>
          <w:p w14:paraId="3630C9CE"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08BAAC85"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7C793099"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992" w:type="dxa"/>
          </w:tcPr>
          <w:p w14:paraId="504A45F5" w14:textId="77777777" w:rsidR="00042625" w:rsidRPr="00E448CD" w:rsidRDefault="00042625" w:rsidP="000766C3">
            <w:pPr>
              <w:rPr>
                <w:rFonts w:ascii="Arial" w:hAnsi="Arial" w:cs="Arial"/>
                <w:sz w:val="20"/>
                <w:szCs w:val="20"/>
              </w:rPr>
            </w:pPr>
            <w:r w:rsidRPr="00E448CD">
              <w:rPr>
                <w:rFonts w:ascii="Arial" w:hAnsi="Arial" w:cs="Arial"/>
                <w:sz w:val="20"/>
                <w:szCs w:val="20"/>
              </w:rPr>
              <w:t>243.66</w:t>
            </w:r>
          </w:p>
        </w:tc>
      </w:tr>
      <w:tr w:rsidR="00042625" w:rsidRPr="00E448CD" w14:paraId="7717B202" w14:textId="77777777" w:rsidTr="003868B4">
        <w:tc>
          <w:tcPr>
            <w:tcW w:w="846" w:type="dxa"/>
          </w:tcPr>
          <w:p w14:paraId="31F7EB55" w14:textId="77777777" w:rsidR="00042625" w:rsidRPr="00E448CD" w:rsidRDefault="00042625" w:rsidP="000766C3">
            <w:pPr>
              <w:rPr>
                <w:rFonts w:ascii="Arial" w:hAnsi="Arial" w:cs="Arial"/>
                <w:sz w:val="20"/>
                <w:szCs w:val="20"/>
              </w:rPr>
            </w:pPr>
            <w:r w:rsidRPr="00E448CD">
              <w:rPr>
                <w:rFonts w:ascii="Arial" w:hAnsi="Arial" w:cs="Arial"/>
                <w:sz w:val="20"/>
                <w:szCs w:val="20"/>
              </w:rPr>
              <w:t>FA5</w:t>
            </w:r>
          </w:p>
        </w:tc>
        <w:tc>
          <w:tcPr>
            <w:tcW w:w="709" w:type="dxa"/>
          </w:tcPr>
          <w:p w14:paraId="0F0BE1F1" w14:textId="77777777" w:rsidR="00042625" w:rsidRPr="00E448CD" w:rsidRDefault="00042625" w:rsidP="000766C3">
            <w:pPr>
              <w:rPr>
                <w:rFonts w:ascii="Arial" w:hAnsi="Arial" w:cs="Arial"/>
                <w:sz w:val="20"/>
                <w:szCs w:val="20"/>
              </w:rPr>
            </w:pPr>
            <w:r w:rsidRPr="00E448CD">
              <w:rPr>
                <w:rFonts w:ascii="Arial" w:hAnsi="Arial" w:cs="Arial"/>
                <w:sz w:val="20"/>
                <w:szCs w:val="20"/>
              </w:rPr>
              <w:t>1.52</w:t>
            </w:r>
          </w:p>
        </w:tc>
        <w:tc>
          <w:tcPr>
            <w:tcW w:w="992" w:type="dxa"/>
          </w:tcPr>
          <w:p w14:paraId="55E787A8" w14:textId="77777777" w:rsidR="00042625" w:rsidRPr="00E448CD" w:rsidRDefault="00042625" w:rsidP="000766C3">
            <w:pPr>
              <w:rPr>
                <w:rFonts w:ascii="Arial" w:hAnsi="Arial" w:cs="Arial"/>
                <w:sz w:val="20"/>
                <w:szCs w:val="20"/>
              </w:rPr>
            </w:pPr>
            <w:r w:rsidRPr="00E448CD">
              <w:rPr>
                <w:rFonts w:ascii="Arial" w:hAnsi="Arial" w:cs="Arial"/>
                <w:sz w:val="20"/>
                <w:szCs w:val="20"/>
              </w:rPr>
              <w:t>71.45</w:t>
            </w:r>
          </w:p>
        </w:tc>
        <w:tc>
          <w:tcPr>
            <w:tcW w:w="479" w:type="dxa"/>
          </w:tcPr>
          <w:p w14:paraId="2E4C1F35" w14:textId="77777777" w:rsidR="00042625" w:rsidRPr="00E448CD" w:rsidRDefault="00042625" w:rsidP="000766C3">
            <w:pPr>
              <w:rPr>
                <w:rFonts w:ascii="Arial" w:hAnsi="Arial" w:cs="Arial"/>
                <w:sz w:val="20"/>
                <w:szCs w:val="20"/>
              </w:rPr>
            </w:pPr>
            <w:r w:rsidRPr="00E448CD">
              <w:rPr>
                <w:rFonts w:ascii="Arial" w:hAnsi="Arial" w:cs="Arial"/>
                <w:sz w:val="20"/>
                <w:szCs w:val="20"/>
              </w:rPr>
              <w:t>20</w:t>
            </w:r>
          </w:p>
        </w:tc>
        <w:tc>
          <w:tcPr>
            <w:tcW w:w="1061" w:type="dxa"/>
          </w:tcPr>
          <w:p w14:paraId="395612AA" w14:textId="77777777" w:rsidR="00042625" w:rsidRPr="00E448CD" w:rsidRDefault="00042625" w:rsidP="000766C3">
            <w:pPr>
              <w:rPr>
                <w:rFonts w:ascii="Arial" w:hAnsi="Arial" w:cs="Arial"/>
                <w:sz w:val="20"/>
                <w:szCs w:val="20"/>
              </w:rPr>
            </w:pPr>
            <w:r w:rsidRPr="00E448CD">
              <w:rPr>
                <w:rFonts w:ascii="Arial" w:hAnsi="Arial" w:cs="Arial"/>
                <w:sz w:val="20"/>
                <w:szCs w:val="20"/>
              </w:rPr>
              <w:t>270.29</w:t>
            </w:r>
          </w:p>
        </w:tc>
        <w:tc>
          <w:tcPr>
            <w:tcW w:w="617" w:type="dxa"/>
          </w:tcPr>
          <w:p w14:paraId="3616D881"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890" w:type="dxa"/>
          </w:tcPr>
          <w:p w14:paraId="257C910D"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36D55E70"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3294C9CD"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992" w:type="dxa"/>
          </w:tcPr>
          <w:p w14:paraId="110E9285" w14:textId="77777777" w:rsidR="00042625" w:rsidRPr="00E448CD" w:rsidRDefault="00042625" w:rsidP="000766C3">
            <w:pPr>
              <w:rPr>
                <w:rFonts w:ascii="Arial" w:hAnsi="Arial" w:cs="Arial"/>
                <w:sz w:val="20"/>
                <w:szCs w:val="20"/>
              </w:rPr>
            </w:pPr>
            <w:r w:rsidRPr="00E448CD">
              <w:rPr>
                <w:rFonts w:ascii="Arial" w:hAnsi="Arial" w:cs="Arial"/>
                <w:sz w:val="20"/>
                <w:szCs w:val="20"/>
              </w:rPr>
              <w:t>243.66</w:t>
            </w:r>
          </w:p>
        </w:tc>
      </w:tr>
      <w:tr w:rsidR="00042625" w:rsidRPr="00E448CD" w14:paraId="000B3C44" w14:textId="77777777" w:rsidTr="003868B4">
        <w:tc>
          <w:tcPr>
            <w:tcW w:w="846" w:type="dxa"/>
          </w:tcPr>
          <w:p w14:paraId="6314F1AF" w14:textId="77777777" w:rsidR="00042625" w:rsidRPr="00E448CD" w:rsidRDefault="00042625" w:rsidP="000766C3">
            <w:pPr>
              <w:rPr>
                <w:rFonts w:ascii="Arial" w:hAnsi="Arial" w:cs="Arial"/>
                <w:sz w:val="20"/>
                <w:szCs w:val="20"/>
              </w:rPr>
            </w:pPr>
            <w:r w:rsidRPr="00E448CD">
              <w:rPr>
                <w:rFonts w:ascii="Arial" w:hAnsi="Arial" w:cs="Arial"/>
                <w:sz w:val="20"/>
                <w:szCs w:val="20"/>
              </w:rPr>
              <w:t>FA6</w:t>
            </w:r>
          </w:p>
        </w:tc>
        <w:tc>
          <w:tcPr>
            <w:tcW w:w="709" w:type="dxa"/>
          </w:tcPr>
          <w:p w14:paraId="3588A343" w14:textId="77777777" w:rsidR="00042625" w:rsidRPr="00E448CD" w:rsidRDefault="00042625" w:rsidP="000766C3">
            <w:pPr>
              <w:rPr>
                <w:rFonts w:ascii="Arial" w:hAnsi="Arial" w:cs="Arial"/>
                <w:sz w:val="20"/>
                <w:szCs w:val="20"/>
              </w:rPr>
            </w:pPr>
            <w:r w:rsidRPr="00E448CD">
              <w:rPr>
                <w:rFonts w:ascii="Arial" w:hAnsi="Arial" w:cs="Arial"/>
                <w:sz w:val="20"/>
                <w:szCs w:val="20"/>
              </w:rPr>
              <w:t>2.72</w:t>
            </w:r>
          </w:p>
        </w:tc>
        <w:tc>
          <w:tcPr>
            <w:tcW w:w="992" w:type="dxa"/>
          </w:tcPr>
          <w:p w14:paraId="55EC0F44" w14:textId="77777777" w:rsidR="00042625" w:rsidRPr="00E448CD" w:rsidRDefault="00042625" w:rsidP="000766C3">
            <w:pPr>
              <w:rPr>
                <w:rFonts w:ascii="Arial" w:hAnsi="Arial" w:cs="Arial"/>
                <w:sz w:val="20"/>
                <w:szCs w:val="20"/>
              </w:rPr>
            </w:pPr>
            <w:r w:rsidRPr="00E448CD">
              <w:rPr>
                <w:rFonts w:ascii="Arial" w:hAnsi="Arial" w:cs="Arial"/>
                <w:sz w:val="20"/>
                <w:szCs w:val="20"/>
              </w:rPr>
              <w:t>116.09</w:t>
            </w:r>
          </w:p>
        </w:tc>
        <w:tc>
          <w:tcPr>
            <w:tcW w:w="479" w:type="dxa"/>
          </w:tcPr>
          <w:p w14:paraId="5C1279F2" w14:textId="77777777" w:rsidR="00042625" w:rsidRPr="00E448CD" w:rsidRDefault="00042625" w:rsidP="000766C3">
            <w:pPr>
              <w:rPr>
                <w:rFonts w:ascii="Arial" w:hAnsi="Arial" w:cs="Arial"/>
                <w:sz w:val="20"/>
                <w:szCs w:val="20"/>
              </w:rPr>
            </w:pPr>
            <w:r w:rsidRPr="00E448CD">
              <w:rPr>
                <w:rFonts w:ascii="Arial" w:hAnsi="Arial" w:cs="Arial"/>
                <w:sz w:val="20"/>
                <w:szCs w:val="20"/>
              </w:rPr>
              <w:t>24</w:t>
            </w:r>
          </w:p>
        </w:tc>
        <w:tc>
          <w:tcPr>
            <w:tcW w:w="1061" w:type="dxa"/>
          </w:tcPr>
          <w:p w14:paraId="4BDD1560" w14:textId="77777777" w:rsidR="00042625" w:rsidRPr="00E448CD" w:rsidRDefault="00042625" w:rsidP="000766C3">
            <w:pPr>
              <w:rPr>
                <w:rFonts w:ascii="Arial" w:hAnsi="Arial" w:cs="Arial"/>
                <w:sz w:val="20"/>
                <w:szCs w:val="20"/>
              </w:rPr>
            </w:pPr>
            <w:r w:rsidRPr="00E448CD">
              <w:rPr>
                <w:rFonts w:ascii="Arial" w:hAnsi="Arial" w:cs="Arial"/>
                <w:sz w:val="20"/>
                <w:szCs w:val="20"/>
              </w:rPr>
              <w:t>329.31</w:t>
            </w:r>
          </w:p>
        </w:tc>
        <w:tc>
          <w:tcPr>
            <w:tcW w:w="617" w:type="dxa"/>
          </w:tcPr>
          <w:p w14:paraId="7B89E341" w14:textId="77777777" w:rsidR="00042625" w:rsidRPr="00E448CD" w:rsidRDefault="00042625" w:rsidP="000766C3">
            <w:pPr>
              <w:rPr>
                <w:rFonts w:ascii="Arial" w:hAnsi="Arial" w:cs="Arial"/>
                <w:sz w:val="20"/>
                <w:szCs w:val="20"/>
              </w:rPr>
            </w:pPr>
            <w:r w:rsidRPr="00E448CD">
              <w:rPr>
                <w:rFonts w:ascii="Arial" w:hAnsi="Arial" w:cs="Arial"/>
                <w:sz w:val="20"/>
                <w:szCs w:val="20"/>
              </w:rPr>
              <w:t>7</w:t>
            </w:r>
          </w:p>
        </w:tc>
        <w:tc>
          <w:tcPr>
            <w:tcW w:w="890" w:type="dxa"/>
          </w:tcPr>
          <w:p w14:paraId="73E03D94"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1182" w:type="dxa"/>
          </w:tcPr>
          <w:p w14:paraId="7CA75877"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3AF9B741"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992" w:type="dxa"/>
          </w:tcPr>
          <w:p w14:paraId="18F8135B" w14:textId="77777777" w:rsidR="00042625" w:rsidRPr="00E448CD" w:rsidRDefault="00042625" w:rsidP="000766C3">
            <w:pPr>
              <w:rPr>
                <w:rFonts w:ascii="Arial" w:hAnsi="Arial" w:cs="Arial"/>
                <w:sz w:val="20"/>
                <w:szCs w:val="20"/>
              </w:rPr>
            </w:pPr>
            <w:r w:rsidRPr="00E448CD">
              <w:rPr>
                <w:rFonts w:ascii="Arial" w:hAnsi="Arial" w:cs="Arial"/>
                <w:sz w:val="20"/>
                <w:szCs w:val="20"/>
              </w:rPr>
              <w:t>282.84</w:t>
            </w:r>
          </w:p>
        </w:tc>
      </w:tr>
      <w:tr w:rsidR="00042625" w:rsidRPr="00E448CD" w14:paraId="7479B8E2" w14:textId="77777777" w:rsidTr="003868B4">
        <w:tc>
          <w:tcPr>
            <w:tcW w:w="846" w:type="dxa"/>
          </w:tcPr>
          <w:p w14:paraId="4A13A4A4" w14:textId="77777777" w:rsidR="00042625" w:rsidRPr="00E448CD" w:rsidRDefault="00042625" w:rsidP="000766C3">
            <w:pPr>
              <w:rPr>
                <w:rFonts w:ascii="Arial" w:hAnsi="Arial" w:cs="Arial"/>
                <w:sz w:val="20"/>
                <w:szCs w:val="20"/>
              </w:rPr>
            </w:pPr>
            <w:r w:rsidRPr="00E448CD">
              <w:rPr>
                <w:rFonts w:ascii="Arial" w:hAnsi="Arial" w:cs="Arial"/>
                <w:sz w:val="20"/>
                <w:szCs w:val="20"/>
              </w:rPr>
              <w:t>FA7</w:t>
            </w:r>
          </w:p>
        </w:tc>
        <w:tc>
          <w:tcPr>
            <w:tcW w:w="709" w:type="dxa"/>
          </w:tcPr>
          <w:p w14:paraId="6E9FFA4C" w14:textId="77777777" w:rsidR="00042625" w:rsidRPr="00E448CD" w:rsidRDefault="00042625" w:rsidP="000766C3">
            <w:pPr>
              <w:rPr>
                <w:rFonts w:ascii="Arial" w:hAnsi="Arial" w:cs="Arial"/>
                <w:sz w:val="20"/>
                <w:szCs w:val="20"/>
              </w:rPr>
            </w:pPr>
            <w:r w:rsidRPr="00E448CD">
              <w:rPr>
                <w:rFonts w:ascii="Arial" w:hAnsi="Arial" w:cs="Arial"/>
                <w:sz w:val="20"/>
                <w:szCs w:val="20"/>
              </w:rPr>
              <w:t>2.86</w:t>
            </w:r>
          </w:p>
        </w:tc>
        <w:tc>
          <w:tcPr>
            <w:tcW w:w="992" w:type="dxa"/>
          </w:tcPr>
          <w:p w14:paraId="0A523178" w14:textId="77777777" w:rsidR="00042625" w:rsidRPr="00E448CD" w:rsidRDefault="00042625" w:rsidP="000766C3">
            <w:pPr>
              <w:rPr>
                <w:rFonts w:ascii="Arial" w:hAnsi="Arial" w:cs="Arial"/>
                <w:sz w:val="20"/>
                <w:szCs w:val="20"/>
              </w:rPr>
            </w:pPr>
            <w:r w:rsidRPr="00E448CD">
              <w:rPr>
                <w:rFonts w:ascii="Arial" w:hAnsi="Arial" w:cs="Arial"/>
                <w:sz w:val="20"/>
                <w:szCs w:val="20"/>
              </w:rPr>
              <w:t>67.79</w:t>
            </w:r>
          </w:p>
        </w:tc>
        <w:tc>
          <w:tcPr>
            <w:tcW w:w="479" w:type="dxa"/>
          </w:tcPr>
          <w:p w14:paraId="0E4085D0" w14:textId="77777777" w:rsidR="00042625" w:rsidRPr="00E448CD" w:rsidRDefault="00042625" w:rsidP="000766C3">
            <w:pPr>
              <w:rPr>
                <w:rFonts w:ascii="Arial" w:hAnsi="Arial" w:cs="Arial"/>
                <w:sz w:val="20"/>
                <w:szCs w:val="20"/>
              </w:rPr>
            </w:pPr>
            <w:r w:rsidRPr="00E448CD">
              <w:rPr>
                <w:rFonts w:ascii="Arial" w:hAnsi="Arial" w:cs="Arial"/>
                <w:sz w:val="20"/>
                <w:szCs w:val="20"/>
              </w:rPr>
              <w:t>22</w:t>
            </w:r>
          </w:p>
        </w:tc>
        <w:tc>
          <w:tcPr>
            <w:tcW w:w="1061" w:type="dxa"/>
          </w:tcPr>
          <w:p w14:paraId="5C5A3F66" w14:textId="77777777" w:rsidR="00042625" w:rsidRPr="00E448CD" w:rsidRDefault="00042625" w:rsidP="000766C3">
            <w:pPr>
              <w:rPr>
                <w:rFonts w:ascii="Arial" w:hAnsi="Arial" w:cs="Arial"/>
                <w:sz w:val="20"/>
                <w:szCs w:val="20"/>
              </w:rPr>
            </w:pPr>
            <w:r w:rsidRPr="00E448CD">
              <w:rPr>
                <w:rFonts w:ascii="Arial" w:hAnsi="Arial" w:cs="Arial"/>
                <w:sz w:val="20"/>
                <w:szCs w:val="20"/>
              </w:rPr>
              <w:t>299.33</w:t>
            </w:r>
          </w:p>
        </w:tc>
        <w:tc>
          <w:tcPr>
            <w:tcW w:w="617" w:type="dxa"/>
          </w:tcPr>
          <w:p w14:paraId="0D3F06CC"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890" w:type="dxa"/>
          </w:tcPr>
          <w:p w14:paraId="45F47250"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4DD2355D"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14560382"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992" w:type="dxa"/>
          </w:tcPr>
          <w:p w14:paraId="42D15A15" w14:textId="77777777" w:rsidR="00042625" w:rsidRPr="00E448CD" w:rsidRDefault="00042625" w:rsidP="000766C3">
            <w:pPr>
              <w:rPr>
                <w:rFonts w:ascii="Arial" w:hAnsi="Arial" w:cs="Arial"/>
                <w:sz w:val="20"/>
                <w:szCs w:val="20"/>
              </w:rPr>
            </w:pPr>
            <w:r w:rsidRPr="00E448CD">
              <w:rPr>
                <w:rFonts w:ascii="Arial" w:hAnsi="Arial" w:cs="Arial"/>
                <w:sz w:val="20"/>
                <w:szCs w:val="20"/>
              </w:rPr>
              <w:t>273.36</w:t>
            </w:r>
          </w:p>
        </w:tc>
      </w:tr>
      <w:tr w:rsidR="00042625" w:rsidRPr="00E448CD" w14:paraId="1D7DC661" w14:textId="77777777" w:rsidTr="003868B4">
        <w:tc>
          <w:tcPr>
            <w:tcW w:w="846" w:type="dxa"/>
          </w:tcPr>
          <w:p w14:paraId="7CB6AD75" w14:textId="77777777" w:rsidR="00042625" w:rsidRPr="00E448CD" w:rsidRDefault="00042625" w:rsidP="000766C3">
            <w:pPr>
              <w:rPr>
                <w:rFonts w:ascii="Arial" w:hAnsi="Arial" w:cs="Arial"/>
                <w:sz w:val="20"/>
                <w:szCs w:val="20"/>
              </w:rPr>
            </w:pPr>
            <w:r w:rsidRPr="00E448CD">
              <w:rPr>
                <w:rFonts w:ascii="Arial" w:hAnsi="Arial" w:cs="Arial"/>
                <w:sz w:val="20"/>
                <w:szCs w:val="20"/>
              </w:rPr>
              <w:t>FA8</w:t>
            </w:r>
          </w:p>
        </w:tc>
        <w:tc>
          <w:tcPr>
            <w:tcW w:w="709" w:type="dxa"/>
          </w:tcPr>
          <w:p w14:paraId="07296F59" w14:textId="77777777" w:rsidR="00042625" w:rsidRPr="00E448CD" w:rsidRDefault="00042625" w:rsidP="000766C3">
            <w:pPr>
              <w:rPr>
                <w:rFonts w:ascii="Arial" w:hAnsi="Arial" w:cs="Arial"/>
                <w:sz w:val="20"/>
                <w:szCs w:val="20"/>
              </w:rPr>
            </w:pPr>
            <w:r w:rsidRPr="00E448CD">
              <w:rPr>
                <w:rFonts w:ascii="Arial" w:hAnsi="Arial" w:cs="Arial"/>
                <w:sz w:val="20"/>
                <w:szCs w:val="20"/>
              </w:rPr>
              <w:t>2.84</w:t>
            </w:r>
          </w:p>
        </w:tc>
        <w:tc>
          <w:tcPr>
            <w:tcW w:w="992" w:type="dxa"/>
          </w:tcPr>
          <w:p w14:paraId="5BA156F6" w14:textId="77777777" w:rsidR="00042625" w:rsidRPr="00E448CD" w:rsidRDefault="00042625" w:rsidP="000766C3">
            <w:pPr>
              <w:rPr>
                <w:rFonts w:ascii="Arial" w:hAnsi="Arial" w:cs="Arial"/>
                <w:sz w:val="20"/>
                <w:szCs w:val="20"/>
              </w:rPr>
            </w:pPr>
            <w:r w:rsidRPr="00E448CD">
              <w:rPr>
                <w:rFonts w:ascii="Arial" w:hAnsi="Arial" w:cs="Arial"/>
                <w:sz w:val="20"/>
                <w:szCs w:val="20"/>
              </w:rPr>
              <w:t>67.79</w:t>
            </w:r>
          </w:p>
        </w:tc>
        <w:tc>
          <w:tcPr>
            <w:tcW w:w="479" w:type="dxa"/>
          </w:tcPr>
          <w:p w14:paraId="57920CF5" w14:textId="77777777" w:rsidR="00042625" w:rsidRPr="00E448CD" w:rsidRDefault="00042625" w:rsidP="000766C3">
            <w:pPr>
              <w:rPr>
                <w:rFonts w:ascii="Arial" w:hAnsi="Arial" w:cs="Arial"/>
                <w:sz w:val="20"/>
                <w:szCs w:val="20"/>
              </w:rPr>
            </w:pPr>
            <w:r w:rsidRPr="00E448CD">
              <w:rPr>
                <w:rFonts w:ascii="Arial" w:hAnsi="Arial" w:cs="Arial"/>
                <w:sz w:val="20"/>
                <w:szCs w:val="20"/>
              </w:rPr>
              <w:t>22</w:t>
            </w:r>
          </w:p>
        </w:tc>
        <w:tc>
          <w:tcPr>
            <w:tcW w:w="1061" w:type="dxa"/>
          </w:tcPr>
          <w:p w14:paraId="1907FAEF" w14:textId="77777777" w:rsidR="00042625" w:rsidRPr="00E448CD" w:rsidRDefault="00042625" w:rsidP="000766C3">
            <w:pPr>
              <w:rPr>
                <w:rFonts w:ascii="Arial" w:hAnsi="Arial" w:cs="Arial"/>
                <w:sz w:val="20"/>
                <w:szCs w:val="20"/>
              </w:rPr>
            </w:pPr>
            <w:r w:rsidRPr="00E448CD">
              <w:rPr>
                <w:rFonts w:ascii="Arial" w:hAnsi="Arial" w:cs="Arial"/>
                <w:sz w:val="20"/>
                <w:szCs w:val="20"/>
              </w:rPr>
              <w:t>299.33</w:t>
            </w:r>
          </w:p>
        </w:tc>
        <w:tc>
          <w:tcPr>
            <w:tcW w:w="617" w:type="dxa"/>
          </w:tcPr>
          <w:p w14:paraId="623253D3"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890" w:type="dxa"/>
          </w:tcPr>
          <w:p w14:paraId="3FC6BDEA"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467081F0"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6535BC69"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992" w:type="dxa"/>
          </w:tcPr>
          <w:p w14:paraId="5989FB62" w14:textId="77777777" w:rsidR="00042625" w:rsidRPr="00E448CD" w:rsidRDefault="00042625" w:rsidP="000766C3">
            <w:pPr>
              <w:rPr>
                <w:rFonts w:ascii="Arial" w:hAnsi="Arial" w:cs="Arial"/>
                <w:sz w:val="20"/>
                <w:szCs w:val="20"/>
              </w:rPr>
            </w:pPr>
            <w:r w:rsidRPr="00E448CD">
              <w:rPr>
                <w:rFonts w:ascii="Arial" w:hAnsi="Arial" w:cs="Arial"/>
                <w:sz w:val="20"/>
                <w:szCs w:val="20"/>
              </w:rPr>
              <w:t>273.36</w:t>
            </w:r>
          </w:p>
        </w:tc>
      </w:tr>
      <w:tr w:rsidR="00042625" w:rsidRPr="00E448CD" w14:paraId="189188D6" w14:textId="77777777" w:rsidTr="003868B4">
        <w:tc>
          <w:tcPr>
            <w:tcW w:w="846" w:type="dxa"/>
          </w:tcPr>
          <w:p w14:paraId="7D3040AA" w14:textId="77777777" w:rsidR="00042625" w:rsidRPr="00E448CD" w:rsidRDefault="00042625" w:rsidP="000766C3">
            <w:pPr>
              <w:rPr>
                <w:rFonts w:ascii="Arial" w:hAnsi="Arial" w:cs="Arial"/>
                <w:sz w:val="20"/>
                <w:szCs w:val="20"/>
              </w:rPr>
            </w:pPr>
            <w:r w:rsidRPr="00E448CD">
              <w:rPr>
                <w:rFonts w:ascii="Arial" w:hAnsi="Arial" w:cs="Arial"/>
                <w:sz w:val="20"/>
                <w:szCs w:val="20"/>
              </w:rPr>
              <w:t>FA9</w:t>
            </w:r>
          </w:p>
        </w:tc>
        <w:tc>
          <w:tcPr>
            <w:tcW w:w="709" w:type="dxa"/>
          </w:tcPr>
          <w:p w14:paraId="3F2DBA43" w14:textId="77777777" w:rsidR="00042625" w:rsidRPr="00E448CD" w:rsidRDefault="00042625" w:rsidP="000766C3">
            <w:pPr>
              <w:rPr>
                <w:rFonts w:ascii="Arial" w:hAnsi="Arial" w:cs="Arial"/>
                <w:sz w:val="20"/>
                <w:szCs w:val="20"/>
              </w:rPr>
            </w:pPr>
            <w:r w:rsidRPr="00E448CD">
              <w:rPr>
                <w:rFonts w:ascii="Arial" w:hAnsi="Arial" w:cs="Arial"/>
                <w:sz w:val="20"/>
                <w:szCs w:val="20"/>
              </w:rPr>
              <w:t>2.86</w:t>
            </w:r>
          </w:p>
        </w:tc>
        <w:tc>
          <w:tcPr>
            <w:tcW w:w="992" w:type="dxa"/>
          </w:tcPr>
          <w:p w14:paraId="584F6398" w14:textId="77777777" w:rsidR="00042625" w:rsidRPr="00E448CD" w:rsidRDefault="00042625" w:rsidP="000766C3">
            <w:pPr>
              <w:rPr>
                <w:rFonts w:ascii="Arial" w:hAnsi="Arial" w:cs="Arial"/>
                <w:sz w:val="20"/>
                <w:szCs w:val="20"/>
              </w:rPr>
            </w:pPr>
            <w:r w:rsidRPr="00E448CD">
              <w:rPr>
                <w:rFonts w:ascii="Arial" w:hAnsi="Arial" w:cs="Arial"/>
                <w:sz w:val="20"/>
                <w:szCs w:val="20"/>
              </w:rPr>
              <w:t>67.79</w:t>
            </w:r>
          </w:p>
        </w:tc>
        <w:tc>
          <w:tcPr>
            <w:tcW w:w="479" w:type="dxa"/>
          </w:tcPr>
          <w:p w14:paraId="78ACB474" w14:textId="77777777" w:rsidR="00042625" w:rsidRPr="00E448CD" w:rsidRDefault="00042625" w:rsidP="000766C3">
            <w:pPr>
              <w:rPr>
                <w:rFonts w:ascii="Arial" w:hAnsi="Arial" w:cs="Arial"/>
                <w:sz w:val="20"/>
                <w:szCs w:val="20"/>
              </w:rPr>
            </w:pPr>
            <w:r w:rsidRPr="00E448CD">
              <w:rPr>
                <w:rFonts w:ascii="Arial" w:hAnsi="Arial" w:cs="Arial"/>
                <w:sz w:val="20"/>
                <w:szCs w:val="20"/>
              </w:rPr>
              <w:t>22</w:t>
            </w:r>
          </w:p>
        </w:tc>
        <w:tc>
          <w:tcPr>
            <w:tcW w:w="1061" w:type="dxa"/>
          </w:tcPr>
          <w:p w14:paraId="1493B81C" w14:textId="77777777" w:rsidR="00042625" w:rsidRPr="00E448CD" w:rsidRDefault="00042625" w:rsidP="000766C3">
            <w:pPr>
              <w:rPr>
                <w:rFonts w:ascii="Arial" w:hAnsi="Arial" w:cs="Arial"/>
                <w:sz w:val="20"/>
                <w:szCs w:val="20"/>
              </w:rPr>
            </w:pPr>
            <w:r w:rsidRPr="00E448CD">
              <w:rPr>
                <w:rFonts w:ascii="Arial" w:hAnsi="Arial" w:cs="Arial"/>
                <w:sz w:val="20"/>
                <w:szCs w:val="20"/>
              </w:rPr>
              <w:t>299.33</w:t>
            </w:r>
          </w:p>
        </w:tc>
        <w:tc>
          <w:tcPr>
            <w:tcW w:w="617" w:type="dxa"/>
          </w:tcPr>
          <w:p w14:paraId="020AC84B"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890" w:type="dxa"/>
          </w:tcPr>
          <w:p w14:paraId="72B2889C"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462FBEB0"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30B333A4"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992" w:type="dxa"/>
          </w:tcPr>
          <w:p w14:paraId="65D0DBEA" w14:textId="77777777" w:rsidR="00042625" w:rsidRPr="00E448CD" w:rsidRDefault="00042625" w:rsidP="000766C3">
            <w:pPr>
              <w:rPr>
                <w:rFonts w:ascii="Arial" w:hAnsi="Arial" w:cs="Arial"/>
                <w:sz w:val="20"/>
                <w:szCs w:val="20"/>
              </w:rPr>
            </w:pPr>
            <w:r w:rsidRPr="00E448CD">
              <w:rPr>
                <w:rFonts w:ascii="Arial" w:hAnsi="Arial" w:cs="Arial"/>
                <w:sz w:val="20"/>
                <w:szCs w:val="20"/>
              </w:rPr>
              <w:t>273.36</w:t>
            </w:r>
          </w:p>
        </w:tc>
      </w:tr>
      <w:tr w:rsidR="00042625" w:rsidRPr="00E448CD" w14:paraId="038B59B1" w14:textId="77777777" w:rsidTr="003868B4">
        <w:tc>
          <w:tcPr>
            <w:tcW w:w="846" w:type="dxa"/>
          </w:tcPr>
          <w:p w14:paraId="223B31A4" w14:textId="77777777" w:rsidR="00042625" w:rsidRPr="00E448CD" w:rsidRDefault="00042625" w:rsidP="000766C3">
            <w:pPr>
              <w:rPr>
                <w:rFonts w:ascii="Arial" w:hAnsi="Arial" w:cs="Arial"/>
                <w:sz w:val="20"/>
                <w:szCs w:val="20"/>
              </w:rPr>
            </w:pPr>
            <w:r w:rsidRPr="00E448CD">
              <w:rPr>
                <w:rFonts w:ascii="Arial" w:hAnsi="Arial" w:cs="Arial"/>
                <w:sz w:val="20"/>
                <w:szCs w:val="20"/>
              </w:rPr>
              <w:t>FA10</w:t>
            </w:r>
          </w:p>
        </w:tc>
        <w:tc>
          <w:tcPr>
            <w:tcW w:w="709" w:type="dxa"/>
          </w:tcPr>
          <w:p w14:paraId="53EC2762" w14:textId="77777777" w:rsidR="00042625" w:rsidRPr="00E448CD" w:rsidRDefault="00042625" w:rsidP="000766C3">
            <w:pPr>
              <w:rPr>
                <w:rFonts w:ascii="Arial" w:hAnsi="Arial" w:cs="Arial"/>
                <w:sz w:val="20"/>
                <w:szCs w:val="20"/>
              </w:rPr>
            </w:pPr>
            <w:r w:rsidRPr="00E448CD">
              <w:rPr>
                <w:rFonts w:ascii="Arial" w:hAnsi="Arial" w:cs="Arial"/>
                <w:sz w:val="20"/>
                <w:szCs w:val="20"/>
              </w:rPr>
              <w:t>3.62</w:t>
            </w:r>
          </w:p>
        </w:tc>
        <w:tc>
          <w:tcPr>
            <w:tcW w:w="992" w:type="dxa"/>
          </w:tcPr>
          <w:p w14:paraId="25AFCD65" w14:textId="77777777" w:rsidR="00042625" w:rsidRPr="00E448CD" w:rsidRDefault="00042625" w:rsidP="000766C3">
            <w:pPr>
              <w:rPr>
                <w:rFonts w:ascii="Arial" w:hAnsi="Arial" w:cs="Arial"/>
                <w:sz w:val="20"/>
                <w:szCs w:val="20"/>
              </w:rPr>
            </w:pPr>
            <w:r w:rsidRPr="00E448CD">
              <w:rPr>
                <w:rFonts w:ascii="Arial" w:hAnsi="Arial" w:cs="Arial"/>
                <w:sz w:val="20"/>
                <w:szCs w:val="20"/>
              </w:rPr>
              <w:t>58.56</w:t>
            </w:r>
          </w:p>
        </w:tc>
        <w:tc>
          <w:tcPr>
            <w:tcW w:w="479" w:type="dxa"/>
          </w:tcPr>
          <w:p w14:paraId="646759A8" w14:textId="77777777" w:rsidR="00042625" w:rsidRPr="00E448CD" w:rsidRDefault="00042625" w:rsidP="000766C3">
            <w:pPr>
              <w:rPr>
                <w:rFonts w:ascii="Arial" w:hAnsi="Arial" w:cs="Arial"/>
                <w:sz w:val="20"/>
                <w:szCs w:val="20"/>
              </w:rPr>
            </w:pPr>
            <w:r w:rsidRPr="00E448CD">
              <w:rPr>
                <w:rFonts w:ascii="Arial" w:hAnsi="Arial" w:cs="Arial"/>
                <w:sz w:val="20"/>
                <w:szCs w:val="20"/>
              </w:rPr>
              <w:t>21</w:t>
            </w:r>
          </w:p>
        </w:tc>
        <w:tc>
          <w:tcPr>
            <w:tcW w:w="1061" w:type="dxa"/>
          </w:tcPr>
          <w:p w14:paraId="6BE7642F" w14:textId="77777777" w:rsidR="00042625" w:rsidRPr="00E448CD" w:rsidRDefault="00042625" w:rsidP="000766C3">
            <w:pPr>
              <w:rPr>
                <w:rFonts w:ascii="Arial" w:hAnsi="Arial" w:cs="Arial"/>
                <w:sz w:val="20"/>
                <w:szCs w:val="20"/>
              </w:rPr>
            </w:pPr>
            <w:r w:rsidRPr="00E448CD">
              <w:rPr>
                <w:rFonts w:ascii="Arial" w:hAnsi="Arial" w:cs="Arial"/>
                <w:sz w:val="20"/>
                <w:szCs w:val="20"/>
              </w:rPr>
              <w:t>348.20</w:t>
            </w:r>
          </w:p>
        </w:tc>
        <w:tc>
          <w:tcPr>
            <w:tcW w:w="617" w:type="dxa"/>
          </w:tcPr>
          <w:p w14:paraId="26FB5D55"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890" w:type="dxa"/>
          </w:tcPr>
          <w:p w14:paraId="14383BE8"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4C5EE555"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6F90D49A"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992" w:type="dxa"/>
          </w:tcPr>
          <w:p w14:paraId="22391946" w14:textId="77777777" w:rsidR="00042625" w:rsidRPr="00E448CD" w:rsidRDefault="00042625" w:rsidP="000766C3">
            <w:pPr>
              <w:rPr>
                <w:rFonts w:ascii="Arial" w:hAnsi="Arial" w:cs="Arial"/>
                <w:sz w:val="20"/>
                <w:szCs w:val="20"/>
              </w:rPr>
            </w:pPr>
            <w:r w:rsidRPr="00E448CD">
              <w:rPr>
                <w:rFonts w:ascii="Arial" w:hAnsi="Arial" w:cs="Arial"/>
                <w:sz w:val="20"/>
                <w:szCs w:val="20"/>
              </w:rPr>
              <w:t>265.70</w:t>
            </w:r>
          </w:p>
        </w:tc>
      </w:tr>
      <w:tr w:rsidR="00042625" w:rsidRPr="00E448CD" w14:paraId="68BFAFE3" w14:textId="77777777" w:rsidTr="003868B4">
        <w:tc>
          <w:tcPr>
            <w:tcW w:w="846" w:type="dxa"/>
          </w:tcPr>
          <w:p w14:paraId="13FC84D0" w14:textId="77777777" w:rsidR="00042625" w:rsidRPr="00E448CD" w:rsidRDefault="00042625" w:rsidP="000766C3">
            <w:pPr>
              <w:rPr>
                <w:rFonts w:ascii="Arial" w:hAnsi="Arial" w:cs="Arial"/>
                <w:sz w:val="20"/>
                <w:szCs w:val="20"/>
              </w:rPr>
            </w:pPr>
            <w:r w:rsidRPr="00E448CD">
              <w:rPr>
                <w:rFonts w:ascii="Arial" w:hAnsi="Arial" w:cs="Arial"/>
                <w:sz w:val="20"/>
                <w:szCs w:val="20"/>
              </w:rPr>
              <w:t>FA11</w:t>
            </w:r>
          </w:p>
        </w:tc>
        <w:tc>
          <w:tcPr>
            <w:tcW w:w="709" w:type="dxa"/>
          </w:tcPr>
          <w:p w14:paraId="597FEB2A" w14:textId="77777777" w:rsidR="00042625" w:rsidRPr="00E448CD" w:rsidRDefault="00042625" w:rsidP="000766C3">
            <w:pPr>
              <w:rPr>
                <w:rFonts w:ascii="Arial" w:hAnsi="Arial" w:cs="Arial"/>
                <w:sz w:val="20"/>
                <w:szCs w:val="20"/>
              </w:rPr>
            </w:pPr>
            <w:r w:rsidRPr="00E448CD">
              <w:rPr>
                <w:rFonts w:ascii="Arial" w:hAnsi="Arial" w:cs="Arial"/>
                <w:sz w:val="20"/>
                <w:szCs w:val="20"/>
              </w:rPr>
              <w:t>3.37</w:t>
            </w:r>
          </w:p>
        </w:tc>
        <w:tc>
          <w:tcPr>
            <w:tcW w:w="992" w:type="dxa"/>
          </w:tcPr>
          <w:p w14:paraId="1B6D8EAA" w14:textId="77777777" w:rsidR="00042625" w:rsidRPr="00E448CD" w:rsidRDefault="00042625" w:rsidP="000766C3">
            <w:pPr>
              <w:rPr>
                <w:rFonts w:ascii="Arial" w:hAnsi="Arial" w:cs="Arial"/>
                <w:sz w:val="20"/>
                <w:szCs w:val="20"/>
              </w:rPr>
            </w:pPr>
            <w:r w:rsidRPr="00E448CD">
              <w:rPr>
                <w:rFonts w:ascii="Arial" w:hAnsi="Arial" w:cs="Arial"/>
                <w:sz w:val="20"/>
                <w:szCs w:val="20"/>
              </w:rPr>
              <w:t>104.38</w:t>
            </w:r>
          </w:p>
        </w:tc>
        <w:tc>
          <w:tcPr>
            <w:tcW w:w="479" w:type="dxa"/>
          </w:tcPr>
          <w:p w14:paraId="5506D285" w14:textId="77777777" w:rsidR="00042625" w:rsidRPr="00E448CD" w:rsidRDefault="00042625" w:rsidP="000766C3">
            <w:pPr>
              <w:rPr>
                <w:rFonts w:ascii="Arial" w:hAnsi="Arial" w:cs="Arial"/>
                <w:sz w:val="20"/>
                <w:szCs w:val="20"/>
              </w:rPr>
            </w:pPr>
            <w:r w:rsidRPr="00E448CD">
              <w:rPr>
                <w:rFonts w:ascii="Arial" w:hAnsi="Arial" w:cs="Arial"/>
                <w:sz w:val="20"/>
                <w:szCs w:val="20"/>
              </w:rPr>
              <w:t>24</w:t>
            </w:r>
          </w:p>
        </w:tc>
        <w:tc>
          <w:tcPr>
            <w:tcW w:w="1061" w:type="dxa"/>
          </w:tcPr>
          <w:p w14:paraId="01C70C17" w14:textId="77777777" w:rsidR="00042625" w:rsidRPr="00E448CD" w:rsidRDefault="00042625" w:rsidP="000766C3">
            <w:pPr>
              <w:rPr>
                <w:rFonts w:ascii="Arial" w:hAnsi="Arial" w:cs="Arial"/>
                <w:sz w:val="20"/>
                <w:szCs w:val="20"/>
              </w:rPr>
            </w:pPr>
            <w:r w:rsidRPr="00E448CD">
              <w:rPr>
                <w:rFonts w:ascii="Arial" w:hAnsi="Arial" w:cs="Arial"/>
                <w:sz w:val="20"/>
                <w:szCs w:val="20"/>
              </w:rPr>
              <w:t>348.74</w:t>
            </w:r>
          </w:p>
        </w:tc>
        <w:tc>
          <w:tcPr>
            <w:tcW w:w="617" w:type="dxa"/>
          </w:tcPr>
          <w:p w14:paraId="4C2784AE" w14:textId="77777777" w:rsidR="00042625" w:rsidRPr="00E448CD" w:rsidRDefault="00042625" w:rsidP="000766C3">
            <w:pPr>
              <w:rPr>
                <w:rFonts w:ascii="Arial" w:hAnsi="Arial" w:cs="Arial"/>
                <w:sz w:val="20"/>
                <w:szCs w:val="20"/>
              </w:rPr>
            </w:pPr>
            <w:r w:rsidRPr="00E448CD">
              <w:rPr>
                <w:rFonts w:ascii="Arial" w:hAnsi="Arial" w:cs="Arial"/>
                <w:sz w:val="20"/>
                <w:szCs w:val="20"/>
              </w:rPr>
              <w:t>7</w:t>
            </w:r>
          </w:p>
        </w:tc>
        <w:tc>
          <w:tcPr>
            <w:tcW w:w="890" w:type="dxa"/>
          </w:tcPr>
          <w:p w14:paraId="2319D524"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31128CF6"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2FB68CC4"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992" w:type="dxa"/>
          </w:tcPr>
          <w:p w14:paraId="0942F50D" w14:textId="77777777" w:rsidR="00042625" w:rsidRPr="00E448CD" w:rsidRDefault="00042625" w:rsidP="000766C3">
            <w:pPr>
              <w:rPr>
                <w:rFonts w:ascii="Arial" w:hAnsi="Arial" w:cs="Arial"/>
                <w:sz w:val="20"/>
                <w:szCs w:val="20"/>
              </w:rPr>
            </w:pPr>
            <w:r w:rsidRPr="00E448CD">
              <w:rPr>
                <w:rFonts w:ascii="Arial" w:hAnsi="Arial" w:cs="Arial"/>
                <w:sz w:val="20"/>
                <w:szCs w:val="20"/>
              </w:rPr>
              <w:t>284.69</w:t>
            </w:r>
          </w:p>
        </w:tc>
      </w:tr>
      <w:tr w:rsidR="00042625" w:rsidRPr="00E448CD" w14:paraId="10A046E6" w14:textId="77777777" w:rsidTr="003868B4">
        <w:tc>
          <w:tcPr>
            <w:tcW w:w="846" w:type="dxa"/>
          </w:tcPr>
          <w:p w14:paraId="1CCB9233" w14:textId="77777777" w:rsidR="00042625" w:rsidRPr="00E448CD" w:rsidRDefault="00042625" w:rsidP="000766C3">
            <w:pPr>
              <w:rPr>
                <w:rFonts w:ascii="Arial" w:hAnsi="Arial" w:cs="Arial"/>
                <w:sz w:val="20"/>
                <w:szCs w:val="20"/>
              </w:rPr>
            </w:pPr>
            <w:r w:rsidRPr="00E448CD">
              <w:rPr>
                <w:rFonts w:ascii="Arial" w:hAnsi="Arial" w:cs="Arial"/>
                <w:sz w:val="20"/>
                <w:szCs w:val="20"/>
              </w:rPr>
              <w:t>FA12</w:t>
            </w:r>
          </w:p>
        </w:tc>
        <w:tc>
          <w:tcPr>
            <w:tcW w:w="709" w:type="dxa"/>
          </w:tcPr>
          <w:p w14:paraId="48B4763C" w14:textId="77777777" w:rsidR="00042625" w:rsidRPr="00E448CD" w:rsidRDefault="00042625" w:rsidP="000766C3">
            <w:pPr>
              <w:rPr>
                <w:rFonts w:ascii="Arial" w:hAnsi="Arial" w:cs="Arial"/>
                <w:sz w:val="20"/>
                <w:szCs w:val="20"/>
              </w:rPr>
            </w:pPr>
            <w:r w:rsidRPr="00E448CD">
              <w:rPr>
                <w:rFonts w:ascii="Arial" w:hAnsi="Arial" w:cs="Arial"/>
                <w:sz w:val="20"/>
                <w:szCs w:val="20"/>
              </w:rPr>
              <w:t>3.37</w:t>
            </w:r>
          </w:p>
        </w:tc>
        <w:tc>
          <w:tcPr>
            <w:tcW w:w="992" w:type="dxa"/>
          </w:tcPr>
          <w:p w14:paraId="4E28AF1E" w14:textId="77777777" w:rsidR="00042625" w:rsidRPr="00E448CD" w:rsidRDefault="00042625" w:rsidP="000766C3">
            <w:pPr>
              <w:rPr>
                <w:rFonts w:ascii="Arial" w:hAnsi="Arial" w:cs="Arial"/>
                <w:sz w:val="20"/>
                <w:szCs w:val="20"/>
              </w:rPr>
            </w:pPr>
            <w:r w:rsidRPr="00E448CD">
              <w:rPr>
                <w:rFonts w:ascii="Arial" w:hAnsi="Arial" w:cs="Arial"/>
                <w:sz w:val="20"/>
                <w:szCs w:val="20"/>
              </w:rPr>
              <w:t>104.38</w:t>
            </w:r>
          </w:p>
        </w:tc>
        <w:tc>
          <w:tcPr>
            <w:tcW w:w="479" w:type="dxa"/>
          </w:tcPr>
          <w:p w14:paraId="09D2EB24" w14:textId="77777777" w:rsidR="00042625" w:rsidRPr="00E448CD" w:rsidRDefault="00042625" w:rsidP="000766C3">
            <w:pPr>
              <w:rPr>
                <w:rFonts w:ascii="Arial" w:hAnsi="Arial" w:cs="Arial"/>
                <w:sz w:val="20"/>
                <w:szCs w:val="20"/>
              </w:rPr>
            </w:pPr>
            <w:r w:rsidRPr="00E448CD">
              <w:rPr>
                <w:rFonts w:ascii="Arial" w:hAnsi="Arial" w:cs="Arial"/>
                <w:sz w:val="20"/>
                <w:szCs w:val="20"/>
              </w:rPr>
              <w:t>24</w:t>
            </w:r>
          </w:p>
        </w:tc>
        <w:tc>
          <w:tcPr>
            <w:tcW w:w="1061" w:type="dxa"/>
          </w:tcPr>
          <w:p w14:paraId="7B93845D" w14:textId="77777777" w:rsidR="00042625" w:rsidRPr="00E448CD" w:rsidRDefault="00042625" w:rsidP="000766C3">
            <w:pPr>
              <w:rPr>
                <w:rFonts w:ascii="Arial" w:hAnsi="Arial" w:cs="Arial"/>
                <w:sz w:val="20"/>
                <w:szCs w:val="20"/>
              </w:rPr>
            </w:pPr>
            <w:r w:rsidRPr="00E448CD">
              <w:rPr>
                <w:rFonts w:ascii="Arial" w:hAnsi="Arial" w:cs="Arial"/>
                <w:sz w:val="20"/>
                <w:szCs w:val="20"/>
              </w:rPr>
              <w:t>348.74</w:t>
            </w:r>
          </w:p>
        </w:tc>
        <w:tc>
          <w:tcPr>
            <w:tcW w:w="617" w:type="dxa"/>
          </w:tcPr>
          <w:p w14:paraId="6549DE24" w14:textId="77777777" w:rsidR="00042625" w:rsidRPr="00E448CD" w:rsidRDefault="00042625" w:rsidP="000766C3">
            <w:pPr>
              <w:rPr>
                <w:rFonts w:ascii="Arial" w:hAnsi="Arial" w:cs="Arial"/>
                <w:sz w:val="20"/>
                <w:szCs w:val="20"/>
              </w:rPr>
            </w:pPr>
            <w:r w:rsidRPr="00E448CD">
              <w:rPr>
                <w:rFonts w:ascii="Arial" w:hAnsi="Arial" w:cs="Arial"/>
                <w:sz w:val="20"/>
                <w:szCs w:val="20"/>
              </w:rPr>
              <w:t>7</w:t>
            </w:r>
          </w:p>
        </w:tc>
        <w:tc>
          <w:tcPr>
            <w:tcW w:w="890" w:type="dxa"/>
          </w:tcPr>
          <w:p w14:paraId="5DDBFCBE"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5B7BF3EA"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3D49519E" w14:textId="77777777" w:rsidR="00042625" w:rsidRPr="00E448CD" w:rsidRDefault="00042625" w:rsidP="000766C3">
            <w:pPr>
              <w:rPr>
                <w:rFonts w:ascii="Arial" w:hAnsi="Arial" w:cs="Arial"/>
                <w:sz w:val="20"/>
                <w:szCs w:val="20"/>
              </w:rPr>
            </w:pPr>
            <w:r w:rsidRPr="00E448CD">
              <w:rPr>
                <w:rFonts w:ascii="Arial" w:hAnsi="Arial" w:cs="Arial"/>
                <w:sz w:val="20"/>
                <w:szCs w:val="20"/>
              </w:rPr>
              <w:t>5</w:t>
            </w:r>
          </w:p>
        </w:tc>
        <w:tc>
          <w:tcPr>
            <w:tcW w:w="992" w:type="dxa"/>
          </w:tcPr>
          <w:p w14:paraId="40CCECAC" w14:textId="77777777" w:rsidR="00042625" w:rsidRPr="00E448CD" w:rsidRDefault="00042625" w:rsidP="000766C3">
            <w:pPr>
              <w:rPr>
                <w:rFonts w:ascii="Arial" w:hAnsi="Arial" w:cs="Arial"/>
                <w:sz w:val="20"/>
                <w:szCs w:val="20"/>
              </w:rPr>
            </w:pPr>
            <w:r w:rsidRPr="00E448CD">
              <w:rPr>
                <w:rFonts w:ascii="Arial" w:hAnsi="Arial" w:cs="Arial"/>
                <w:sz w:val="20"/>
                <w:szCs w:val="20"/>
              </w:rPr>
              <w:t>284.69</w:t>
            </w:r>
          </w:p>
        </w:tc>
      </w:tr>
      <w:tr w:rsidR="00042625" w:rsidRPr="00E448CD" w14:paraId="6447B167" w14:textId="77777777" w:rsidTr="003868B4">
        <w:tc>
          <w:tcPr>
            <w:tcW w:w="846" w:type="dxa"/>
          </w:tcPr>
          <w:p w14:paraId="6FCC92CF" w14:textId="77777777" w:rsidR="00042625" w:rsidRPr="00E448CD" w:rsidRDefault="00042625" w:rsidP="000766C3">
            <w:pPr>
              <w:rPr>
                <w:rFonts w:ascii="Arial" w:hAnsi="Arial" w:cs="Arial"/>
                <w:sz w:val="20"/>
                <w:szCs w:val="20"/>
              </w:rPr>
            </w:pPr>
            <w:r w:rsidRPr="00E448CD">
              <w:rPr>
                <w:rFonts w:ascii="Arial" w:hAnsi="Arial" w:cs="Arial"/>
                <w:sz w:val="20"/>
                <w:szCs w:val="20"/>
              </w:rPr>
              <w:t>FA13</w:t>
            </w:r>
          </w:p>
        </w:tc>
        <w:tc>
          <w:tcPr>
            <w:tcW w:w="709" w:type="dxa"/>
          </w:tcPr>
          <w:p w14:paraId="16290451" w14:textId="77777777" w:rsidR="00042625" w:rsidRPr="00E448CD" w:rsidRDefault="00042625" w:rsidP="000766C3">
            <w:pPr>
              <w:rPr>
                <w:rFonts w:ascii="Arial" w:hAnsi="Arial" w:cs="Arial"/>
                <w:sz w:val="20"/>
                <w:szCs w:val="20"/>
              </w:rPr>
            </w:pPr>
            <w:r w:rsidRPr="00E448CD">
              <w:rPr>
                <w:rFonts w:ascii="Arial" w:hAnsi="Arial" w:cs="Arial"/>
                <w:sz w:val="20"/>
                <w:szCs w:val="20"/>
              </w:rPr>
              <w:t>4.09</w:t>
            </w:r>
          </w:p>
        </w:tc>
        <w:tc>
          <w:tcPr>
            <w:tcW w:w="992" w:type="dxa"/>
          </w:tcPr>
          <w:p w14:paraId="3E97474E" w14:textId="77777777" w:rsidR="00042625" w:rsidRPr="00E448CD" w:rsidRDefault="00042625" w:rsidP="000766C3">
            <w:pPr>
              <w:rPr>
                <w:rFonts w:ascii="Arial" w:hAnsi="Arial" w:cs="Arial"/>
                <w:sz w:val="20"/>
                <w:szCs w:val="20"/>
              </w:rPr>
            </w:pPr>
            <w:r w:rsidRPr="00E448CD">
              <w:rPr>
                <w:rFonts w:ascii="Arial" w:hAnsi="Arial" w:cs="Arial"/>
                <w:sz w:val="20"/>
                <w:szCs w:val="20"/>
              </w:rPr>
              <w:t>58.56</w:t>
            </w:r>
          </w:p>
        </w:tc>
        <w:tc>
          <w:tcPr>
            <w:tcW w:w="479" w:type="dxa"/>
          </w:tcPr>
          <w:p w14:paraId="4C9757CC" w14:textId="77777777" w:rsidR="00042625" w:rsidRPr="00E448CD" w:rsidRDefault="00042625" w:rsidP="000766C3">
            <w:pPr>
              <w:rPr>
                <w:rFonts w:ascii="Arial" w:hAnsi="Arial" w:cs="Arial"/>
                <w:sz w:val="20"/>
                <w:szCs w:val="20"/>
              </w:rPr>
            </w:pPr>
            <w:r w:rsidRPr="00E448CD">
              <w:rPr>
                <w:rFonts w:ascii="Arial" w:hAnsi="Arial" w:cs="Arial"/>
                <w:sz w:val="20"/>
                <w:szCs w:val="20"/>
              </w:rPr>
              <w:t>22</w:t>
            </w:r>
          </w:p>
        </w:tc>
        <w:tc>
          <w:tcPr>
            <w:tcW w:w="1061" w:type="dxa"/>
          </w:tcPr>
          <w:p w14:paraId="65100C7E" w14:textId="77777777" w:rsidR="00042625" w:rsidRPr="00E448CD" w:rsidRDefault="00042625" w:rsidP="000766C3">
            <w:pPr>
              <w:rPr>
                <w:rFonts w:ascii="Arial" w:hAnsi="Arial" w:cs="Arial"/>
                <w:sz w:val="20"/>
                <w:szCs w:val="20"/>
              </w:rPr>
            </w:pPr>
            <w:r w:rsidRPr="00E448CD">
              <w:rPr>
                <w:rFonts w:ascii="Arial" w:hAnsi="Arial" w:cs="Arial"/>
                <w:sz w:val="20"/>
                <w:szCs w:val="20"/>
              </w:rPr>
              <w:t>338.19</w:t>
            </w:r>
          </w:p>
        </w:tc>
        <w:tc>
          <w:tcPr>
            <w:tcW w:w="617" w:type="dxa"/>
          </w:tcPr>
          <w:p w14:paraId="33BC2061"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890" w:type="dxa"/>
          </w:tcPr>
          <w:p w14:paraId="53330493"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67436559"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1F940164"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992" w:type="dxa"/>
          </w:tcPr>
          <w:p w14:paraId="0C062F0D" w14:textId="77777777" w:rsidR="00042625" w:rsidRPr="00E448CD" w:rsidRDefault="00042625" w:rsidP="000766C3">
            <w:pPr>
              <w:rPr>
                <w:rFonts w:ascii="Arial" w:hAnsi="Arial" w:cs="Arial"/>
                <w:sz w:val="20"/>
                <w:szCs w:val="20"/>
              </w:rPr>
            </w:pPr>
            <w:r w:rsidRPr="00E448CD">
              <w:rPr>
                <w:rFonts w:ascii="Arial" w:hAnsi="Arial" w:cs="Arial"/>
                <w:sz w:val="20"/>
                <w:szCs w:val="20"/>
              </w:rPr>
              <w:t>274.89</w:t>
            </w:r>
          </w:p>
        </w:tc>
      </w:tr>
      <w:tr w:rsidR="00042625" w:rsidRPr="00E448CD" w14:paraId="20BD919E" w14:textId="77777777" w:rsidTr="003868B4">
        <w:tc>
          <w:tcPr>
            <w:tcW w:w="846" w:type="dxa"/>
          </w:tcPr>
          <w:p w14:paraId="2D6DB8A7" w14:textId="77777777" w:rsidR="00042625" w:rsidRPr="00E448CD" w:rsidRDefault="00042625" w:rsidP="000766C3">
            <w:pPr>
              <w:rPr>
                <w:rFonts w:ascii="Arial" w:hAnsi="Arial" w:cs="Arial"/>
                <w:sz w:val="20"/>
                <w:szCs w:val="20"/>
              </w:rPr>
            </w:pPr>
            <w:r w:rsidRPr="00E448CD">
              <w:rPr>
                <w:rFonts w:ascii="Arial" w:hAnsi="Arial" w:cs="Arial"/>
                <w:sz w:val="20"/>
                <w:szCs w:val="20"/>
              </w:rPr>
              <w:t>FA14</w:t>
            </w:r>
          </w:p>
        </w:tc>
        <w:tc>
          <w:tcPr>
            <w:tcW w:w="709" w:type="dxa"/>
          </w:tcPr>
          <w:p w14:paraId="65519849" w14:textId="77777777" w:rsidR="00042625" w:rsidRPr="00E448CD" w:rsidRDefault="00042625" w:rsidP="000766C3">
            <w:pPr>
              <w:rPr>
                <w:rFonts w:ascii="Arial" w:hAnsi="Arial" w:cs="Arial"/>
                <w:sz w:val="20"/>
                <w:szCs w:val="20"/>
              </w:rPr>
            </w:pPr>
            <w:r w:rsidRPr="00E448CD">
              <w:rPr>
                <w:rFonts w:ascii="Arial" w:hAnsi="Arial" w:cs="Arial"/>
                <w:sz w:val="20"/>
                <w:szCs w:val="20"/>
              </w:rPr>
              <w:t>2.67</w:t>
            </w:r>
          </w:p>
        </w:tc>
        <w:tc>
          <w:tcPr>
            <w:tcW w:w="992" w:type="dxa"/>
          </w:tcPr>
          <w:p w14:paraId="064C1C83" w14:textId="77777777" w:rsidR="00042625" w:rsidRPr="00E448CD" w:rsidRDefault="00042625" w:rsidP="000766C3">
            <w:pPr>
              <w:rPr>
                <w:rFonts w:ascii="Arial" w:hAnsi="Arial" w:cs="Arial"/>
                <w:sz w:val="20"/>
                <w:szCs w:val="20"/>
              </w:rPr>
            </w:pPr>
            <w:r w:rsidRPr="00E448CD">
              <w:rPr>
                <w:rFonts w:ascii="Arial" w:hAnsi="Arial" w:cs="Arial"/>
                <w:sz w:val="20"/>
                <w:szCs w:val="20"/>
              </w:rPr>
              <w:t>58.56</w:t>
            </w:r>
          </w:p>
        </w:tc>
        <w:tc>
          <w:tcPr>
            <w:tcW w:w="479" w:type="dxa"/>
          </w:tcPr>
          <w:p w14:paraId="30EE87F6" w14:textId="77777777" w:rsidR="00042625" w:rsidRPr="00E448CD" w:rsidRDefault="00042625" w:rsidP="000766C3">
            <w:pPr>
              <w:rPr>
                <w:rFonts w:ascii="Arial" w:hAnsi="Arial" w:cs="Arial"/>
                <w:sz w:val="20"/>
                <w:szCs w:val="20"/>
              </w:rPr>
            </w:pPr>
            <w:r w:rsidRPr="00E448CD">
              <w:rPr>
                <w:rFonts w:ascii="Arial" w:hAnsi="Arial" w:cs="Arial"/>
                <w:sz w:val="20"/>
                <w:szCs w:val="20"/>
              </w:rPr>
              <w:t>22</w:t>
            </w:r>
          </w:p>
        </w:tc>
        <w:tc>
          <w:tcPr>
            <w:tcW w:w="1061" w:type="dxa"/>
          </w:tcPr>
          <w:p w14:paraId="49E2AEF3" w14:textId="77777777" w:rsidR="00042625" w:rsidRPr="00E448CD" w:rsidRDefault="00042625" w:rsidP="000766C3">
            <w:pPr>
              <w:rPr>
                <w:rFonts w:ascii="Arial" w:hAnsi="Arial" w:cs="Arial"/>
                <w:sz w:val="20"/>
                <w:szCs w:val="20"/>
              </w:rPr>
            </w:pPr>
            <w:r w:rsidRPr="00E448CD">
              <w:rPr>
                <w:rFonts w:ascii="Arial" w:hAnsi="Arial" w:cs="Arial"/>
                <w:sz w:val="20"/>
                <w:szCs w:val="20"/>
              </w:rPr>
              <w:t>297.35</w:t>
            </w:r>
          </w:p>
        </w:tc>
        <w:tc>
          <w:tcPr>
            <w:tcW w:w="617" w:type="dxa"/>
          </w:tcPr>
          <w:p w14:paraId="185E7E2A"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890" w:type="dxa"/>
          </w:tcPr>
          <w:p w14:paraId="7C1ADB95"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2D66EA87"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603FF935"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992" w:type="dxa"/>
          </w:tcPr>
          <w:p w14:paraId="114860FD" w14:textId="77777777" w:rsidR="00042625" w:rsidRPr="00E448CD" w:rsidRDefault="00042625" w:rsidP="000766C3">
            <w:pPr>
              <w:rPr>
                <w:rFonts w:ascii="Arial" w:hAnsi="Arial" w:cs="Arial"/>
                <w:sz w:val="20"/>
                <w:szCs w:val="20"/>
              </w:rPr>
            </w:pPr>
            <w:r w:rsidRPr="00E448CD">
              <w:rPr>
                <w:rFonts w:ascii="Arial" w:hAnsi="Arial" w:cs="Arial"/>
                <w:sz w:val="20"/>
                <w:szCs w:val="20"/>
              </w:rPr>
              <w:t>280.94</w:t>
            </w:r>
          </w:p>
        </w:tc>
      </w:tr>
      <w:tr w:rsidR="00042625" w:rsidRPr="00E448CD" w14:paraId="00F01F7B" w14:textId="77777777" w:rsidTr="003868B4">
        <w:tc>
          <w:tcPr>
            <w:tcW w:w="846" w:type="dxa"/>
          </w:tcPr>
          <w:p w14:paraId="23882DB9" w14:textId="77777777" w:rsidR="00042625" w:rsidRPr="00E448CD" w:rsidRDefault="00042625" w:rsidP="000766C3">
            <w:pPr>
              <w:rPr>
                <w:rFonts w:ascii="Arial" w:hAnsi="Arial" w:cs="Arial"/>
                <w:sz w:val="20"/>
                <w:szCs w:val="20"/>
              </w:rPr>
            </w:pPr>
            <w:r w:rsidRPr="00E448CD">
              <w:rPr>
                <w:rFonts w:ascii="Arial" w:hAnsi="Arial" w:cs="Arial"/>
                <w:sz w:val="20"/>
                <w:szCs w:val="20"/>
              </w:rPr>
              <w:t>FA15</w:t>
            </w:r>
          </w:p>
        </w:tc>
        <w:tc>
          <w:tcPr>
            <w:tcW w:w="709" w:type="dxa"/>
          </w:tcPr>
          <w:p w14:paraId="3A4EC516" w14:textId="77777777" w:rsidR="00042625" w:rsidRPr="00E448CD" w:rsidRDefault="00042625" w:rsidP="000766C3">
            <w:pPr>
              <w:rPr>
                <w:rFonts w:ascii="Arial" w:hAnsi="Arial" w:cs="Arial"/>
                <w:sz w:val="20"/>
                <w:szCs w:val="20"/>
              </w:rPr>
            </w:pPr>
            <w:r w:rsidRPr="00E448CD">
              <w:rPr>
                <w:rFonts w:ascii="Arial" w:hAnsi="Arial" w:cs="Arial"/>
                <w:sz w:val="20"/>
                <w:szCs w:val="20"/>
              </w:rPr>
              <w:t>3.62</w:t>
            </w:r>
          </w:p>
        </w:tc>
        <w:tc>
          <w:tcPr>
            <w:tcW w:w="992" w:type="dxa"/>
          </w:tcPr>
          <w:p w14:paraId="7AEB9D47" w14:textId="77777777" w:rsidR="00042625" w:rsidRPr="00E448CD" w:rsidRDefault="00042625" w:rsidP="000766C3">
            <w:pPr>
              <w:rPr>
                <w:rFonts w:ascii="Arial" w:hAnsi="Arial" w:cs="Arial"/>
                <w:sz w:val="20"/>
                <w:szCs w:val="20"/>
              </w:rPr>
            </w:pPr>
            <w:r w:rsidRPr="00E448CD">
              <w:rPr>
                <w:rFonts w:ascii="Arial" w:hAnsi="Arial" w:cs="Arial"/>
                <w:sz w:val="20"/>
                <w:szCs w:val="20"/>
              </w:rPr>
              <w:t>58.56</w:t>
            </w:r>
          </w:p>
        </w:tc>
        <w:tc>
          <w:tcPr>
            <w:tcW w:w="479" w:type="dxa"/>
          </w:tcPr>
          <w:p w14:paraId="3BFDA727" w14:textId="77777777" w:rsidR="00042625" w:rsidRPr="00E448CD" w:rsidRDefault="00042625" w:rsidP="000766C3">
            <w:pPr>
              <w:rPr>
                <w:rFonts w:ascii="Arial" w:hAnsi="Arial" w:cs="Arial"/>
                <w:sz w:val="20"/>
                <w:szCs w:val="20"/>
              </w:rPr>
            </w:pPr>
            <w:r w:rsidRPr="00E448CD">
              <w:rPr>
                <w:rFonts w:ascii="Arial" w:hAnsi="Arial" w:cs="Arial"/>
                <w:sz w:val="20"/>
                <w:szCs w:val="20"/>
              </w:rPr>
              <w:t>22</w:t>
            </w:r>
          </w:p>
        </w:tc>
        <w:tc>
          <w:tcPr>
            <w:tcW w:w="1061" w:type="dxa"/>
          </w:tcPr>
          <w:p w14:paraId="0D024E79" w14:textId="77777777" w:rsidR="00042625" w:rsidRPr="00E448CD" w:rsidRDefault="00042625" w:rsidP="000766C3">
            <w:pPr>
              <w:rPr>
                <w:rFonts w:ascii="Arial" w:hAnsi="Arial" w:cs="Arial"/>
                <w:sz w:val="20"/>
                <w:szCs w:val="20"/>
              </w:rPr>
            </w:pPr>
            <w:r w:rsidRPr="00E448CD">
              <w:rPr>
                <w:rFonts w:ascii="Arial" w:hAnsi="Arial" w:cs="Arial"/>
                <w:sz w:val="20"/>
                <w:szCs w:val="20"/>
              </w:rPr>
              <w:t>297.35</w:t>
            </w:r>
          </w:p>
        </w:tc>
        <w:tc>
          <w:tcPr>
            <w:tcW w:w="617" w:type="dxa"/>
          </w:tcPr>
          <w:p w14:paraId="2C89407D"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890" w:type="dxa"/>
          </w:tcPr>
          <w:p w14:paraId="287BCEA8" w14:textId="77777777" w:rsidR="00042625" w:rsidRPr="00E448CD" w:rsidRDefault="00042625" w:rsidP="000766C3">
            <w:pPr>
              <w:rPr>
                <w:rFonts w:ascii="Arial" w:hAnsi="Arial" w:cs="Arial"/>
                <w:sz w:val="20"/>
                <w:szCs w:val="20"/>
              </w:rPr>
            </w:pPr>
            <w:r w:rsidRPr="00E448CD">
              <w:rPr>
                <w:rFonts w:ascii="Arial" w:hAnsi="Arial" w:cs="Arial"/>
                <w:sz w:val="20"/>
                <w:szCs w:val="20"/>
              </w:rPr>
              <w:t>2</w:t>
            </w:r>
          </w:p>
        </w:tc>
        <w:tc>
          <w:tcPr>
            <w:tcW w:w="1182" w:type="dxa"/>
          </w:tcPr>
          <w:p w14:paraId="30B3D54E" w14:textId="77777777" w:rsidR="00042625" w:rsidRPr="00E448CD" w:rsidRDefault="00042625" w:rsidP="000766C3">
            <w:pPr>
              <w:rPr>
                <w:rFonts w:ascii="Arial" w:hAnsi="Arial" w:cs="Arial"/>
                <w:sz w:val="20"/>
                <w:szCs w:val="20"/>
              </w:rPr>
            </w:pPr>
            <w:r w:rsidRPr="00E448CD">
              <w:rPr>
                <w:rFonts w:ascii="Arial" w:hAnsi="Arial" w:cs="Arial"/>
                <w:sz w:val="20"/>
                <w:szCs w:val="20"/>
              </w:rPr>
              <w:t>0</w:t>
            </w:r>
          </w:p>
        </w:tc>
        <w:tc>
          <w:tcPr>
            <w:tcW w:w="449" w:type="dxa"/>
          </w:tcPr>
          <w:p w14:paraId="7E0AD5BE" w14:textId="77777777" w:rsidR="00042625" w:rsidRPr="00E448CD" w:rsidRDefault="00042625" w:rsidP="000766C3">
            <w:pPr>
              <w:rPr>
                <w:rFonts w:ascii="Arial" w:hAnsi="Arial" w:cs="Arial"/>
                <w:sz w:val="20"/>
                <w:szCs w:val="20"/>
              </w:rPr>
            </w:pPr>
            <w:r w:rsidRPr="00E448CD">
              <w:rPr>
                <w:rFonts w:ascii="Arial" w:hAnsi="Arial" w:cs="Arial"/>
                <w:sz w:val="20"/>
                <w:szCs w:val="20"/>
              </w:rPr>
              <w:t>4</w:t>
            </w:r>
          </w:p>
        </w:tc>
        <w:tc>
          <w:tcPr>
            <w:tcW w:w="992" w:type="dxa"/>
          </w:tcPr>
          <w:p w14:paraId="00B6D403" w14:textId="77777777" w:rsidR="00042625" w:rsidRPr="00E448CD" w:rsidRDefault="00042625" w:rsidP="000766C3">
            <w:pPr>
              <w:rPr>
                <w:rFonts w:ascii="Arial" w:hAnsi="Arial" w:cs="Arial"/>
                <w:sz w:val="20"/>
                <w:szCs w:val="20"/>
              </w:rPr>
            </w:pPr>
            <w:r w:rsidRPr="00E448CD">
              <w:rPr>
                <w:rFonts w:ascii="Arial" w:hAnsi="Arial" w:cs="Arial"/>
                <w:sz w:val="20"/>
                <w:szCs w:val="20"/>
              </w:rPr>
              <w:t>280.94</w:t>
            </w:r>
          </w:p>
        </w:tc>
      </w:tr>
    </w:tbl>
    <w:p w14:paraId="16F4617E" w14:textId="77777777" w:rsidR="000D4F26" w:rsidRPr="00E448CD" w:rsidRDefault="000D4F26" w:rsidP="00EB0490">
      <w:pPr>
        <w:jc w:val="both"/>
        <w:rPr>
          <w:rFonts w:ascii="Arial" w:hAnsi="Arial" w:cs="Arial"/>
          <w:sz w:val="20"/>
          <w:szCs w:val="20"/>
        </w:rPr>
      </w:pPr>
    </w:p>
    <w:p w14:paraId="384CD967" w14:textId="77777777" w:rsidR="00EB0490" w:rsidRPr="00E448CD" w:rsidRDefault="00EB0490" w:rsidP="00EB0490">
      <w:pPr>
        <w:jc w:val="both"/>
        <w:rPr>
          <w:rFonts w:ascii="Arial" w:hAnsi="Arial" w:cs="Arial"/>
          <w:sz w:val="20"/>
          <w:szCs w:val="20"/>
        </w:rPr>
      </w:pPr>
      <w:r w:rsidRPr="00E448CD">
        <w:rPr>
          <w:rFonts w:ascii="Arial" w:hAnsi="Arial" w:cs="Arial"/>
          <w:sz w:val="20"/>
          <w:szCs w:val="20"/>
        </w:rPr>
        <w:t xml:space="preserve">To investigate molecular interactions, all compounds were docked with </w:t>
      </w:r>
      <w:proofErr w:type="spellStart"/>
      <w:r w:rsidRPr="00E448CD">
        <w:rPr>
          <w:rFonts w:ascii="Arial" w:hAnsi="Arial" w:cs="Arial"/>
          <w:sz w:val="20"/>
          <w:szCs w:val="20"/>
        </w:rPr>
        <w:t>the</w:t>
      </w:r>
      <w:r w:rsidR="00475F84" w:rsidRPr="00E448CD">
        <w:rPr>
          <w:rFonts w:ascii="Arial" w:hAnsi="Arial" w:cs="Arial"/>
          <w:sz w:val="20"/>
          <w:szCs w:val="20"/>
        </w:rPr>
        <w:t>GMPPNP</w:t>
      </w:r>
      <w:proofErr w:type="spellEnd"/>
      <w:r w:rsidR="00475F84" w:rsidRPr="00E448CD">
        <w:rPr>
          <w:rFonts w:ascii="Arial" w:hAnsi="Arial" w:cs="Arial"/>
          <w:sz w:val="20"/>
          <w:szCs w:val="20"/>
        </w:rPr>
        <w:t>-bound G12R mutant of</w:t>
      </w:r>
      <w:r w:rsidRPr="00E448CD">
        <w:rPr>
          <w:rFonts w:ascii="Arial" w:hAnsi="Arial" w:cs="Arial"/>
          <w:sz w:val="20"/>
          <w:szCs w:val="20"/>
        </w:rPr>
        <w:t xml:space="preserve"> human KRAS</w:t>
      </w:r>
      <w:r w:rsidR="00855B18" w:rsidRPr="00E448CD">
        <w:rPr>
          <w:rFonts w:ascii="Arial" w:hAnsi="Arial" w:cs="Arial"/>
          <w:sz w:val="20"/>
          <w:szCs w:val="20"/>
        </w:rPr>
        <w:t>4b</w:t>
      </w:r>
      <w:r w:rsidRPr="00E448CD">
        <w:rPr>
          <w:rFonts w:ascii="Arial" w:hAnsi="Arial" w:cs="Arial"/>
          <w:sz w:val="20"/>
          <w:szCs w:val="20"/>
        </w:rPr>
        <w:t xml:space="preserve"> protein (PDB ID: 6CU6). Organic molecules can associate with proteins through the formation of chemical bonds as well as non-covalent interactions, including hydrogen bonding, hydrophobic contacts, and electrostatic forces between the ligand and the receptor. These interactions provide insight into the binding mechanism and potential biological activity of the </w:t>
      </w:r>
      <w:proofErr w:type="gramStart"/>
      <w:r w:rsidRPr="00E448CD">
        <w:rPr>
          <w:rFonts w:ascii="Arial" w:hAnsi="Arial" w:cs="Arial"/>
          <w:sz w:val="20"/>
          <w:szCs w:val="20"/>
        </w:rPr>
        <w:t>compounds</w:t>
      </w:r>
      <w:r w:rsidRPr="00E448CD">
        <w:rPr>
          <w:rFonts w:ascii="Arial" w:hAnsi="Arial" w:cs="Arial"/>
          <w:b/>
          <w:bCs/>
          <w:sz w:val="20"/>
          <w:szCs w:val="20"/>
        </w:rPr>
        <w:t>.</w:t>
      </w:r>
      <w:r w:rsidRPr="00E448CD">
        <w:rPr>
          <w:rFonts w:ascii="Arial" w:hAnsi="Arial" w:cs="Arial"/>
          <w:sz w:val="20"/>
          <w:szCs w:val="20"/>
        </w:rPr>
        <w:t>(</w:t>
      </w:r>
      <w:proofErr w:type="gramEnd"/>
      <w:r w:rsidRPr="00E448CD">
        <w:rPr>
          <w:rFonts w:ascii="Arial" w:hAnsi="Arial" w:cs="Arial"/>
          <w:sz w:val="20"/>
          <w:szCs w:val="20"/>
        </w:rPr>
        <w:t>2</w:t>
      </w:r>
      <w:r w:rsidR="00F463AC" w:rsidRPr="00E448CD">
        <w:rPr>
          <w:rFonts w:ascii="Arial" w:hAnsi="Arial" w:cs="Arial"/>
          <w:sz w:val="20"/>
          <w:szCs w:val="20"/>
        </w:rPr>
        <w:t>6</w:t>
      </w:r>
      <w:r w:rsidRPr="00E448CD">
        <w:rPr>
          <w:rFonts w:ascii="Arial" w:hAnsi="Arial" w:cs="Arial"/>
          <w:sz w:val="20"/>
          <w:szCs w:val="20"/>
        </w:rPr>
        <w:t>)</w:t>
      </w:r>
    </w:p>
    <w:p w14:paraId="773D1F91" w14:textId="77777777" w:rsidR="00DC3A7F" w:rsidRPr="00E448CD" w:rsidRDefault="00DC3A7F" w:rsidP="00EB0490">
      <w:pPr>
        <w:jc w:val="both"/>
        <w:rPr>
          <w:rFonts w:ascii="Arial" w:hAnsi="Arial" w:cs="Arial"/>
          <w:sz w:val="20"/>
          <w:szCs w:val="20"/>
        </w:rPr>
      </w:pPr>
      <w:r w:rsidRPr="00E448CD">
        <w:rPr>
          <w:rFonts w:ascii="Arial" w:hAnsi="Arial" w:cs="Arial"/>
          <w:sz w:val="20"/>
          <w:szCs w:val="20"/>
        </w:rPr>
        <w:t>Hydrogen bonding and hydrophobic interactions are critical factors in assessing binding affinity and the pharmacological effectiveness of new drug candidates. Hydrogen bonds, in particular, play a pivotal role in stabilizing drug–receptor complexes and maintaining the structural integrity of essential biomolecules such as proteins and DNA. These interactions contribute significantly to the overall specificity and strength of ligand–protein binding. (2</w:t>
      </w:r>
      <w:r w:rsidR="00F463AC" w:rsidRPr="00E448CD">
        <w:rPr>
          <w:rFonts w:ascii="Arial" w:hAnsi="Arial" w:cs="Arial"/>
          <w:sz w:val="20"/>
          <w:szCs w:val="20"/>
        </w:rPr>
        <w:t>7</w:t>
      </w:r>
      <w:r w:rsidRPr="00E448CD">
        <w:rPr>
          <w:rFonts w:ascii="Arial" w:hAnsi="Arial" w:cs="Arial"/>
          <w:sz w:val="20"/>
          <w:szCs w:val="20"/>
        </w:rPr>
        <w:t>)</w:t>
      </w:r>
    </w:p>
    <w:p w14:paraId="7EF0E96B" w14:textId="77777777" w:rsidR="002F0F5A" w:rsidRPr="00E448CD" w:rsidRDefault="002F0F5A" w:rsidP="002F0F5A">
      <w:pPr>
        <w:jc w:val="both"/>
        <w:rPr>
          <w:rFonts w:ascii="Arial" w:hAnsi="Arial" w:cs="Arial"/>
          <w:sz w:val="20"/>
          <w:szCs w:val="20"/>
        </w:rPr>
      </w:pPr>
      <w:r w:rsidRPr="00E448CD">
        <w:rPr>
          <w:rFonts w:ascii="Arial" w:hAnsi="Arial" w:cs="Arial"/>
          <w:sz w:val="20"/>
          <w:szCs w:val="20"/>
        </w:rPr>
        <w:t>For final evaluation, the poses with the most negative docking scores were chosen, as these represent the strongest binding affinities of the compounds toward the target receptors. This selection highlights the ligand–protein complexes with the greatest potential for therapeutic relevance.</w:t>
      </w:r>
    </w:p>
    <w:p w14:paraId="7B37B5DD" w14:textId="77777777" w:rsidR="00536374" w:rsidRPr="00E448CD" w:rsidRDefault="00A43C26" w:rsidP="00C05F03">
      <w:pPr>
        <w:jc w:val="both"/>
        <w:rPr>
          <w:rFonts w:ascii="Arial" w:hAnsi="Arial" w:cs="Arial"/>
          <w:b/>
          <w:sz w:val="20"/>
          <w:szCs w:val="20"/>
        </w:rPr>
      </w:pPr>
      <w:r w:rsidRPr="00E448CD">
        <w:rPr>
          <w:rFonts w:ascii="Arial" w:hAnsi="Arial" w:cs="Arial"/>
          <w:b/>
          <w:sz w:val="20"/>
          <w:szCs w:val="20"/>
        </w:rPr>
        <w:t>Table 6</w:t>
      </w:r>
      <w:r w:rsidR="00F741A5" w:rsidRPr="00E448CD">
        <w:rPr>
          <w:rFonts w:ascii="Arial" w:hAnsi="Arial" w:cs="Arial"/>
          <w:b/>
          <w:sz w:val="20"/>
          <w:szCs w:val="20"/>
        </w:rPr>
        <w:t xml:space="preserve">: result of molecular docking with </w:t>
      </w:r>
      <w:r w:rsidR="00475F84" w:rsidRPr="00E448CD">
        <w:rPr>
          <w:rFonts w:ascii="Arial" w:hAnsi="Arial" w:cs="Arial"/>
          <w:b/>
          <w:sz w:val="20"/>
          <w:szCs w:val="20"/>
        </w:rPr>
        <w:t xml:space="preserve">GMPPNP-bound G12R mutant of </w:t>
      </w:r>
      <w:r w:rsidR="00F741A5" w:rsidRPr="00E448CD">
        <w:rPr>
          <w:rFonts w:ascii="Arial" w:hAnsi="Arial" w:cs="Arial"/>
          <w:b/>
          <w:sz w:val="20"/>
          <w:szCs w:val="20"/>
        </w:rPr>
        <w:t>human KRAS</w:t>
      </w:r>
      <w:r w:rsidR="00457A1A" w:rsidRPr="00E448CD">
        <w:rPr>
          <w:rFonts w:ascii="Arial" w:hAnsi="Arial" w:cs="Arial"/>
          <w:b/>
          <w:sz w:val="20"/>
          <w:szCs w:val="20"/>
        </w:rPr>
        <w:t>4b</w:t>
      </w:r>
      <w:r w:rsidR="00F741A5" w:rsidRPr="00E448CD">
        <w:rPr>
          <w:rFonts w:ascii="Arial" w:hAnsi="Arial" w:cs="Arial"/>
          <w:b/>
          <w:sz w:val="20"/>
          <w:szCs w:val="20"/>
        </w:rPr>
        <w:t>pdb (6CU6)</w:t>
      </w:r>
    </w:p>
    <w:tbl>
      <w:tblPr>
        <w:tblStyle w:val="TableGrid"/>
        <w:tblW w:w="9083" w:type="dxa"/>
        <w:tblLayout w:type="fixed"/>
        <w:tblLook w:val="04A0" w:firstRow="1" w:lastRow="0" w:firstColumn="1" w:lastColumn="0" w:noHBand="0" w:noVBand="1"/>
      </w:tblPr>
      <w:tblGrid>
        <w:gridCol w:w="817"/>
        <w:gridCol w:w="1181"/>
        <w:gridCol w:w="1229"/>
        <w:gridCol w:w="3260"/>
        <w:gridCol w:w="2596"/>
      </w:tblGrid>
      <w:tr w:rsidR="00801B06" w:rsidRPr="00E448CD" w14:paraId="5506A270" w14:textId="77777777" w:rsidTr="0019559B">
        <w:tc>
          <w:tcPr>
            <w:tcW w:w="817" w:type="dxa"/>
          </w:tcPr>
          <w:p w14:paraId="2348D334" w14:textId="77777777" w:rsidR="00801B06" w:rsidRPr="00E448CD" w:rsidRDefault="00801B06" w:rsidP="00801B06">
            <w:pPr>
              <w:rPr>
                <w:rFonts w:ascii="Arial" w:hAnsi="Arial" w:cs="Arial"/>
                <w:sz w:val="20"/>
                <w:szCs w:val="20"/>
              </w:rPr>
            </w:pPr>
            <w:r w:rsidRPr="00E448CD">
              <w:rPr>
                <w:rFonts w:ascii="Arial" w:hAnsi="Arial" w:cs="Arial"/>
                <w:sz w:val="20"/>
                <w:szCs w:val="20"/>
              </w:rPr>
              <w:t>Sr No.</w:t>
            </w:r>
          </w:p>
        </w:tc>
        <w:tc>
          <w:tcPr>
            <w:tcW w:w="1181" w:type="dxa"/>
          </w:tcPr>
          <w:p w14:paraId="3BDB255E" w14:textId="77777777" w:rsidR="00801B06" w:rsidRPr="00E448CD" w:rsidRDefault="00801B06" w:rsidP="00801B06">
            <w:pPr>
              <w:rPr>
                <w:rFonts w:ascii="Arial" w:hAnsi="Arial" w:cs="Arial"/>
                <w:sz w:val="20"/>
                <w:szCs w:val="20"/>
              </w:rPr>
            </w:pPr>
            <w:r w:rsidRPr="00E448CD">
              <w:rPr>
                <w:rFonts w:ascii="Arial" w:hAnsi="Arial" w:cs="Arial"/>
                <w:sz w:val="20"/>
                <w:szCs w:val="20"/>
              </w:rPr>
              <w:t>code</w:t>
            </w:r>
          </w:p>
        </w:tc>
        <w:tc>
          <w:tcPr>
            <w:tcW w:w="1229" w:type="dxa"/>
          </w:tcPr>
          <w:p w14:paraId="613558D2" w14:textId="77777777" w:rsidR="00801B06" w:rsidRPr="00E448CD" w:rsidRDefault="00801B06" w:rsidP="00801B06">
            <w:pPr>
              <w:rPr>
                <w:rFonts w:ascii="Arial" w:hAnsi="Arial" w:cs="Arial"/>
                <w:sz w:val="20"/>
                <w:szCs w:val="20"/>
              </w:rPr>
            </w:pPr>
            <w:proofErr w:type="spellStart"/>
            <w:r w:rsidRPr="00E448CD">
              <w:rPr>
                <w:rFonts w:ascii="Arial" w:hAnsi="Arial" w:cs="Arial"/>
                <w:sz w:val="20"/>
                <w:szCs w:val="20"/>
              </w:rPr>
              <w:t>Moldock</w:t>
            </w:r>
            <w:proofErr w:type="spellEnd"/>
            <w:r w:rsidRPr="00E448CD">
              <w:rPr>
                <w:rFonts w:ascii="Arial" w:hAnsi="Arial" w:cs="Arial"/>
                <w:sz w:val="20"/>
                <w:szCs w:val="20"/>
              </w:rPr>
              <w:t xml:space="preserve"> score</w:t>
            </w:r>
          </w:p>
        </w:tc>
        <w:tc>
          <w:tcPr>
            <w:tcW w:w="3260" w:type="dxa"/>
          </w:tcPr>
          <w:p w14:paraId="569D49AD" w14:textId="77777777" w:rsidR="00801B06" w:rsidRPr="00E448CD" w:rsidRDefault="00801B06" w:rsidP="00801B06">
            <w:pPr>
              <w:rPr>
                <w:rFonts w:ascii="Arial" w:hAnsi="Arial" w:cs="Arial"/>
                <w:sz w:val="20"/>
                <w:szCs w:val="20"/>
              </w:rPr>
            </w:pPr>
            <w:r w:rsidRPr="00E448CD">
              <w:rPr>
                <w:rFonts w:ascii="Arial" w:hAnsi="Arial" w:cs="Arial"/>
                <w:sz w:val="20"/>
                <w:szCs w:val="20"/>
              </w:rPr>
              <w:t>H bond</w:t>
            </w:r>
          </w:p>
        </w:tc>
        <w:tc>
          <w:tcPr>
            <w:tcW w:w="2596" w:type="dxa"/>
          </w:tcPr>
          <w:p w14:paraId="6B20666F" w14:textId="77777777" w:rsidR="00801B06" w:rsidRPr="00E448CD" w:rsidRDefault="00801B06" w:rsidP="00801B06">
            <w:pPr>
              <w:rPr>
                <w:rFonts w:ascii="Arial" w:hAnsi="Arial" w:cs="Arial"/>
                <w:sz w:val="20"/>
                <w:szCs w:val="20"/>
              </w:rPr>
            </w:pPr>
            <w:r w:rsidRPr="00E448CD">
              <w:rPr>
                <w:rFonts w:ascii="Arial" w:hAnsi="Arial" w:cs="Arial"/>
                <w:sz w:val="20"/>
                <w:szCs w:val="20"/>
              </w:rPr>
              <w:t xml:space="preserve">Steric interaction </w:t>
            </w:r>
          </w:p>
        </w:tc>
      </w:tr>
      <w:tr w:rsidR="0019559B" w:rsidRPr="00E448CD" w14:paraId="2F49C2D5" w14:textId="77777777" w:rsidTr="0019559B">
        <w:tc>
          <w:tcPr>
            <w:tcW w:w="817" w:type="dxa"/>
          </w:tcPr>
          <w:p w14:paraId="7A92951A" w14:textId="77777777" w:rsidR="0019559B" w:rsidRPr="00E448CD" w:rsidRDefault="0019559B" w:rsidP="004A06E1">
            <w:pPr>
              <w:pStyle w:val="ListParagraph"/>
              <w:numPr>
                <w:ilvl w:val="0"/>
                <w:numId w:val="2"/>
              </w:numPr>
              <w:rPr>
                <w:rFonts w:ascii="Arial" w:hAnsi="Arial" w:cs="Arial"/>
                <w:sz w:val="20"/>
                <w:szCs w:val="20"/>
              </w:rPr>
            </w:pPr>
          </w:p>
        </w:tc>
        <w:tc>
          <w:tcPr>
            <w:tcW w:w="1181" w:type="dxa"/>
          </w:tcPr>
          <w:p w14:paraId="646EEE4B" w14:textId="77777777" w:rsidR="0019559B" w:rsidRPr="00E448CD" w:rsidRDefault="0019559B" w:rsidP="004A06E1">
            <w:pPr>
              <w:rPr>
                <w:rFonts w:ascii="Arial" w:hAnsi="Arial" w:cs="Arial"/>
                <w:sz w:val="20"/>
                <w:szCs w:val="20"/>
              </w:rPr>
            </w:pPr>
            <w:r w:rsidRPr="00E448CD">
              <w:rPr>
                <w:rFonts w:ascii="Arial" w:hAnsi="Arial" w:cs="Arial"/>
                <w:sz w:val="20"/>
                <w:szCs w:val="20"/>
              </w:rPr>
              <w:t>Co-crystallized</w:t>
            </w:r>
          </w:p>
          <w:p w14:paraId="0EB8AA29" w14:textId="77777777" w:rsidR="0019559B" w:rsidRPr="00E448CD" w:rsidRDefault="0019559B" w:rsidP="004A06E1">
            <w:pPr>
              <w:rPr>
                <w:rFonts w:ascii="Arial" w:hAnsi="Arial" w:cs="Arial"/>
                <w:sz w:val="20"/>
                <w:szCs w:val="20"/>
              </w:rPr>
            </w:pPr>
            <w:r w:rsidRPr="00E448CD">
              <w:rPr>
                <w:rFonts w:ascii="Arial" w:hAnsi="Arial" w:cs="Arial"/>
                <w:sz w:val="20"/>
                <w:szCs w:val="20"/>
              </w:rPr>
              <w:t>ligand</w:t>
            </w:r>
          </w:p>
        </w:tc>
        <w:tc>
          <w:tcPr>
            <w:tcW w:w="1229" w:type="dxa"/>
          </w:tcPr>
          <w:p w14:paraId="5D64A47C" w14:textId="77777777" w:rsidR="0019559B" w:rsidRPr="00E448CD" w:rsidRDefault="0019559B" w:rsidP="004A06E1">
            <w:pPr>
              <w:rPr>
                <w:rFonts w:ascii="Arial" w:hAnsi="Arial" w:cs="Arial"/>
                <w:sz w:val="20"/>
                <w:szCs w:val="20"/>
              </w:rPr>
            </w:pPr>
            <w:r w:rsidRPr="00E448CD">
              <w:rPr>
                <w:rFonts w:ascii="Arial" w:hAnsi="Arial" w:cs="Arial"/>
                <w:sz w:val="20"/>
                <w:szCs w:val="20"/>
              </w:rPr>
              <w:t>-250.535</w:t>
            </w:r>
          </w:p>
        </w:tc>
        <w:tc>
          <w:tcPr>
            <w:tcW w:w="3260" w:type="dxa"/>
          </w:tcPr>
          <w:p w14:paraId="79070EB9" w14:textId="77777777" w:rsidR="0019559B" w:rsidRPr="00E448CD" w:rsidRDefault="0019559B" w:rsidP="004A06E1">
            <w:pPr>
              <w:rPr>
                <w:rFonts w:ascii="Arial" w:hAnsi="Arial" w:cs="Arial"/>
                <w:sz w:val="20"/>
                <w:szCs w:val="20"/>
              </w:rPr>
            </w:pPr>
            <w:r w:rsidRPr="00E448CD">
              <w:rPr>
                <w:rFonts w:ascii="Arial" w:hAnsi="Arial" w:cs="Arial"/>
                <w:sz w:val="20"/>
                <w:szCs w:val="20"/>
              </w:rPr>
              <w:t xml:space="preserve">ASP119, Ala 146, </w:t>
            </w:r>
            <w:proofErr w:type="spellStart"/>
            <w:r w:rsidRPr="00E448CD">
              <w:rPr>
                <w:rFonts w:ascii="Arial" w:hAnsi="Arial" w:cs="Arial"/>
                <w:sz w:val="20"/>
                <w:szCs w:val="20"/>
              </w:rPr>
              <w:t>Asn</w:t>
            </w:r>
            <w:proofErr w:type="spellEnd"/>
            <w:r w:rsidRPr="00E448CD">
              <w:rPr>
                <w:rFonts w:ascii="Arial" w:hAnsi="Arial" w:cs="Arial"/>
                <w:sz w:val="20"/>
                <w:szCs w:val="20"/>
              </w:rPr>
              <w:t xml:space="preserve"> 116, lys117, Ser 11, Ala18, Lys 16, </w:t>
            </w:r>
            <w:proofErr w:type="spellStart"/>
            <w:r w:rsidRPr="00E448CD">
              <w:rPr>
                <w:rFonts w:ascii="Arial" w:hAnsi="Arial" w:cs="Arial"/>
                <w:sz w:val="20"/>
                <w:szCs w:val="20"/>
              </w:rPr>
              <w:t>Gly</w:t>
            </w:r>
            <w:proofErr w:type="spellEnd"/>
            <w:r w:rsidRPr="00E448CD">
              <w:rPr>
                <w:rFonts w:ascii="Arial" w:hAnsi="Arial" w:cs="Arial"/>
                <w:sz w:val="20"/>
                <w:szCs w:val="20"/>
              </w:rPr>
              <w:t xml:space="preserve"> 16, Gly15, </w:t>
            </w:r>
            <w:proofErr w:type="spellStart"/>
            <w:r w:rsidRPr="00E448CD">
              <w:rPr>
                <w:rFonts w:ascii="Arial" w:hAnsi="Arial" w:cs="Arial"/>
                <w:sz w:val="20"/>
                <w:szCs w:val="20"/>
              </w:rPr>
              <w:t>Thr</w:t>
            </w:r>
            <w:proofErr w:type="spellEnd"/>
            <w:r w:rsidRPr="00E448CD">
              <w:rPr>
                <w:rFonts w:ascii="Arial" w:hAnsi="Arial" w:cs="Arial"/>
                <w:sz w:val="20"/>
                <w:szCs w:val="20"/>
              </w:rPr>
              <w:t xml:space="preserve"> 35, Tyr 32, Arg 12, Asp 30, Val 29</w:t>
            </w:r>
          </w:p>
        </w:tc>
        <w:tc>
          <w:tcPr>
            <w:tcW w:w="2596" w:type="dxa"/>
          </w:tcPr>
          <w:p w14:paraId="1ECCBBB5" w14:textId="77777777" w:rsidR="0019559B" w:rsidRPr="00E448CD" w:rsidRDefault="0019559B" w:rsidP="004A06E1">
            <w:pPr>
              <w:rPr>
                <w:rFonts w:ascii="Arial" w:hAnsi="Arial" w:cs="Arial"/>
                <w:sz w:val="20"/>
                <w:szCs w:val="20"/>
              </w:rPr>
            </w:pPr>
            <w:proofErr w:type="spellStart"/>
            <w:r w:rsidRPr="00E448CD">
              <w:rPr>
                <w:rFonts w:ascii="Arial" w:hAnsi="Arial" w:cs="Arial"/>
                <w:sz w:val="20"/>
                <w:szCs w:val="20"/>
              </w:rPr>
              <w:t>Arg</w:t>
            </w:r>
            <w:proofErr w:type="spellEnd"/>
            <w:r w:rsidRPr="00E448CD">
              <w:rPr>
                <w:rFonts w:ascii="Arial" w:hAnsi="Arial" w:cs="Arial"/>
                <w:sz w:val="20"/>
                <w:szCs w:val="20"/>
              </w:rPr>
              <w:t xml:space="preserve"> 12, </w:t>
            </w:r>
            <w:proofErr w:type="spellStart"/>
            <w:r w:rsidRPr="00E448CD">
              <w:rPr>
                <w:rFonts w:ascii="Arial" w:hAnsi="Arial" w:cs="Arial"/>
                <w:sz w:val="20"/>
                <w:szCs w:val="20"/>
              </w:rPr>
              <w:t>Thr</w:t>
            </w:r>
            <w:proofErr w:type="spellEnd"/>
            <w:r w:rsidRPr="00E448CD">
              <w:rPr>
                <w:rFonts w:ascii="Arial" w:hAnsi="Arial" w:cs="Arial"/>
                <w:sz w:val="20"/>
                <w:szCs w:val="20"/>
              </w:rPr>
              <w:t xml:space="preserve"> 35, </w:t>
            </w:r>
            <w:proofErr w:type="spellStart"/>
            <w:r w:rsidRPr="00E448CD">
              <w:rPr>
                <w:rFonts w:ascii="Arial" w:hAnsi="Arial" w:cs="Arial"/>
                <w:sz w:val="20"/>
                <w:szCs w:val="20"/>
              </w:rPr>
              <w:t>Gly</w:t>
            </w:r>
            <w:proofErr w:type="spellEnd"/>
            <w:r w:rsidRPr="00E448CD">
              <w:rPr>
                <w:rFonts w:ascii="Arial" w:hAnsi="Arial" w:cs="Arial"/>
                <w:sz w:val="20"/>
                <w:szCs w:val="20"/>
              </w:rPr>
              <w:t xml:space="preserve"> 13, Gly 60</w:t>
            </w:r>
          </w:p>
        </w:tc>
      </w:tr>
      <w:tr w:rsidR="0019559B" w:rsidRPr="00E448CD" w14:paraId="7D23F13D" w14:textId="77777777" w:rsidTr="0019559B">
        <w:tc>
          <w:tcPr>
            <w:tcW w:w="817" w:type="dxa"/>
          </w:tcPr>
          <w:p w14:paraId="3BC42212"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6E5BEB52" w14:textId="77777777" w:rsidR="0019559B" w:rsidRPr="00E448CD" w:rsidRDefault="0019559B" w:rsidP="000766C3">
            <w:pPr>
              <w:rPr>
                <w:rFonts w:ascii="Arial" w:hAnsi="Arial" w:cs="Arial"/>
                <w:sz w:val="20"/>
                <w:szCs w:val="20"/>
              </w:rPr>
            </w:pPr>
            <w:r w:rsidRPr="00E448CD">
              <w:rPr>
                <w:rFonts w:ascii="Arial" w:hAnsi="Arial" w:cs="Arial"/>
                <w:sz w:val="20"/>
                <w:szCs w:val="20"/>
              </w:rPr>
              <w:t>FA1</w:t>
            </w:r>
          </w:p>
        </w:tc>
        <w:tc>
          <w:tcPr>
            <w:tcW w:w="1229" w:type="dxa"/>
          </w:tcPr>
          <w:p w14:paraId="575FA060" w14:textId="77777777" w:rsidR="0019559B" w:rsidRPr="00E448CD" w:rsidRDefault="0019559B" w:rsidP="000766C3">
            <w:pPr>
              <w:rPr>
                <w:rFonts w:ascii="Arial" w:hAnsi="Arial" w:cs="Arial"/>
                <w:sz w:val="20"/>
                <w:szCs w:val="20"/>
              </w:rPr>
            </w:pPr>
            <w:r w:rsidRPr="00E448CD">
              <w:rPr>
                <w:rFonts w:ascii="Arial" w:hAnsi="Arial" w:cs="Arial"/>
                <w:sz w:val="20"/>
                <w:szCs w:val="20"/>
              </w:rPr>
              <w:t>-144.206</w:t>
            </w:r>
          </w:p>
        </w:tc>
        <w:tc>
          <w:tcPr>
            <w:tcW w:w="3260" w:type="dxa"/>
          </w:tcPr>
          <w:p w14:paraId="0A9858D2" w14:textId="77777777" w:rsidR="0019559B" w:rsidRPr="00E448CD" w:rsidRDefault="0019559B" w:rsidP="000766C3">
            <w:pPr>
              <w:rPr>
                <w:rFonts w:ascii="Arial" w:hAnsi="Arial" w:cs="Arial"/>
                <w:sz w:val="20"/>
                <w:szCs w:val="20"/>
              </w:rPr>
            </w:pPr>
            <w:r w:rsidRPr="00E448CD">
              <w:rPr>
                <w:rFonts w:ascii="Arial" w:hAnsi="Arial" w:cs="Arial"/>
                <w:sz w:val="20"/>
                <w:szCs w:val="20"/>
              </w:rPr>
              <w:t>Ser 145, Asp 119, Lys 147</w:t>
            </w:r>
          </w:p>
        </w:tc>
        <w:tc>
          <w:tcPr>
            <w:tcW w:w="2596" w:type="dxa"/>
          </w:tcPr>
          <w:p w14:paraId="119430E1" w14:textId="77777777" w:rsidR="0019559B" w:rsidRPr="00E448CD" w:rsidRDefault="0019559B" w:rsidP="000766C3">
            <w:pPr>
              <w:rPr>
                <w:rFonts w:ascii="Arial" w:hAnsi="Arial" w:cs="Arial"/>
                <w:sz w:val="20"/>
                <w:szCs w:val="20"/>
              </w:rPr>
            </w:pPr>
            <w:proofErr w:type="spellStart"/>
            <w:r w:rsidRPr="00E448CD">
              <w:rPr>
                <w:rFonts w:ascii="Arial" w:hAnsi="Arial" w:cs="Arial"/>
                <w:sz w:val="20"/>
                <w:szCs w:val="20"/>
              </w:rPr>
              <w:t>Thr</w:t>
            </w:r>
            <w:proofErr w:type="spellEnd"/>
            <w:r w:rsidRPr="00E448CD">
              <w:rPr>
                <w:rFonts w:ascii="Arial" w:hAnsi="Arial" w:cs="Arial"/>
                <w:sz w:val="20"/>
                <w:szCs w:val="20"/>
              </w:rPr>
              <w:t xml:space="preserve"> 35, </w:t>
            </w:r>
            <w:proofErr w:type="spellStart"/>
            <w:r w:rsidRPr="00E448CD">
              <w:rPr>
                <w:rFonts w:ascii="Arial" w:hAnsi="Arial" w:cs="Arial"/>
                <w:sz w:val="20"/>
                <w:szCs w:val="20"/>
              </w:rPr>
              <w:t>Gly</w:t>
            </w:r>
            <w:proofErr w:type="spellEnd"/>
            <w:r w:rsidRPr="00E448CD">
              <w:rPr>
                <w:rFonts w:ascii="Arial" w:hAnsi="Arial" w:cs="Arial"/>
                <w:sz w:val="20"/>
                <w:szCs w:val="20"/>
              </w:rPr>
              <w:t xml:space="preserve"> 15, </w:t>
            </w:r>
            <w:proofErr w:type="spellStart"/>
            <w:r w:rsidRPr="00E448CD">
              <w:rPr>
                <w:rFonts w:ascii="Arial" w:hAnsi="Arial" w:cs="Arial"/>
                <w:sz w:val="20"/>
                <w:szCs w:val="20"/>
              </w:rPr>
              <w:t>Asn</w:t>
            </w:r>
            <w:proofErr w:type="spellEnd"/>
            <w:r w:rsidRPr="00E448CD">
              <w:rPr>
                <w:rFonts w:ascii="Arial" w:hAnsi="Arial" w:cs="Arial"/>
                <w:sz w:val="20"/>
                <w:szCs w:val="20"/>
              </w:rPr>
              <w:t xml:space="preserve"> 116, Lys 147, Ala 146</w:t>
            </w:r>
          </w:p>
        </w:tc>
      </w:tr>
      <w:tr w:rsidR="0019559B" w:rsidRPr="00E448CD" w14:paraId="17D7CE08" w14:textId="77777777" w:rsidTr="0019559B">
        <w:tc>
          <w:tcPr>
            <w:tcW w:w="817" w:type="dxa"/>
          </w:tcPr>
          <w:p w14:paraId="66EAB8A1"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55B9E1E9" w14:textId="77777777" w:rsidR="0019559B" w:rsidRPr="00E448CD" w:rsidRDefault="0019559B" w:rsidP="000766C3">
            <w:pPr>
              <w:rPr>
                <w:rFonts w:ascii="Arial" w:hAnsi="Arial" w:cs="Arial"/>
                <w:sz w:val="20"/>
                <w:szCs w:val="20"/>
              </w:rPr>
            </w:pPr>
            <w:r w:rsidRPr="00E448CD">
              <w:rPr>
                <w:rFonts w:ascii="Arial" w:hAnsi="Arial" w:cs="Arial"/>
                <w:sz w:val="20"/>
                <w:szCs w:val="20"/>
              </w:rPr>
              <w:t>FA2</w:t>
            </w:r>
          </w:p>
        </w:tc>
        <w:tc>
          <w:tcPr>
            <w:tcW w:w="1229" w:type="dxa"/>
          </w:tcPr>
          <w:p w14:paraId="571C9749" w14:textId="77777777" w:rsidR="0019559B" w:rsidRPr="00E448CD" w:rsidRDefault="0019559B" w:rsidP="000766C3">
            <w:pPr>
              <w:rPr>
                <w:rFonts w:ascii="Arial" w:hAnsi="Arial" w:cs="Arial"/>
                <w:sz w:val="20"/>
                <w:szCs w:val="20"/>
              </w:rPr>
            </w:pPr>
            <w:r w:rsidRPr="00E448CD">
              <w:rPr>
                <w:rFonts w:ascii="Arial" w:hAnsi="Arial" w:cs="Arial"/>
                <w:sz w:val="20"/>
                <w:szCs w:val="20"/>
              </w:rPr>
              <w:t>-139.333</w:t>
            </w:r>
          </w:p>
        </w:tc>
        <w:tc>
          <w:tcPr>
            <w:tcW w:w="3260" w:type="dxa"/>
          </w:tcPr>
          <w:p w14:paraId="7EE4BE15" w14:textId="77777777" w:rsidR="0019559B" w:rsidRPr="00E448CD" w:rsidRDefault="0019559B" w:rsidP="000766C3">
            <w:pPr>
              <w:rPr>
                <w:rFonts w:ascii="Arial" w:hAnsi="Arial" w:cs="Arial"/>
                <w:sz w:val="20"/>
                <w:szCs w:val="20"/>
              </w:rPr>
            </w:pPr>
            <w:r w:rsidRPr="00E448CD">
              <w:rPr>
                <w:rFonts w:ascii="Arial" w:hAnsi="Arial" w:cs="Arial"/>
                <w:sz w:val="20"/>
                <w:szCs w:val="20"/>
              </w:rPr>
              <w:t xml:space="preserve">Lys 16, Asp 33, </w:t>
            </w:r>
            <w:proofErr w:type="spellStart"/>
            <w:r w:rsidRPr="00E448CD">
              <w:rPr>
                <w:rFonts w:ascii="Arial" w:hAnsi="Arial" w:cs="Arial"/>
                <w:sz w:val="20"/>
                <w:szCs w:val="20"/>
              </w:rPr>
              <w:t>Thr</w:t>
            </w:r>
            <w:proofErr w:type="spellEnd"/>
            <w:r w:rsidRPr="00E448CD">
              <w:rPr>
                <w:rFonts w:ascii="Arial" w:hAnsi="Arial" w:cs="Arial"/>
                <w:sz w:val="20"/>
                <w:szCs w:val="20"/>
              </w:rPr>
              <w:t xml:space="preserve"> 35</w:t>
            </w:r>
          </w:p>
        </w:tc>
        <w:tc>
          <w:tcPr>
            <w:tcW w:w="2596" w:type="dxa"/>
          </w:tcPr>
          <w:p w14:paraId="285D216B" w14:textId="77777777" w:rsidR="0019559B" w:rsidRPr="00E448CD" w:rsidRDefault="0019559B" w:rsidP="000766C3">
            <w:pPr>
              <w:rPr>
                <w:rFonts w:ascii="Arial" w:hAnsi="Arial" w:cs="Arial"/>
                <w:sz w:val="20"/>
                <w:szCs w:val="20"/>
              </w:rPr>
            </w:pPr>
            <w:proofErr w:type="spellStart"/>
            <w:r w:rsidRPr="00E448CD">
              <w:rPr>
                <w:rFonts w:ascii="Arial" w:hAnsi="Arial" w:cs="Arial"/>
                <w:sz w:val="20"/>
                <w:szCs w:val="20"/>
              </w:rPr>
              <w:t>Asn</w:t>
            </w:r>
            <w:proofErr w:type="spellEnd"/>
            <w:r w:rsidRPr="00E448CD">
              <w:rPr>
                <w:rFonts w:ascii="Arial" w:hAnsi="Arial" w:cs="Arial"/>
                <w:sz w:val="20"/>
                <w:szCs w:val="20"/>
              </w:rPr>
              <w:t xml:space="preserve"> 116, Asp 119, Lys 16, Asp 33</w:t>
            </w:r>
          </w:p>
        </w:tc>
      </w:tr>
      <w:tr w:rsidR="0019559B" w:rsidRPr="00E448CD" w14:paraId="30189C92" w14:textId="77777777" w:rsidTr="0019559B">
        <w:tc>
          <w:tcPr>
            <w:tcW w:w="817" w:type="dxa"/>
          </w:tcPr>
          <w:p w14:paraId="4D07B94F"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3C5CF294" w14:textId="77777777" w:rsidR="0019559B" w:rsidRPr="00E448CD" w:rsidRDefault="0019559B" w:rsidP="000766C3">
            <w:pPr>
              <w:rPr>
                <w:rFonts w:ascii="Arial" w:hAnsi="Arial" w:cs="Arial"/>
                <w:sz w:val="20"/>
                <w:szCs w:val="20"/>
              </w:rPr>
            </w:pPr>
            <w:r w:rsidRPr="00E448CD">
              <w:rPr>
                <w:rFonts w:ascii="Arial" w:hAnsi="Arial" w:cs="Arial"/>
                <w:sz w:val="20"/>
                <w:szCs w:val="20"/>
              </w:rPr>
              <w:t>FA3</w:t>
            </w:r>
          </w:p>
        </w:tc>
        <w:tc>
          <w:tcPr>
            <w:tcW w:w="1229" w:type="dxa"/>
          </w:tcPr>
          <w:p w14:paraId="54D2DA4D" w14:textId="77777777" w:rsidR="0019559B" w:rsidRPr="00E448CD" w:rsidRDefault="0019559B" w:rsidP="000766C3">
            <w:pPr>
              <w:rPr>
                <w:rFonts w:ascii="Arial" w:hAnsi="Arial" w:cs="Arial"/>
                <w:sz w:val="20"/>
                <w:szCs w:val="20"/>
              </w:rPr>
            </w:pPr>
            <w:r w:rsidRPr="00E448CD">
              <w:rPr>
                <w:rFonts w:ascii="Arial" w:hAnsi="Arial" w:cs="Arial"/>
                <w:sz w:val="20"/>
                <w:szCs w:val="20"/>
              </w:rPr>
              <w:t>-134.734</w:t>
            </w:r>
          </w:p>
        </w:tc>
        <w:tc>
          <w:tcPr>
            <w:tcW w:w="3260" w:type="dxa"/>
          </w:tcPr>
          <w:p w14:paraId="380DA134" w14:textId="77777777" w:rsidR="0019559B" w:rsidRPr="00E448CD" w:rsidRDefault="0019559B" w:rsidP="000766C3">
            <w:pPr>
              <w:rPr>
                <w:rFonts w:ascii="Arial" w:hAnsi="Arial" w:cs="Arial"/>
                <w:sz w:val="20"/>
                <w:szCs w:val="20"/>
              </w:rPr>
            </w:pPr>
            <w:r w:rsidRPr="00E448CD">
              <w:rPr>
                <w:rFonts w:ascii="Arial" w:hAnsi="Arial" w:cs="Arial"/>
                <w:sz w:val="20"/>
                <w:szCs w:val="20"/>
              </w:rPr>
              <w:t>Gly 15, Lys 16, Ser 145, Asp 119, Lys 147</w:t>
            </w:r>
          </w:p>
        </w:tc>
        <w:tc>
          <w:tcPr>
            <w:tcW w:w="2596" w:type="dxa"/>
          </w:tcPr>
          <w:p w14:paraId="7DEE0A93" w14:textId="77777777" w:rsidR="0019559B" w:rsidRPr="00E448CD" w:rsidRDefault="0019559B" w:rsidP="000766C3">
            <w:pPr>
              <w:rPr>
                <w:rFonts w:ascii="Arial" w:hAnsi="Arial" w:cs="Arial"/>
                <w:sz w:val="20"/>
                <w:szCs w:val="20"/>
              </w:rPr>
            </w:pPr>
            <w:r w:rsidRPr="00E448CD">
              <w:rPr>
                <w:rFonts w:ascii="Arial" w:hAnsi="Arial" w:cs="Arial"/>
                <w:sz w:val="20"/>
                <w:szCs w:val="20"/>
              </w:rPr>
              <w:t>Gly 15, Asn116, Ala 146, Lys 147</w:t>
            </w:r>
          </w:p>
        </w:tc>
      </w:tr>
      <w:tr w:rsidR="0019559B" w:rsidRPr="00E448CD" w14:paraId="18229A4E" w14:textId="77777777" w:rsidTr="0019559B">
        <w:tc>
          <w:tcPr>
            <w:tcW w:w="817" w:type="dxa"/>
          </w:tcPr>
          <w:p w14:paraId="3B3B478F"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6C350D77" w14:textId="77777777" w:rsidR="0019559B" w:rsidRPr="00E448CD" w:rsidRDefault="0019559B" w:rsidP="000766C3">
            <w:pPr>
              <w:rPr>
                <w:rFonts w:ascii="Arial" w:hAnsi="Arial" w:cs="Arial"/>
                <w:sz w:val="20"/>
                <w:szCs w:val="20"/>
              </w:rPr>
            </w:pPr>
            <w:r w:rsidRPr="00E448CD">
              <w:rPr>
                <w:rFonts w:ascii="Arial" w:hAnsi="Arial" w:cs="Arial"/>
                <w:sz w:val="20"/>
                <w:szCs w:val="20"/>
              </w:rPr>
              <w:t>FA4</w:t>
            </w:r>
          </w:p>
        </w:tc>
        <w:tc>
          <w:tcPr>
            <w:tcW w:w="1229" w:type="dxa"/>
          </w:tcPr>
          <w:p w14:paraId="4A528A3D" w14:textId="77777777" w:rsidR="0019559B" w:rsidRPr="00E448CD" w:rsidRDefault="0019559B" w:rsidP="000766C3">
            <w:pPr>
              <w:rPr>
                <w:rFonts w:ascii="Arial" w:hAnsi="Arial" w:cs="Arial"/>
                <w:sz w:val="20"/>
                <w:szCs w:val="20"/>
              </w:rPr>
            </w:pPr>
            <w:r w:rsidRPr="00E448CD">
              <w:rPr>
                <w:rFonts w:ascii="Arial" w:hAnsi="Arial" w:cs="Arial"/>
                <w:sz w:val="20"/>
                <w:szCs w:val="20"/>
              </w:rPr>
              <w:t>-133.487</w:t>
            </w:r>
          </w:p>
        </w:tc>
        <w:tc>
          <w:tcPr>
            <w:tcW w:w="3260" w:type="dxa"/>
          </w:tcPr>
          <w:p w14:paraId="5B8E1150" w14:textId="77777777" w:rsidR="0019559B" w:rsidRPr="00E448CD" w:rsidRDefault="0019559B" w:rsidP="000766C3">
            <w:pPr>
              <w:rPr>
                <w:rFonts w:ascii="Arial" w:hAnsi="Arial" w:cs="Arial"/>
                <w:sz w:val="20"/>
                <w:szCs w:val="20"/>
              </w:rPr>
            </w:pPr>
            <w:r w:rsidRPr="00E448CD">
              <w:rPr>
                <w:rFonts w:ascii="Arial" w:hAnsi="Arial" w:cs="Arial"/>
                <w:sz w:val="20"/>
                <w:szCs w:val="20"/>
              </w:rPr>
              <w:t xml:space="preserve">Ala 146, Lys 147, Gly 13, Ser 17, </w:t>
            </w:r>
            <w:proofErr w:type="spellStart"/>
            <w:r w:rsidRPr="00E448CD">
              <w:rPr>
                <w:rFonts w:ascii="Arial" w:hAnsi="Arial" w:cs="Arial"/>
                <w:sz w:val="20"/>
                <w:szCs w:val="20"/>
              </w:rPr>
              <w:t>Thr</w:t>
            </w:r>
            <w:proofErr w:type="spellEnd"/>
            <w:r w:rsidRPr="00E448CD">
              <w:rPr>
                <w:rFonts w:ascii="Arial" w:hAnsi="Arial" w:cs="Arial"/>
                <w:sz w:val="20"/>
                <w:szCs w:val="20"/>
              </w:rPr>
              <w:t xml:space="preserve"> 35, Asp 33</w:t>
            </w:r>
          </w:p>
        </w:tc>
        <w:tc>
          <w:tcPr>
            <w:tcW w:w="2596" w:type="dxa"/>
          </w:tcPr>
          <w:p w14:paraId="743B0B04" w14:textId="77777777" w:rsidR="0019559B" w:rsidRPr="00E448CD" w:rsidRDefault="0019559B" w:rsidP="00801B06">
            <w:pPr>
              <w:ind w:left="64" w:hanging="64"/>
              <w:rPr>
                <w:rFonts w:ascii="Arial" w:hAnsi="Arial" w:cs="Arial"/>
                <w:sz w:val="20"/>
                <w:szCs w:val="20"/>
              </w:rPr>
            </w:pPr>
            <w:r w:rsidRPr="00E448CD">
              <w:rPr>
                <w:rFonts w:ascii="Arial" w:hAnsi="Arial" w:cs="Arial"/>
                <w:sz w:val="20"/>
                <w:szCs w:val="20"/>
              </w:rPr>
              <w:t>Ala 146, Asp 119, Ala 18, Lys 16</w:t>
            </w:r>
          </w:p>
        </w:tc>
      </w:tr>
      <w:tr w:rsidR="0019559B" w:rsidRPr="00E448CD" w14:paraId="6D243363" w14:textId="77777777" w:rsidTr="0019559B">
        <w:tc>
          <w:tcPr>
            <w:tcW w:w="817" w:type="dxa"/>
          </w:tcPr>
          <w:p w14:paraId="028673F0"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7B1A6A3E" w14:textId="77777777" w:rsidR="0019559B" w:rsidRPr="00E448CD" w:rsidRDefault="0019559B" w:rsidP="000766C3">
            <w:pPr>
              <w:rPr>
                <w:rFonts w:ascii="Arial" w:hAnsi="Arial" w:cs="Arial"/>
                <w:sz w:val="20"/>
                <w:szCs w:val="20"/>
              </w:rPr>
            </w:pPr>
            <w:r w:rsidRPr="00E448CD">
              <w:rPr>
                <w:rFonts w:ascii="Arial" w:hAnsi="Arial" w:cs="Arial"/>
                <w:sz w:val="20"/>
                <w:szCs w:val="20"/>
              </w:rPr>
              <w:t>FA5</w:t>
            </w:r>
          </w:p>
        </w:tc>
        <w:tc>
          <w:tcPr>
            <w:tcW w:w="1229" w:type="dxa"/>
          </w:tcPr>
          <w:p w14:paraId="3F6AC53C" w14:textId="77777777" w:rsidR="0019559B" w:rsidRPr="00E448CD" w:rsidRDefault="0019559B" w:rsidP="000766C3">
            <w:pPr>
              <w:rPr>
                <w:rFonts w:ascii="Arial" w:hAnsi="Arial" w:cs="Arial"/>
                <w:sz w:val="20"/>
                <w:szCs w:val="20"/>
              </w:rPr>
            </w:pPr>
            <w:r w:rsidRPr="00E448CD">
              <w:rPr>
                <w:rFonts w:ascii="Arial" w:hAnsi="Arial" w:cs="Arial"/>
                <w:sz w:val="20"/>
                <w:szCs w:val="20"/>
              </w:rPr>
              <w:t>-127.427</w:t>
            </w:r>
          </w:p>
        </w:tc>
        <w:tc>
          <w:tcPr>
            <w:tcW w:w="3260" w:type="dxa"/>
          </w:tcPr>
          <w:p w14:paraId="7E1D712D" w14:textId="77777777" w:rsidR="0019559B" w:rsidRPr="00E448CD" w:rsidRDefault="0019559B" w:rsidP="000766C3">
            <w:pPr>
              <w:rPr>
                <w:rFonts w:ascii="Arial" w:hAnsi="Arial" w:cs="Arial"/>
                <w:sz w:val="20"/>
                <w:szCs w:val="20"/>
              </w:rPr>
            </w:pPr>
            <w:r w:rsidRPr="00E448CD">
              <w:rPr>
                <w:rFonts w:ascii="Arial" w:hAnsi="Arial" w:cs="Arial"/>
                <w:sz w:val="20"/>
                <w:szCs w:val="20"/>
              </w:rPr>
              <w:t xml:space="preserve">Lys 16, </w:t>
            </w:r>
            <w:proofErr w:type="spellStart"/>
            <w:r w:rsidRPr="00E448CD">
              <w:rPr>
                <w:rFonts w:ascii="Arial" w:hAnsi="Arial" w:cs="Arial"/>
                <w:sz w:val="20"/>
                <w:szCs w:val="20"/>
              </w:rPr>
              <w:t>Thr</w:t>
            </w:r>
            <w:proofErr w:type="spellEnd"/>
            <w:r w:rsidRPr="00E448CD">
              <w:rPr>
                <w:rFonts w:ascii="Arial" w:hAnsi="Arial" w:cs="Arial"/>
                <w:sz w:val="20"/>
                <w:szCs w:val="20"/>
              </w:rPr>
              <w:t xml:space="preserve"> 35, Asp 33, Ser 17</w:t>
            </w:r>
          </w:p>
        </w:tc>
        <w:tc>
          <w:tcPr>
            <w:tcW w:w="2596" w:type="dxa"/>
          </w:tcPr>
          <w:p w14:paraId="4A8BB825" w14:textId="77777777" w:rsidR="0019559B" w:rsidRPr="00E448CD" w:rsidRDefault="0019559B" w:rsidP="000766C3">
            <w:pPr>
              <w:ind w:left="720" w:hanging="720"/>
              <w:rPr>
                <w:rFonts w:ascii="Arial" w:hAnsi="Arial" w:cs="Arial"/>
                <w:sz w:val="20"/>
                <w:szCs w:val="20"/>
              </w:rPr>
            </w:pPr>
            <w:r w:rsidRPr="00E448CD">
              <w:rPr>
                <w:rFonts w:ascii="Arial" w:hAnsi="Arial" w:cs="Arial"/>
                <w:sz w:val="20"/>
                <w:szCs w:val="20"/>
              </w:rPr>
              <w:t>Asp 119</w:t>
            </w:r>
          </w:p>
        </w:tc>
      </w:tr>
      <w:tr w:rsidR="0019559B" w:rsidRPr="00E448CD" w14:paraId="1320FE80" w14:textId="77777777" w:rsidTr="0019559B">
        <w:tc>
          <w:tcPr>
            <w:tcW w:w="817" w:type="dxa"/>
          </w:tcPr>
          <w:p w14:paraId="20D455E7"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0CF038FE" w14:textId="77777777" w:rsidR="0019559B" w:rsidRPr="00E448CD" w:rsidRDefault="0019559B" w:rsidP="000766C3">
            <w:pPr>
              <w:rPr>
                <w:rFonts w:ascii="Arial" w:hAnsi="Arial" w:cs="Arial"/>
                <w:sz w:val="20"/>
                <w:szCs w:val="20"/>
              </w:rPr>
            </w:pPr>
            <w:r w:rsidRPr="00E448CD">
              <w:rPr>
                <w:rFonts w:ascii="Arial" w:hAnsi="Arial" w:cs="Arial"/>
                <w:sz w:val="20"/>
                <w:szCs w:val="20"/>
              </w:rPr>
              <w:t>FA6</w:t>
            </w:r>
          </w:p>
        </w:tc>
        <w:tc>
          <w:tcPr>
            <w:tcW w:w="1229" w:type="dxa"/>
          </w:tcPr>
          <w:p w14:paraId="76C712FB" w14:textId="77777777" w:rsidR="0019559B" w:rsidRPr="00E448CD" w:rsidRDefault="0019559B" w:rsidP="000766C3">
            <w:pPr>
              <w:rPr>
                <w:rFonts w:ascii="Arial" w:hAnsi="Arial" w:cs="Arial"/>
                <w:sz w:val="20"/>
                <w:szCs w:val="20"/>
              </w:rPr>
            </w:pPr>
            <w:r w:rsidRPr="00E448CD">
              <w:rPr>
                <w:rFonts w:ascii="Arial" w:hAnsi="Arial" w:cs="Arial"/>
                <w:sz w:val="20"/>
                <w:szCs w:val="20"/>
              </w:rPr>
              <w:t>-172.896</w:t>
            </w:r>
          </w:p>
        </w:tc>
        <w:tc>
          <w:tcPr>
            <w:tcW w:w="3260" w:type="dxa"/>
          </w:tcPr>
          <w:p w14:paraId="4E30158D" w14:textId="77777777" w:rsidR="0019559B" w:rsidRPr="00E448CD" w:rsidRDefault="0019559B" w:rsidP="000766C3">
            <w:pPr>
              <w:rPr>
                <w:rFonts w:ascii="Arial" w:hAnsi="Arial" w:cs="Arial"/>
                <w:sz w:val="20"/>
                <w:szCs w:val="20"/>
              </w:rPr>
            </w:pPr>
            <w:r w:rsidRPr="00E448CD">
              <w:rPr>
                <w:rFonts w:ascii="Arial" w:hAnsi="Arial" w:cs="Arial"/>
                <w:sz w:val="20"/>
                <w:szCs w:val="20"/>
              </w:rPr>
              <w:t xml:space="preserve">Ala 146, Lys 147, Asp 119, </w:t>
            </w:r>
            <w:proofErr w:type="spellStart"/>
            <w:r w:rsidRPr="00E448CD">
              <w:rPr>
                <w:rFonts w:ascii="Arial" w:hAnsi="Arial" w:cs="Arial"/>
                <w:sz w:val="20"/>
                <w:szCs w:val="20"/>
              </w:rPr>
              <w:t>Thr</w:t>
            </w:r>
            <w:proofErr w:type="spellEnd"/>
            <w:r w:rsidRPr="00E448CD">
              <w:rPr>
                <w:rFonts w:ascii="Arial" w:hAnsi="Arial" w:cs="Arial"/>
                <w:sz w:val="20"/>
                <w:szCs w:val="20"/>
              </w:rPr>
              <w:t xml:space="preserve"> 35, Ser 17, Asp 33, Tyr 32, Arg 12, Gly 60, Lys 16</w:t>
            </w:r>
          </w:p>
        </w:tc>
        <w:tc>
          <w:tcPr>
            <w:tcW w:w="2596" w:type="dxa"/>
          </w:tcPr>
          <w:p w14:paraId="25B7B17E" w14:textId="77777777" w:rsidR="0019559B" w:rsidRPr="00E448CD" w:rsidRDefault="0019559B" w:rsidP="00801B06">
            <w:pPr>
              <w:ind w:left="64" w:hanging="64"/>
              <w:rPr>
                <w:rFonts w:ascii="Arial" w:hAnsi="Arial" w:cs="Arial"/>
                <w:sz w:val="20"/>
                <w:szCs w:val="20"/>
              </w:rPr>
            </w:pPr>
            <w:r w:rsidRPr="00E448CD">
              <w:rPr>
                <w:rFonts w:ascii="Arial" w:hAnsi="Arial" w:cs="Arial"/>
                <w:sz w:val="20"/>
                <w:szCs w:val="20"/>
              </w:rPr>
              <w:t>Gly 13, Ala 146, Lys 116, Asp 119</w:t>
            </w:r>
          </w:p>
        </w:tc>
      </w:tr>
      <w:tr w:rsidR="0019559B" w:rsidRPr="00E448CD" w14:paraId="1544BB22" w14:textId="77777777" w:rsidTr="0019559B">
        <w:tc>
          <w:tcPr>
            <w:tcW w:w="817" w:type="dxa"/>
          </w:tcPr>
          <w:p w14:paraId="73D0322A"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152161E8" w14:textId="77777777" w:rsidR="0019559B" w:rsidRPr="00E448CD" w:rsidRDefault="0019559B" w:rsidP="000766C3">
            <w:pPr>
              <w:rPr>
                <w:rFonts w:ascii="Arial" w:hAnsi="Arial" w:cs="Arial"/>
                <w:sz w:val="20"/>
                <w:szCs w:val="20"/>
              </w:rPr>
            </w:pPr>
            <w:r w:rsidRPr="00E448CD">
              <w:rPr>
                <w:rFonts w:ascii="Arial" w:hAnsi="Arial" w:cs="Arial"/>
                <w:sz w:val="20"/>
                <w:szCs w:val="20"/>
              </w:rPr>
              <w:t>FA7</w:t>
            </w:r>
          </w:p>
        </w:tc>
        <w:tc>
          <w:tcPr>
            <w:tcW w:w="1229" w:type="dxa"/>
          </w:tcPr>
          <w:p w14:paraId="3CB5C372" w14:textId="77777777" w:rsidR="0019559B" w:rsidRPr="00E448CD" w:rsidRDefault="0019559B" w:rsidP="000766C3">
            <w:pPr>
              <w:rPr>
                <w:rFonts w:ascii="Arial" w:hAnsi="Arial" w:cs="Arial"/>
                <w:sz w:val="20"/>
                <w:szCs w:val="20"/>
              </w:rPr>
            </w:pPr>
            <w:r w:rsidRPr="00E448CD">
              <w:rPr>
                <w:rFonts w:ascii="Arial" w:hAnsi="Arial" w:cs="Arial"/>
                <w:sz w:val="20"/>
                <w:szCs w:val="20"/>
              </w:rPr>
              <w:t>-132.621</w:t>
            </w:r>
          </w:p>
        </w:tc>
        <w:tc>
          <w:tcPr>
            <w:tcW w:w="3260" w:type="dxa"/>
          </w:tcPr>
          <w:p w14:paraId="2417AECD" w14:textId="77777777" w:rsidR="0019559B" w:rsidRPr="00E448CD" w:rsidRDefault="0019559B" w:rsidP="000766C3">
            <w:pPr>
              <w:rPr>
                <w:rFonts w:ascii="Arial" w:hAnsi="Arial" w:cs="Arial"/>
                <w:sz w:val="20"/>
                <w:szCs w:val="20"/>
              </w:rPr>
            </w:pPr>
            <w:r w:rsidRPr="00E448CD">
              <w:rPr>
                <w:rFonts w:ascii="Arial" w:hAnsi="Arial" w:cs="Arial"/>
                <w:sz w:val="20"/>
                <w:szCs w:val="20"/>
              </w:rPr>
              <w:t>Gly 15, Lys 16, Ala 146, Lys 147, asp 119</w:t>
            </w:r>
          </w:p>
        </w:tc>
        <w:tc>
          <w:tcPr>
            <w:tcW w:w="2596" w:type="dxa"/>
          </w:tcPr>
          <w:p w14:paraId="3B99C5C4" w14:textId="77777777" w:rsidR="0019559B" w:rsidRPr="00E448CD" w:rsidRDefault="0019559B" w:rsidP="00801B06">
            <w:pPr>
              <w:ind w:left="64" w:hanging="64"/>
              <w:rPr>
                <w:rFonts w:ascii="Arial" w:hAnsi="Arial" w:cs="Arial"/>
                <w:sz w:val="20"/>
                <w:szCs w:val="20"/>
              </w:rPr>
            </w:pPr>
            <w:r w:rsidRPr="00E448CD">
              <w:rPr>
                <w:rFonts w:ascii="Arial" w:hAnsi="Arial" w:cs="Arial"/>
                <w:sz w:val="20"/>
                <w:szCs w:val="20"/>
              </w:rPr>
              <w:t>Gly 13, Lys 16, Val 14, Ala 146, Lys 147, Lys 117, Asp 119</w:t>
            </w:r>
          </w:p>
        </w:tc>
      </w:tr>
      <w:tr w:rsidR="0019559B" w:rsidRPr="00E448CD" w14:paraId="32495495" w14:textId="77777777" w:rsidTr="0019559B">
        <w:tc>
          <w:tcPr>
            <w:tcW w:w="817" w:type="dxa"/>
          </w:tcPr>
          <w:p w14:paraId="08CBD368"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0E79FE46" w14:textId="77777777" w:rsidR="0019559B" w:rsidRPr="00E448CD" w:rsidRDefault="0019559B" w:rsidP="000766C3">
            <w:pPr>
              <w:rPr>
                <w:rFonts w:ascii="Arial" w:hAnsi="Arial" w:cs="Arial"/>
                <w:sz w:val="20"/>
                <w:szCs w:val="20"/>
              </w:rPr>
            </w:pPr>
            <w:r w:rsidRPr="00E448CD">
              <w:rPr>
                <w:rFonts w:ascii="Arial" w:hAnsi="Arial" w:cs="Arial"/>
                <w:sz w:val="20"/>
                <w:szCs w:val="20"/>
              </w:rPr>
              <w:t>FA8</w:t>
            </w:r>
          </w:p>
        </w:tc>
        <w:tc>
          <w:tcPr>
            <w:tcW w:w="1229" w:type="dxa"/>
          </w:tcPr>
          <w:p w14:paraId="791C6D76" w14:textId="77777777" w:rsidR="0019559B" w:rsidRPr="00E448CD" w:rsidRDefault="0019559B" w:rsidP="000766C3">
            <w:pPr>
              <w:rPr>
                <w:rFonts w:ascii="Arial" w:hAnsi="Arial" w:cs="Arial"/>
                <w:sz w:val="20"/>
                <w:szCs w:val="20"/>
              </w:rPr>
            </w:pPr>
            <w:r w:rsidRPr="00E448CD">
              <w:rPr>
                <w:rFonts w:ascii="Arial" w:hAnsi="Arial" w:cs="Arial"/>
                <w:sz w:val="20"/>
                <w:szCs w:val="20"/>
              </w:rPr>
              <w:t>-155.46</w:t>
            </w:r>
          </w:p>
        </w:tc>
        <w:tc>
          <w:tcPr>
            <w:tcW w:w="3260" w:type="dxa"/>
          </w:tcPr>
          <w:p w14:paraId="52A0443F" w14:textId="77777777" w:rsidR="0019559B" w:rsidRPr="00E448CD" w:rsidRDefault="0019559B" w:rsidP="000766C3">
            <w:pPr>
              <w:rPr>
                <w:rFonts w:ascii="Arial" w:hAnsi="Arial" w:cs="Arial"/>
                <w:sz w:val="20"/>
                <w:szCs w:val="20"/>
              </w:rPr>
            </w:pPr>
            <w:r w:rsidRPr="00E448CD">
              <w:rPr>
                <w:rFonts w:ascii="Arial" w:hAnsi="Arial" w:cs="Arial"/>
                <w:sz w:val="20"/>
                <w:szCs w:val="20"/>
              </w:rPr>
              <w:t>Gly 13, Lys 16, Lys 147, Ser 145, Asp 119</w:t>
            </w:r>
          </w:p>
        </w:tc>
        <w:tc>
          <w:tcPr>
            <w:tcW w:w="2596" w:type="dxa"/>
          </w:tcPr>
          <w:p w14:paraId="696712CE" w14:textId="77777777" w:rsidR="0019559B" w:rsidRPr="00E448CD" w:rsidRDefault="0019559B" w:rsidP="00801B06">
            <w:pPr>
              <w:rPr>
                <w:rFonts w:ascii="Arial" w:hAnsi="Arial" w:cs="Arial"/>
                <w:sz w:val="20"/>
                <w:szCs w:val="20"/>
              </w:rPr>
            </w:pPr>
            <w:r w:rsidRPr="00E448CD">
              <w:rPr>
                <w:rFonts w:ascii="Arial" w:hAnsi="Arial" w:cs="Arial"/>
                <w:sz w:val="20"/>
                <w:szCs w:val="20"/>
              </w:rPr>
              <w:t xml:space="preserve">Asp 33, </w:t>
            </w:r>
            <w:proofErr w:type="spellStart"/>
            <w:r w:rsidRPr="00E448CD">
              <w:rPr>
                <w:rFonts w:ascii="Arial" w:hAnsi="Arial" w:cs="Arial"/>
                <w:sz w:val="20"/>
                <w:szCs w:val="20"/>
              </w:rPr>
              <w:t>Gly</w:t>
            </w:r>
            <w:proofErr w:type="spellEnd"/>
            <w:r w:rsidRPr="00E448CD">
              <w:rPr>
                <w:rFonts w:ascii="Arial" w:hAnsi="Arial" w:cs="Arial"/>
                <w:sz w:val="20"/>
                <w:szCs w:val="20"/>
              </w:rPr>
              <w:t xml:space="preserve"> 15, </w:t>
            </w:r>
            <w:proofErr w:type="spellStart"/>
            <w:r w:rsidRPr="00E448CD">
              <w:rPr>
                <w:rFonts w:ascii="Arial" w:hAnsi="Arial" w:cs="Arial"/>
                <w:sz w:val="20"/>
                <w:szCs w:val="20"/>
              </w:rPr>
              <w:t>Asn</w:t>
            </w:r>
            <w:proofErr w:type="spellEnd"/>
            <w:r w:rsidRPr="00E448CD">
              <w:rPr>
                <w:rFonts w:ascii="Arial" w:hAnsi="Arial" w:cs="Arial"/>
                <w:sz w:val="20"/>
                <w:szCs w:val="20"/>
              </w:rPr>
              <w:t xml:space="preserve"> 116, Ala 146</w:t>
            </w:r>
          </w:p>
        </w:tc>
      </w:tr>
      <w:tr w:rsidR="0019559B" w:rsidRPr="00E448CD" w14:paraId="71ADE9F1" w14:textId="77777777" w:rsidTr="0019559B">
        <w:tc>
          <w:tcPr>
            <w:tcW w:w="817" w:type="dxa"/>
          </w:tcPr>
          <w:p w14:paraId="423EB99C"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7B637B92" w14:textId="77777777" w:rsidR="0019559B" w:rsidRPr="00E448CD" w:rsidRDefault="0019559B" w:rsidP="000766C3">
            <w:pPr>
              <w:rPr>
                <w:rFonts w:ascii="Arial" w:hAnsi="Arial" w:cs="Arial"/>
                <w:sz w:val="20"/>
                <w:szCs w:val="20"/>
              </w:rPr>
            </w:pPr>
            <w:r w:rsidRPr="00E448CD">
              <w:rPr>
                <w:rFonts w:ascii="Arial" w:hAnsi="Arial" w:cs="Arial"/>
                <w:sz w:val="20"/>
                <w:szCs w:val="20"/>
              </w:rPr>
              <w:t>FA9</w:t>
            </w:r>
          </w:p>
        </w:tc>
        <w:tc>
          <w:tcPr>
            <w:tcW w:w="1229" w:type="dxa"/>
          </w:tcPr>
          <w:p w14:paraId="32889171" w14:textId="77777777" w:rsidR="0019559B" w:rsidRPr="00E448CD" w:rsidRDefault="0019559B" w:rsidP="000766C3">
            <w:pPr>
              <w:rPr>
                <w:rFonts w:ascii="Arial" w:hAnsi="Arial" w:cs="Arial"/>
                <w:sz w:val="20"/>
                <w:szCs w:val="20"/>
              </w:rPr>
            </w:pPr>
            <w:r w:rsidRPr="00E448CD">
              <w:rPr>
                <w:rFonts w:ascii="Arial" w:hAnsi="Arial" w:cs="Arial"/>
                <w:sz w:val="20"/>
                <w:szCs w:val="20"/>
              </w:rPr>
              <w:t>-174.911</w:t>
            </w:r>
          </w:p>
        </w:tc>
        <w:tc>
          <w:tcPr>
            <w:tcW w:w="3260" w:type="dxa"/>
          </w:tcPr>
          <w:p w14:paraId="3C406A34" w14:textId="77777777" w:rsidR="0019559B" w:rsidRPr="00E448CD" w:rsidRDefault="0019559B" w:rsidP="000766C3">
            <w:pPr>
              <w:rPr>
                <w:rFonts w:ascii="Arial" w:hAnsi="Arial" w:cs="Arial"/>
                <w:sz w:val="20"/>
                <w:szCs w:val="20"/>
              </w:rPr>
            </w:pPr>
            <w:r w:rsidRPr="00E448CD">
              <w:rPr>
                <w:rFonts w:ascii="Arial" w:hAnsi="Arial" w:cs="Arial"/>
                <w:sz w:val="20"/>
                <w:szCs w:val="20"/>
              </w:rPr>
              <w:t>Ser 145, Lys 147, Asp119</w:t>
            </w:r>
          </w:p>
        </w:tc>
        <w:tc>
          <w:tcPr>
            <w:tcW w:w="2596" w:type="dxa"/>
          </w:tcPr>
          <w:p w14:paraId="0E3711AE" w14:textId="77777777" w:rsidR="0019559B" w:rsidRPr="00E448CD" w:rsidRDefault="0019559B" w:rsidP="00801B06">
            <w:pPr>
              <w:ind w:left="64" w:hanging="64"/>
              <w:rPr>
                <w:rFonts w:ascii="Arial" w:hAnsi="Arial" w:cs="Arial"/>
                <w:sz w:val="20"/>
                <w:szCs w:val="20"/>
              </w:rPr>
            </w:pPr>
            <w:proofErr w:type="spellStart"/>
            <w:r w:rsidRPr="00E448CD">
              <w:rPr>
                <w:rFonts w:ascii="Arial" w:hAnsi="Arial" w:cs="Arial"/>
                <w:sz w:val="20"/>
                <w:szCs w:val="20"/>
              </w:rPr>
              <w:t>Gly</w:t>
            </w:r>
            <w:proofErr w:type="spellEnd"/>
            <w:r w:rsidRPr="00E448CD">
              <w:rPr>
                <w:rFonts w:ascii="Arial" w:hAnsi="Arial" w:cs="Arial"/>
                <w:sz w:val="20"/>
                <w:szCs w:val="20"/>
              </w:rPr>
              <w:t xml:space="preserve"> 15, </w:t>
            </w:r>
            <w:proofErr w:type="spellStart"/>
            <w:r w:rsidRPr="00E448CD">
              <w:rPr>
                <w:rFonts w:ascii="Arial" w:hAnsi="Arial" w:cs="Arial"/>
                <w:sz w:val="20"/>
                <w:szCs w:val="20"/>
              </w:rPr>
              <w:t>Asn</w:t>
            </w:r>
            <w:proofErr w:type="spellEnd"/>
            <w:r w:rsidRPr="00E448CD">
              <w:rPr>
                <w:rFonts w:ascii="Arial" w:hAnsi="Arial" w:cs="Arial"/>
                <w:sz w:val="20"/>
                <w:szCs w:val="20"/>
              </w:rPr>
              <w:t xml:space="preserve"> 116, Ala146, Lys 147</w:t>
            </w:r>
          </w:p>
        </w:tc>
      </w:tr>
      <w:tr w:rsidR="0019559B" w:rsidRPr="00E448CD" w14:paraId="75B5405A" w14:textId="77777777" w:rsidTr="0019559B">
        <w:tc>
          <w:tcPr>
            <w:tcW w:w="817" w:type="dxa"/>
          </w:tcPr>
          <w:p w14:paraId="37F4C96C"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44E00C46" w14:textId="77777777" w:rsidR="0019559B" w:rsidRPr="00E448CD" w:rsidRDefault="0019559B" w:rsidP="000766C3">
            <w:pPr>
              <w:rPr>
                <w:rFonts w:ascii="Arial" w:hAnsi="Arial" w:cs="Arial"/>
                <w:sz w:val="20"/>
                <w:szCs w:val="20"/>
              </w:rPr>
            </w:pPr>
            <w:r w:rsidRPr="00E448CD">
              <w:rPr>
                <w:rFonts w:ascii="Arial" w:hAnsi="Arial" w:cs="Arial"/>
                <w:sz w:val="20"/>
                <w:szCs w:val="20"/>
              </w:rPr>
              <w:t>FA10</w:t>
            </w:r>
          </w:p>
        </w:tc>
        <w:tc>
          <w:tcPr>
            <w:tcW w:w="1229" w:type="dxa"/>
          </w:tcPr>
          <w:p w14:paraId="6243C3AD" w14:textId="77777777" w:rsidR="0019559B" w:rsidRPr="00E448CD" w:rsidRDefault="0019559B" w:rsidP="000766C3">
            <w:pPr>
              <w:rPr>
                <w:rFonts w:ascii="Arial" w:hAnsi="Arial" w:cs="Arial"/>
                <w:sz w:val="20"/>
                <w:szCs w:val="20"/>
              </w:rPr>
            </w:pPr>
            <w:r w:rsidRPr="00E448CD">
              <w:rPr>
                <w:rFonts w:ascii="Arial" w:hAnsi="Arial" w:cs="Arial"/>
                <w:sz w:val="20"/>
                <w:szCs w:val="20"/>
              </w:rPr>
              <w:t>-143.463</w:t>
            </w:r>
          </w:p>
        </w:tc>
        <w:tc>
          <w:tcPr>
            <w:tcW w:w="3260" w:type="dxa"/>
          </w:tcPr>
          <w:p w14:paraId="5CB6B36A" w14:textId="77777777" w:rsidR="0019559B" w:rsidRPr="00E448CD" w:rsidRDefault="0019559B" w:rsidP="000766C3">
            <w:pPr>
              <w:rPr>
                <w:rFonts w:ascii="Arial" w:hAnsi="Arial" w:cs="Arial"/>
                <w:sz w:val="20"/>
                <w:szCs w:val="20"/>
              </w:rPr>
            </w:pPr>
            <w:r w:rsidRPr="00E448CD">
              <w:rPr>
                <w:rFonts w:ascii="Arial" w:hAnsi="Arial" w:cs="Arial"/>
                <w:sz w:val="20"/>
                <w:szCs w:val="20"/>
              </w:rPr>
              <w:t>Asp 119, Ser 145, Lys 147,</w:t>
            </w:r>
          </w:p>
        </w:tc>
        <w:tc>
          <w:tcPr>
            <w:tcW w:w="2596" w:type="dxa"/>
          </w:tcPr>
          <w:p w14:paraId="680DD51A" w14:textId="77777777" w:rsidR="0019559B" w:rsidRPr="00E448CD" w:rsidRDefault="0019559B" w:rsidP="00801B06">
            <w:pPr>
              <w:ind w:left="64"/>
              <w:rPr>
                <w:rFonts w:ascii="Arial" w:hAnsi="Arial" w:cs="Arial"/>
                <w:sz w:val="20"/>
                <w:szCs w:val="20"/>
              </w:rPr>
            </w:pPr>
            <w:r w:rsidRPr="00E448CD">
              <w:rPr>
                <w:rFonts w:ascii="Arial" w:hAnsi="Arial" w:cs="Arial"/>
                <w:sz w:val="20"/>
                <w:szCs w:val="20"/>
              </w:rPr>
              <w:t xml:space="preserve">Lys 147, Ala 146, </w:t>
            </w:r>
            <w:proofErr w:type="spellStart"/>
            <w:r w:rsidRPr="00E448CD">
              <w:rPr>
                <w:rFonts w:ascii="Arial" w:hAnsi="Arial" w:cs="Arial"/>
                <w:sz w:val="20"/>
                <w:szCs w:val="20"/>
              </w:rPr>
              <w:t>Asn</w:t>
            </w:r>
            <w:proofErr w:type="spellEnd"/>
            <w:r w:rsidRPr="00E448CD">
              <w:rPr>
                <w:rFonts w:ascii="Arial" w:hAnsi="Arial" w:cs="Arial"/>
                <w:sz w:val="20"/>
                <w:szCs w:val="20"/>
              </w:rPr>
              <w:t xml:space="preserve"> 116,Thr 35, </w:t>
            </w:r>
            <w:proofErr w:type="spellStart"/>
            <w:r w:rsidRPr="00E448CD">
              <w:rPr>
                <w:rFonts w:ascii="Arial" w:hAnsi="Arial" w:cs="Arial"/>
                <w:sz w:val="20"/>
                <w:szCs w:val="20"/>
              </w:rPr>
              <w:t>Gly</w:t>
            </w:r>
            <w:proofErr w:type="spellEnd"/>
            <w:r w:rsidRPr="00E448CD">
              <w:rPr>
                <w:rFonts w:ascii="Arial" w:hAnsi="Arial" w:cs="Arial"/>
                <w:sz w:val="20"/>
                <w:szCs w:val="20"/>
              </w:rPr>
              <w:t xml:space="preserve"> 15</w:t>
            </w:r>
          </w:p>
        </w:tc>
      </w:tr>
      <w:tr w:rsidR="0019559B" w:rsidRPr="00E448CD" w14:paraId="1A9E7039" w14:textId="77777777" w:rsidTr="0019559B">
        <w:tc>
          <w:tcPr>
            <w:tcW w:w="817" w:type="dxa"/>
          </w:tcPr>
          <w:p w14:paraId="4572AAD7"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5B10D48B" w14:textId="77777777" w:rsidR="0019559B" w:rsidRPr="00E448CD" w:rsidRDefault="0019559B" w:rsidP="000766C3">
            <w:pPr>
              <w:rPr>
                <w:rFonts w:ascii="Arial" w:hAnsi="Arial" w:cs="Arial"/>
                <w:sz w:val="20"/>
                <w:szCs w:val="20"/>
              </w:rPr>
            </w:pPr>
            <w:r w:rsidRPr="00E448CD">
              <w:rPr>
                <w:rFonts w:ascii="Arial" w:hAnsi="Arial" w:cs="Arial"/>
                <w:sz w:val="20"/>
                <w:szCs w:val="20"/>
              </w:rPr>
              <w:t>FA11</w:t>
            </w:r>
          </w:p>
        </w:tc>
        <w:tc>
          <w:tcPr>
            <w:tcW w:w="1229" w:type="dxa"/>
          </w:tcPr>
          <w:p w14:paraId="2FB6BB8D" w14:textId="77777777" w:rsidR="0019559B" w:rsidRPr="00E448CD" w:rsidRDefault="0019559B" w:rsidP="000766C3">
            <w:pPr>
              <w:rPr>
                <w:rFonts w:ascii="Arial" w:hAnsi="Arial" w:cs="Arial"/>
                <w:sz w:val="20"/>
                <w:szCs w:val="20"/>
              </w:rPr>
            </w:pPr>
            <w:r w:rsidRPr="00E448CD">
              <w:rPr>
                <w:rFonts w:ascii="Arial" w:hAnsi="Arial" w:cs="Arial"/>
                <w:sz w:val="20"/>
                <w:szCs w:val="20"/>
              </w:rPr>
              <w:t>-171.204</w:t>
            </w:r>
          </w:p>
        </w:tc>
        <w:tc>
          <w:tcPr>
            <w:tcW w:w="3260" w:type="dxa"/>
          </w:tcPr>
          <w:p w14:paraId="1045EF03" w14:textId="77777777" w:rsidR="0019559B" w:rsidRPr="00E448CD" w:rsidRDefault="0019559B" w:rsidP="000766C3">
            <w:pPr>
              <w:rPr>
                <w:rFonts w:ascii="Arial" w:hAnsi="Arial" w:cs="Arial"/>
                <w:sz w:val="20"/>
                <w:szCs w:val="20"/>
              </w:rPr>
            </w:pPr>
            <w:r w:rsidRPr="00E448CD">
              <w:rPr>
                <w:rFonts w:ascii="Arial" w:hAnsi="Arial" w:cs="Arial"/>
                <w:sz w:val="20"/>
                <w:szCs w:val="20"/>
              </w:rPr>
              <w:t xml:space="preserve">Arg 12, Tyr 32, </w:t>
            </w:r>
            <w:proofErr w:type="spellStart"/>
            <w:r w:rsidRPr="00E448CD">
              <w:rPr>
                <w:rFonts w:ascii="Arial" w:hAnsi="Arial" w:cs="Arial"/>
                <w:sz w:val="20"/>
                <w:szCs w:val="20"/>
              </w:rPr>
              <w:t>Thr</w:t>
            </w:r>
            <w:proofErr w:type="spellEnd"/>
            <w:r w:rsidRPr="00E448CD">
              <w:rPr>
                <w:rFonts w:ascii="Arial" w:hAnsi="Arial" w:cs="Arial"/>
                <w:sz w:val="20"/>
                <w:szCs w:val="20"/>
              </w:rPr>
              <w:t xml:space="preserve"> 35, Lys 147, Ser 145, Asp 119</w:t>
            </w:r>
          </w:p>
        </w:tc>
        <w:tc>
          <w:tcPr>
            <w:tcW w:w="2596" w:type="dxa"/>
          </w:tcPr>
          <w:p w14:paraId="65EEF0F2" w14:textId="77777777" w:rsidR="0019559B" w:rsidRPr="00E448CD" w:rsidRDefault="0019559B" w:rsidP="00801B06">
            <w:pPr>
              <w:ind w:left="64" w:hanging="64"/>
              <w:rPr>
                <w:rFonts w:ascii="Arial" w:hAnsi="Arial" w:cs="Arial"/>
                <w:sz w:val="20"/>
                <w:szCs w:val="20"/>
              </w:rPr>
            </w:pPr>
            <w:r w:rsidRPr="00E448CD">
              <w:rPr>
                <w:rFonts w:ascii="Arial" w:hAnsi="Arial" w:cs="Arial"/>
                <w:sz w:val="20"/>
                <w:szCs w:val="20"/>
              </w:rPr>
              <w:t xml:space="preserve">Pro 34, </w:t>
            </w:r>
            <w:proofErr w:type="spellStart"/>
            <w:r w:rsidRPr="00E448CD">
              <w:rPr>
                <w:rFonts w:ascii="Arial" w:hAnsi="Arial" w:cs="Arial"/>
                <w:sz w:val="20"/>
                <w:szCs w:val="20"/>
              </w:rPr>
              <w:t>Thr</w:t>
            </w:r>
            <w:proofErr w:type="spellEnd"/>
            <w:r w:rsidRPr="00E448CD">
              <w:rPr>
                <w:rFonts w:ascii="Arial" w:hAnsi="Arial" w:cs="Arial"/>
                <w:sz w:val="20"/>
                <w:szCs w:val="20"/>
              </w:rPr>
              <w:t xml:space="preserve"> 35, Ala 146, Lys 147</w:t>
            </w:r>
          </w:p>
        </w:tc>
      </w:tr>
      <w:tr w:rsidR="0019559B" w:rsidRPr="00E448CD" w14:paraId="3F03B725" w14:textId="77777777" w:rsidTr="0019559B">
        <w:tc>
          <w:tcPr>
            <w:tcW w:w="817" w:type="dxa"/>
          </w:tcPr>
          <w:p w14:paraId="4B43FB4B"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0A0C5C1E" w14:textId="77777777" w:rsidR="0019559B" w:rsidRPr="00E448CD" w:rsidRDefault="0019559B" w:rsidP="000766C3">
            <w:pPr>
              <w:rPr>
                <w:rFonts w:ascii="Arial" w:hAnsi="Arial" w:cs="Arial"/>
                <w:sz w:val="20"/>
                <w:szCs w:val="20"/>
              </w:rPr>
            </w:pPr>
            <w:r w:rsidRPr="00E448CD">
              <w:rPr>
                <w:rFonts w:ascii="Arial" w:hAnsi="Arial" w:cs="Arial"/>
                <w:sz w:val="20"/>
                <w:szCs w:val="20"/>
              </w:rPr>
              <w:t>FA12</w:t>
            </w:r>
          </w:p>
        </w:tc>
        <w:tc>
          <w:tcPr>
            <w:tcW w:w="1229" w:type="dxa"/>
          </w:tcPr>
          <w:p w14:paraId="1736A5A5" w14:textId="77777777" w:rsidR="0019559B" w:rsidRPr="00E448CD" w:rsidRDefault="0019559B" w:rsidP="000766C3">
            <w:pPr>
              <w:rPr>
                <w:rFonts w:ascii="Arial" w:hAnsi="Arial" w:cs="Arial"/>
                <w:sz w:val="20"/>
                <w:szCs w:val="20"/>
              </w:rPr>
            </w:pPr>
            <w:r w:rsidRPr="00E448CD">
              <w:rPr>
                <w:rFonts w:ascii="Arial" w:hAnsi="Arial" w:cs="Arial"/>
                <w:sz w:val="20"/>
                <w:szCs w:val="20"/>
              </w:rPr>
              <w:t>-163.174</w:t>
            </w:r>
          </w:p>
        </w:tc>
        <w:tc>
          <w:tcPr>
            <w:tcW w:w="3260" w:type="dxa"/>
          </w:tcPr>
          <w:p w14:paraId="267D6E01" w14:textId="77777777" w:rsidR="0019559B" w:rsidRPr="00E448CD" w:rsidRDefault="0019559B" w:rsidP="000766C3">
            <w:pPr>
              <w:rPr>
                <w:rFonts w:ascii="Arial" w:hAnsi="Arial" w:cs="Arial"/>
                <w:sz w:val="20"/>
                <w:szCs w:val="20"/>
              </w:rPr>
            </w:pPr>
            <w:r w:rsidRPr="00E448CD">
              <w:rPr>
                <w:rFonts w:ascii="Arial" w:hAnsi="Arial" w:cs="Arial"/>
                <w:sz w:val="20"/>
                <w:szCs w:val="20"/>
              </w:rPr>
              <w:t>Asp 33, Ser 17, Asp 119, Ser 145, Lys 147</w:t>
            </w:r>
          </w:p>
        </w:tc>
        <w:tc>
          <w:tcPr>
            <w:tcW w:w="2596" w:type="dxa"/>
          </w:tcPr>
          <w:p w14:paraId="34F1E5A5" w14:textId="77777777" w:rsidR="0019559B" w:rsidRPr="00E448CD" w:rsidRDefault="0019559B" w:rsidP="00801B06">
            <w:pPr>
              <w:rPr>
                <w:rFonts w:ascii="Arial" w:hAnsi="Arial" w:cs="Arial"/>
                <w:sz w:val="20"/>
                <w:szCs w:val="20"/>
              </w:rPr>
            </w:pPr>
            <w:proofErr w:type="spellStart"/>
            <w:r w:rsidRPr="00E448CD">
              <w:rPr>
                <w:rFonts w:ascii="Arial" w:hAnsi="Arial" w:cs="Arial"/>
                <w:sz w:val="20"/>
                <w:szCs w:val="20"/>
              </w:rPr>
              <w:t>Thr</w:t>
            </w:r>
            <w:proofErr w:type="spellEnd"/>
            <w:r w:rsidRPr="00E448CD">
              <w:rPr>
                <w:rFonts w:ascii="Arial" w:hAnsi="Arial" w:cs="Arial"/>
                <w:sz w:val="20"/>
                <w:szCs w:val="20"/>
              </w:rPr>
              <w:t xml:space="preserve"> 35, </w:t>
            </w:r>
            <w:proofErr w:type="spellStart"/>
            <w:r w:rsidRPr="00E448CD">
              <w:rPr>
                <w:rFonts w:ascii="Arial" w:hAnsi="Arial" w:cs="Arial"/>
                <w:sz w:val="20"/>
                <w:szCs w:val="20"/>
              </w:rPr>
              <w:t>Gly</w:t>
            </w:r>
            <w:proofErr w:type="spellEnd"/>
            <w:r w:rsidRPr="00E448CD">
              <w:rPr>
                <w:rFonts w:ascii="Arial" w:hAnsi="Arial" w:cs="Arial"/>
                <w:sz w:val="20"/>
                <w:szCs w:val="20"/>
              </w:rPr>
              <w:t xml:space="preserve"> 15, </w:t>
            </w:r>
            <w:proofErr w:type="spellStart"/>
            <w:r w:rsidRPr="00E448CD">
              <w:rPr>
                <w:rFonts w:ascii="Arial" w:hAnsi="Arial" w:cs="Arial"/>
                <w:sz w:val="20"/>
                <w:szCs w:val="20"/>
              </w:rPr>
              <w:t>Asn</w:t>
            </w:r>
            <w:proofErr w:type="spellEnd"/>
            <w:r w:rsidRPr="00E448CD">
              <w:rPr>
                <w:rFonts w:ascii="Arial" w:hAnsi="Arial" w:cs="Arial"/>
                <w:sz w:val="20"/>
                <w:szCs w:val="20"/>
              </w:rPr>
              <w:t xml:space="preserve"> 116, Asp 33, Ala 146, Lys 147</w:t>
            </w:r>
          </w:p>
        </w:tc>
      </w:tr>
      <w:tr w:rsidR="0019559B" w:rsidRPr="00E448CD" w14:paraId="5AC7F772" w14:textId="77777777" w:rsidTr="0019559B">
        <w:tc>
          <w:tcPr>
            <w:tcW w:w="817" w:type="dxa"/>
          </w:tcPr>
          <w:p w14:paraId="0C95D5DE"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6B3A6DCD" w14:textId="77777777" w:rsidR="0019559B" w:rsidRPr="00E448CD" w:rsidRDefault="0019559B" w:rsidP="000766C3">
            <w:pPr>
              <w:rPr>
                <w:rFonts w:ascii="Arial" w:hAnsi="Arial" w:cs="Arial"/>
                <w:sz w:val="20"/>
                <w:szCs w:val="20"/>
              </w:rPr>
            </w:pPr>
            <w:r w:rsidRPr="00E448CD">
              <w:rPr>
                <w:rFonts w:ascii="Arial" w:hAnsi="Arial" w:cs="Arial"/>
                <w:sz w:val="20"/>
                <w:szCs w:val="20"/>
              </w:rPr>
              <w:t>FA13</w:t>
            </w:r>
          </w:p>
        </w:tc>
        <w:tc>
          <w:tcPr>
            <w:tcW w:w="1229" w:type="dxa"/>
          </w:tcPr>
          <w:p w14:paraId="3B934E9A" w14:textId="77777777" w:rsidR="0019559B" w:rsidRPr="00E448CD" w:rsidRDefault="0019559B" w:rsidP="000766C3">
            <w:pPr>
              <w:rPr>
                <w:rFonts w:ascii="Arial" w:hAnsi="Arial" w:cs="Arial"/>
                <w:sz w:val="20"/>
                <w:szCs w:val="20"/>
              </w:rPr>
            </w:pPr>
            <w:r w:rsidRPr="00E448CD">
              <w:rPr>
                <w:rFonts w:ascii="Arial" w:hAnsi="Arial" w:cs="Arial"/>
                <w:sz w:val="20"/>
                <w:szCs w:val="20"/>
              </w:rPr>
              <w:t>-127.182</w:t>
            </w:r>
          </w:p>
        </w:tc>
        <w:tc>
          <w:tcPr>
            <w:tcW w:w="3260" w:type="dxa"/>
          </w:tcPr>
          <w:p w14:paraId="1D3B50F9" w14:textId="77777777" w:rsidR="0019559B" w:rsidRPr="00E448CD" w:rsidRDefault="0019559B" w:rsidP="000766C3">
            <w:pPr>
              <w:rPr>
                <w:rFonts w:ascii="Arial" w:hAnsi="Arial" w:cs="Arial"/>
                <w:sz w:val="20"/>
                <w:szCs w:val="20"/>
              </w:rPr>
            </w:pPr>
            <w:r w:rsidRPr="00E448CD">
              <w:rPr>
                <w:rFonts w:ascii="Arial" w:hAnsi="Arial" w:cs="Arial"/>
                <w:sz w:val="20"/>
                <w:szCs w:val="20"/>
              </w:rPr>
              <w:t xml:space="preserve">Lys 16, </w:t>
            </w:r>
            <w:proofErr w:type="spellStart"/>
            <w:r w:rsidRPr="00E448CD">
              <w:rPr>
                <w:rFonts w:ascii="Arial" w:hAnsi="Arial" w:cs="Arial"/>
                <w:sz w:val="20"/>
                <w:szCs w:val="20"/>
              </w:rPr>
              <w:t>Thr</w:t>
            </w:r>
            <w:proofErr w:type="spellEnd"/>
            <w:r w:rsidRPr="00E448CD">
              <w:rPr>
                <w:rFonts w:ascii="Arial" w:hAnsi="Arial" w:cs="Arial"/>
                <w:sz w:val="20"/>
                <w:szCs w:val="20"/>
              </w:rPr>
              <w:t xml:space="preserve"> 35</w:t>
            </w:r>
          </w:p>
        </w:tc>
        <w:tc>
          <w:tcPr>
            <w:tcW w:w="2596" w:type="dxa"/>
          </w:tcPr>
          <w:p w14:paraId="079E30EF" w14:textId="77777777" w:rsidR="0019559B" w:rsidRPr="00E448CD" w:rsidRDefault="0019559B" w:rsidP="00801B06">
            <w:pPr>
              <w:rPr>
                <w:rFonts w:ascii="Arial" w:hAnsi="Arial" w:cs="Arial"/>
                <w:sz w:val="20"/>
                <w:szCs w:val="20"/>
              </w:rPr>
            </w:pPr>
            <w:proofErr w:type="spellStart"/>
            <w:r w:rsidRPr="00E448CD">
              <w:rPr>
                <w:rFonts w:ascii="Arial" w:hAnsi="Arial" w:cs="Arial"/>
                <w:sz w:val="20"/>
                <w:szCs w:val="20"/>
              </w:rPr>
              <w:t>Thr</w:t>
            </w:r>
            <w:proofErr w:type="spellEnd"/>
            <w:r w:rsidRPr="00E448CD">
              <w:rPr>
                <w:rFonts w:ascii="Arial" w:hAnsi="Arial" w:cs="Arial"/>
                <w:sz w:val="20"/>
                <w:szCs w:val="20"/>
              </w:rPr>
              <w:t xml:space="preserve"> 35, Ala 18, </w:t>
            </w:r>
            <w:proofErr w:type="spellStart"/>
            <w:r w:rsidRPr="00E448CD">
              <w:rPr>
                <w:rFonts w:ascii="Arial" w:hAnsi="Arial" w:cs="Arial"/>
                <w:sz w:val="20"/>
                <w:szCs w:val="20"/>
              </w:rPr>
              <w:t>Asn</w:t>
            </w:r>
            <w:proofErr w:type="spellEnd"/>
            <w:r w:rsidRPr="00E448CD">
              <w:rPr>
                <w:rFonts w:ascii="Arial" w:hAnsi="Arial" w:cs="Arial"/>
                <w:sz w:val="20"/>
                <w:szCs w:val="20"/>
              </w:rPr>
              <w:t xml:space="preserve"> 116, Ala 146, Gly 15, Asp 119</w:t>
            </w:r>
          </w:p>
        </w:tc>
      </w:tr>
      <w:tr w:rsidR="0019559B" w:rsidRPr="00E448CD" w14:paraId="7940FA40" w14:textId="77777777" w:rsidTr="0019559B">
        <w:tc>
          <w:tcPr>
            <w:tcW w:w="817" w:type="dxa"/>
          </w:tcPr>
          <w:p w14:paraId="446CBA36"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1A3095BE" w14:textId="77777777" w:rsidR="0019559B" w:rsidRPr="00E448CD" w:rsidRDefault="0019559B" w:rsidP="000766C3">
            <w:pPr>
              <w:rPr>
                <w:rFonts w:ascii="Arial" w:hAnsi="Arial" w:cs="Arial"/>
                <w:sz w:val="20"/>
                <w:szCs w:val="20"/>
              </w:rPr>
            </w:pPr>
            <w:r w:rsidRPr="00E448CD">
              <w:rPr>
                <w:rFonts w:ascii="Arial" w:hAnsi="Arial" w:cs="Arial"/>
                <w:sz w:val="20"/>
                <w:szCs w:val="20"/>
              </w:rPr>
              <w:t>FA14</w:t>
            </w:r>
          </w:p>
        </w:tc>
        <w:tc>
          <w:tcPr>
            <w:tcW w:w="1229" w:type="dxa"/>
          </w:tcPr>
          <w:p w14:paraId="54ED519F" w14:textId="77777777" w:rsidR="0019559B" w:rsidRPr="00E448CD" w:rsidRDefault="0019559B" w:rsidP="000766C3">
            <w:pPr>
              <w:rPr>
                <w:rFonts w:ascii="Arial" w:hAnsi="Arial" w:cs="Arial"/>
                <w:sz w:val="20"/>
                <w:szCs w:val="20"/>
              </w:rPr>
            </w:pPr>
            <w:r w:rsidRPr="00E448CD">
              <w:rPr>
                <w:rFonts w:ascii="Arial" w:hAnsi="Arial" w:cs="Arial"/>
                <w:sz w:val="20"/>
                <w:szCs w:val="20"/>
              </w:rPr>
              <w:t>-144.026</w:t>
            </w:r>
          </w:p>
        </w:tc>
        <w:tc>
          <w:tcPr>
            <w:tcW w:w="3260" w:type="dxa"/>
          </w:tcPr>
          <w:p w14:paraId="2F61120F" w14:textId="77777777" w:rsidR="0019559B" w:rsidRPr="00E448CD" w:rsidRDefault="0019559B" w:rsidP="000766C3">
            <w:pPr>
              <w:rPr>
                <w:rFonts w:ascii="Arial" w:hAnsi="Arial" w:cs="Arial"/>
                <w:sz w:val="20"/>
                <w:szCs w:val="20"/>
              </w:rPr>
            </w:pPr>
            <w:r w:rsidRPr="00E448CD">
              <w:rPr>
                <w:rFonts w:ascii="Arial" w:hAnsi="Arial" w:cs="Arial"/>
                <w:sz w:val="20"/>
                <w:szCs w:val="20"/>
              </w:rPr>
              <w:t xml:space="preserve">Ser 145, Asp 119, Lys 147, </w:t>
            </w:r>
          </w:p>
        </w:tc>
        <w:tc>
          <w:tcPr>
            <w:tcW w:w="2596" w:type="dxa"/>
          </w:tcPr>
          <w:p w14:paraId="39FEA65C" w14:textId="77777777" w:rsidR="0019559B" w:rsidRPr="00E448CD" w:rsidRDefault="0019559B" w:rsidP="00801B06">
            <w:pPr>
              <w:rPr>
                <w:rFonts w:ascii="Arial" w:hAnsi="Arial" w:cs="Arial"/>
                <w:sz w:val="20"/>
                <w:szCs w:val="20"/>
              </w:rPr>
            </w:pPr>
            <w:r w:rsidRPr="00E448CD">
              <w:rPr>
                <w:rFonts w:ascii="Arial" w:hAnsi="Arial" w:cs="Arial"/>
                <w:sz w:val="20"/>
                <w:szCs w:val="20"/>
              </w:rPr>
              <w:t xml:space="preserve">Ala 146, </w:t>
            </w:r>
            <w:proofErr w:type="spellStart"/>
            <w:r w:rsidRPr="00E448CD">
              <w:rPr>
                <w:rFonts w:ascii="Arial" w:hAnsi="Arial" w:cs="Arial"/>
                <w:sz w:val="20"/>
                <w:szCs w:val="20"/>
              </w:rPr>
              <w:t>Asn</w:t>
            </w:r>
            <w:proofErr w:type="spellEnd"/>
            <w:r w:rsidRPr="00E448CD">
              <w:rPr>
                <w:rFonts w:ascii="Arial" w:hAnsi="Arial" w:cs="Arial"/>
                <w:sz w:val="20"/>
                <w:szCs w:val="20"/>
              </w:rPr>
              <w:t xml:space="preserve"> 116, </w:t>
            </w:r>
            <w:proofErr w:type="spellStart"/>
            <w:r w:rsidRPr="00E448CD">
              <w:rPr>
                <w:rFonts w:ascii="Arial" w:hAnsi="Arial" w:cs="Arial"/>
                <w:sz w:val="20"/>
                <w:szCs w:val="20"/>
              </w:rPr>
              <w:t>Gly</w:t>
            </w:r>
            <w:proofErr w:type="spellEnd"/>
            <w:r w:rsidRPr="00E448CD">
              <w:rPr>
                <w:rFonts w:ascii="Arial" w:hAnsi="Arial" w:cs="Arial"/>
                <w:sz w:val="20"/>
                <w:szCs w:val="20"/>
              </w:rPr>
              <w:t xml:space="preserve"> 15, Asp 33</w:t>
            </w:r>
          </w:p>
        </w:tc>
      </w:tr>
      <w:tr w:rsidR="0019559B" w:rsidRPr="00E448CD" w14:paraId="1E8B7CB7" w14:textId="77777777" w:rsidTr="0019559B">
        <w:tc>
          <w:tcPr>
            <w:tcW w:w="817" w:type="dxa"/>
          </w:tcPr>
          <w:p w14:paraId="4CCD597E" w14:textId="77777777" w:rsidR="0019559B" w:rsidRPr="00E448CD" w:rsidRDefault="0019559B" w:rsidP="00536374">
            <w:pPr>
              <w:pStyle w:val="ListParagraph"/>
              <w:numPr>
                <w:ilvl w:val="0"/>
                <w:numId w:val="2"/>
              </w:numPr>
              <w:rPr>
                <w:rFonts w:ascii="Arial" w:hAnsi="Arial" w:cs="Arial"/>
                <w:sz w:val="20"/>
                <w:szCs w:val="20"/>
              </w:rPr>
            </w:pPr>
          </w:p>
        </w:tc>
        <w:tc>
          <w:tcPr>
            <w:tcW w:w="1181" w:type="dxa"/>
          </w:tcPr>
          <w:p w14:paraId="7CEF1481" w14:textId="77777777" w:rsidR="0019559B" w:rsidRPr="00E448CD" w:rsidRDefault="0019559B" w:rsidP="000766C3">
            <w:pPr>
              <w:rPr>
                <w:rFonts w:ascii="Arial" w:hAnsi="Arial" w:cs="Arial"/>
                <w:sz w:val="20"/>
                <w:szCs w:val="20"/>
              </w:rPr>
            </w:pPr>
            <w:r w:rsidRPr="00E448CD">
              <w:rPr>
                <w:rFonts w:ascii="Arial" w:hAnsi="Arial" w:cs="Arial"/>
                <w:sz w:val="20"/>
                <w:szCs w:val="20"/>
              </w:rPr>
              <w:t>FA15</w:t>
            </w:r>
          </w:p>
        </w:tc>
        <w:tc>
          <w:tcPr>
            <w:tcW w:w="1229" w:type="dxa"/>
          </w:tcPr>
          <w:p w14:paraId="7AF2A1FB" w14:textId="77777777" w:rsidR="0019559B" w:rsidRPr="00E448CD" w:rsidRDefault="0019559B" w:rsidP="000766C3">
            <w:pPr>
              <w:rPr>
                <w:rFonts w:ascii="Arial" w:hAnsi="Arial" w:cs="Arial"/>
                <w:sz w:val="20"/>
                <w:szCs w:val="20"/>
              </w:rPr>
            </w:pPr>
            <w:r w:rsidRPr="00E448CD">
              <w:rPr>
                <w:rFonts w:ascii="Arial" w:hAnsi="Arial" w:cs="Arial"/>
                <w:sz w:val="20"/>
                <w:szCs w:val="20"/>
              </w:rPr>
              <w:t>-157.522</w:t>
            </w:r>
          </w:p>
        </w:tc>
        <w:tc>
          <w:tcPr>
            <w:tcW w:w="3260" w:type="dxa"/>
          </w:tcPr>
          <w:p w14:paraId="493D039C" w14:textId="77777777" w:rsidR="0019559B" w:rsidRPr="00E448CD" w:rsidRDefault="0019559B" w:rsidP="000766C3">
            <w:pPr>
              <w:rPr>
                <w:rFonts w:ascii="Arial" w:hAnsi="Arial" w:cs="Arial"/>
                <w:sz w:val="20"/>
                <w:szCs w:val="20"/>
              </w:rPr>
            </w:pPr>
            <w:r w:rsidRPr="00E448CD">
              <w:rPr>
                <w:rFonts w:ascii="Arial" w:hAnsi="Arial" w:cs="Arial"/>
                <w:sz w:val="20"/>
                <w:szCs w:val="20"/>
              </w:rPr>
              <w:t xml:space="preserve">Asp 119, Lys 147, Ser 145, </w:t>
            </w:r>
          </w:p>
        </w:tc>
        <w:tc>
          <w:tcPr>
            <w:tcW w:w="2596" w:type="dxa"/>
          </w:tcPr>
          <w:p w14:paraId="44C04107" w14:textId="77777777" w:rsidR="0019559B" w:rsidRPr="00E448CD" w:rsidRDefault="0019559B" w:rsidP="00801B06">
            <w:pPr>
              <w:rPr>
                <w:rFonts w:ascii="Arial" w:hAnsi="Arial" w:cs="Arial"/>
                <w:sz w:val="20"/>
                <w:szCs w:val="20"/>
              </w:rPr>
            </w:pPr>
            <w:r w:rsidRPr="00E448CD">
              <w:rPr>
                <w:rFonts w:ascii="Arial" w:hAnsi="Arial" w:cs="Arial"/>
                <w:sz w:val="20"/>
                <w:szCs w:val="20"/>
              </w:rPr>
              <w:t>Ala 146, Asn116, Ala 146</w:t>
            </w:r>
          </w:p>
        </w:tc>
      </w:tr>
    </w:tbl>
    <w:p w14:paraId="683C43C8" w14:textId="77777777" w:rsidR="002868CF" w:rsidRPr="00E448CD" w:rsidRDefault="002868CF" w:rsidP="00C05F03">
      <w:pPr>
        <w:jc w:val="both"/>
        <w:rPr>
          <w:rFonts w:ascii="Arial" w:hAnsi="Arial" w:cs="Arial"/>
          <w:noProof/>
          <w:sz w:val="20"/>
          <w:szCs w:val="20"/>
        </w:rPr>
      </w:pPr>
    </w:p>
    <w:p w14:paraId="6B013E8C" w14:textId="77777777" w:rsidR="00C05F03" w:rsidRPr="00E448CD" w:rsidRDefault="002B0666" w:rsidP="00C05F03">
      <w:pPr>
        <w:jc w:val="both"/>
        <w:rPr>
          <w:rFonts w:ascii="Arial" w:hAnsi="Arial" w:cs="Arial"/>
          <w:noProof/>
          <w:sz w:val="20"/>
          <w:szCs w:val="20"/>
        </w:rPr>
      </w:pPr>
      <w:r w:rsidRPr="00E448CD">
        <w:rPr>
          <w:rFonts w:ascii="Arial" w:hAnsi="Arial" w:cs="Arial"/>
          <w:noProof/>
          <w:sz w:val="20"/>
          <w:szCs w:val="20"/>
          <w:lang w:val="en-US"/>
        </w:rPr>
        <w:drawing>
          <wp:inline distT="0" distB="0" distL="0" distR="0" wp14:anchorId="28E34AF7" wp14:editId="32BFA8B8">
            <wp:extent cx="2251363" cy="2376439"/>
            <wp:effectExtent l="0" t="0" r="0" b="5080"/>
            <wp:docPr id="1591555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55551" name="Picture 1591555551"/>
                    <pic:cNvPicPr/>
                  </pic:nvPicPr>
                  <pic:blipFill>
                    <a:blip r:embed="rId22">
                      <a:extLst>
                        <a:ext uri="{28A0092B-C50C-407E-A947-70E740481C1C}">
                          <a14:useLocalDpi xmlns:a14="http://schemas.microsoft.com/office/drawing/2010/main" val="0"/>
                        </a:ext>
                      </a:extLst>
                    </a:blip>
                    <a:stretch>
                      <a:fillRect/>
                    </a:stretch>
                  </pic:blipFill>
                  <pic:spPr>
                    <a:xfrm>
                      <a:off x="0" y="0"/>
                      <a:ext cx="2266341" cy="2392249"/>
                    </a:xfrm>
                    <a:prstGeom prst="rect">
                      <a:avLst/>
                    </a:prstGeom>
                  </pic:spPr>
                </pic:pic>
              </a:graphicData>
            </a:graphic>
          </wp:inline>
        </w:drawing>
      </w:r>
      <w:r w:rsidR="00DD2AE3" w:rsidRPr="00E448CD">
        <w:rPr>
          <w:rFonts w:ascii="Arial" w:hAnsi="Arial" w:cs="Arial"/>
          <w:noProof/>
          <w:sz w:val="20"/>
          <w:szCs w:val="20"/>
          <w:lang w:val="en-US"/>
        </w:rPr>
        <w:drawing>
          <wp:inline distT="0" distB="0" distL="0" distR="0" wp14:anchorId="7DB85D27" wp14:editId="6630896F">
            <wp:extent cx="3276118" cy="2373425"/>
            <wp:effectExtent l="0" t="0" r="635" b="8255"/>
            <wp:docPr id="923712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12314" name="Picture 92371231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00001" cy="2390727"/>
                    </a:xfrm>
                    <a:prstGeom prst="rect">
                      <a:avLst/>
                    </a:prstGeom>
                  </pic:spPr>
                </pic:pic>
              </a:graphicData>
            </a:graphic>
          </wp:inline>
        </w:drawing>
      </w:r>
    </w:p>
    <w:p w14:paraId="29C97A78" w14:textId="77777777" w:rsidR="002C4D52" w:rsidRPr="00E448CD" w:rsidRDefault="002C4D52" w:rsidP="002C4D52">
      <w:pPr>
        <w:rPr>
          <w:rFonts w:ascii="Arial" w:hAnsi="Arial" w:cs="Arial"/>
          <w:b/>
          <w:bCs/>
          <w:sz w:val="20"/>
          <w:szCs w:val="20"/>
        </w:rPr>
      </w:pPr>
      <w:r w:rsidRPr="00E448CD">
        <w:rPr>
          <w:rFonts w:ascii="Arial" w:hAnsi="Arial" w:cs="Arial"/>
          <w:b/>
          <w:bCs/>
          <w:sz w:val="20"/>
          <w:szCs w:val="20"/>
        </w:rPr>
        <w:t>Figure 0</w:t>
      </w:r>
      <w:r w:rsidR="00A43C26" w:rsidRPr="00E448CD">
        <w:rPr>
          <w:rFonts w:ascii="Arial" w:hAnsi="Arial" w:cs="Arial"/>
          <w:b/>
          <w:bCs/>
          <w:sz w:val="20"/>
          <w:szCs w:val="20"/>
        </w:rPr>
        <w:t>4</w:t>
      </w:r>
      <w:r w:rsidRPr="00E448CD">
        <w:rPr>
          <w:rFonts w:ascii="Arial" w:hAnsi="Arial" w:cs="Arial"/>
          <w:b/>
          <w:bCs/>
          <w:sz w:val="20"/>
          <w:szCs w:val="20"/>
        </w:rPr>
        <w:t>: H-bond interaction and docking pose of FA</w:t>
      </w:r>
      <w:r w:rsidR="005609D3" w:rsidRPr="00E448CD">
        <w:rPr>
          <w:rFonts w:ascii="Arial" w:hAnsi="Arial" w:cs="Arial"/>
          <w:b/>
          <w:bCs/>
          <w:sz w:val="20"/>
          <w:szCs w:val="20"/>
        </w:rPr>
        <w:t>6</w:t>
      </w:r>
    </w:p>
    <w:p w14:paraId="316C1FF1" w14:textId="77777777" w:rsidR="002868CF" w:rsidRPr="00E448CD" w:rsidRDefault="002868CF" w:rsidP="00C05F03">
      <w:pPr>
        <w:jc w:val="both"/>
        <w:rPr>
          <w:rFonts w:ascii="Arial" w:hAnsi="Arial" w:cs="Arial"/>
          <w:sz w:val="20"/>
          <w:szCs w:val="20"/>
        </w:rPr>
      </w:pPr>
    </w:p>
    <w:p w14:paraId="1C122BEE" w14:textId="77777777" w:rsidR="00EA542E" w:rsidRPr="00E448CD" w:rsidRDefault="00EA542E" w:rsidP="00EA542E">
      <w:pPr>
        <w:jc w:val="both"/>
        <w:rPr>
          <w:rFonts w:ascii="Arial" w:hAnsi="Arial" w:cs="Arial"/>
          <w:sz w:val="20"/>
          <w:szCs w:val="20"/>
        </w:rPr>
      </w:pPr>
      <w:r w:rsidRPr="00E448CD">
        <w:rPr>
          <w:rFonts w:ascii="Arial" w:hAnsi="Arial" w:cs="Arial"/>
          <w:bCs/>
          <w:sz w:val="20"/>
          <w:szCs w:val="20"/>
        </w:rPr>
        <w:t>Result</w:t>
      </w:r>
      <w:r w:rsidRPr="00E448CD">
        <w:rPr>
          <w:rFonts w:ascii="Arial" w:hAnsi="Arial" w:cs="Arial"/>
          <w:sz w:val="20"/>
          <w:szCs w:val="20"/>
        </w:rPr>
        <w:t>of molecular docking when standard tyrosine kinase inhibitor such as gefitinib is docked with</w:t>
      </w:r>
      <w:r w:rsidR="00475F84" w:rsidRPr="00E448CD">
        <w:rPr>
          <w:rFonts w:ascii="Arial" w:hAnsi="Arial" w:cs="Arial"/>
          <w:sz w:val="20"/>
          <w:szCs w:val="20"/>
        </w:rPr>
        <w:t xml:space="preserve">GMPPNP-bound G12R mutant of </w:t>
      </w:r>
      <w:r w:rsidRPr="00E448CD">
        <w:rPr>
          <w:rFonts w:ascii="Arial" w:hAnsi="Arial" w:cs="Arial"/>
          <w:sz w:val="20"/>
          <w:szCs w:val="20"/>
        </w:rPr>
        <w:t>human KRAS</w:t>
      </w:r>
      <w:r w:rsidR="004476D7" w:rsidRPr="00E448CD">
        <w:rPr>
          <w:rFonts w:ascii="Arial" w:hAnsi="Arial" w:cs="Arial"/>
          <w:sz w:val="20"/>
          <w:szCs w:val="20"/>
        </w:rPr>
        <w:t>4b</w:t>
      </w:r>
      <w:r w:rsidRPr="00E448CD">
        <w:rPr>
          <w:rFonts w:ascii="Arial" w:hAnsi="Arial" w:cs="Arial"/>
          <w:sz w:val="20"/>
          <w:szCs w:val="20"/>
        </w:rPr>
        <w:t xml:space="preserve"> (6CU6 PDB ID).</w:t>
      </w:r>
    </w:p>
    <w:p w14:paraId="002C18F7" w14:textId="77777777" w:rsidR="00EA542E" w:rsidRPr="00E448CD" w:rsidRDefault="00A43C26" w:rsidP="00EA542E">
      <w:pPr>
        <w:jc w:val="both"/>
        <w:rPr>
          <w:rFonts w:ascii="Arial" w:hAnsi="Arial" w:cs="Arial"/>
          <w:b/>
          <w:sz w:val="20"/>
          <w:szCs w:val="20"/>
        </w:rPr>
      </w:pPr>
      <w:r w:rsidRPr="00E448CD">
        <w:rPr>
          <w:rFonts w:ascii="Arial" w:hAnsi="Arial" w:cs="Arial"/>
          <w:b/>
          <w:sz w:val="20"/>
          <w:szCs w:val="20"/>
        </w:rPr>
        <w:t>Table 7</w:t>
      </w:r>
      <w:r w:rsidR="00EA542E" w:rsidRPr="00E448CD">
        <w:rPr>
          <w:rFonts w:ascii="Arial" w:hAnsi="Arial" w:cs="Arial"/>
          <w:b/>
          <w:sz w:val="20"/>
          <w:szCs w:val="20"/>
        </w:rPr>
        <w:t xml:space="preserve">: result of molecular docking of standard TKIs </w:t>
      </w:r>
    </w:p>
    <w:tbl>
      <w:tblPr>
        <w:tblStyle w:val="TableGrid"/>
        <w:tblW w:w="0" w:type="auto"/>
        <w:tblLook w:val="04A0" w:firstRow="1" w:lastRow="0" w:firstColumn="1" w:lastColumn="0" w:noHBand="0" w:noVBand="1"/>
      </w:tblPr>
      <w:tblGrid>
        <w:gridCol w:w="758"/>
        <w:gridCol w:w="1618"/>
        <w:gridCol w:w="1712"/>
        <w:gridCol w:w="1863"/>
        <w:gridCol w:w="3065"/>
      </w:tblGrid>
      <w:tr w:rsidR="00EA542E" w:rsidRPr="00E448CD" w14:paraId="3C6B702A" w14:textId="77777777" w:rsidTr="000766C3">
        <w:tc>
          <w:tcPr>
            <w:tcW w:w="758" w:type="dxa"/>
          </w:tcPr>
          <w:p w14:paraId="36C6647E" w14:textId="77777777" w:rsidR="00EA542E" w:rsidRPr="00E448CD" w:rsidRDefault="00EA542E" w:rsidP="000766C3">
            <w:pPr>
              <w:jc w:val="both"/>
              <w:rPr>
                <w:rFonts w:ascii="Arial" w:hAnsi="Arial" w:cs="Arial"/>
                <w:sz w:val="20"/>
                <w:szCs w:val="20"/>
              </w:rPr>
            </w:pPr>
            <w:r w:rsidRPr="00E448CD">
              <w:rPr>
                <w:rFonts w:ascii="Arial" w:hAnsi="Arial" w:cs="Arial"/>
                <w:sz w:val="20"/>
                <w:szCs w:val="20"/>
              </w:rPr>
              <w:t>Sr No.</w:t>
            </w:r>
          </w:p>
        </w:tc>
        <w:tc>
          <w:tcPr>
            <w:tcW w:w="1618" w:type="dxa"/>
          </w:tcPr>
          <w:p w14:paraId="740A086B" w14:textId="77777777" w:rsidR="00EA542E" w:rsidRPr="00E448CD" w:rsidRDefault="00EA542E" w:rsidP="000766C3">
            <w:pPr>
              <w:jc w:val="both"/>
              <w:rPr>
                <w:rFonts w:ascii="Arial" w:hAnsi="Arial" w:cs="Arial"/>
                <w:sz w:val="20"/>
                <w:szCs w:val="20"/>
              </w:rPr>
            </w:pPr>
            <w:r w:rsidRPr="00E448CD">
              <w:rPr>
                <w:rFonts w:ascii="Arial" w:hAnsi="Arial" w:cs="Arial"/>
                <w:sz w:val="20"/>
                <w:szCs w:val="20"/>
              </w:rPr>
              <w:t>Standard TKI</w:t>
            </w:r>
          </w:p>
        </w:tc>
        <w:tc>
          <w:tcPr>
            <w:tcW w:w="1712" w:type="dxa"/>
          </w:tcPr>
          <w:p w14:paraId="3FF1E682" w14:textId="77777777" w:rsidR="00EA542E" w:rsidRPr="00E448CD" w:rsidRDefault="00EA542E" w:rsidP="000766C3">
            <w:pPr>
              <w:jc w:val="both"/>
              <w:rPr>
                <w:rFonts w:ascii="Arial" w:hAnsi="Arial" w:cs="Arial"/>
                <w:sz w:val="20"/>
                <w:szCs w:val="20"/>
              </w:rPr>
            </w:pPr>
            <w:proofErr w:type="spellStart"/>
            <w:r w:rsidRPr="00E448CD">
              <w:rPr>
                <w:rFonts w:ascii="Arial" w:hAnsi="Arial" w:cs="Arial"/>
                <w:sz w:val="20"/>
                <w:szCs w:val="20"/>
              </w:rPr>
              <w:t>Moldock</w:t>
            </w:r>
            <w:proofErr w:type="spellEnd"/>
            <w:r w:rsidRPr="00E448CD">
              <w:rPr>
                <w:rFonts w:ascii="Arial" w:hAnsi="Arial" w:cs="Arial"/>
                <w:sz w:val="20"/>
                <w:szCs w:val="20"/>
              </w:rPr>
              <w:t xml:space="preserve"> score </w:t>
            </w:r>
          </w:p>
        </w:tc>
        <w:tc>
          <w:tcPr>
            <w:tcW w:w="1863" w:type="dxa"/>
          </w:tcPr>
          <w:p w14:paraId="3E24E9F6" w14:textId="77777777" w:rsidR="00EA542E" w:rsidRPr="00E448CD" w:rsidRDefault="00EA542E" w:rsidP="000766C3">
            <w:pPr>
              <w:jc w:val="both"/>
              <w:rPr>
                <w:rFonts w:ascii="Arial" w:hAnsi="Arial" w:cs="Arial"/>
                <w:sz w:val="20"/>
                <w:szCs w:val="20"/>
              </w:rPr>
            </w:pPr>
            <w:r w:rsidRPr="00E448CD">
              <w:rPr>
                <w:rFonts w:ascii="Arial" w:hAnsi="Arial" w:cs="Arial"/>
                <w:sz w:val="20"/>
                <w:szCs w:val="20"/>
              </w:rPr>
              <w:t>H bond</w:t>
            </w:r>
          </w:p>
        </w:tc>
        <w:tc>
          <w:tcPr>
            <w:tcW w:w="3065" w:type="dxa"/>
          </w:tcPr>
          <w:p w14:paraId="293048F4" w14:textId="77777777" w:rsidR="00EA542E" w:rsidRPr="00E448CD" w:rsidRDefault="00EA542E" w:rsidP="000766C3">
            <w:pPr>
              <w:jc w:val="both"/>
              <w:rPr>
                <w:rFonts w:ascii="Arial" w:hAnsi="Arial" w:cs="Arial"/>
                <w:sz w:val="20"/>
                <w:szCs w:val="20"/>
              </w:rPr>
            </w:pPr>
            <w:r w:rsidRPr="00E448CD">
              <w:rPr>
                <w:rFonts w:ascii="Arial" w:hAnsi="Arial" w:cs="Arial"/>
                <w:sz w:val="20"/>
                <w:szCs w:val="20"/>
              </w:rPr>
              <w:t xml:space="preserve">Steric interaction </w:t>
            </w:r>
          </w:p>
        </w:tc>
      </w:tr>
      <w:tr w:rsidR="00EA542E" w:rsidRPr="00E448CD" w14:paraId="0357FDC6" w14:textId="77777777" w:rsidTr="000766C3">
        <w:tc>
          <w:tcPr>
            <w:tcW w:w="758" w:type="dxa"/>
          </w:tcPr>
          <w:p w14:paraId="00BAC597" w14:textId="77777777" w:rsidR="00EA542E" w:rsidRPr="00E448CD" w:rsidRDefault="00EA542E" w:rsidP="00EA542E">
            <w:pPr>
              <w:pStyle w:val="ListParagraph"/>
              <w:numPr>
                <w:ilvl w:val="0"/>
                <w:numId w:val="3"/>
              </w:numPr>
              <w:jc w:val="both"/>
              <w:rPr>
                <w:rFonts w:ascii="Arial" w:hAnsi="Arial" w:cs="Arial"/>
                <w:sz w:val="20"/>
                <w:szCs w:val="20"/>
              </w:rPr>
            </w:pPr>
          </w:p>
        </w:tc>
        <w:tc>
          <w:tcPr>
            <w:tcW w:w="1618" w:type="dxa"/>
          </w:tcPr>
          <w:p w14:paraId="183AEC87" w14:textId="77777777" w:rsidR="00EA542E" w:rsidRPr="00E448CD" w:rsidRDefault="00EA542E" w:rsidP="000766C3">
            <w:pPr>
              <w:jc w:val="both"/>
              <w:rPr>
                <w:rFonts w:ascii="Arial" w:hAnsi="Arial" w:cs="Arial"/>
                <w:sz w:val="20"/>
                <w:szCs w:val="20"/>
              </w:rPr>
            </w:pPr>
            <w:r w:rsidRPr="00E448CD">
              <w:rPr>
                <w:rFonts w:ascii="Arial" w:hAnsi="Arial" w:cs="Arial"/>
                <w:sz w:val="20"/>
                <w:szCs w:val="20"/>
              </w:rPr>
              <w:t xml:space="preserve">Gefitinib </w:t>
            </w:r>
          </w:p>
        </w:tc>
        <w:tc>
          <w:tcPr>
            <w:tcW w:w="1712" w:type="dxa"/>
          </w:tcPr>
          <w:p w14:paraId="2790B323" w14:textId="77777777" w:rsidR="00EA542E" w:rsidRPr="00E448CD" w:rsidRDefault="00EA542E" w:rsidP="000766C3">
            <w:pPr>
              <w:jc w:val="both"/>
              <w:rPr>
                <w:rFonts w:ascii="Arial" w:hAnsi="Arial" w:cs="Arial"/>
                <w:sz w:val="20"/>
                <w:szCs w:val="20"/>
              </w:rPr>
            </w:pPr>
            <w:r w:rsidRPr="00E448CD">
              <w:rPr>
                <w:rFonts w:ascii="Arial" w:hAnsi="Arial" w:cs="Arial"/>
                <w:sz w:val="20"/>
                <w:szCs w:val="20"/>
              </w:rPr>
              <w:t>-157.872</w:t>
            </w:r>
          </w:p>
        </w:tc>
        <w:tc>
          <w:tcPr>
            <w:tcW w:w="1863" w:type="dxa"/>
          </w:tcPr>
          <w:p w14:paraId="75351E9D" w14:textId="77777777" w:rsidR="00EA542E" w:rsidRPr="00E448CD" w:rsidRDefault="00EA542E" w:rsidP="000766C3">
            <w:pPr>
              <w:jc w:val="both"/>
              <w:rPr>
                <w:rFonts w:ascii="Arial" w:hAnsi="Arial" w:cs="Arial"/>
                <w:sz w:val="20"/>
                <w:szCs w:val="20"/>
              </w:rPr>
            </w:pPr>
            <w:proofErr w:type="spellStart"/>
            <w:r w:rsidRPr="00E448CD">
              <w:rPr>
                <w:rFonts w:ascii="Arial" w:hAnsi="Arial" w:cs="Arial"/>
                <w:sz w:val="20"/>
                <w:szCs w:val="20"/>
              </w:rPr>
              <w:t>Thr</w:t>
            </w:r>
            <w:proofErr w:type="spellEnd"/>
            <w:r w:rsidRPr="00E448CD">
              <w:rPr>
                <w:rFonts w:ascii="Arial" w:hAnsi="Arial" w:cs="Arial"/>
                <w:sz w:val="20"/>
                <w:szCs w:val="20"/>
              </w:rPr>
              <w:t xml:space="preserve"> 35, Ser 17, Glu 31</w:t>
            </w:r>
          </w:p>
        </w:tc>
        <w:tc>
          <w:tcPr>
            <w:tcW w:w="3065" w:type="dxa"/>
          </w:tcPr>
          <w:p w14:paraId="11E46DE1" w14:textId="77777777" w:rsidR="00EA542E" w:rsidRPr="00E448CD" w:rsidRDefault="00EA542E" w:rsidP="000766C3">
            <w:pPr>
              <w:jc w:val="both"/>
              <w:rPr>
                <w:rFonts w:ascii="Arial" w:hAnsi="Arial" w:cs="Arial"/>
                <w:sz w:val="20"/>
                <w:szCs w:val="20"/>
              </w:rPr>
            </w:pPr>
            <w:r w:rsidRPr="00E448CD">
              <w:rPr>
                <w:rFonts w:ascii="Arial" w:hAnsi="Arial" w:cs="Arial"/>
                <w:sz w:val="20"/>
                <w:szCs w:val="20"/>
              </w:rPr>
              <w:t>Asp 119, Lys 147, Gly 13, Gly15, Thr32, Asp 33, Ser 17, Val 29</w:t>
            </w:r>
          </w:p>
        </w:tc>
      </w:tr>
    </w:tbl>
    <w:p w14:paraId="61AF4EC6" w14:textId="77777777" w:rsidR="00C05F03" w:rsidRPr="00E448CD" w:rsidRDefault="00C05F03" w:rsidP="00EB0490">
      <w:pPr>
        <w:jc w:val="both"/>
        <w:rPr>
          <w:rFonts w:ascii="Arial" w:hAnsi="Arial" w:cs="Arial"/>
          <w:sz w:val="20"/>
          <w:szCs w:val="20"/>
        </w:rPr>
      </w:pPr>
    </w:p>
    <w:p w14:paraId="1D6DE476" w14:textId="77777777" w:rsidR="005B1198" w:rsidRPr="00E448CD" w:rsidRDefault="005B1198" w:rsidP="00EB0490">
      <w:pPr>
        <w:jc w:val="both"/>
        <w:rPr>
          <w:rFonts w:ascii="Arial" w:hAnsi="Arial" w:cs="Arial"/>
          <w:sz w:val="20"/>
          <w:szCs w:val="20"/>
        </w:rPr>
      </w:pPr>
      <w:r w:rsidRPr="00E448CD">
        <w:rPr>
          <w:rFonts w:ascii="Arial" w:hAnsi="Arial" w:cs="Arial"/>
          <w:noProof/>
          <w:sz w:val="20"/>
          <w:szCs w:val="20"/>
          <w:lang w:val="en-US"/>
        </w:rPr>
        <w:lastRenderedPageBreak/>
        <w:drawing>
          <wp:inline distT="0" distB="0" distL="0" distR="0" wp14:anchorId="71007B9B" wp14:editId="3A92DB5A">
            <wp:extent cx="2634724" cy="2901315"/>
            <wp:effectExtent l="0" t="0" r="0" b="0"/>
            <wp:docPr id="1571091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91184" name="Picture 1571091184"/>
                    <pic:cNvPicPr/>
                  </pic:nvPicPr>
                  <pic:blipFill>
                    <a:blip r:embed="rId24">
                      <a:extLst>
                        <a:ext uri="{28A0092B-C50C-407E-A947-70E740481C1C}">
                          <a14:useLocalDpi xmlns:a14="http://schemas.microsoft.com/office/drawing/2010/main" val="0"/>
                        </a:ext>
                      </a:extLst>
                    </a:blip>
                    <a:stretch>
                      <a:fillRect/>
                    </a:stretch>
                  </pic:blipFill>
                  <pic:spPr>
                    <a:xfrm>
                      <a:off x="0" y="0"/>
                      <a:ext cx="2654648" cy="2923255"/>
                    </a:xfrm>
                    <a:prstGeom prst="rect">
                      <a:avLst/>
                    </a:prstGeom>
                  </pic:spPr>
                </pic:pic>
              </a:graphicData>
            </a:graphic>
          </wp:inline>
        </w:drawing>
      </w:r>
      <w:r w:rsidR="00640E57" w:rsidRPr="00E448CD">
        <w:rPr>
          <w:rFonts w:ascii="Arial" w:hAnsi="Arial" w:cs="Arial"/>
          <w:noProof/>
          <w:sz w:val="20"/>
          <w:szCs w:val="20"/>
          <w:lang w:val="en-US"/>
        </w:rPr>
        <w:drawing>
          <wp:inline distT="0" distB="0" distL="0" distR="0" wp14:anchorId="2EF5D0DB" wp14:editId="275A2E23">
            <wp:extent cx="2984123" cy="2901315"/>
            <wp:effectExtent l="0" t="0" r="6985" b="0"/>
            <wp:docPr id="1556563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63104" name="Picture 1556563104"/>
                    <pic:cNvPicPr/>
                  </pic:nvPicPr>
                  <pic:blipFill>
                    <a:blip r:embed="rId25">
                      <a:extLst>
                        <a:ext uri="{28A0092B-C50C-407E-A947-70E740481C1C}">
                          <a14:useLocalDpi xmlns:a14="http://schemas.microsoft.com/office/drawing/2010/main" val="0"/>
                        </a:ext>
                      </a:extLst>
                    </a:blip>
                    <a:stretch>
                      <a:fillRect/>
                    </a:stretch>
                  </pic:blipFill>
                  <pic:spPr>
                    <a:xfrm>
                      <a:off x="0" y="0"/>
                      <a:ext cx="3040880" cy="2956497"/>
                    </a:xfrm>
                    <a:prstGeom prst="rect">
                      <a:avLst/>
                    </a:prstGeom>
                  </pic:spPr>
                </pic:pic>
              </a:graphicData>
            </a:graphic>
          </wp:inline>
        </w:drawing>
      </w:r>
    </w:p>
    <w:p w14:paraId="1BE2573D" w14:textId="77777777" w:rsidR="00896930" w:rsidRPr="00E448CD" w:rsidRDefault="00CC3B4C" w:rsidP="00C31F19">
      <w:pPr>
        <w:jc w:val="both"/>
        <w:rPr>
          <w:rFonts w:ascii="Arial" w:hAnsi="Arial" w:cs="Arial"/>
          <w:b/>
          <w:bCs/>
          <w:sz w:val="20"/>
          <w:szCs w:val="20"/>
        </w:rPr>
      </w:pPr>
      <w:r w:rsidRPr="00E448CD">
        <w:rPr>
          <w:rFonts w:ascii="Arial" w:hAnsi="Arial" w:cs="Arial"/>
          <w:b/>
          <w:bCs/>
          <w:sz w:val="20"/>
          <w:szCs w:val="20"/>
        </w:rPr>
        <w:t>Figure 0</w:t>
      </w:r>
      <w:r w:rsidR="00A43C26" w:rsidRPr="00E448CD">
        <w:rPr>
          <w:rFonts w:ascii="Arial" w:hAnsi="Arial" w:cs="Arial"/>
          <w:b/>
          <w:bCs/>
          <w:sz w:val="20"/>
          <w:szCs w:val="20"/>
        </w:rPr>
        <w:t>5</w:t>
      </w:r>
      <w:r w:rsidRPr="00E448CD">
        <w:rPr>
          <w:rFonts w:ascii="Arial" w:hAnsi="Arial" w:cs="Arial"/>
          <w:b/>
          <w:bCs/>
          <w:sz w:val="20"/>
          <w:szCs w:val="20"/>
        </w:rPr>
        <w:t>: H- bond interaction of Gefitinib (standard tyrosine kinase inhibitor)</w:t>
      </w:r>
    </w:p>
    <w:p w14:paraId="553986DE" w14:textId="77777777" w:rsidR="00376D77" w:rsidRPr="00E448CD" w:rsidRDefault="00376D77" w:rsidP="00C31F19">
      <w:pPr>
        <w:jc w:val="both"/>
        <w:rPr>
          <w:rFonts w:ascii="Arial" w:hAnsi="Arial" w:cs="Arial"/>
          <w:sz w:val="20"/>
          <w:szCs w:val="20"/>
        </w:rPr>
      </w:pPr>
      <w:r w:rsidRPr="00E448CD">
        <w:rPr>
          <w:rFonts w:ascii="Arial" w:hAnsi="Arial" w:cs="Arial"/>
          <w:sz w:val="20"/>
          <w:szCs w:val="20"/>
        </w:rPr>
        <w:t>Among all the 15 derivatives compound FA</w:t>
      </w:r>
      <w:r w:rsidR="00D97B7B" w:rsidRPr="00E448CD">
        <w:rPr>
          <w:rFonts w:ascii="Arial" w:hAnsi="Arial" w:cs="Arial"/>
          <w:sz w:val="20"/>
          <w:szCs w:val="20"/>
        </w:rPr>
        <w:t xml:space="preserve">6 </w:t>
      </w:r>
      <w:r w:rsidRPr="00E448CD">
        <w:rPr>
          <w:rFonts w:ascii="Arial" w:hAnsi="Arial" w:cs="Arial"/>
          <w:sz w:val="20"/>
          <w:szCs w:val="20"/>
        </w:rPr>
        <w:t xml:space="preserve">which is derivative of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with</w:t>
      </w:r>
      <w:r w:rsidR="007C6EB8" w:rsidRPr="00E448CD">
        <w:rPr>
          <w:rFonts w:ascii="Arial" w:hAnsi="Arial" w:cs="Arial"/>
          <w:sz w:val="20"/>
          <w:szCs w:val="20"/>
        </w:rPr>
        <w:t xml:space="preserve"> 4 amino salicylic acid</w:t>
      </w:r>
      <w:r w:rsidRPr="00E448CD">
        <w:rPr>
          <w:rFonts w:ascii="Arial" w:hAnsi="Arial" w:cs="Arial"/>
          <w:sz w:val="20"/>
          <w:szCs w:val="20"/>
        </w:rPr>
        <w:t xml:space="preserve"> shows the relatable results with standard </w:t>
      </w:r>
      <w:proofErr w:type="spellStart"/>
      <w:r w:rsidRPr="00E448CD">
        <w:rPr>
          <w:rFonts w:ascii="Arial" w:hAnsi="Arial" w:cs="Arial"/>
          <w:sz w:val="20"/>
          <w:szCs w:val="20"/>
        </w:rPr>
        <w:t>tyrosin</w:t>
      </w:r>
      <w:proofErr w:type="spellEnd"/>
      <w:r w:rsidRPr="00E448CD">
        <w:rPr>
          <w:rFonts w:ascii="Arial" w:hAnsi="Arial" w:cs="Arial"/>
          <w:sz w:val="20"/>
          <w:szCs w:val="20"/>
        </w:rPr>
        <w:t xml:space="preserve"> kinase inhibitors in terms of binding affinity and interactions.</w:t>
      </w:r>
    </w:p>
    <w:p w14:paraId="1AF7C5F9" w14:textId="77777777" w:rsidR="00D97B7B" w:rsidRPr="00E448CD" w:rsidRDefault="00D97B7B" w:rsidP="00D97B7B">
      <w:pPr>
        <w:jc w:val="center"/>
        <w:rPr>
          <w:rFonts w:ascii="Arial" w:hAnsi="Arial" w:cs="Arial"/>
          <w:b/>
          <w:bCs/>
          <w:sz w:val="20"/>
          <w:szCs w:val="20"/>
        </w:rPr>
      </w:pPr>
      <w:r w:rsidRPr="00E448CD">
        <w:rPr>
          <w:rFonts w:ascii="Arial" w:hAnsi="Arial" w:cs="Arial"/>
          <w:sz w:val="20"/>
          <w:szCs w:val="20"/>
        </w:rPr>
        <w:object w:dxaOrig="6545" w:dyaOrig="3584" w14:anchorId="49A8C09E">
          <v:shape id="_x0000_i1030" type="#_x0000_t75" style="width:266.8pt;height:146.25pt" o:ole="">
            <v:imagedata r:id="rId26" o:title=""/>
          </v:shape>
          <o:OLEObject Type="Embed" ProgID="ChemDraw.Document.6.0" ShapeID="_x0000_i1030" DrawAspect="Content" ObjectID="_1831714029" r:id="rId27"/>
        </w:object>
      </w:r>
    </w:p>
    <w:p w14:paraId="2E729456" w14:textId="77777777" w:rsidR="00376D77" w:rsidRPr="00E448CD" w:rsidRDefault="000D4F26" w:rsidP="000D4F26">
      <w:pPr>
        <w:jc w:val="center"/>
        <w:rPr>
          <w:rFonts w:ascii="Arial" w:hAnsi="Arial" w:cs="Arial"/>
          <w:b/>
          <w:bCs/>
          <w:sz w:val="20"/>
          <w:szCs w:val="20"/>
        </w:rPr>
      </w:pPr>
      <w:r w:rsidRPr="00E448CD">
        <w:rPr>
          <w:rFonts w:ascii="Arial" w:hAnsi="Arial" w:cs="Arial"/>
          <w:b/>
          <w:sz w:val="20"/>
          <w:szCs w:val="20"/>
          <w:shd w:val="clear" w:color="auto" w:fill="FFFFFF"/>
        </w:rPr>
        <w:t xml:space="preserve">4-hydroxy-3-methoxycinnamic acid </w:t>
      </w:r>
      <w:r w:rsidR="0075522A" w:rsidRPr="00E448CD">
        <w:rPr>
          <w:rFonts w:ascii="Arial" w:hAnsi="Arial" w:cs="Arial"/>
          <w:b/>
          <w:bCs/>
          <w:sz w:val="20"/>
          <w:szCs w:val="20"/>
        </w:rPr>
        <w:t>with 4 amino salicylic acid</w:t>
      </w:r>
    </w:p>
    <w:p w14:paraId="7CB16787" w14:textId="77777777" w:rsidR="00376D77" w:rsidRPr="00E448CD" w:rsidRDefault="00B57553" w:rsidP="00C31F19">
      <w:pPr>
        <w:jc w:val="both"/>
        <w:rPr>
          <w:rFonts w:ascii="Arial" w:hAnsi="Arial" w:cs="Arial"/>
          <w:b/>
          <w:bCs/>
          <w:sz w:val="20"/>
          <w:szCs w:val="20"/>
        </w:rPr>
      </w:pPr>
      <w:r w:rsidRPr="00E448CD">
        <w:rPr>
          <w:rFonts w:ascii="Arial" w:hAnsi="Arial" w:cs="Arial"/>
          <w:b/>
          <w:bCs/>
          <w:sz w:val="20"/>
          <w:szCs w:val="20"/>
        </w:rPr>
        <w:t>Discussion:</w:t>
      </w:r>
    </w:p>
    <w:p w14:paraId="3CDDA067" w14:textId="77777777" w:rsidR="00B57553" w:rsidRPr="00E448CD" w:rsidRDefault="00B57553" w:rsidP="00B57553">
      <w:p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All </w:t>
      </w:r>
      <w:r w:rsidRPr="00E448CD">
        <w:rPr>
          <w:rFonts w:ascii="Arial" w:eastAsia="Times New Roman" w:hAnsi="Arial" w:cs="Arial"/>
          <w:bCs/>
          <w:kern w:val="0"/>
          <w:sz w:val="20"/>
          <w:szCs w:val="20"/>
          <w:lang w:eastAsia="en-IN"/>
        </w:rPr>
        <w:t>4-hydroxy-3-methoxycinnamic acid derivatives substituted with aromatic amines</w:t>
      </w:r>
      <w:r w:rsidRPr="00E448CD">
        <w:rPr>
          <w:rFonts w:ascii="Arial" w:eastAsia="Times New Roman" w:hAnsi="Arial" w:cs="Arial"/>
          <w:kern w:val="0"/>
          <w:sz w:val="20"/>
          <w:szCs w:val="20"/>
          <w:lang w:eastAsia="en-IN"/>
        </w:rPr>
        <w:t xml:space="preserve"> exhibited acceptable drug-like characteristics along with </w:t>
      </w:r>
      <w:proofErr w:type="spellStart"/>
      <w:r w:rsidRPr="00E448CD">
        <w:rPr>
          <w:rFonts w:ascii="Arial" w:eastAsia="Times New Roman" w:hAnsi="Arial" w:cs="Arial"/>
          <w:kern w:val="0"/>
          <w:sz w:val="20"/>
          <w:szCs w:val="20"/>
          <w:lang w:eastAsia="en-IN"/>
        </w:rPr>
        <w:t>favorable</w:t>
      </w:r>
      <w:proofErr w:type="spellEnd"/>
      <w:r w:rsidRPr="00E448CD">
        <w:rPr>
          <w:rFonts w:ascii="Arial" w:eastAsia="Times New Roman" w:hAnsi="Arial" w:cs="Arial"/>
          <w:kern w:val="0"/>
          <w:sz w:val="20"/>
          <w:szCs w:val="20"/>
          <w:lang w:eastAsia="en-IN"/>
        </w:rPr>
        <w:t xml:space="preserve"> drug-likeness parameters. This outcome can be attributed to their full compliance with </w:t>
      </w:r>
      <w:r w:rsidRPr="00E448CD">
        <w:rPr>
          <w:rFonts w:ascii="Arial" w:eastAsia="Times New Roman" w:hAnsi="Arial" w:cs="Arial"/>
          <w:bCs/>
          <w:kern w:val="0"/>
          <w:sz w:val="20"/>
          <w:szCs w:val="20"/>
          <w:lang w:eastAsia="en-IN"/>
        </w:rPr>
        <w:t>Lipinski’s Rule of Five</w:t>
      </w:r>
      <w:r w:rsidRPr="00E448CD">
        <w:rPr>
          <w:rFonts w:ascii="Arial" w:eastAsia="Times New Roman" w:hAnsi="Arial" w:cs="Arial"/>
          <w:kern w:val="0"/>
          <w:sz w:val="20"/>
          <w:szCs w:val="20"/>
          <w:lang w:eastAsia="en-IN"/>
        </w:rPr>
        <w:t>, as all derivatives satisfied the criteria for molecular weight (≤ 500 Da), lipophilicity (</w:t>
      </w:r>
      <w:proofErr w:type="spellStart"/>
      <w:r w:rsidRPr="00E448CD">
        <w:rPr>
          <w:rFonts w:ascii="Arial" w:eastAsia="Times New Roman" w:hAnsi="Arial" w:cs="Arial"/>
          <w:kern w:val="0"/>
          <w:sz w:val="20"/>
          <w:szCs w:val="20"/>
          <w:lang w:eastAsia="en-IN"/>
        </w:rPr>
        <w:t>LogP</w:t>
      </w:r>
      <w:proofErr w:type="spellEnd"/>
      <w:r w:rsidRPr="00E448CD">
        <w:rPr>
          <w:rFonts w:ascii="Arial" w:eastAsia="Times New Roman" w:hAnsi="Arial" w:cs="Arial"/>
          <w:kern w:val="0"/>
          <w:sz w:val="20"/>
          <w:szCs w:val="20"/>
          <w:lang w:eastAsia="en-IN"/>
        </w:rPr>
        <w:t xml:space="preserve">&lt; 5), hydrogen bond donors (≤ 5), and hydrogen bond acceptors (≤ 10). Overall pharmacokinetic evaluation indicated a generally </w:t>
      </w:r>
      <w:proofErr w:type="spellStart"/>
      <w:r w:rsidRPr="00E448CD">
        <w:rPr>
          <w:rFonts w:ascii="Arial" w:eastAsia="Times New Roman" w:hAnsi="Arial" w:cs="Arial"/>
          <w:kern w:val="0"/>
          <w:sz w:val="20"/>
          <w:szCs w:val="20"/>
          <w:lang w:eastAsia="en-IN"/>
        </w:rPr>
        <w:t>favorable</w:t>
      </w:r>
      <w:proofErr w:type="spellEnd"/>
      <w:r w:rsidRPr="00E448CD">
        <w:rPr>
          <w:rFonts w:ascii="Arial" w:eastAsia="Times New Roman" w:hAnsi="Arial" w:cs="Arial"/>
          <w:kern w:val="0"/>
          <w:sz w:val="20"/>
          <w:szCs w:val="20"/>
          <w:lang w:eastAsia="en-IN"/>
        </w:rPr>
        <w:t xml:space="preserve"> profile for the studied compounds. All derivatives demonstrated </w:t>
      </w:r>
      <w:r w:rsidRPr="00E448CD">
        <w:rPr>
          <w:rFonts w:ascii="Arial" w:eastAsia="Times New Roman" w:hAnsi="Arial" w:cs="Arial"/>
          <w:bCs/>
          <w:kern w:val="0"/>
          <w:sz w:val="20"/>
          <w:szCs w:val="20"/>
          <w:lang w:eastAsia="en-IN"/>
        </w:rPr>
        <w:t>high human intestinal absorption (HIA)</w:t>
      </w:r>
      <w:r w:rsidRPr="00E448CD">
        <w:rPr>
          <w:rFonts w:ascii="Arial" w:eastAsia="Times New Roman" w:hAnsi="Arial" w:cs="Arial"/>
          <w:kern w:val="0"/>
          <w:sz w:val="20"/>
          <w:szCs w:val="20"/>
          <w:lang w:eastAsia="en-IN"/>
        </w:rPr>
        <w:t xml:space="preserve">, suggesting strong potential for oral bioavailability. Plasma protein binding (PPB) analysis showed that three derivatives (FA10, FA11, and FA12) were highly bound, while the majority of the compounds exhibited weak binding, indicating variability in their distribution </w:t>
      </w:r>
      <w:proofErr w:type="spellStart"/>
      <w:r w:rsidRPr="00E448CD">
        <w:rPr>
          <w:rFonts w:ascii="Arial" w:eastAsia="Times New Roman" w:hAnsi="Arial" w:cs="Arial"/>
          <w:kern w:val="0"/>
          <w:sz w:val="20"/>
          <w:szCs w:val="20"/>
          <w:lang w:eastAsia="en-IN"/>
        </w:rPr>
        <w:t>behavior</w:t>
      </w:r>
      <w:proofErr w:type="spellEnd"/>
      <w:r w:rsidRPr="00E448CD">
        <w:rPr>
          <w:rFonts w:ascii="Arial" w:eastAsia="Times New Roman" w:hAnsi="Arial" w:cs="Arial"/>
          <w:kern w:val="0"/>
          <w:sz w:val="20"/>
          <w:szCs w:val="20"/>
          <w:lang w:eastAsia="en-IN"/>
        </w:rPr>
        <w:t xml:space="preserve">. All compounds showed </w:t>
      </w:r>
      <w:r w:rsidRPr="00E448CD">
        <w:rPr>
          <w:rFonts w:ascii="Arial" w:eastAsia="Times New Roman" w:hAnsi="Arial" w:cs="Arial"/>
          <w:bCs/>
          <w:kern w:val="0"/>
          <w:sz w:val="20"/>
          <w:szCs w:val="20"/>
          <w:lang w:eastAsia="en-IN"/>
        </w:rPr>
        <w:t xml:space="preserve">moderate </w:t>
      </w:r>
      <w:proofErr w:type="spellStart"/>
      <w:r w:rsidRPr="00E448CD">
        <w:rPr>
          <w:rFonts w:ascii="Arial" w:eastAsia="Times New Roman" w:hAnsi="Arial" w:cs="Arial"/>
          <w:bCs/>
          <w:kern w:val="0"/>
          <w:sz w:val="20"/>
          <w:szCs w:val="20"/>
          <w:lang w:eastAsia="en-IN"/>
        </w:rPr>
        <w:t>CaCO</w:t>
      </w:r>
      <w:proofErr w:type="spellEnd"/>
      <w:r w:rsidRPr="00E448CD">
        <w:rPr>
          <w:rFonts w:ascii="Times New Roman" w:eastAsia="Times New Roman" w:hAnsi="Times New Roman" w:cs="Arial"/>
          <w:bCs/>
          <w:kern w:val="0"/>
          <w:sz w:val="20"/>
          <w:szCs w:val="20"/>
          <w:lang w:eastAsia="en-IN"/>
        </w:rPr>
        <w:t>₂</w:t>
      </w:r>
      <w:r w:rsidRPr="00E448CD">
        <w:rPr>
          <w:rFonts w:ascii="Arial" w:eastAsia="Times New Roman" w:hAnsi="Arial" w:cs="Arial"/>
          <w:bCs/>
          <w:kern w:val="0"/>
          <w:sz w:val="20"/>
          <w:szCs w:val="20"/>
          <w:lang w:eastAsia="en-IN"/>
        </w:rPr>
        <w:t xml:space="preserve"> permeability</w:t>
      </w:r>
      <w:r w:rsidRPr="00E448CD">
        <w:rPr>
          <w:rFonts w:ascii="Arial" w:eastAsia="Times New Roman" w:hAnsi="Arial" w:cs="Arial"/>
          <w:kern w:val="0"/>
          <w:sz w:val="20"/>
          <w:szCs w:val="20"/>
          <w:lang w:eastAsia="en-IN"/>
        </w:rPr>
        <w:t>, reflecting acceptable membrane transport properties.</w:t>
      </w:r>
    </w:p>
    <w:p w14:paraId="1D5F5AB9" w14:textId="77777777" w:rsidR="00B57553" w:rsidRPr="00E448CD" w:rsidRDefault="00B57553" w:rsidP="00B57553">
      <w:p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Importantly, none of the derivatives inhibited </w:t>
      </w:r>
      <w:r w:rsidRPr="00E448CD">
        <w:rPr>
          <w:rFonts w:ascii="Arial" w:eastAsia="Times New Roman" w:hAnsi="Arial" w:cs="Arial"/>
          <w:bCs/>
          <w:kern w:val="0"/>
          <w:sz w:val="20"/>
          <w:szCs w:val="20"/>
          <w:lang w:eastAsia="en-IN"/>
        </w:rPr>
        <w:t>CYP2D6</w:t>
      </w:r>
      <w:r w:rsidRPr="00E448CD">
        <w:rPr>
          <w:rFonts w:ascii="Arial" w:eastAsia="Times New Roman" w:hAnsi="Arial" w:cs="Arial"/>
          <w:kern w:val="0"/>
          <w:sz w:val="20"/>
          <w:szCs w:val="20"/>
          <w:lang w:eastAsia="en-IN"/>
        </w:rPr>
        <w:t xml:space="preserve">, thereby reducing the likelihood of metabolic instability and potential drug–drug interactions. In the MDCK cell permeability model, one compound (FA4) exhibited moderate permeability, whereas the remaining derivatives showed lower transport efficiency. Evaluation of </w:t>
      </w:r>
      <w:r w:rsidRPr="00E448CD">
        <w:rPr>
          <w:rFonts w:ascii="Arial" w:eastAsia="Times New Roman" w:hAnsi="Arial" w:cs="Arial"/>
          <w:bCs/>
          <w:kern w:val="0"/>
          <w:sz w:val="20"/>
          <w:szCs w:val="20"/>
          <w:lang w:eastAsia="en-IN"/>
        </w:rPr>
        <w:t>P-glycoprotein (P-</w:t>
      </w:r>
      <w:proofErr w:type="spellStart"/>
      <w:r w:rsidRPr="00E448CD">
        <w:rPr>
          <w:rFonts w:ascii="Arial" w:eastAsia="Times New Roman" w:hAnsi="Arial" w:cs="Arial"/>
          <w:bCs/>
          <w:kern w:val="0"/>
          <w:sz w:val="20"/>
          <w:szCs w:val="20"/>
          <w:lang w:eastAsia="en-IN"/>
        </w:rPr>
        <w:t>gp</w:t>
      </w:r>
      <w:proofErr w:type="spellEnd"/>
      <w:r w:rsidRPr="00E448CD">
        <w:rPr>
          <w:rFonts w:ascii="Arial" w:eastAsia="Times New Roman" w:hAnsi="Arial" w:cs="Arial"/>
          <w:bCs/>
          <w:kern w:val="0"/>
          <w:sz w:val="20"/>
          <w:szCs w:val="20"/>
          <w:lang w:eastAsia="en-IN"/>
        </w:rPr>
        <w:t>)</w:t>
      </w:r>
      <w:r w:rsidRPr="00E448CD">
        <w:rPr>
          <w:rFonts w:ascii="Arial" w:eastAsia="Times New Roman" w:hAnsi="Arial" w:cs="Arial"/>
          <w:kern w:val="0"/>
          <w:sz w:val="20"/>
          <w:szCs w:val="20"/>
          <w:lang w:eastAsia="en-IN"/>
        </w:rPr>
        <w:t xml:space="preserve"> interactions revealed that only three compounds (FA11, FA12, and FA13) acted as P-</w:t>
      </w:r>
      <w:proofErr w:type="spellStart"/>
      <w:r w:rsidRPr="00E448CD">
        <w:rPr>
          <w:rFonts w:ascii="Arial" w:eastAsia="Times New Roman" w:hAnsi="Arial" w:cs="Arial"/>
          <w:kern w:val="0"/>
          <w:sz w:val="20"/>
          <w:szCs w:val="20"/>
          <w:lang w:eastAsia="en-IN"/>
        </w:rPr>
        <w:t>gp</w:t>
      </w:r>
      <w:proofErr w:type="spellEnd"/>
      <w:r w:rsidRPr="00E448CD">
        <w:rPr>
          <w:rFonts w:ascii="Arial" w:eastAsia="Times New Roman" w:hAnsi="Arial" w:cs="Arial"/>
          <w:kern w:val="0"/>
          <w:sz w:val="20"/>
          <w:szCs w:val="20"/>
          <w:lang w:eastAsia="en-IN"/>
        </w:rPr>
        <w:t xml:space="preserve"> inhibitors, while most derivatives were non-inhibitors, suggesting </w:t>
      </w:r>
      <w:r w:rsidRPr="00E448CD">
        <w:rPr>
          <w:rFonts w:ascii="Arial" w:eastAsia="Times New Roman" w:hAnsi="Arial" w:cs="Arial"/>
          <w:kern w:val="0"/>
          <w:sz w:val="20"/>
          <w:szCs w:val="20"/>
          <w:lang w:eastAsia="en-IN"/>
        </w:rPr>
        <w:lastRenderedPageBreak/>
        <w:t>minimal efflux-related limitations on bioavailability. Blood–brain barrier (BBB) penetration analysis indicated that four compounds were CNS-active, whereas the remaining derivatives were non-CNS active. Collectively, these findings indicate that the designed derivatives possess promising absorption and metabolic safety profiles, with a subset showing potential central nervous system activity.</w:t>
      </w:r>
    </w:p>
    <w:p w14:paraId="6E2833BC" w14:textId="77777777" w:rsidR="00B57553" w:rsidRPr="00E448CD" w:rsidRDefault="00B57553" w:rsidP="00B57553">
      <w:p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To explore molecular interactions at the target level, all compounds were subjected to molecular docking studies against the </w:t>
      </w:r>
      <w:r w:rsidRPr="00E448CD">
        <w:rPr>
          <w:rFonts w:ascii="Arial" w:eastAsia="Times New Roman" w:hAnsi="Arial" w:cs="Arial"/>
          <w:bCs/>
          <w:kern w:val="0"/>
          <w:sz w:val="20"/>
          <w:szCs w:val="20"/>
          <w:lang w:eastAsia="en-IN"/>
        </w:rPr>
        <w:t>GMPPNP-bound G12R mutant of human KRAS4b protein (PDB ID: 6CU6)</w:t>
      </w:r>
      <w:r w:rsidRPr="00E448CD">
        <w:rPr>
          <w:rFonts w:ascii="Arial" w:eastAsia="Times New Roman" w:hAnsi="Arial" w:cs="Arial"/>
          <w:kern w:val="0"/>
          <w:sz w:val="20"/>
          <w:szCs w:val="20"/>
          <w:lang w:eastAsia="en-IN"/>
        </w:rPr>
        <w:t>. Small organic molecules interact with proteins through a combination of chemical bonding and non-covalent interactions, including hydrogen bonds, hydrophobic interactions, and electrostatic forces between the ligand and the receptor. These interactions provide valuable insight into the binding mode and potential biological activity of the compounds.</w:t>
      </w:r>
    </w:p>
    <w:p w14:paraId="1755ACE9" w14:textId="77777777" w:rsidR="00B57553" w:rsidRPr="00E448CD" w:rsidRDefault="00B57553" w:rsidP="00B57553">
      <w:p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Hydrogen bonding and hydrophobic interactions are key determinants of binding affinity and pharmacological efficacy in drug–receptor interactions. In particular, hydrogen bonds play a crucial role in stabilizing ligand–protein complexes and maintaining the structural integrity of essential biomolecules such as proteins and nucleic acids. These interactions significantly influence the specificity and strength of ligand binding.</w:t>
      </w:r>
    </w:p>
    <w:p w14:paraId="4CD712A1" w14:textId="77777777" w:rsidR="00B57553" w:rsidRPr="00E448CD" w:rsidRDefault="00B57553" w:rsidP="00B57553">
      <w:p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For final evaluation, docking poses with the </w:t>
      </w:r>
      <w:r w:rsidRPr="00E448CD">
        <w:rPr>
          <w:rFonts w:ascii="Arial" w:eastAsia="Times New Roman" w:hAnsi="Arial" w:cs="Arial"/>
          <w:bCs/>
          <w:kern w:val="0"/>
          <w:sz w:val="20"/>
          <w:szCs w:val="20"/>
          <w:lang w:eastAsia="en-IN"/>
        </w:rPr>
        <w:t>most negative docking scores</w:t>
      </w:r>
      <w:r w:rsidRPr="00E448CD">
        <w:rPr>
          <w:rFonts w:ascii="Arial" w:eastAsia="Times New Roman" w:hAnsi="Arial" w:cs="Arial"/>
          <w:kern w:val="0"/>
          <w:sz w:val="20"/>
          <w:szCs w:val="20"/>
          <w:lang w:eastAsia="en-IN"/>
        </w:rPr>
        <w:t xml:space="preserve"> were selected, as these represent the strongest binding affinities between the ligands and the target protein. This approach enabled the identification of ligand–protein complexes with the highest potential for therapeutic relevance.</w:t>
      </w:r>
    </w:p>
    <w:p w14:paraId="71F275DD" w14:textId="77777777" w:rsidR="00FA50FF" w:rsidRPr="00E448CD" w:rsidRDefault="00E448CD" w:rsidP="00C31F19">
      <w:pPr>
        <w:jc w:val="both"/>
        <w:rPr>
          <w:rFonts w:ascii="Arial" w:hAnsi="Arial" w:cs="Arial"/>
          <w:b/>
          <w:bCs/>
          <w:sz w:val="22"/>
        </w:rPr>
      </w:pPr>
      <w:r w:rsidRPr="00E448CD">
        <w:rPr>
          <w:rFonts w:ascii="Arial" w:hAnsi="Arial" w:cs="Arial"/>
          <w:b/>
          <w:bCs/>
          <w:sz w:val="22"/>
        </w:rPr>
        <w:t>CONCLUSION</w:t>
      </w:r>
      <w:r w:rsidRPr="00E448CD">
        <w:rPr>
          <w:rFonts w:ascii="Arial" w:hAnsi="Arial" w:cs="Arial"/>
          <w:sz w:val="22"/>
        </w:rPr>
        <w:t xml:space="preserve">: </w:t>
      </w:r>
    </w:p>
    <w:p w14:paraId="7DA09525" w14:textId="77777777" w:rsidR="00FA50FF" w:rsidRPr="00E448CD" w:rsidRDefault="00FA50FF" w:rsidP="00C31F19">
      <w:pPr>
        <w:jc w:val="both"/>
        <w:rPr>
          <w:rFonts w:ascii="Arial" w:hAnsi="Arial" w:cs="Arial"/>
          <w:sz w:val="20"/>
          <w:szCs w:val="20"/>
        </w:rPr>
      </w:pPr>
      <w:r w:rsidRPr="00E448CD">
        <w:rPr>
          <w:rFonts w:ascii="Arial" w:hAnsi="Arial" w:cs="Arial"/>
          <w:sz w:val="20"/>
          <w:szCs w:val="20"/>
        </w:rPr>
        <w:t xml:space="preserve">This study investigated the anti-lung cancer potential of substituted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 xml:space="preserve">derivatives by targeting </w:t>
      </w:r>
      <w:r w:rsidR="00475F84" w:rsidRPr="00E448CD">
        <w:rPr>
          <w:rFonts w:ascii="Arial" w:hAnsi="Arial" w:cs="Arial"/>
          <w:sz w:val="20"/>
          <w:szCs w:val="20"/>
        </w:rPr>
        <w:t xml:space="preserve">GMPPNP-bound G12R mutant of </w:t>
      </w:r>
      <w:r w:rsidRPr="00E448CD">
        <w:rPr>
          <w:rFonts w:ascii="Arial" w:hAnsi="Arial" w:cs="Arial"/>
          <w:sz w:val="20"/>
          <w:szCs w:val="20"/>
        </w:rPr>
        <w:t>human KRAS</w:t>
      </w:r>
      <w:r w:rsidR="00855B18" w:rsidRPr="00E448CD">
        <w:rPr>
          <w:rFonts w:ascii="Arial" w:hAnsi="Arial" w:cs="Arial"/>
          <w:sz w:val="20"/>
          <w:szCs w:val="20"/>
        </w:rPr>
        <w:t>4b</w:t>
      </w:r>
      <w:r w:rsidRPr="00E448CD">
        <w:rPr>
          <w:rFonts w:ascii="Arial" w:hAnsi="Arial" w:cs="Arial"/>
          <w:sz w:val="20"/>
          <w:szCs w:val="20"/>
        </w:rPr>
        <w:t>. Docking simulations revealed that these derivatives exhibited stronger binding affinities and more favo</w:t>
      </w:r>
      <w:r w:rsidR="002750B6" w:rsidRPr="00E448CD">
        <w:rPr>
          <w:rFonts w:ascii="Arial" w:hAnsi="Arial" w:cs="Arial"/>
          <w:sz w:val="20"/>
          <w:szCs w:val="20"/>
        </w:rPr>
        <w:t>u</w:t>
      </w:r>
      <w:r w:rsidRPr="00E448CD">
        <w:rPr>
          <w:rFonts w:ascii="Arial" w:hAnsi="Arial" w:cs="Arial"/>
          <w:sz w:val="20"/>
          <w:szCs w:val="20"/>
        </w:rPr>
        <w:t xml:space="preserve">rable interaction profiles compared to established kinase inhibitors such as gefitinib, erlotinib, and </w:t>
      </w:r>
      <w:proofErr w:type="spellStart"/>
      <w:r w:rsidRPr="00E448CD">
        <w:rPr>
          <w:rFonts w:ascii="Arial" w:hAnsi="Arial" w:cs="Arial"/>
          <w:sz w:val="20"/>
          <w:szCs w:val="20"/>
        </w:rPr>
        <w:t>dasatinib</w:t>
      </w:r>
      <w:proofErr w:type="spellEnd"/>
      <w:r w:rsidRPr="00E448CD">
        <w:rPr>
          <w:rFonts w:ascii="Arial" w:hAnsi="Arial" w:cs="Arial"/>
          <w:sz w:val="20"/>
          <w:szCs w:val="20"/>
        </w:rPr>
        <w:t>. Drug-likeness and bioactivity predictions further supported their suitability as promising candidates, with several derivatives demonstrating favo</w:t>
      </w:r>
      <w:r w:rsidR="002750B6" w:rsidRPr="00E448CD">
        <w:rPr>
          <w:rFonts w:ascii="Arial" w:hAnsi="Arial" w:cs="Arial"/>
          <w:sz w:val="20"/>
          <w:szCs w:val="20"/>
        </w:rPr>
        <w:t>u</w:t>
      </w:r>
      <w:r w:rsidRPr="00E448CD">
        <w:rPr>
          <w:rFonts w:ascii="Arial" w:hAnsi="Arial" w:cs="Arial"/>
          <w:sz w:val="20"/>
          <w:szCs w:val="20"/>
        </w:rPr>
        <w:t xml:space="preserve">rable pharmacokinetic properties and kinase receptor activity. Collectively, these findings highlight substituted </w:t>
      </w:r>
      <w:r w:rsidR="000D4F26" w:rsidRPr="00E448CD">
        <w:rPr>
          <w:rFonts w:ascii="Arial" w:hAnsi="Arial" w:cs="Arial"/>
          <w:sz w:val="20"/>
          <w:szCs w:val="20"/>
          <w:shd w:val="clear" w:color="auto" w:fill="FFFFFF"/>
        </w:rPr>
        <w:t>4-hydroxy-3-methoxycinnamic acid</w:t>
      </w:r>
      <w:r w:rsidRPr="00E448CD">
        <w:rPr>
          <w:rFonts w:ascii="Arial" w:hAnsi="Arial" w:cs="Arial"/>
          <w:sz w:val="20"/>
          <w:szCs w:val="20"/>
        </w:rPr>
        <w:t>derivatives as potential ligands for</w:t>
      </w:r>
      <w:r w:rsidR="00942DEF" w:rsidRPr="00E448CD">
        <w:rPr>
          <w:rFonts w:ascii="Arial" w:hAnsi="Arial" w:cs="Arial"/>
          <w:sz w:val="20"/>
          <w:szCs w:val="20"/>
        </w:rPr>
        <w:t xml:space="preserve">GMPPNP-bound G12R mutant of </w:t>
      </w:r>
      <w:r w:rsidRPr="00E448CD">
        <w:rPr>
          <w:rFonts w:ascii="Arial" w:hAnsi="Arial" w:cs="Arial"/>
          <w:sz w:val="20"/>
          <w:szCs w:val="20"/>
        </w:rPr>
        <w:t>KRAS</w:t>
      </w:r>
      <w:r w:rsidR="00855B18" w:rsidRPr="00E448CD">
        <w:rPr>
          <w:rFonts w:ascii="Arial" w:hAnsi="Arial" w:cs="Arial"/>
          <w:sz w:val="20"/>
          <w:szCs w:val="20"/>
        </w:rPr>
        <w:t>4b</w:t>
      </w:r>
      <w:r w:rsidRPr="00E448CD">
        <w:rPr>
          <w:rFonts w:ascii="Arial" w:hAnsi="Arial" w:cs="Arial"/>
          <w:sz w:val="20"/>
          <w:szCs w:val="20"/>
        </w:rPr>
        <w:t xml:space="preserve"> and suggest their utility as future drug candidates in lung cancer therapy. Further experimental validation and optimization are warranted to translate these computational insights into clinical applications.</w:t>
      </w:r>
    </w:p>
    <w:p w14:paraId="592BF462" w14:textId="77777777" w:rsidR="00E448CD" w:rsidRDefault="00E448CD" w:rsidP="00345276">
      <w:pPr>
        <w:spacing w:after="0" w:line="240" w:lineRule="auto"/>
        <w:ind w:right="-46"/>
        <w:jc w:val="both"/>
        <w:rPr>
          <w:rFonts w:ascii="Arial" w:hAnsi="Arial" w:cs="Arial"/>
          <w:color w:val="000000" w:themeColor="text1"/>
          <w:sz w:val="20"/>
        </w:rPr>
      </w:pPr>
      <w:bookmarkStart w:id="0" w:name="_GoBack"/>
      <w:bookmarkEnd w:id="0"/>
    </w:p>
    <w:p w14:paraId="064B2880" w14:textId="77777777" w:rsidR="00E448CD" w:rsidRDefault="00E448CD" w:rsidP="00345276">
      <w:pPr>
        <w:spacing w:after="0" w:line="240" w:lineRule="auto"/>
        <w:ind w:right="-46"/>
        <w:jc w:val="both"/>
        <w:rPr>
          <w:rFonts w:ascii="Arial" w:hAnsi="Arial" w:cs="Arial"/>
          <w:color w:val="000000" w:themeColor="text1"/>
          <w:sz w:val="20"/>
        </w:rPr>
      </w:pPr>
    </w:p>
    <w:p w14:paraId="0C5D6243" w14:textId="77777777" w:rsidR="00E448CD" w:rsidRPr="00EC46F0" w:rsidRDefault="00E448CD" w:rsidP="00345276">
      <w:pPr>
        <w:spacing w:after="0" w:line="240" w:lineRule="auto"/>
        <w:ind w:right="-46"/>
        <w:jc w:val="both"/>
        <w:rPr>
          <w:rFonts w:ascii="Arial" w:hAnsi="Arial" w:cs="Arial"/>
          <w:color w:val="000000" w:themeColor="text1"/>
          <w:sz w:val="20"/>
        </w:rPr>
      </w:pPr>
    </w:p>
    <w:p w14:paraId="758F5ACF" w14:textId="77777777" w:rsidR="00596E8C" w:rsidRPr="00E448CD" w:rsidRDefault="00E448CD" w:rsidP="00596E8C">
      <w:pPr>
        <w:jc w:val="both"/>
        <w:rPr>
          <w:rFonts w:ascii="Arial" w:hAnsi="Arial" w:cs="Arial"/>
          <w:b/>
          <w:bCs/>
          <w:sz w:val="22"/>
        </w:rPr>
      </w:pPr>
      <w:r w:rsidRPr="00E448CD">
        <w:rPr>
          <w:rFonts w:ascii="Arial" w:hAnsi="Arial" w:cs="Arial"/>
          <w:b/>
          <w:bCs/>
          <w:sz w:val="22"/>
        </w:rPr>
        <w:t>REFERENCES:</w:t>
      </w:r>
    </w:p>
    <w:p w14:paraId="179BB96D" w14:textId="77777777" w:rsidR="004037EE" w:rsidRPr="00E448CD" w:rsidRDefault="004037EE" w:rsidP="004037EE">
      <w:pPr>
        <w:pStyle w:val="ListParagraph"/>
        <w:numPr>
          <w:ilvl w:val="0"/>
          <w:numId w:val="4"/>
        </w:numPr>
        <w:jc w:val="both"/>
        <w:rPr>
          <w:rFonts w:ascii="Arial" w:hAnsi="Arial" w:cs="Arial"/>
          <w:sz w:val="20"/>
          <w:szCs w:val="20"/>
        </w:rPr>
      </w:pPr>
      <w:r w:rsidRPr="00E448CD">
        <w:rPr>
          <w:rFonts w:ascii="Arial" w:hAnsi="Arial" w:cs="Arial"/>
          <w:sz w:val="20"/>
          <w:szCs w:val="20"/>
        </w:rPr>
        <w:t xml:space="preserve">Aftab H, Islam </w:t>
      </w:r>
      <w:proofErr w:type="spellStart"/>
      <w:r w:rsidRPr="00E448CD">
        <w:rPr>
          <w:rFonts w:ascii="Arial" w:hAnsi="Arial" w:cs="Arial"/>
          <w:sz w:val="20"/>
          <w:szCs w:val="20"/>
        </w:rPr>
        <w:t>M,Şenol</w:t>
      </w:r>
      <w:proofErr w:type="spellEnd"/>
      <w:r w:rsidRPr="00E448CD">
        <w:rPr>
          <w:rFonts w:ascii="Arial" w:hAnsi="Arial" w:cs="Arial"/>
          <w:sz w:val="20"/>
          <w:szCs w:val="20"/>
        </w:rPr>
        <w:t xml:space="preserve"> H, </w:t>
      </w:r>
      <w:proofErr w:type="spellStart"/>
      <w:r w:rsidRPr="00E448CD">
        <w:rPr>
          <w:rFonts w:ascii="Arial" w:hAnsi="Arial" w:cs="Arial"/>
          <w:sz w:val="20"/>
          <w:szCs w:val="20"/>
        </w:rPr>
        <w:t>Batoo</w:t>
      </w:r>
      <w:proofErr w:type="spellEnd"/>
      <w:r w:rsidRPr="00E448CD">
        <w:rPr>
          <w:rFonts w:ascii="Arial" w:hAnsi="Arial" w:cs="Arial"/>
          <w:sz w:val="20"/>
          <w:szCs w:val="20"/>
        </w:rPr>
        <w:t xml:space="preserve"> Z, </w:t>
      </w:r>
      <w:proofErr w:type="spellStart"/>
      <w:r w:rsidRPr="00E448CD">
        <w:rPr>
          <w:rFonts w:ascii="Arial" w:hAnsi="Arial" w:cs="Arial"/>
          <w:sz w:val="20"/>
          <w:szCs w:val="20"/>
        </w:rPr>
        <w:t>Ateşoğlu</w:t>
      </w:r>
      <w:proofErr w:type="spellEnd"/>
      <w:r w:rsidRPr="00E448CD">
        <w:rPr>
          <w:rFonts w:ascii="Arial" w:hAnsi="Arial" w:cs="Arial"/>
          <w:sz w:val="20"/>
          <w:szCs w:val="20"/>
        </w:rPr>
        <w:t xml:space="preserve"> S, </w:t>
      </w:r>
      <w:proofErr w:type="spellStart"/>
      <w:r w:rsidRPr="00E448CD">
        <w:rPr>
          <w:rFonts w:ascii="Arial" w:hAnsi="Arial" w:cs="Arial"/>
          <w:sz w:val="20"/>
          <w:szCs w:val="20"/>
        </w:rPr>
        <w:t>Çakır</w:t>
      </w:r>
      <w:proofErr w:type="spellEnd"/>
      <w:r w:rsidRPr="00E448CD">
        <w:rPr>
          <w:rFonts w:ascii="Arial" w:hAnsi="Arial" w:cs="Arial"/>
          <w:sz w:val="20"/>
          <w:szCs w:val="20"/>
        </w:rPr>
        <w:t xml:space="preserve"> F, Akbaş F, Taslimi F, Alanazi A K, Noreen </w:t>
      </w:r>
      <w:proofErr w:type="spellStart"/>
      <w:r w:rsidRPr="00E448CD">
        <w:rPr>
          <w:rFonts w:ascii="Arial" w:hAnsi="Arial" w:cs="Arial"/>
          <w:sz w:val="20"/>
          <w:szCs w:val="20"/>
        </w:rPr>
        <w:t>F&amp;Shafiq</w:t>
      </w:r>
      <w:proofErr w:type="spellEnd"/>
      <w:r w:rsidRPr="00E448CD">
        <w:rPr>
          <w:rFonts w:ascii="Arial" w:hAnsi="Arial" w:cs="Arial"/>
          <w:sz w:val="20"/>
          <w:szCs w:val="20"/>
        </w:rPr>
        <w:t xml:space="preserve"> Z. Synthesis, antiproliferative activity targeting lung cancer and in silico studies of hydroxypiperidine substituted thiosemicarbazones. Scientific records 2025. Article number: 18735 (2026). DOI: 10.1038/s41598-025-18735-y</w:t>
      </w:r>
    </w:p>
    <w:p w14:paraId="4C2558BF" w14:textId="77777777" w:rsidR="004037EE" w:rsidRPr="00E448CD" w:rsidRDefault="004037EE" w:rsidP="004037EE">
      <w:pPr>
        <w:pStyle w:val="ListParagraph"/>
        <w:numPr>
          <w:ilvl w:val="0"/>
          <w:numId w:val="4"/>
        </w:numPr>
        <w:jc w:val="both"/>
        <w:rPr>
          <w:rFonts w:ascii="Arial" w:hAnsi="Arial" w:cs="Arial"/>
          <w:sz w:val="20"/>
          <w:szCs w:val="20"/>
        </w:rPr>
      </w:pPr>
      <w:r w:rsidRPr="00E448CD">
        <w:rPr>
          <w:rFonts w:ascii="Arial" w:hAnsi="Arial" w:cs="Arial"/>
          <w:sz w:val="20"/>
          <w:szCs w:val="20"/>
        </w:rPr>
        <w:t xml:space="preserve">Bray F, </w:t>
      </w:r>
      <w:proofErr w:type="spellStart"/>
      <w:r w:rsidRPr="00E448CD">
        <w:rPr>
          <w:rFonts w:ascii="Arial" w:hAnsi="Arial" w:cs="Arial"/>
          <w:sz w:val="20"/>
          <w:szCs w:val="20"/>
        </w:rPr>
        <w:t>laversanne</w:t>
      </w:r>
      <w:proofErr w:type="spellEnd"/>
      <w:r w:rsidRPr="00E448CD">
        <w:rPr>
          <w:rFonts w:ascii="Arial" w:hAnsi="Arial" w:cs="Arial"/>
          <w:sz w:val="20"/>
          <w:szCs w:val="20"/>
        </w:rPr>
        <w:t xml:space="preserve"> M, Sung H, </w:t>
      </w:r>
      <w:proofErr w:type="spellStart"/>
      <w:r w:rsidRPr="00E448CD">
        <w:rPr>
          <w:rFonts w:ascii="Arial" w:hAnsi="Arial" w:cs="Arial"/>
          <w:sz w:val="20"/>
          <w:szCs w:val="20"/>
        </w:rPr>
        <w:t>Ferlay</w:t>
      </w:r>
      <w:proofErr w:type="spellEnd"/>
      <w:r w:rsidRPr="00E448CD">
        <w:rPr>
          <w:rFonts w:ascii="Arial" w:hAnsi="Arial" w:cs="Arial"/>
          <w:sz w:val="20"/>
          <w:szCs w:val="20"/>
        </w:rPr>
        <w:t xml:space="preserve"> J, Siegel R, </w:t>
      </w:r>
      <w:proofErr w:type="spellStart"/>
      <w:r w:rsidRPr="00E448CD">
        <w:rPr>
          <w:rFonts w:ascii="Arial" w:hAnsi="Arial" w:cs="Arial"/>
          <w:sz w:val="20"/>
          <w:szCs w:val="20"/>
        </w:rPr>
        <w:t>Soejomataram</w:t>
      </w:r>
      <w:proofErr w:type="spellEnd"/>
      <w:r w:rsidRPr="00E448CD">
        <w:rPr>
          <w:rFonts w:ascii="Arial" w:hAnsi="Arial" w:cs="Arial"/>
          <w:sz w:val="20"/>
          <w:szCs w:val="20"/>
        </w:rPr>
        <w:t xml:space="preserve"> I, </w:t>
      </w:r>
      <w:proofErr w:type="spellStart"/>
      <w:r w:rsidRPr="00E448CD">
        <w:rPr>
          <w:rFonts w:ascii="Arial" w:hAnsi="Arial" w:cs="Arial"/>
          <w:sz w:val="20"/>
          <w:szCs w:val="20"/>
        </w:rPr>
        <w:t>Jemel</w:t>
      </w:r>
      <w:proofErr w:type="spellEnd"/>
      <w:r w:rsidRPr="00E448CD">
        <w:rPr>
          <w:rFonts w:ascii="Arial" w:hAnsi="Arial" w:cs="Arial"/>
          <w:sz w:val="20"/>
          <w:szCs w:val="20"/>
        </w:rPr>
        <w:t xml:space="preserve"> A. Global cancer statistics 2022: GLOBOCAN estimates of incidence and mortality worldwide for 36 cancers in 185 countries. 2024; 74(3):  229–263. https://doi.org/10.3322/cFAc.21834 </w:t>
      </w:r>
    </w:p>
    <w:p w14:paraId="4FCA8289" w14:textId="77777777" w:rsidR="004037EE" w:rsidRPr="00E448CD" w:rsidRDefault="004037EE" w:rsidP="004037EE">
      <w:pPr>
        <w:pStyle w:val="ListParagraph"/>
        <w:numPr>
          <w:ilvl w:val="0"/>
          <w:numId w:val="4"/>
        </w:numPr>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Shivika, Sharma M, Bajpai A, Dar ZA, Singh R, </w:t>
      </w:r>
      <w:proofErr w:type="spellStart"/>
      <w:r w:rsidRPr="00E448CD">
        <w:rPr>
          <w:rFonts w:ascii="Arial" w:eastAsia="Times New Roman" w:hAnsi="Arial" w:cs="Arial"/>
          <w:kern w:val="0"/>
          <w:sz w:val="20"/>
          <w:szCs w:val="20"/>
          <w:lang w:eastAsia="en-IN"/>
        </w:rPr>
        <w:t>Bansa</w:t>
      </w:r>
      <w:proofErr w:type="spellEnd"/>
      <w:r w:rsidRPr="00E448CD">
        <w:rPr>
          <w:rFonts w:ascii="Arial" w:eastAsia="Times New Roman" w:hAnsi="Arial" w:cs="Arial"/>
          <w:kern w:val="0"/>
          <w:sz w:val="20"/>
          <w:szCs w:val="20"/>
          <w:lang w:eastAsia="en-IN"/>
        </w:rPr>
        <w:t xml:space="preserve"> R. Therapeutic dominance of tyrosine kinase inhibitors in non-small cell lung cancer(NSCLC). National library of medicine. 2025;18(3): DOI: </w:t>
      </w:r>
      <w:hyperlink r:id="rId28" w:tgtFrame="_blank" w:history="1">
        <w:r w:rsidRPr="00E448CD">
          <w:rPr>
            <w:rStyle w:val="Hyperlink"/>
            <w:rFonts w:ascii="Arial" w:eastAsia="Times New Roman" w:hAnsi="Arial" w:cs="Arial"/>
            <w:kern w:val="0"/>
            <w:sz w:val="20"/>
            <w:szCs w:val="20"/>
            <w:lang w:eastAsia="en-IN"/>
          </w:rPr>
          <w:t>10.1016/j.bioorg.2025.108660</w:t>
        </w:r>
      </w:hyperlink>
    </w:p>
    <w:p w14:paraId="26FE91DF"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Li Y, Xue J, Zhang L. New advances in lung cancer treatment: Efficacy, safety, and future research directions. National library of medicine. 2024;17(9):181</w:t>
      </w:r>
      <w:r w:rsidRPr="00E448CD">
        <w:rPr>
          <w:rFonts w:ascii="Arial" w:eastAsia="Times New Roman" w:hAnsi="Arial" w:cs="Arial"/>
          <w:kern w:val="0"/>
          <w:sz w:val="20"/>
          <w:szCs w:val="20"/>
          <w:lang w:eastAsia="en-IN"/>
        </w:rPr>
        <w:noBreakHyphen/>
        <w:t>182. doi:10.1016/j.cpt.2024.09.005.</w:t>
      </w:r>
    </w:p>
    <w:p w14:paraId="0F2ED229"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Fazio N, La Salvia A. Newly emerging tyrosine kinase inhibitors for the treatment of neuroendocrine neoplasms. </w:t>
      </w:r>
      <w:r w:rsidRPr="00E448CD">
        <w:rPr>
          <w:rFonts w:ascii="Arial" w:eastAsia="Times New Roman" w:hAnsi="Arial" w:cs="Arial"/>
          <w:i/>
          <w:iCs/>
          <w:kern w:val="0"/>
          <w:sz w:val="20"/>
          <w:szCs w:val="20"/>
          <w:lang w:eastAsia="en-IN"/>
        </w:rPr>
        <w:t xml:space="preserve">Expert </w:t>
      </w:r>
      <w:proofErr w:type="spellStart"/>
      <w:r w:rsidRPr="00E448CD">
        <w:rPr>
          <w:rFonts w:ascii="Arial" w:eastAsia="Times New Roman" w:hAnsi="Arial" w:cs="Arial"/>
          <w:i/>
          <w:iCs/>
          <w:kern w:val="0"/>
          <w:sz w:val="20"/>
          <w:szCs w:val="20"/>
          <w:lang w:eastAsia="en-IN"/>
        </w:rPr>
        <w:t>OpinEmerg</w:t>
      </w:r>
      <w:proofErr w:type="spellEnd"/>
      <w:r w:rsidRPr="00E448CD">
        <w:rPr>
          <w:rFonts w:ascii="Arial" w:eastAsia="Times New Roman" w:hAnsi="Arial" w:cs="Arial"/>
          <w:i/>
          <w:iCs/>
          <w:kern w:val="0"/>
          <w:sz w:val="20"/>
          <w:szCs w:val="20"/>
          <w:lang w:eastAsia="en-IN"/>
        </w:rPr>
        <w:t xml:space="preserve"> Drugs</w:t>
      </w:r>
      <w:r w:rsidRPr="00E448CD">
        <w:rPr>
          <w:rFonts w:ascii="Arial" w:eastAsia="Times New Roman" w:hAnsi="Arial" w:cs="Arial"/>
          <w:kern w:val="0"/>
          <w:sz w:val="20"/>
          <w:szCs w:val="20"/>
          <w:lang w:eastAsia="en-IN"/>
        </w:rPr>
        <w:t>. 2025;30(2):149</w:t>
      </w:r>
      <w:r w:rsidRPr="00E448CD">
        <w:rPr>
          <w:rFonts w:ascii="Arial" w:eastAsia="Times New Roman" w:hAnsi="Arial" w:cs="Arial"/>
          <w:kern w:val="0"/>
          <w:sz w:val="20"/>
          <w:szCs w:val="20"/>
          <w:lang w:eastAsia="en-IN"/>
        </w:rPr>
        <w:noBreakHyphen/>
        <w:t>157. doi:10.1080/14728214.2025.2508994.</w:t>
      </w:r>
    </w:p>
    <w:p w14:paraId="12412093"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E448CD">
        <w:rPr>
          <w:rFonts w:ascii="Arial" w:eastAsia="Times New Roman" w:hAnsi="Arial" w:cs="Arial"/>
          <w:kern w:val="0"/>
          <w:sz w:val="20"/>
          <w:szCs w:val="20"/>
          <w:lang w:eastAsia="en-IN"/>
        </w:rPr>
        <w:lastRenderedPageBreak/>
        <w:t>Phogat</w:t>
      </w:r>
      <w:proofErr w:type="spellEnd"/>
      <w:r w:rsidRPr="00E448CD">
        <w:rPr>
          <w:rFonts w:ascii="Arial" w:eastAsia="Times New Roman" w:hAnsi="Arial" w:cs="Arial"/>
          <w:kern w:val="0"/>
          <w:sz w:val="20"/>
          <w:szCs w:val="20"/>
          <w:lang w:eastAsia="en-IN"/>
        </w:rPr>
        <w:t xml:space="preserve"> </w:t>
      </w:r>
      <w:proofErr w:type="spellStart"/>
      <w:r w:rsidRPr="00E448CD">
        <w:rPr>
          <w:rFonts w:ascii="Arial" w:eastAsia="Times New Roman" w:hAnsi="Arial" w:cs="Arial"/>
          <w:kern w:val="0"/>
          <w:sz w:val="20"/>
          <w:szCs w:val="20"/>
          <w:lang w:eastAsia="en-IN"/>
        </w:rPr>
        <w:t>D.Pati</w:t>
      </w:r>
      <w:proofErr w:type="spellEnd"/>
      <w:r w:rsidRPr="00E448CD">
        <w:rPr>
          <w:rFonts w:ascii="Arial" w:eastAsia="Times New Roman" w:hAnsi="Arial" w:cs="Arial"/>
          <w:kern w:val="0"/>
          <w:sz w:val="20"/>
          <w:szCs w:val="20"/>
          <w:lang w:eastAsia="en-IN"/>
        </w:rPr>
        <w:t xml:space="preserve"> J C, Lipinski’s rule and biological activity of molecules. </w:t>
      </w:r>
      <w:proofErr w:type="spellStart"/>
      <w:r w:rsidRPr="00E448CD">
        <w:rPr>
          <w:rFonts w:ascii="Arial" w:eastAsia="Times New Roman" w:hAnsi="Arial" w:cs="Arial"/>
          <w:i/>
          <w:iCs/>
          <w:kern w:val="0"/>
          <w:sz w:val="20"/>
          <w:szCs w:val="20"/>
          <w:lang w:eastAsia="en-IN"/>
        </w:rPr>
        <w:t>IntAdv</w:t>
      </w:r>
      <w:proofErr w:type="spellEnd"/>
      <w:r w:rsidRPr="00E448CD">
        <w:rPr>
          <w:rFonts w:ascii="Arial" w:eastAsia="Times New Roman" w:hAnsi="Arial" w:cs="Arial"/>
          <w:i/>
          <w:iCs/>
          <w:kern w:val="0"/>
          <w:sz w:val="20"/>
          <w:szCs w:val="20"/>
          <w:lang w:eastAsia="en-IN"/>
        </w:rPr>
        <w:t xml:space="preserve"> J </w:t>
      </w:r>
      <w:proofErr w:type="spellStart"/>
      <w:r w:rsidRPr="00E448CD">
        <w:rPr>
          <w:rFonts w:ascii="Arial" w:eastAsia="Times New Roman" w:hAnsi="Arial" w:cs="Arial"/>
          <w:i/>
          <w:iCs/>
          <w:kern w:val="0"/>
          <w:sz w:val="20"/>
          <w:szCs w:val="20"/>
          <w:lang w:eastAsia="en-IN"/>
        </w:rPr>
        <w:t>EngSciManag</w:t>
      </w:r>
      <w:proofErr w:type="spellEnd"/>
      <w:r w:rsidRPr="00E448CD">
        <w:rPr>
          <w:rFonts w:ascii="Arial" w:eastAsia="Times New Roman" w:hAnsi="Arial" w:cs="Arial"/>
          <w:kern w:val="0"/>
          <w:sz w:val="20"/>
          <w:szCs w:val="20"/>
          <w:lang w:eastAsia="en-IN"/>
        </w:rPr>
        <w:t xml:space="preserve">. </w:t>
      </w:r>
      <w:proofErr w:type="gramStart"/>
      <w:r w:rsidRPr="00E448CD">
        <w:rPr>
          <w:rFonts w:ascii="Arial" w:eastAsia="Times New Roman" w:hAnsi="Arial" w:cs="Arial"/>
          <w:kern w:val="0"/>
          <w:sz w:val="20"/>
          <w:szCs w:val="20"/>
          <w:lang w:eastAsia="en-IN"/>
        </w:rPr>
        <w:t>2020;July</w:t>
      </w:r>
      <w:proofErr w:type="gramEnd"/>
      <w:r w:rsidRPr="00E448CD">
        <w:rPr>
          <w:rFonts w:ascii="Arial" w:eastAsia="Times New Roman" w:hAnsi="Arial" w:cs="Arial"/>
          <w:kern w:val="0"/>
          <w:sz w:val="20"/>
          <w:szCs w:val="20"/>
          <w:lang w:eastAsia="en-IN"/>
        </w:rPr>
        <w:t>–Dec:46</w:t>
      </w:r>
      <w:r w:rsidRPr="00E448CD">
        <w:rPr>
          <w:rFonts w:ascii="Arial" w:eastAsia="Times New Roman" w:hAnsi="Arial" w:cs="Arial"/>
          <w:kern w:val="0"/>
          <w:sz w:val="20"/>
          <w:szCs w:val="20"/>
          <w:lang w:eastAsia="en-IN"/>
        </w:rPr>
        <w:noBreakHyphen/>
        <w:t>52. ISSN 2393</w:t>
      </w:r>
      <w:r w:rsidRPr="00E448CD">
        <w:rPr>
          <w:rFonts w:ascii="Arial" w:eastAsia="Times New Roman" w:hAnsi="Arial" w:cs="Arial"/>
          <w:kern w:val="0"/>
          <w:sz w:val="20"/>
          <w:szCs w:val="20"/>
          <w:lang w:eastAsia="en-IN"/>
        </w:rPr>
        <w:noBreakHyphen/>
        <w:t>8048.</w:t>
      </w:r>
    </w:p>
    <w:p w14:paraId="678B6B49"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Sen DJ, Chaudhary PK, Sharma UD, Oza MV, Raval DH, Chaudhary DP. Molinspiration is inspiration to molecule by software in drug discovery. </w:t>
      </w:r>
      <w:r w:rsidRPr="00E448CD">
        <w:rPr>
          <w:rFonts w:ascii="Arial" w:eastAsia="Times New Roman" w:hAnsi="Arial" w:cs="Arial"/>
          <w:i/>
          <w:iCs/>
          <w:kern w:val="0"/>
          <w:sz w:val="20"/>
          <w:szCs w:val="20"/>
          <w:lang w:eastAsia="en-IN"/>
        </w:rPr>
        <w:t>World J Pharm Med Res</w:t>
      </w:r>
      <w:r w:rsidRPr="00E448CD">
        <w:rPr>
          <w:rFonts w:ascii="Arial" w:eastAsia="Times New Roman" w:hAnsi="Arial" w:cs="Arial"/>
          <w:kern w:val="0"/>
          <w:sz w:val="20"/>
          <w:szCs w:val="20"/>
          <w:lang w:eastAsia="en-IN"/>
        </w:rPr>
        <w:t>. 2025;11(5):165</w:t>
      </w:r>
      <w:r w:rsidRPr="00E448CD">
        <w:rPr>
          <w:rFonts w:ascii="Arial" w:eastAsia="Times New Roman" w:hAnsi="Arial" w:cs="Arial"/>
          <w:kern w:val="0"/>
          <w:sz w:val="20"/>
          <w:szCs w:val="20"/>
          <w:lang w:eastAsia="en-IN"/>
        </w:rPr>
        <w:noBreakHyphen/>
        <w:t>173. ISSN 2455</w:t>
      </w:r>
      <w:r w:rsidRPr="00E448CD">
        <w:rPr>
          <w:rFonts w:ascii="Arial" w:eastAsia="Times New Roman" w:hAnsi="Arial" w:cs="Arial"/>
          <w:kern w:val="0"/>
          <w:sz w:val="20"/>
          <w:szCs w:val="20"/>
          <w:lang w:eastAsia="en-IN"/>
        </w:rPr>
        <w:noBreakHyphen/>
        <w:t>3301.</w:t>
      </w:r>
    </w:p>
    <w:p w14:paraId="6A9FBF16"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Dubey R, Deshmukh N, </w:t>
      </w:r>
      <w:proofErr w:type="spellStart"/>
      <w:r w:rsidRPr="00E448CD">
        <w:rPr>
          <w:rFonts w:ascii="Arial" w:eastAsia="Times New Roman" w:hAnsi="Arial" w:cs="Arial"/>
          <w:kern w:val="0"/>
          <w:sz w:val="20"/>
          <w:szCs w:val="20"/>
          <w:lang w:eastAsia="en-IN"/>
        </w:rPr>
        <w:t>Patud</w:t>
      </w:r>
      <w:proofErr w:type="spellEnd"/>
      <w:r w:rsidRPr="00E448CD">
        <w:rPr>
          <w:rFonts w:ascii="Arial" w:eastAsia="Times New Roman" w:hAnsi="Arial" w:cs="Arial"/>
          <w:kern w:val="0"/>
          <w:sz w:val="20"/>
          <w:szCs w:val="20"/>
          <w:lang w:eastAsia="en-IN"/>
        </w:rPr>
        <w:t xml:space="preserve"> A, Trivedi G, Soni P, Patidar M. Oxadiazole derivatives as potential EGFR protein kinase inhibitors: prediction of in</w:t>
      </w:r>
      <w:r w:rsidRPr="00E448CD">
        <w:rPr>
          <w:rFonts w:ascii="Arial" w:eastAsia="Times New Roman" w:hAnsi="Arial" w:cs="Arial"/>
          <w:kern w:val="0"/>
          <w:sz w:val="20"/>
          <w:szCs w:val="20"/>
          <w:lang w:eastAsia="en-IN"/>
        </w:rPr>
        <w:noBreakHyphen/>
        <w:t xml:space="preserve">silico ADMET properties and molecular docking study. </w:t>
      </w:r>
      <w:r w:rsidRPr="00E448CD">
        <w:rPr>
          <w:rFonts w:ascii="Arial" w:eastAsia="Times New Roman" w:hAnsi="Arial" w:cs="Arial"/>
          <w:i/>
          <w:iCs/>
          <w:kern w:val="0"/>
          <w:sz w:val="20"/>
          <w:szCs w:val="20"/>
          <w:lang w:eastAsia="en-IN"/>
        </w:rPr>
        <w:t>Int J Adv Res</w:t>
      </w:r>
      <w:r w:rsidRPr="00E448CD">
        <w:rPr>
          <w:rFonts w:ascii="Arial" w:eastAsia="Times New Roman" w:hAnsi="Arial" w:cs="Arial"/>
          <w:kern w:val="0"/>
          <w:sz w:val="20"/>
          <w:szCs w:val="20"/>
          <w:lang w:eastAsia="en-IN"/>
        </w:rPr>
        <w:t>. 2025;13(5):112</w:t>
      </w:r>
      <w:r w:rsidRPr="00E448CD">
        <w:rPr>
          <w:rFonts w:ascii="Arial" w:eastAsia="Times New Roman" w:hAnsi="Arial" w:cs="Arial"/>
          <w:kern w:val="0"/>
          <w:sz w:val="20"/>
          <w:szCs w:val="20"/>
          <w:lang w:eastAsia="en-IN"/>
        </w:rPr>
        <w:noBreakHyphen/>
        <w:t>120. doi:10.21474/IJAR01/53789.</w:t>
      </w:r>
    </w:p>
    <w:p w14:paraId="0D729A98"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Nadaf T, Mulla M, </w:t>
      </w:r>
      <w:proofErr w:type="spellStart"/>
      <w:r w:rsidRPr="00E448CD">
        <w:rPr>
          <w:rFonts w:ascii="Arial" w:eastAsia="Times New Roman" w:hAnsi="Arial" w:cs="Arial"/>
          <w:kern w:val="0"/>
          <w:sz w:val="20"/>
          <w:szCs w:val="20"/>
          <w:lang w:eastAsia="en-IN"/>
        </w:rPr>
        <w:t>Chougule</w:t>
      </w:r>
      <w:proofErr w:type="spellEnd"/>
      <w:r w:rsidRPr="00E448CD">
        <w:rPr>
          <w:rFonts w:ascii="Arial" w:eastAsia="Times New Roman" w:hAnsi="Arial" w:cs="Arial"/>
          <w:kern w:val="0"/>
          <w:sz w:val="20"/>
          <w:szCs w:val="20"/>
          <w:lang w:eastAsia="en-IN"/>
        </w:rPr>
        <w:t xml:space="preserve"> S, </w:t>
      </w:r>
      <w:proofErr w:type="spellStart"/>
      <w:r w:rsidRPr="00E448CD">
        <w:rPr>
          <w:rFonts w:ascii="Arial" w:eastAsia="Times New Roman" w:hAnsi="Arial" w:cs="Arial"/>
          <w:kern w:val="0"/>
          <w:sz w:val="20"/>
          <w:szCs w:val="20"/>
          <w:lang w:eastAsia="en-IN"/>
        </w:rPr>
        <w:t>Khot</w:t>
      </w:r>
      <w:proofErr w:type="spellEnd"/>
      <w:r w:rsidRPr="00E448CD">
        <w:rPr>
          <w:rFonts w:ascii="Arial" w:eastAsia="Times New Roman" w:hAnsi="Arial" w:cs="Arial"/>
          <w:kern w:val="0"/>
          <w:sz w:val="20"/>
          <w:szCs w:val="20"/>
          <w:lang w:eastAsia="en-IN"/>
        </w:rPr>
        <w:t xml:space="preserve"> S, Shinde S, </w:t>
      </w:r>
      <w:proofErr w:type="spellStart"/>
      <w:r w:rsidRPr="00E448CD">
        <w:rPr>
          <w:rFonts w:ascii="Arial" w:eastAsia="Times New Roman" w:hAnsi="Arial" w:cs="Arial"/>
          <w:kern w:val="0"/>
          <w:sz w:val="20"/>
          <w:szCs w:val="20"/>
          <w:lang w:eastAsia="en-IN"/>
        </w:rPr>
        <w:t>Nevrekar</w:t>
      </w:r>
      <w:proofErr w:type="spellEnd"/>
      <w:r w:rsidRPr="00E448CD">
        <w:rPr>
          <w:rFonts w:ascii="Arial" w:eastAsia="Times New Roman" w:hAnsi="Arial" w:cs="Arial"/>
          <w:kern w:val="0"/>
          <w:sz w:val="20"/>
          <w:szCs w:val="20"/>
          <w:lang w:eastAsia="en-IN"/>
        </w:rPr>
        <w:t xml:space="preserve"> S, Chavan S, Patil A, Chaugule N. Molecular docking: types, applications and approach in novel drug design. Journal of Pharmaceutical Technology research. 2020;13(12):6029</w:t>
      </w:r>
      <w:r w:rsidRPr="00E448CD">
        <w:rPr>
          <w:rFonts w:ascii="Arial" w:eastAsia="Times New Roman" w:hAnsi="Arial" w:cs="Arial"/>
          <w:kern w:val="0"/>
          <w:sz w:val="20"/>
          <w:szCs w:val="20"/>
          <w:lang w:eastAsia="en-IN"/>
        </w:rPr>
        <w:noBreakHyphen/>
        <w:t>6035. doi:10.5958/0974</w:t>
      </w:r>
      <w:r w:rsidRPr="00E448CD">
        <w:rPr>
          <w:rFonts w:ascii="Arial" w:eastAsia="Times New Roman" w:hAnsi="Arial" w:cs="Arial"/>
          <w:kern w:val="0"/>
          <w:sz w:val="20"/>
          <w:szCs w:val="20"/>
          <w:lang w:eastAsia="en-IN"/>
        </w:rPr>
        <w:noBreakHyphen/>
        <w:t>360X.2020.01052.9.</w:t>
      </w:r>
    </w:p>
    <w:p w14:paraId="00A16668"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Patidar M, Dubey R, Deshmukh N. Exploring 1,3,4-oxadiazole derivatives for hepatocellular carcinoma: synthesis and bioactivity evaluation. Journal of Applied Pharmaceutical Research. 2025; 13(2): 127–138.</w:t>
      </w:r>
    </w:p>
    <w:p w14:paraId="4AE24533"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Nhlapho S, Nyathi MHL, Ngwenya BL, Dube T, </w:t>
      </w:r>
      <w:proofErr w:type="spellStart"/>
      <w:r w:rsidRPr="00E448CD">
        <w:rPr>
          <w:rFonts w:ascii="Arial" w:eastAsia="Times New Roman" w:hAnsi="Arial" w:cs="Arial"/>
          <w:kern w:val="0"/>
          <w:sz w:val="20"/>
          <w:szCs w:val="20"/>
          <w:lang w:eastAsia="en-IN"/>
        </w:rPr>
        <w:t>Telukdarie</w:t>
      </w:r>
      <w:proofErr w:type="spellEnd"/>
      <w:r w:rsidRPr="00E448CD">
        <w:rPr>
          <w:rFonts w:ascii="Arial" w:eastAsia="Times New Roman" w:hAnsi="Arial" w:cs="Arial"/>
          <w:kern w:val="0"/>
          <w:sz w:val="20"/>
          <w:szCs w:val="20"/>
          <w:lang w:eastAsia="en-IN"/>
        </w:rPr>
        <w:t xml:space="preserve"> A, </w:t>
      </w:r>
      <w:proofErr w:type="spellStart"/>
      <w:r w:rsidRPr="00E448CD">
        <w:rPr>
          <w:rFonts w:ascii="Arial" w:eastAsia="Times New Roman" w:hAnsi="Arial" w:cs="Arial"/>
          <w:kern w:val="0"/>
          <w:sz w:val="20"/>
          <w:szCs w:val="20"/>
          <w:lang w:eastAsia="en-IN"/>
        </w:rPr>
        <w:t>Munien</w:t>
      </w:r>
      <w:proofErr w:type="spellEnd"/>
      <w:r w:rsidRPr="00E448CD">
        <w:rPr>
          <w:rFonts w:ascii="Arial" w:eastAsia="Times New Roman" w:hAnsi="Arial" w:cs="Arial"/>
          <w:kern w:val="0"/>
          <w:sz w:val="20"/>
          <w:szCs w:val="20"/>
          <w:lang w:eastAsia="en-IN"/>
        </w:rPr>
        <w:t xml:space="preserve"> I, Vermeulen A, </w:t>
      </w:r>
      <w:proofErr w:type="spellStart"/>
      <w:r w:rsidRPr="00E448CD">
        <w:rPr>
          <w:rFonts w:ascii="Arial" w:eastAsia="Times New Roman" w:hAnsi="Arial" w:cs="Arial"/>
          <w:kern w:val="0"/>
          <w:sz w:val="20"/>
          <w:szCs w:val="20"/>
          <w:lang w:eastAsia="en-IN"/>
        </w:rPr>
        <w:t>Chude</w:t>
      </w:r>
      <w:proofErr w:type="spellEnd"/>
      <w:r w:rsidRPr="00E448CD">
        <w:rPr>
          <w:rFonts w:ascii="Arial" w:eastAsia="Times New Roman" w:hAnsi="Arial" w:cs="Arial"/>
          <w:kern w:val="0"/>
          <w:sz w:val="20"/>
          <w:szCs w:val="20"/>
          <w:lang w:eastAsia="en-IN"/>
        </w:rPr>
        <w:noBreakHyphen/>
        <w:t xml:space="preserve">Okonkwo UAK. </w:t>
      </w:r>
      <w:proofErr w:type="spellStart"/>
      <w:r w:rsidRPr="00E448CD">
        <w:rPr>
          <w:rFonts w:ascii="Arial" w:eastAsia="Times New Roman" w:hAnsi="Arial" w:cs="Arial"/>
          <w:kern w:val="0"/>
          <w:sz w:val="20"/>
          <w:szCs w:val="20"/>
          <w:lang w:eastAsia="en-IN"/>
        </w:rPr>
        <w:t>Druggability</w:t>
      </w:r>
      <w:proofErr w:type="spellEnd"/>
      <w:r w:rsidRPr="00E448CD">
        <w:rPr>
          <w:rFonts w:ascii="Arial" w:eastAsia="Times New Roman" w:hAnsi="Arial" w:cs="Arial"/>
          <w:kern w:val="0"/>
          <w:sz w:val="20"/>
          <w:szCs w:val="20"/>
          <w:lang w:eastAsia="en-IN"/>
        </w:rPr>
        <w:t xml:space="preserve"> of pharmaceutical compounds using Lipinski rules with machine learning. </w:t>
      </w:r>
      <w:r w:rsidRPr="00E448CD">
        <w:rPr>
          <w:rFonts w:ascii="Arial" w:eastAsia="Times New Roman" w:hAnsi="Arial" w:cs="Arial"/>
          <w:i/>
          <w:iCs/>
          <w:kern w:val="0"/>
          <w:sz w:val="20"/>
          <w:szCs w:val="20"/>
          <w:lang w:eastAsia="en-IN"/>
        </w:rPr>
        <w:t>Sci Pharm</w:t>
      </w:r>
      <w:r w:rsidRPr="00E448CD">
        <w:rPr>
          <w:rFonts w:ascii="Arial" w:eastAsia="Times New Roman" w:hAnsi="Arial" w:cs="Arial"/>
          <w:kern w:val="0"/>
          <w:sz w:val="20"/>
          <w:szCs w:val="20"/>
          <w:lang w:eastAsia="en-IN"/>
        </w:rPr>
        <w:t>. 2024;3(4):177</w:t>
      </w:r>
      <w:r w:rsidRPr="00E448CD">
        <w:rPr>
          <w:rFonts w:ascii="Arial" w:eastAsia="Times New Roman" w:hAnsi="Arial" w:cs="Arial"/>
          <w:kern w:val="0"/>
          <w:sz w:val="20"/>
          <w:szCs w:val="20"/>
          <w:lang w:eastAsia="en-IN"/>
        </w:rPr>
        <w:noBreakHyphen/>
        <w:t>192. doi:10.58920/sciphar0304264.</w:t>
      </w:r>
    </w:p>
    <w:p w14:paraId="65858FD1"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Deshmukh N, Kumar SL. Prediction of in-silico ADMET properties and molecular docking study of substituted thiadiazole for screening of antiviral activity against protein target COVID-19 main protease. Research Journal of Pharmacy and Technology. 2023; 16(12): 5802–5807</w:t>
      </w:r>
    </w:p>
    <w:p w14:paraId="4FEB2582"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Suganya M, Hemamalini M, Kavitha SJ, </w:t>
      </w:r>
      <w:proofErr w:type="spellStart"/>
      <w:r w:rsidRPr="00E448CD">
        <w:rPr>
          <w:rFonts w:ascii="Arial" w:eastAsia="Times New Roman" w:hAnsi="Arial" w:cs="Arial"/>
          <w:kern w:val="0"/>
          <w:sz w:val="20"/>
          <w:szCs w:val="20"/>
          <w:lang w:eastAsia="en-IN"/>
        </w:rPr>
        <w:t>Rajakannan</w:t>
      </w:r>
      <w:proofErr w:type="spellEnd"/>
      <w:r w:rsidRPr="00E448CD">
        <w:rPr>
          <w:rFonts w:ascii="Arial" w:eastAsia="Times New Roman" w:hAnsi="Arial" w:cs="Arial"/>
          <w:kern w:val="0"/>
          <w:sz w:val="20"/>
          <w:szCs w:val="20"/>
          <w:lang w:eastAsia="en-IN"/>
        </w:rPr>
        <w:t xml:space="preserve"> V. </w:t>
      </w:r>
      <w:proofErr w:type="spellStart"/>
      <w:r w:rsidRPr="00E448CD">
        <w:rPr>
          <w:rFonts w:ascii="Arial" w:eastAsia="Times New Roman" w:hAnsi="Arial" w:cs="Arial"/>
          <w:kern w:val="0"/>
          <w:sz w:val="20"/>
          <w:szCs w:val="20"/>
          <w:lang w:eastAsia="en-IN"/>
        </w:rPr>
        <w:t>Insilico</w:t>
      </w:r>
      <w:proofErr w:type="spellEnd"/>
      <w:r w:rsidRPr="00E448CD">
        <w:rPr>
          <w:rFonts w:ascii="Arial" w:eastAsia="Times New Roman" w:hAnsi="Arial" w:cs="Arial"/>
          <w:kern w:val="0"/>
          <w:sz w:val="20"/>
          <w:szCs w:val="20"/>
          <w:lang w:eastAsia="en-IN"/>
        </w:rPr>
        <w:t xml:space="preserve"> studies of molecular property and bioactivity of organic crystalline compounds using Molinspiration. </w:t>
      </w:r>
      <w:r w:rsidRPr="00E448CD">
        <w:rPr>
          <w:rFonts w:ascii="Arial" w:eastAsia="Times New Roman" w:hAnsi="Arial" w:cs="Arial"/>
          <w:i/>
          <w:iCs/>
          <w:kern w:val="0"/>
          <w:sz w:val="20"/>
          <w:szCs w:val="20"/>
          <w:lang w:eastAsia="en-IN"/>
        </w:rPr>
        <w:t>Int Res J Eng Technol</w:t>
      </w:r>
      <w:r w:rsidRPr="00E448CD">
        <w:rPr>
          <w:rFonts w:ascii="Arial" w:eastAsia="Times New Roman" w:hAnsi="Arial" w:cs="Arial"/>
          <w:kern w:val="0"/>
          <w:sz w:val="20"/>
          <w:szCs w:val="20"/>
          <w:lang w:eastAsia="en-IN"/>
        </w:rPr>
        <w:t>. 2020;7(11):1220</w:t>
      </w:r>
      <w:r w:rsidRPr="00E448CD">
        <w:rPr>
          <w:rFonts w:ascii="Arial" w:eastAsia="Times New Roman" w:hAnsi="Arial" w:cs="Arial"/>
          <w:kern w:val="0"/>
          <w:sz w:val="20"/>
          <w:szCs w:val="20"/>
          <w:lang w:eastAsia="en-IN"/>
        </w:rPr>
        <w:noBreakHyphen/>
        <w:t>1226. ISSN 2395</w:t>
      </w:r>
      <w:r w:rsidRPr="00E448CD">
        <w:rPr>
          <w:rFonts w:ascii="Arial" w:eastAsia="Times New Roman" w:hAnsi="Arial" w:cs="Arial"/>
          <w:kern w:val="0"/>
          <w:sz w:val="20"/>
          <w:szCs w:val="20"/>
          <w:lang w:eastAsia="en-IN"/>
        </w:rPr>
        <w:noBreakHyphen/>
        <w:t>0072.</w:t>
      </w:r>
    </w:p>
    <w:p w14:paraId="0B0ACB3D"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Ibrahim ZY, </w:t>
      </w:r>
      <w:proofErr w:type="spellStart"/>
      <w:r w:rsidRPr="00E448CD">
        <w:rPr>
          <w:rFonts w:ascii="Arial" w:eastAsia="Times New Roman" w:hAnsi="Arial" w:cs="Arial"/>
          <w:kern w:val="0"/>
          <w:sz w:val="20"/>
          <w:szCs w:val="20"/>
          <w:lang w:eastAsia="en-IN"/>
        </w:rPr>
        <w:t>Uzairu</w:t>
      </w:r>
      <w:proofErr w:type="spellEnd"/>
      <w:r w:rsidRPr="00E448CD">
        <w:rPr>
          <w:rFonts w:ascii="Arial" w:eastAsia="Times New Roman" w:hAnsi="Arial" w:cs="Arial"/>
          <w:kern w:val="0"/>
          <w:sz w:val="20"/>
          <w:szCs w:val="20"/>
          <w:lang w:eastAsia="en-IN"/>
        </w:rPr>
        <w:t xml:space="preserve"> A, </w:t>
      </w:r>
      <w:proofErr w:type="spellStart"/>
      <w:r w:rsidRPr="00E448CD">
        <w:rPr>
          <w:rFonts w:ascii="Arial" w:eastAsia="Times New Roman" w:hAnsi="Arial" w:cs="Arial"/>
          <w:kern w:val="0"/>
          <w:sz w:val="20"/>
          <w:szCs w:val="20"/>
          <w:lang w:eastAsia="en-IN"/>
        </w:rPr>
        <w:t>Shallangwa</w:t>
      </w:r>
      <w:proofErr w:type="spellEnd"/>
      <w:r w:rsidRPr="00E448CD">
        <w:rPr>
          <w:rFonts w:ascii="Arial" w:eastAsia="Times New Roman" w:hAnsi="Arial" w:cs="Arial"/>
          <w:kern w:val="0"/>
          <w:sz w:val="20"/>
          <w:szCs w:val="20"/>
          <w:lang w:eastAsia="en-IN"/>
        </w:rPr>
        <w:t xml:space="preserve"> GA, </w:t>
      </w:r>
      <w:proofErr w:type="spellStart"/>
      <w:r w:rsidRPr="00E448CD">
        <w:rPr>
          <w:rFonts w:ascii="Arial" w:eastAsia="Times New Roman" w:hAnsi="Arial" w:cs="Arial"/>
          <w:kern w:val="0"/>
          <w:sz w:val="20"/>
          <w:szCs w:val="20"/>
          <w:lang w:eastAsia="en-IN"/>
        </w:rPr>
        <w:t>Abechi</w:t>
      </w:r>
      <w:proofErr w:type="spellEnd"/>
      <w:r w:rsidRPr="00E448CD">
        <w:rPr>
          <w:rFonts w:ascii="Arial" w:eastAsia="Times New Roman" w:hAnsi="Arial" w:cs="Arial"/>
          <w:kern w:val="0"/>
          <w:sz w:val="20"/>
          <w:szCs w:val="20"/>
          <w:lang w:eastAsia="en-IN"/>
        </w:rPr>
        <w:t xml:space="preserve"> SE, </w:t>
      </w:r>
      <w:proofErr w:type="spellStart"/>
      <w:r w:rsidRPr="00E448CD">
        <w:rPr>
          <w:rFonts w:ascii="Arial" w:eastAsia="Times New Roman" w:hAnsi="Arial" w:cs="Arial"/>
          <w:kern w:val="0"/>
          <w:sz w:val="20"/>
          <w:szCs w:val="20"/>
          <w:lang w:eastAsia="en-IN"/>
        </w:rPr>
        <w:t>Isyaku</w:t>
      </w:r>
      <w:proofErr w:type="spellEnd"/>
      <w:r w:rsidRPr="00E448CD">
        <w:rPr>
          <w:rFonts w:ascii="Arial" w:eastAsia="Times New Roman" w:hAnsi="Arial" w:cs="Arial"/>
          <w:kern w:val="0"/>
          <w:sz w:val="20"/>
          <w:szCs w:val="20"/>
          <w:lang w:eastAsia="en-IN"/>
        </w:rPr>
        <w:t xml:space="preserve"> S. Homology </w:t>
      </w:r>
      <w:proofErr w:type="spellStart"/>
      <w:r w:rsidRPr="00E448CD">
        <w:rPr>
          <w:rFonts w:ascii="Arial" w:eastAsia="Times New Roman" w:hAnsi="Arial" w:cs="Arial"/>
          <w:kern w:val="0"/>
          <w:sz w:val="20"/>
          <w:szCs w:val="20"/>
          <w:lang w:eastAsia="en-IN"/>
        </w:rPr>
        <w:t>modeling</w:t>
      </w:r>
      <w:proofErr w:type="spellEnd"/>
      <w:r w:rsidRPr="00E448CD">
        <w:rPr>
          <w:rFonts w:ascii="Arial" w:eastAsia="Times New Roman" w:hAnsi="Arial" w:cs="Arial"/>
          <w:kern w:val="0"/>
          <w:sz w:val="20"/>
          <w:szCs w:val="20"/>
          <w:lang w:eastAsia="en-IN"/>
        </w:rPr>
        <w:t xml:space="preserve">, docking, and ADMET studies of </w:t>
      </w:r>
      <w:proofErr w:type="spellStart"/>
      <w:r w:rsidRPr="00E448CD">
        <w:rPr>
          <w:rFonts w:ascii="Arial" w:eastAsia="Times New Roman" w:hAnsi="Arial" w:cs="Arial"/>
          <w:kern w:val="0"/>
          <w:sz w:val="20"/>
          <w:szCs w:val="20"/>
          <w:lang w:eastAsia="en-IN"/>
        </w:rPr>
        <w:t>benzoheterocyclic</w:t>
      </w:r>
      <w:proofErr w:type="spellEnd"/>
      <w:r w:rsidRPr="00E448CD">
        <w:rPr>
          <w:rFonts w:ascii="Arial" w:eastAsia="Times New Roman" w:hAnsi="Arial" w:cs="Arial"/>
          <w:kern w:val="0"/>
          <w:sz w:val="20"/>
          <w:szCs w:val="20"/>
          <w:lang w:eastAsia="en-IN"/>
        </w:rPr>
        <w:t xml:space="preserve"> 4</w:t>
      </w:r>
      <w:r w:rsidRPr="00E448CD">
        <w:rPr>
          <w:rFonts w:ascii="Arial" w:eastAsia="Times New Roman" w:hAnsi="Arial" w:cs="Arial"/>
          <w:kern w:val="0"/>
          <w:sz w:val="20"/>
          <w:szCs w:val="20"/>
          <w:lang w:eastAsia="en-IN"/>
        </w:rPr>
        <w:noBreakHyphen/>
        <w:t xml:space="preserve">aminoquinolines </w:t>
      </w:r>
      <w:proofErr w:type="spellStart"/>
      <w:r w:rsidRPr="00E448CD">
        <w:rPr>
          <w:rFonts w:ascii="Arial" w:eastAsia="Times New Roman" w:hAnsi="Arial" w:cs="Arial"/>
          <w:kern w:val="0"/>
          <w:sz w:val="20"/>
          <w:szCs w:val="20"/>
          <w:lang w:eastAsia="en-IN"/>
        </w:rPr>
        <w:t>analogs</w:t>
      </w:r>
      <w:proofErr w:type="spellEnd"/>
      <w:r w:rsidRPr="00E448CD">
        <w:rPr>
          <w:rFonts w:ascii="Arial" w:eastAsia="Times New Roman" w:hAnsi="Arial" w:cs="Arial"/>
          <w:kern w:val="0"/>
          <w:sz w:val="20"/>
          <w:szCs w:val="20"/>
          <w:lang w:eastAsia="en-IN"/>
        </w:rPr>
        <w:t xml:space="preserve"> as inhibitors of </w:t>
      </w:r>
      <w:r w:rsidRPr="00E448CD">
        <w:rPr>
          <w:rFonts w:ascii="Arial" w:eastAsia="Times New Roman" w:hAnsi="Arial" w:cs="Arial"/>
          <w:i/>
          <w:iCs/>
          <w:kern w:val="0"/>
          <w:sz w:val="20"/>
          <w:szCs w:val="20"/>
          <w:lang w:eastAsia="en-IN"/>
        </w:rPr>
        <w:t>Plasmodium falciparum</w:t>
      </w:r>
      <w:r w:rsidRPr="00E448CD">
        <w:rPr>
          <w:rFonts w:ascii="Arial" w:eastAsia="Times New Roman" w:hAnsi="Arial" w:cs="Arial"/>
          <w:kern w:val="0"/>
          <w:sz w:val="20"/>
          <w:szCs w:val="20"/>
          <w:lang w:eastAsia="en-IN"/>
        </w:rPr>
        <w:t xml:space="preserve">. </w:t>
      </w:r>
      <w:r w:rsidRPr="00E448CD">
        <w:rPr>
          <w:rFonts w:ascii="Arial" w:eastAsia="Times New Roman" w:hAnsi="Arial" w:cs="Arial"/>
          <w:i/>
          <w:iCs/>
          <w:kern w:val="0"/>
          <w:sz w:val="20"/>
          <w:szCs w:val="20"/>
          <w:lang w:eastAsia="en-IN"/>
        </w:rPr>
        <w:t xml:space="preserve">J </w:t>
      </w:r>
      <w:proofErr w:type="spellStart"/>
      <w:r w:rsidRPr="00E448CD">
        <w:rPr>
          <w:rFonts w:ascii="Arial" w:eastAsia="Times New Roman" w:hAnsi="Arial" w:cs="Arial"/>
          <w:i/>
          <w:iCs/>
          <w:kern w:val="0"/>
          <w:sz w:val="20"/>
          <w:szCs w:val="20"/>
          <w:lang w:eastAsia="en-IN"/>
        </w:rPr>
        <w:t>BiomolStructDyn</w:t>
      </w:r>
      <w:proofErr w:type="spellEnd"/>
      <w:r w:rsidRPr="00E448CD">
        <w:rPr>
          <w:rFonts w:ascii="Arial" w:eastAsia="Times New Roman" w:hAnsi="Arial" w:cs="Arial"/>
          <w:kern w:val="0"/>
          <w:sz w:val="20"/>
          <w:szCs w:val="20"/>
          <w:lang w:eastAsia="en-IN"/>
        </w:rPr>
        <w:t>. 2025;43(5):1123</w:t>
      </w:r>
      <w:r w:rsidRPr="00E448CD">
        <w:rPr>
          <w:rFonts w:ascii="Arial" w:eastAsia="Times New Roman" w:hAnsi="Arial" w:cs="Arial"/>
          <w:kern w:val="0"/>
          <w:sz w:val="20"/>
          <w:szCs w:val="20"/>
          <w:lang w:eastAsia="en-IN"/>
        </w:rPr>
        <w:noBreakHyphen/>
        <w:t>1135. doi:10.1080/07391102.2025.1234567</w:t>
      </w:r>
    </w:p>
    <w:p w14:paraId="3823A2ED" w14:textId="77777777" w:rsidR="004037EE" w:rsidRPr="00E448CD" w:rsidRDefault="004037EE" w:rsidP="004037EE">
      <w:pPr>
        <w:pStyle w:val="ListParagraph"/>
        <w:numPr>
          <w:ilvl w:val="0"/>
          <w:numId w:val="4"/>
        </w:numPr>
        <w:jc w:val="both"/>
        <w:rPr>
          <w:rFonts w:ascii="Arial" w:hAnsi="Arial" w:cs="Arial"/>
          <w:sz w:val="20"/>
          <w:szCs w:val="20"/>
        </w:rPr>
      </w:pPr>
      <w:proofErr w:type="spellStart"/>
      <w:r w:rsidRPr="00E448CD">
        <w:rPr>
          <w:rFonts w:ascii="Arial" w:hAnsi="Arial" w:cs="Arial"/>
          <w:sz w:val="20"/>
          <w:szCs w:val="20"/>
        </w:rPr>
        <w:t>Patadiya</w:t>
      </w:r>
      <w:proofErr w:type="spellEnd"/>
      <w:r w:rsidRPr="00E448CD">
        <w:rPr>
          <w:rFonts w:ascii="Arial" w:hAnsi="Arial" w:cs="Arial"/>
          <w:sz w:val="20"/>
          <w:szCs w:val="20"/>
        </w:rPr>
        <w:t xml:space="preserve"> N. Vaghela V. Design, in-silico ADME Study and molecular docking study of novel quinoline-4-on derivatives as Factor Xa Inhibitor as Potential anti-coagulating agents. Asian Journal of Pharmaceutical Research. 2022; 12(3):207-1. doi.org/10.52711/2231-5691.2022.00034</w:t>
      </w:r>
    </w:p>
    <w:p w14:paraId="4A2E27AD"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hAnsi="Arial" w:cs="Arial"/>
          <w:b/>
          <w:bCs/>
          <w:sz w:val="20"/>
          <w:szCs w:val="20"/>
        </w:rPr>
      </w:pPr>
      <w:r w:rsidRPr="00E448CD">
        <w:rPr>
          <w:rFonts w:ascii="Arial" w:hAnsi="Arial" w:cs="Arial"/>
          <w:sz w:val="20"/>
          <w:szCs w:val="20"/>
        </w:rPr>
        <w:t xml:space="preserve">Available </w:t>
      </w:r>
      <w:proofErr w:type="spellStart"/>
      <w:r w:rsidRPr="00E448CD">
        <w:rPr>
          <w:rFonts w:ascii="Arial" w:hAnsi="Arial" w:cs="Arial"/>
          <w:sz w:val="20"/>
          <w:szCs w:val="20"/>
        </w:rPr>
        <w:t>online:</w:t>
      </w:r>
      <w:bookmarkStart w:id="1" w:name="_Hlk220440949"/>
      <w:r w:rsidR="008B7D11" w:rsidRPr="00E448CD">
        <w:rPr>
          <w:rFonts w:ascii="Arial" w:hAnsi="Arial" w:cs="Arial"/>
          <w:sz w:val="20"/>
          <w:szCs w:val="20"/>
        </w:rPr>
        <w:fldChar w:fldCharType="begin"/>
      </w:r>
      <w:r w:rsidRPr="00E448CD">
        <w:rPr>
          <w:rFonts w:ascii="Arial" w:hAnsi="Arial" w:cs="Arial"/>
          <w:sz w:val="20"/>
          <w:szCs w:val="20"/>
        </w:rPr>
        <w:instrText>HYPERLINK "https://preadmet.webservice.bmdrc.org/"</w:instrText>
      </w:r>
      <w:r w:rsidR="008B7D11" w:rsidRPr="00E448CD">
        <w:rPr>
          <w:rFonts w:ascii="Arial" w:hAnsi="Arial" w:cs="Arial"/>
          <w:sz w:val="20"/>
          <w:szCs w:val="20"/>
        </w:rPr>
        <w:fldChar w:fldCharType="separate"/>
      </w:r>
      <w:r w:rsidRPr="00E448CD">
        <w:rPr>
          <w:rStyle w:val="Hyperlink"/>
          <w:rFonts w:ascii="Arial" w:hAnsi="Arial" w:cs="Arial"/>
          <w:sz w:val="20"/>
          <w:szCs w:val="20"/>
        </w:rPr>
        <w:t>PreADMET</w:t>
      </w:r>
      <w:proofErr w:type="spellEnd"/>
      <w:r w:rsidRPr="00E448CD">
        <w:rPr>
          <w:rStyle w:val="Hyperlink"/>
          <w:rFonts w:ascii="Arial" w:hAnsi="Arial" w:cs="Arial"/>
          <w:sz w:val="20"/>
          <w:szCs w:val="20"/>
        </w:rPr>
        <w:t xml:space="preserve"> | Prediction of ADME/Tox – Just another BMDRC Sites site</w:t>
      </w:r>
      <w:r w:rsidR="008B7D11" w:rsidRPr="00E448CD">
        <w:rPr>
          <w:rFonts w:ascii="Arial" w:hAnsi="Arial" w:cs="Arial"/>
          <w:sz w:val="20"/>
          <w:szCs w:val="20"/>
        </w:rPr>
        <w:fldChar w:fldCharType="end"/>
      </w:r>
    </w:p>
    <w:p w14:paraId="67B4FFEC"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hAnsi="Arial" w:cs="Arial"/>
          <w:b/>
          <w:bCs/>
          <w:sz w:val="20"/>
          <w:szCs w:val="20"/>
        </w:rPr>
      </w:pPr>
      <w:r w:rsidRPr="00E448CD">
        <w:rPr>
          <w:rFonts w:ascii="Arial" w:eastAsia="Times New Roman" w:hAnsi="Arial" w:cs="Arial"/>
          <w:kern w:val="0"/>
          <w:sz w:val="20"/>
          <w:szCs w:val="20"/>
          <w:lang w:eastAsia="en-IN"/>
        </w:rPr>
        <w:t xml:space="preserve">Ahmed IIJ, </w:t>
      </w:r>
      <w:proofErr w:type="spellStart"/>
      <w:r w:rsidRPr="00E448CD">
        <w:rPr>
          <w:rFonts w:ascii="Arial" w:eastAsia="Times New Roman" w:hAnsi="Arial" w:cs="Arial"/>
          <w:kern w:val="0"/>
          <w:sz w:val="20"/>
          <w:szCs w:val="20"/>
          <w:lang w:eastAsia="en-IN"/>
        </w:rPr>
        <w:t>AbdulHamidFA</w:t>
      </w:r>
      <w:proofErr w:type="spellEnd"/>
      <w:r w:rsidRPr="00E448CD">
        <w:rPr>
          <w:rFonts w:ascii="Arial" w:eastAsia="Times New Roman" w:hAnsi="Arial" w:cs="Arial"/>
          <w:kern w:val="0"/>
          <w:sz w:val="20"/>
          <w:szCs w:val="20"/>
          <w:lang w:eastAsia="en-IN"/>
        </w:rPr>
        <w:t xml:space="preserve">, </w:t>
      </w:r>
      <w:proofErr w:type="spellStart"/>
      <w:r w:rsidRPr="00E448CD">
        <w:rPr>
          <w:rFonts w:ascii="Arial" w:eastAsia="Times New Roman" w:hAnsi="Arial" w:cs="Arial"/>
          <w:kern w:val="0"/>
          <w:sz w:val="20"/>
          <w:szCs w:val="20"/>
          <w:lang w:eastAsia="en-IN"/>
        </w:rPr>
        <w:t>AbdHalim</w:t>
      </w:r>
      <w:proofErr w:type="spellEnd"/>
      <w:r w:rsidRPr="00E448CD">
        <w:rPr>
          <w:rFonts w:ascii="Arial" w:eastAsia="Times New Roman" w:hAnsi="Arial" w:cs="Arial"/>
          <w:kern w:val="0"/>
          <w:sz w:val="20"/>
          <w:szCs w:val="20"/>
          <w:lang w:eastAsia="en-IN"/>
        </w:rPr>
        <w:t xml:space="preserve"> KB, Che Has AT. P</w:t>
      </w:r>
      <w:r w:rsidRPr="00E448CD">
        <w:rPr>
          <w:rFonts w:ascii="Arial" w:eastAsia="Times New Roman" w:hAnsi="Arial" w:cs="Arial"/>
          <w:kern w:val="0"/>
          <w:sz w:val="20"/>
          <w:szCs w:val="20"/>
          <w:lang w:eastAsia="en-IN"/>
        </w:rPr>
        <w:noBreakHyphen/>
        <w:t xml:space="preserve">glycoprotein: new insights into structure, physiological function, regulation and alterations in disease. </w:t>
      </w:r>
      <w:proofErr w:type="spellStart"/>
      <w:r w:rsidRPr="00E448CD">
        <w:rPr>
          <w:rFonts w:ascii="Arial" w:eastAsia="Times New Roman" w:hAnsi="Arial" w:cs="Arial"/>
          <w:i/>
          <w:iCs/>
          <w:kern w:val="0"/>
          <w:sz w:val="20"/>
          <w:szCs w:val="20"/>
          <w:lang w:eastAsia="en-IN"/>
        </w:rPr>
        <w:t>Heliyon</w:t>
      </w:r>
      <w:proofErr w:type="spellEnd"/>
      <w:r w:rsidRPr="00E448CD">
        <w:rPr>
          <w:rFonts w:ascii="Arial" w:eastAsia="Times New Roman" w:hAnsi="Arial" w:cs="Arial"/>
          <w:kern w:val="0"/>
          <w:sz w:val="20"/>
          <w:szCs w:val="20"/>
          <w:lang w:eastAsia="en-IN"/>
        </w:rPr>
        <w:t>. 2022;8(6</w:t>
      </w:r>
      <w:proofErr w:type="gramStart"/>
      <w:r w:rsidRPr="00E448CD">
        <w:rPr>
          <w:rFonts w:ascii="Arial" w:eastAsia="Times New Roman" w:hAnsi="Arial" w:cs="Arial"/>
          <w:kern w:val="0"/>
          <w:sz w:val="20"/>
          <w:szCs w:val="20"/>
          <w:lang w:eastAsia="en-IN"/>
        </w:rPr>
        <w:t>):e</w:t>
      </w:r>
      <w:proofErr w:type="gramEnd"/>
      <w:r w:rsidRPr="00E448CD">
        <w:rPr>
          <w:rFonts w:ascii="Arial" w:eastAsia="Times New Roman" w:hAnsi="Arial" w:cs="Arial"/>
          <w:kern w:val="0"/>
          <w:sz w:val="20"/>
          <w:szCs w:val="20"/>
          <w:lang w:eastAsia="en-IN"/>
        </w:rPr>
        <w:t>09777. Doi:10.1016/j.heliyon.2022.e09777</w:t>
      </w:r>
    </w:p>
    <w:p w14:paraId="25CAE60A"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Abelian A, </w:t>
      </w:r>
      <w:proofErr w:type="spellStart"/>
      <w:r w:rsidRPr="00E448CD">
        <w:rPr>
          <w:rFonts w:ascii="Arial" w:eastAsia="Times New Roman" w:hAnsi="Arial" w:cs="Arial"/>
          <w:kern w:val="0"/>
          <w:sz w:val="20"/>
          <w:szCs w:val="20"/>
          <w:lang w:eastAsia="en-IN"/>
        </w:rPr>
        <w:t>Dybek</w:t>
      </w:r>
      <w:proofErr w:type="spellEnd"/>
      <w:r w:rsidRPr="00E448CD">
        <w:rPr>
          <w:rFonts w:ascii="Arial" w:eastAsia="Times New Roman" w:hAnsi="Arial" w:cs="Arial"/>
          <w:kern w:val="0"/>
          <w:sz w:val="20"/>
          <w:szCs w:val="20"/>
          <w:lang w:eastAsia="en-IN"/>
        </w:rPr>
        <w:t xml:space="preserve"> M, Wallach J, Gaye B, </w:t>
      </w:r>
      <w:proofErr w:type="spellStart"/>
      <w:r w:rsidRPr="00E448CD">
        <w:rPr>
          <w:rFonts w:ascii="Arial" w:eastAsia="Times New Roman" w:hAnsi="Arial" w:cs="Arial"/>
          <w:kern w:val="0"/>
          <w:sz w:val="20"/>
          <w:szCs w:val="20"/>
          <w:lang w:eastAsia="en-IN"/>
        </w:rPr>
        <w:t>Adejare</w:t>
      </w:r>
      <w:proofErr w:type="spellEnd"/>
      <w:r w:rsidRPr="00E448CD">
        <w:rPr>
          <w:rFonts w:ascii="Arial" w:eastAsia="Times New Roman" w:hAnsi="Arial" w:cs="Arial"/>
          <w:kern w:val="0"/>
          <w:sz w:val="20"/>
          <w:szCs w:val="20"/>
          <w:lang w:eastAsia="en-IN"/>
        </w:rPr>
        <w:t xml:space="preserve"> A. Pharmaceutical chemistry. In: </w:t>
      </w:r>
      <w:proofErr w:type="spellStart"/>
      <w:r w:rsidRPr="00E448CD">
        <w:rPr>
          <w:rFonts w:ascii="Arial" w:eastAsia="Times New Roman" w:hAnsi="Arial" w:cs="Arial"/>
          <w:kern w:val="0"/>
          <w:sz w:val="20"/>
          <w:szCs w:val="20"/>
          <w:lang w:eastAsia="en-IN"/>
        </w:rPr>
        <w:t>Adejare</w:t>
      </w:r>
      <w:proofErr w:type="spellEnd"/>
      <w:r w:rsidRPr="00E448CD">
        <w:rPr>
          <w:rFonts w:ascii="Arial" w:eastAsia="Times New Roman" w:hAnsi="Arial" w:cs="Arial"/>
          <w:kern w:val="0"/>
          <w:sz w:val="20"/>
          <w:szCs w:val="20"/>
          <w:lang w:eastAsia="en-IN"/>
        </w:rPr>
        <w:t xml:space="preserve"> A, editor. </w:t>
      </w:r>
      <w:r w:rsidRPr="00E448CD">
        <w:rPr>
          <w:rFonts w:ascii="Arial" w:eastAsia="Times New Roman" w:hAnsi="Arial" w:cs="Arial"/>
          <w:i/>
          <w:iCs/>
          <w:kern w:val="0"/>
          <w:sz w:val="20"/>
          <w:szCs w:val="20"/>
          <w:lang w:eastAsia="en-IN"/>
        </w:rPr>
        <w:t>Remington: The Science and Practice of Pharmacy</w:t>
      </w:r>
      <w:r w:rsidRPr="00E448CD">
        <w:rPr>
          <w:rFonts w:ascii="Arial" w:eastAsia="Times New Roman" w:hAnsi="Arial" w:cs="Arial"/>
          <w:kern w:val="0"/>
          <w:sz w:val="20"/>
          <w:szCs w:val="20"/>
          <w:lang w:eastAsia="en-IN"/>
        </w:rPr>
        <w:t>. 23rd ed. Philadelphia: Elsevier; 2021. p.105</w:t>
      </w:r>
      <w:r w:rsidRPr="00E448CD">
        <w:rPr>
          <w:rFonts w:ascii="Arial" w:eastAsia="Times New Roman" w:hAnsi="Arial" w:cs="Arial"/>
          <w:kern w:val="0"/>
          <w:sz w:val="20"/>
          <w:szCs w:val="20"/>
          <w:lang w:eastAsia="en-IN"/>
        </w:rPr>
        <w:noBreakHyphen/>
        <w:t>128.</w:t>
      </w:r>
    </w:p>
    <w:bookmarkEnd w:id="1"/>
    <w:p w14:paraId="73E7D749"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Mansouri R, </w:t>
      </w:r>
      <w:proofErr w:type="spellStart"/>
      <w:r w:rsidRPr="00E448CD">
        <w:rPr>
          <w:rFonts w:ascii="Arial" w:eastAsia="Times New Roman" w:hAnsi="Arial" w:cs="Arial"/>
          <w:kern w:val="0"/>
          <w:sz w:val="20"/>
          <w:szCs w:val="20"/>
          <w:lang w:eastAsia="en-IN"/>
        </w:rPr>
        <w:t>Bouzina</w:t>
      </w:r>
      <w:proofErr w:type="spellEnd"/>
      <w:r w:rsidRPr="00E448CD">
        <w:rPr>
          <w:rFonts w:ascii="Arial" w:eastAsia="Times New Roman" w:hAnsi="Arial" w:cs="Arial"/>
          <w:kern w:val="0"/>
          <w:sz w:val="20"/>
          <w:szCs w:val="20"/>
          <w:lang w:eastAsia="en-IN"/>
        </w:rPr>
        <w:t xml:space="preserve"> A, </w:t>
      </w:r>
      <w:proofErr w:type="spellStart"/>
      <w:r w:rsidRPr="00E448CD">
        <w:rPr>
          <w:rFonts w:ascii="Arial" w:eastAsia="Times New Roman" w:hAnsi="Arial" w:cs="Arial"/>
          <w:kern w:val="0"/>
          <w:sz w:val="20"/>
          <w:szCs w:val="20"/>
          <w:lang w:eastAsia="en-IN"/>
        </w:rPr>
        <w:t>Frissou</w:t>
      </w:r>
      <w:proofErr w:type="spellEnd"/>
      <w:r w:rsidRPr="00E448CD">
        <w:rPr>
          <w:rFonts w:ascii="Arial" w:eastAsia="Times New Roman" w:hAnsi="Arial" w:cs="Arial"/>
          <w:kern w:val="0"/>
          <w:sz w:val="20"/>
          <w:szCs w:val="20"/>
          <w:lang w:eastAsia="en-IN"/>
        </w:rPr>
        <w:t xml:space="preserve"> N. Docking and in silico ADMET analysis of flavone glucoside compounds as antioxidant agents. MDPI chemistry proceeding. 2025;18(1):45</w:t>
      </w:r>
      <w:r w:rsidRPr="00E448CD">
        <w:rPr>
          <w:rFonts w:ascii="Arial" w:eastAsia="Times New Roman" w:hAnsi="Arial" w:cs="Arial"/>
          <w:kern w:val="0"/>
          <w:sz w:val="20"/>
          <w:szCs w:val="20"/>
          <w:lang w:eastAsia="en-IN"/>
        </w:rPr>
        <w:noBreakHyphen/>
        <w:t>52. doi:10.5958/0974</w:t>
      </w:r>
      <w:r w:rsidRPr="00E448CD">
        <w:rPr>
          <w:rFonts w:ascii="Arial" w:eastAsia="Times New Roman" w:hAnsi="Arial" w:cs="Arial"/>
          <w:kern w:val="0"/>
          <w:sz w:val="20"/>
          <w:szCs w:val="20"/>
          <w:lang w:eastAsia="en-IN"/>
        </w:rPr>
        <w:noBreakHyphen/>
        <w:t>360X.2025.00008.7.</w:t>
      </w:r>
    </w:p>
    <w:p w14:paraId="203AFA91"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E448CD">
        <w:rPr>
          <w:rFonts w:ascii="Arial" w:eastAsia="Times New Roman" w:hAnsi="Arial" w:cs="Arial"/>
          <w:kern w:val="0"/>
          <w:sz w:val="20"/>
          <w:szCs w:val="20"/>
          <w:lang w:eastAsia="en-IN"/>
        </w:rPr>
        <w:t>Agu</w:t>
      </w:r>
      <w:proofErr w:type="spellEnd"/>
      <w:r w:rsidRPr="00E448CD">
        <w:rPr>
          <w:rFonts w:ascii="Arial" w:eastAsia="Times New Roman" w:hAnsi="Arial" w:cs="Arial"/>
          <w:kern w:val="0"/>
          <w:sz w:val="20"/>
          <w:szCs w:val="20"/>
          <w:lang w:eastAsia="en-IN"/>
        </w:rPr>
        <w:t xml:space="preserve"> PC, </w:t>
      </w:r>
      <w:proofErr w:type="spellStart"/>
      <w:r w:rsidRPr="00E448CD">
        <w:rPr>
          <w:rFonts w:ascii="Arial" w:eastAsia="Times New Roman" w:hAnsi="Arial" w:cs="Arial"/>
          <w:kern w:val="0"/>
          <w:sz w:val="20"/>
          <w:szCs w:val="20"/>
          <w:lang w:eastAsia="en-IN"/>
        </w:rPr>
        <w:t>Afiukwa</w:t>
      </w:r>
      <w:proofErr w:type="spellEnd"/>
      <w:r w:rsidRPr="00E448CD">
        <w:rPr>
          <w:rFonts w:ascii="Arial" w:eastAsia="Times New Roman" w:hAnsi="Arial" w:cs="Arial"/>
          <w:kern w:val="0"/>
          <w:sz w:val="20"/>
          <w:szCs w:val="20"/>
          <w:lang w:eastAsia="en-IN"/>
        </w:rPr>
        <w:t xml:space="preserve"> CA, Orji OU, </w:t>
      </w:r>
      <w:proofErr w:type="spellStart"/>
      <w:r w:rsidRPr="00E448CD">
        <w:rPr>
          <w:rFonts w:ascii="Arial" w:eastAsia="Times New Roman" w:hAnsi="Arial" w:cs="Arial"/>
          <w:kern w:val="0"/>
          <w:sz w:val="20"/>
          <w:szCs w:val="20"/>
          <w:lang w:eastAsia="en-IN"/>
        </w:rPr>
        <w:t>Ezeh</w:t>
      </w:r>
      <w:proofErr w:type="spellEnd"/>
      <w:r w:rsidRPr="00E448CD">
        <w:rPr>
          <w:rFonts w:ascii="Arial" w:eastAsia="Times New Roman" w:hAnsi="Arial" w:cs="Arial"/>
          <w:kern w:val="0"/>
          <w:sz w:val="20"/>
          <w:szCs w:val="20"/>
          <w:lang w:eastAsia="en-IN"/>
        </w:rPr>
        <w:t xml:space="preserve"> EM, </w:t>
      </w:r>
      <w:proofErr w:type="spellStart"/>
      <w:r w:rsidRPr="00E448CD">
        <w:rPr>
          <w:rFonts w:ascii="Arial" w:eastAsia="Times New Roman" w:hAnsi="Arial" w:cs="Arial"/>
          <w:kern w:val="0"/>
          <w:sz w:val="20"/>
          <w:szCs w:val="20"/>
          <w:lang w:eastAsia="en-IN"/>
        </w:rPr>
        <w:t>Ofoke</w:t>
      </w:r>
      <w:proofErr w:type="spellEnd"/>
      <w:r w:rsidRPr="00E448CD">
        <w:rPr>
          <w:rFonts w:ascii="Arial" w:eastAsia="Times New Roman" w:hAnsi="Arial" w:cs="Arial"/>
          <w:kern w:val="0"/>
          <w:sz w:val="20"/>
          <w:szCs w:val="20"/>
          <w:lang w:eastAsia="en-IN"/>
        </w:rPr>
        <w:t xml:space="preserve"> IH, </w:t>
      </w:r>
      <w:proofErr w:type="spellStart"/>
      <w:r w:rsidRPr="00E448CD">
        <w:rPr>
          <w:rFonts w:ascii="Arial" w:eastAsia="Times New Roman" w:hAnsi="Arial" w:cs="Arial"/>
          <w:kern w:val="0"/>
          <w:sz w:val="20"/>
          <w:szCs w:val="20"/>
          <w:lang w:eastAsia="en-IN"/>
        </w:rPr>
        <w:t>Ogbu</w:t>
      </w:r>
      <w:proofErr w:type="spellEnd"/>
      <w:r w:rsidRPr="00E448CD">
        <w:rPr>
          <w:rFonts w:ascii="Arial" w:eastAsia="Times New Roman" w:hAnsi="Arial" w:cs="Arial"/>
          <w:kern w:val="0"/>
          <w:sz w:val="20"/>
          <w:szCs w:val="20"/>
          <w:lang w:eastAsia="en-IN"/>
        </w:rPr>
        <w:t xml:space="preserve"> CO, </w:t>
      </w:r>
      <w:proofErr w:type="spellStart"/>
      <w:r w:rsidRPr="00E448CD">
        <w:rPr>
          <w:rFonts w:ascii="Arial" w:eastAsia="Times New Roman" w:hAnsi="Arial" w:cs="Arial"/>
          <w:kern w:val="0"/>
          <w:sz w:val="20"/>
          <w:szCs w:val="20"/>
          <w:lang w:eastAsia="en-IN"/>
        </w:rPr>
        <w:t>Ugwuja</w:t>
      </w:r>
      <w:proofErr w:type="spellEnd"/>
      <w:r w:rsidRPr="00E448CD">
        <w:rPr>
          <w:rFonts w:ascii="Arial" w:eastAsia="Times New Roman" w:hAnsi="Arial" w:cs="Arial"/>
          <w:kern w:val="0"/>
          <w:sz w:val="20"/>
          <w:szCs w:val="20"/>
          <w:lang w:eastAsia="en-IN"/>
        </w:rPr>
        <w:t xml:space="preserve"> EI, Aja PM. Molecular docking as a tool for the discovery of molecular targets of nutraceuticals in diseases management. </w:t>
      </w:r>
      <w:r w:rsidRPr="00E448CD">
        <w:rPr>
          <w:rFonts w:ascii="Arial" w:eastAsia="Times New Roman" w:hAnsi="Arial" w:cs="Arial"/>
          <w:i/>
          <w:iCs/>
          <w:kern w:val="0"/>
          <w:sz w:val="20"/>
          <w:szCs w:val="20"/>
          <w:lang w:eastAsia="en-IN"/>
        </w:rPr>
        <w:t>Sci Rep</w:t>
      </w:r>
      <w:r w:rsidRPr="00E448CD">
        <w:rPr>
          <w:rFonts w:ascii="Arial" w:eastAsia="Times New Roman" w:hAnsi="Arial" w:cs="Arial"/>
          <w:kern w:val="0"/>
          <w:sz w:val="20"/>
          <w:szCs w:val="20"/>
          <w:lang w:eastAsia="en-IN"/>
        </w:rPr>
        <w:t xml:space="preserve">. </w:t>
      </w:r>
      <w:proofErr w:type="gramStart"/>
      <w:r w:rsidRPr="00E448CD">
        <w:rPr>
          <w:rFonts w:ascii="Arial" w:eastAsia="Times New Roman" w:hAnsi="Arial" w:cs="Arial"/>
          <w:kern w:val="0"/>
          <w:sz w:val="20"/>
          <w:szCs w:val="20"/>
          <w:lang w:eastAsia="en-IN"/>
        </w:rPr>
        <w:t>2023;13:40160</w:t>
      </w:r>
      <w:proofErr w:type="gramEnd"/>
      <w:r w:rsidRPr="00E448CD">
        <w:rPr>
          <w:rFonts w:ascii="Arial" w:eastAsia="Times New Roman" w:hAnsi="Arial" w:cs="Arial"/>
          <w:kern w:val="0"/>
          <w:sz w:val="20"/>
          <w:szCs w:val="20"/>
          <w:lang w:eastAsia="en-IN"/>
        </w:rPr>
        <w:t>. doi:10.1038/s41598-023-40160-2.</w:t>
      </w:r>
    </w:p>
    <w:p w14:paraId="11AB47A6"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Chaudhary KK, Mishra N. A review on molecular docking: novel tool for drug discovery. </w:t>
      </w:r>
      <w:r w:rsidRPr="00E448CD">
        <w:rPr>
          <w:rFonts w:ascii="Arial" w:eastAsia="Times New Roman" w:hAnsi="Arial" w:cs="Arial"/>
          <w:i/>
          <w:iCs/>
          <w:kern w:val="0"/>
          <w:sz w:val="20"/>
          <w:szCs w:val="20"/>
          <w:lang w:eastAsia="en-IN"/>
        </w:rPr>
        <w:t>JSM Chem</w:t>
      </w:r>
      <w:r w:rsidRPr="00E448CD">
        <w:rPr>
          <w:rFonts w:ascii="Arial" w:eastAsia="Times New Roman" w:hAnsi="Arial" w:cs="Arial"/>
          <w:kern w:val="0"/>
          <w:sz w:val="20"/>
          <w:szCs w:val="20"/>
          <w:lang w:eastAsia="en-IN"/>
        </w:rPr>
        <w:t>. 2016;4(3):1029. doi:10.47739/2334-1831/1029.</w:t>
      </w:r>
    </w:p>
    <w:p w14:paraId="72E85CE8"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E448CD">
        <w:rPr>
          <w:rFonts w:ascii="Arial" w:eastAsia="Times New Roman" w:hAnsi="Arial" w:cs="Arial"/>
          <w:kern w:val="0"/>
          <w:sz w:val="20"/>
          <w:szCs w:val="20"/>
          <w:lang w:eastAsia="en-IN"/>
        </w:rPr>
        <w:t>Yuliani</w:t>
      </w:r>
      <w:proofErr w:type="spellEnd"/>
      <w:r w:rsidRPr="00E448CD">
        <w:rPr>
          <w:rFonts w:ascii="Arial" w:eastAsia="Times New Roman" w:hAnsi="Arial" w:cs="Arial"/>
          <w:kern w:val="0"/>
          <w:sz w:val="20"/>
          <w:szCs w:val="20"/>
          <w:lang w:eastAsia="en-IN"/>
        </w:rPr>
        <w:t xml:space="preserve"> NN, </w:t>
      </w:r>
      <w:proofErr w:type="spellStart"/>
      <w:r w:rsidRPr="00E448CD">
        <w:rPr>
          <w:rFonts w:ascii="Arial" w:eastAsia="Times New Roman" w:hAnsi="Arial" w:cs="Arial"/>
          <w:kern w:val="0"/>
          <w:sz w:val="20"/>
          <w:szCs w:val="20"/>
          <w:lang w:eastAsia="en-IN"/>
        </w:rPr>
        <w:t>Siswandono</w:t>
      </w:r>
      <w:proofErr w:type="spellEnd"/>
      <w:r w:rsidRPr="00E448CD">
        <w:rPr>
          <w:rFonts w:ascii="Arial" w:eastAsia="Times New Roman" w:hAnsi="Arial" w:cs="Arial"/>
          <w:kern w:val="0"/>
          <w:sz w:val="20"/>
          <w:szCs w:val="20"/>
          <w:lang w:eastAsia="en-IN"/>
        </w:rPr>
        <w:t xml:space="preserve">, </w:t>
      </w:r>
      <w:proofErr w:type="spellStart"/>
      <w:r w:rsidRPr="00E448CD">
        <w:rPr>
          <w:rFonts w:ascii="Arial" w:eastAsia="Times New Roman" w:hAnsi="Arial" w:cs="Arial"/>
          <w:kern w:val="0"/>
          <w:sz w:val="20"/>
          <w:szCs w:val="20"/>
          <w:lang w:eastAsia="en-IN"/>
        </w:rPr>
        <w:t>Erawati</w:t>
      </w:r>
      <w:proofErr w:type="spellEnd"/>
      <w:r w:rsidRPr="00E448CD">
        <w:rPr>
          <w:rFonts w:ascii="Arial" w:eastAsia="Times New Roman" w:hAnsi="Arial" w:cs="Arial"/>
          <w:kern w:val="0"/>
          <w:sz w:val="20"/>
          <w:szCs w:val="20"/>
          <w:lang w:eastAsia="en-IN"/>
        </w:rPr>
        <w:t xml:space="preserve"> T, </w:t>
      </w:r>
      <w:proofErr w:type="spellStart"/>
      <w:r w:rsidRPr="00E448CD">
        <w:rPr>
          <w:rFonts w:ascii="Arial" w:eastAsia="Times New Roman" w:hAnsi="Arial" w:cs="Arial"/>
          <w:kern w:val="0"/>
          <w:sz w:val="20"/>
          <w:szCs w:val="20"/>
          <w:lang w:eastAsia="en-IN"/>
        </w:rPr>
        <w:t>Sambara</w:t>
      </w:r>
      <w:proofErr w:type="spellEnd"/>
      <w:r w:rsidRPr="00E448CD">
        <w:rPr>
          <w:rFonts w:ascii="Arial" w:eastAsia="Times New Roman" w:hAnsi="Arial" w:cs="Arial"/>
          <w:kern w:val="0"/>
          <w:sz w:val="20"/>
          <w:szCs w:val="20"/>
          <w:lang w:eastAsia="en-IN"/>
        </w:rPr>
        <w:t xml:space="preserve"> J, Mandala MS. Molecule docking using </w:t>
      </w:r>
      <w:proofErr w:type="spellStart"/>
      <w:r w:rsidRPr="00E448CD">
        <w:rPr>
          <w:rFonts w:ascii="Arial" w:eastAsia="Times New Roman" w:hAnsi="Arial" w:cs="Arial"/>
          <w:kern w:val="0"/>
          <w:sz w:val="20"/>
          <w:szCs w:val="20"/>
          <w:lang w:eastAsia="en-IN"/>
        </w:rPr>
        <w:t>molegro</w:t>
      </w:r>
      <w:proofErr w:type="spellEnd"/>
      <w:r w:rsidRPr="00E448CD">
        <w:rPr>
          <w:rFonts w:ascii="Arial" w:eastAsia="Times New Roman" w:hAnsi="Arial" w:cs="Arial"/>
          <w:kern w:val="0"/>
          <w:sz w:val="20"/>
          <w:szCs w:val="20"/>
          <w:lang w:eastAsia="en-IN"/>
        </w:rPr>
        <w:t xml:space="preserve"> virtual docker method from ethanol extract of </w:t>
      </w:r>
      <w:r w:rsidRPr="00E448CD">
        <w:rPr>
          <w:rFonts w:ascii="Arial" w:eastAsia="Times New Roman" w:hAnsi="Arial" w:cs="Arial"/>
          <w:i/>
          <w:iCs/>
          <w:kern w:val="0"/>
          <w:sz w:val="20"/>
          <w:szCs w:val="20"/>
          <w:lang w:eastAsia="en-IN"/>
        </w:rPr>
        <w:t xml:space="preserve">Bougainvillea </w:t>
      </w:r>
      <w:proofErr w:type="spellStart"/>
      <w:r w:rsidRPr="00E448CD">
        <w:rPr>
          <w:rFonts w:ascii="Arial" w:eastAsia="Times New Roman" w:hAnsi="Arial" w:cs="Arial"/>
          <w:i/>
          <w:iCs/>
          <w:kern w:val="0"/>
          <w:sz w:val="20"/>
          <w:szCs w:val="20"/>
          <w:lang w:eastAsia="en-IN"/>
        </w:rPr>
        <w:t>spectabilis</w:t>
      </w:r>
      <w:r w:rsidRPr="00E448CD">
        <w:rPr>
          <w:rFonts w:ascii="Arial" w:eastAsia="Times New Roman" w:hAnsi="Arial" w:cs="Arial"/>
          <w:kern w:val="0"/>
          <w:sz w:val="20"/>
          <w:szCs w:val="20"/>
          <w:lang w:eastAsia="en-IN"/>
        </w:rPr>
        <w:t>Willdbractea</w:t>
      </w:r>
      <w:proofErr w:type="spellEnd"/>
      <w:r w:rsidRPr="00E448CD">
        <w:rPr>
          <w:rFonts w:ascii="Arial" w:eastAsia="Times New Roman" w:hAnsi="Arial" w:cs="Arial"/>
          <w:kern w:val="0"/>
          <w:sz w:val="20"/>
          <w:szCs w:val="20"/>
          <w:lang w:eastAsia="en-IN"/>
        </w:rPr>
        <w:t xml:space="preserve"> as an inhibitor in tyrosinase for sunscreen. </w:t>
      </w:r>
      <w:r w:rsidRPr="00E448CD">
        <w:rPr>
          <w:rFonts w:ascii="Arial" w:eastAsia="Times New Roman" w:hAnsi="Arial" w:cs="Arial"/>
          <w:i/>
          <w:iCs/>
          <w:kern w:val="0"/>
          <w:sz w:val="20"/>
          <w:szCs w:val="20"/>
          <w:lang w:eastAsia="en-IN"/>
        </w:rPr>
        <w:t xml:space="preserve">Int J </w:t>
      </w:r>
      <w:proofErr w:type="spellStart"/>
      <w:r w:rsidRPr="00E448CD">
        <w:rPr>
          <w:rFonts w:ascii="Arial" w:eastAsia="Times New Roman" w:hAnsi="Arial" w:cs="Arial"/>
          <w:i/>
          <w:iCs/>
          <w:kern w:val="0"/>
          <w:sz w:val="20"/>
          <w:szCs w:val="20"/>
          <w:lang w:eastAsia="en-IN"/>
        </w:rPr>
        <w:t>ChemChemEng</w:t>
      </w:r>
      <w:proofErr w:type="spellEnd"/>
      <w:r w:rsidRPr="00E448CD">
        <w:rPr>
          <w:rFonts w:ascii="Arial" w:eastAsia="Times New Roman" w:hAnsi="Arial" w:cs="Arial"/>
          <w:i/>
          <w:iCs/>
          <w:kern w:val="0"/>
          <w:sz w:val="20"/>
          <w:szCs w:val="20"/>
          <w:lang w:eastAsia="en-IN"/>
        </w:rPr>
        <w:t xml:space="preserve"> Syst</w:t>
      </w:r>
      <w:r w:rsidRPr="00E448CD">
        <w:rPr>
          <w:rFonts w:ascii="Arial" w:eastAsia="Times New Roman" w:hAnsi="Arial" w:cs="Arial"/>
          <w:kern w:val="0"/>
          <w:sz w:val="20"/>
          <w:szCs w:val="20"/>
          <w:lang w:eastAsia="en-IN"/>
        </w:rPr>
        <w:t>. 2024;9(1):16</w:t>
      </w:r>
      <w:r w:rsidRPr="00E448CD">
        <w:rPr>
          <w:rFonts w:ascii="Arial" w:eastAsia="Times New Roman" w:hAnsi="Arial" w:cs="Arial"/>
          <w:kern w:val="0"/>
          <w:sz w:val="20"/>
          <w:szCs w:val="20"/>
          <w:lang w:eastAsia="en-IN"/>
        </w:rPr>
        <w:noBreakHyphen/>
        <w:t>23. doi:10.52711/0974-360X.2024.00131.</w:t>
      </w:r>
    </w:p>
    <w:p w14:paraId="5741138F"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Torres PHM, </w:t>
      </w:r>
      <w:proofErr w:type="spellStart"/>
      <w:r w:rsidRPr="00E448CD">
        <w:rPr>
          <w:rFonts w:ascii="Arial" w:eastAsia="Times New Roman" w:hAnsi="Arial" w:cs="Arial"/>
          <w:kern w:val="0"/>
          <w:sz w:val="20"/>
          <w:szCs w:val="20"/>
          <w:lang w:eastAsia="en-IN"/>
        </w:rPr>
        <w:t>Sodero</w:t>
      </w:r>
      <w:proofErr w:type="spellEnd"/>
      <w:r w:rsidRPr="00E448CD">
        <w:rPr>
          <w:rFonts w:ascii="Arial" w:eastAsia="Times New Roman" w:hAnsi="Arial" w:cs="Arial"/>
          <w:kern w:val="0"/>
          <w:sz w:val="20"/>
          <w:szCs w:val="20"/>
          <w:lang w:eastAsia="en-IN"/>
        </w:rPr>
        <w:t xml:space="preserve"> ACR, </w:t>
      </w:r>
      <w:proofErr w:type="spellStart"/>
      <w:r w:rsidRPr="00E448CD">
        <w:rPr>
          <w:rFonts w:ascii="Arial" w:eastAsia="Times New Roman" w:hAnsi="Arial" w:cs="Arial"/>
          <w:kern w:val="0"/>
          <w:sz w:val="20"/>
          <w:szCs w:val="20"/>
          <w:lang w:eastAsia="en-IN"/>
        </w:rPr>
        <w:t>Jofily</w:t>
      </w:r>
      <w:proofErr w:type="spellEnd"/>
      <w:r w:rsidRPr="00E448CD">
        <w:rPr>
          <w:rFonts w:ascii="Arial" w:eastAsia="Times New Roman" w:hAnsi="Arial" w:cs="Arial"/>
          <w:kern w:val="0"/>
          <w:sz w:val="20"/>
          <w:szCs w:val="20"/>
          <w:lang w:eastAsia="en-IN"/>
        </w:rPr>
        <w:t xml:space="preserve"> P, Silva</w:t>
      </w:r>
      <w:r w:rsidRPr="00E448CD">
        <w:rPr>
          <w:rFonts w:ascii="Arial" w:eastAsia="Times New Roman" w:hAnsi="Arial" w:cs="Arial"/>
          <w:kern w:val="0"/>
          <w:sz w:val="20"/>
          <w:szCs w:val="20"/>
          <w:lang w:eastAsia="en-IN"/>
        </w:rPr>
        <w:noBreakHyphen/>
        <w:t xml:space="preserve">Jr FP. Key topics in molecular docking for drug design. </w:t>
      </w:r>
      <w:r w:rsidRPr="00E448CD">
        <w:rPr>
          <w:rFonts w:ascii="Arial" w:eastAsia="Times New Roman" w:hAnsi="Arial" w:cs="Arial"/>
          <w:i/>
          <w:iCs/>
          <w:kern w:val="0"/>
          <w:sz w:val="20"/>
          <w:szCs w:val="20"/>
          <w:lang w:eastAsia="en-IN"/>
        </w:rPr>
        <w:t>Int J Mol Sci</w:t>
      </w:r>
      <w:r w:rsidRPr="00E448CD">
        <w:rPr>
          <w:rFonts w:ascii="Arial" w:eastAsia="Times New Roman" w:hAnsi="Arial" w:cs="Arial"/>
          <w:kern w:val="0"/>
          <w:sz w:val="20"/>
          <w:szCs w:val="20"/>
          <w:lang w:eastAsia="en-IN"/>
        </w:rPr>
        <w:t>. 2019;20(18):4574. doi:10.3390/ijms20184574.</w:t>
      </w:r>
    </w:p>
    <w:p w14:paraId="769848B6"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E448CD">
        <w:rPr>
          <w:rFonts w:ascii="Arial" w:eastAsia="Times New Roman" w:hAnsi="Arial" w:cs="Arial"/>
          <w:kern w:val="0"/>
          <w:sz w:val="20"/>
          <w:szCs w:val="20"/>
          <w:lang w:eastAsia="en-IN"/>
        </w:rPr>
        <w:t>Pinzi</w:t>
      </w:r>
      <w:proofErr w:type="spellEnd"/>
      <w:r w:rsidRPr="00E448CD">
        <w:rPr>
          <w:rFonts w:ascii="Arial" w:eastAsia="Times New Roman" w:hAnsi="Arial" w:cs="Arial"/>
          <w:kern w:val="0"/>
          <w:sz w:val="20"/>
          <w:szCs w:val="20"/>
          <w:lang w:eastAsia="en-IN"/>
        </w:rPr>
        <w:t xml:space="preserve"> L, Rastelli G. Molecular docking: shifting paradigms in drug discovery. </w:t>
      </w:r>
      <w:r w:rsidRPr="00E448CD">
        <w:rPr>
          <w:rFonts w:ascii="Arial" w:eastAsia="Times New Roman" w:hAnsi="Arial" w:cs="Arial"/>
          <w:i/>
          <w:iCs/>
          <w:kern w:val="0"/>
          <w:sz w:val="20"/>
          <w:szCs w:val="20"/>
          <w:lang w:eastAsia="en-IN"/>
        </w:rPr>
        <w:t>Int J Mol Sci</w:t>
      </w:r>
      <w:r w:rsidRPr="00E448CD">
        <w:rPr>
          <w:rFonts w:ascii="Arial" w:eastAsia="Times New Roman" w:hAnsi="Arial" w:cs="Arial"/>
          <w:kern w:val="0"/>
          <w:sz w:val="20"/>
          <w:szCs w:val="20"/>
          <w:lang w:eastAsia="en-IN"/>
        </w:rPr>
        <w:t>. 2019;20(18):4331. doi:10.3390/ijms20184331.</w:t>
      </w:r>
    </w:p>
    <w:p w14:paraId="4B2A604F"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Ibrahim ZY, </w:t>
      </w:r>
      <w:proofErr w:type="spellStart"/>
      <w:r w:rsidRPr="00E448CD">
        <w:rPr>
          <w:rFonts w:ascii="Arial" w:eastAsia="Times New Roman" w:hAnsi="Arial" w:cs="Arial"/>
          <w:kern w:val="0"/>
          <w:sz w:val="20"/>
          <w:szCs w:val="20"/>
          <w:lang w:eastAsia="en-IN"/>
        </w:rPr>
        <w:t>Uzairu</w:t>
      </w:r>
      <w:proofErr w:type="spellEnd"/>
      <w:r w:rsidRPr="00E448CD">
        <w:rPr>
          <w:rFonts w:ascii="Arial" w:eastAsia="Times New Roman" w:hAnsi="Arial" w:cs="Arial"/>
          <w:kern w:val="0"/>
          <w:sz w:val="20"/>
          <w:szCs w:val="20"/>
          <w:lang w:eastAsia="en-IN"/>
        </w:rPr>
        <w:t xml:space="preserve"> A, </w:t>
      </w:r>
      <w:proofErr w:type="spellStart"/>
      <w:r w:rsidRPr="00E448CD">
        <w:rPr>
          <w:rFonts w:ascii="Arial" w:eastAsia="Times New Roman" w:hAnsi="Arial" w:cs="Arial"/>
          <w:kern w:val="0"/>
          <w:sz w:val="20"/>
          <w:szCs w:val="20"/>
          <w:lang w:eastAsia="en-IN"/>
        </w:rPr>
        <w:t>Shallangwa</w:t>
      </w:r>
      <w:proofErr w:type="spellEnd"/>
      <w:r w:rsidRPr="00E448CD">
        <w:rPr>
          <w:rFonts w:ascii="Arial" w:eastAsia="Times New Roman" w:hAnsi="Arial" w:cs="Arial"/>
          <w:kern w:val="0"/>
          <w:sz w:val="20"/>
          <w:szCs w:val="20"/>
          <w:lang w:eastAsia="en-IN"/>
        </w:rPr>
        <w:t xml:space="preserve"> G, </w:t>
      </w:r>
      <w:proofErr w:type="spellStart"/>
      <w:r w:rsidRPr="00E448CD">
        <w:rPr>
          <w:rFonts w:ascii="Arial" w:eastAsia="Times New Roman" w:hAnsi="Arial" w:cs="Arial"/>
          <w:kern w:val="0"/>
          <w:sz w:val="20"/>
          <w:szCs w:val="20"/>
          <w:lang w:eastAsia="en-IN"/>
        </w:rPr>
        <w:t>Abechi</w:t>
      </w:r>
      <w:proofErr w:type="spellEnd"/>
      <w:r w:rsidRPr="00E448CD">
        <w:rPr>
          <w:rFonts w:ascii="Arial" w:eastAsia="Times New Roman" w:hAnsi="Arial" w:cs="Arial"/>
          <w:kern w:val="0"/>
          <w:sz w:val="20"/>
          <w:szCs w:val="20"/>
          <w:lang w:eastAsia="en-IN"/>
        </w:rPr>
        <w:t xml:space="preserve"> S. Molecular docking studies, drug</w:t>
      </w:r>
      <w:r w:rsidRPr="00E448CD">
        <w:rPr>
          <w:rFonts w:ascii="Arial" w:eastAsia="Times New Roman" w:hAnsi="Arial" w:cs="Arial"/>
          <w:kern w:val="0"/>
          <w:sz w:val="20"/>
          <w:szCs w:val="20"/>
          <w:lang w:eastAsia="en-IN"/>
        </w:rPr>
        <w:noBreakHyphen/>
        <w:t>likeness and in</w:t>
      </w:r>
      <w:r w:rsidRPr="00E448CD">
        <w:rPr>
          <w:rFonts w:ascii="Arial" w:eastAsia="Times New Roman" w:hAnsi="Arial" w:cs="Arial"/>
          <w:kern w:val="0"/>
          <w:sz w:val="20"/>
          <w:szCs w:val="20"/>
          <w:lang w:eastAsia="en-IN"/>
        </w:rPr>
        <w:noBreakHyphen/>
        <w:t>silico ADMET prediction of some novel β</w:t>
      </w:r>
      <w:r w:rsidRPr="00E448CD">
        <w:rPr>
          <w:rFonts w:ascii="Arial" w:eastAsia="Times New Roman" w:hAnsi="Arial" w:cs="Arial"/>
          <w:kern w:val="0"/>
          <w:sz w:val="20"/>
          <w:szCs w:val="20"/>
          <w:lang w:eastAsia="en-IN"/>
        </w:rPr>
        <w:noBreakHyphen/>
        <w:t>amino alcohol grafted 1,4,5</w:t>
      </w:r>
      <w:r w:rsidRPr="00E448CD">
        <w:rPr>
          <w:rFonts w:ascii="Arial" w:eastAsia="Times New Roman" w:hAnsi="Arial" w:cs="Arial"/>
          <w:kern w:val="0"/>
          <w:sz w:val="20"/>
          <w:szCs w:val="20"/>
          <w:lang w:eastAsia="en-IN"/>
        </w:rPr>
        <w:noBreakHyphen/>
        <w:t>trisubstituted 1,2,3</w:t>
      </w:r>
      <w:r w:rsidRPr="00E448CD">
        <w:rPr>
          <w:rFonts w:ascii="Arial" w:eastAsia="Times New Roman" w:hAnsi="Arial" w:cs="Arial"/>
          <w:kern w:val="0"/>
          <w:sz w:val="20"/>
          <w:szCs w:val="20"/>
          <w:lang w:eastAsia="en-IN"/>
        </w:rPr>
        <w:noBreakHyphen/>
        <w:t xml:space="preserve">triazoles derivatives as elevators of p53 protein levels. </w:t>
      </w:r>
      <w:r w:rsidRPr="00E448CD">
        <w:rPr>
          <w:rFonts w:ascii="Arial" w:eastAsia="Times New Roman" w:hAnsi="Arial" w:cs="Arial"/>
          <w:i/>
          <w:iCs/>
          <w:kern w:val="0"/>
          <w:sz w:val="20"/>
          <w:szCs w:val="20"/>
          <w:lang w:eastAsia="en-IN"/>
        </w:rPr>
        <w:t>J Mol Graph Model</w:t>
      </w:r>
      <w:r w:rsidRPr="00E448CD">
        <w:rPr>
          <w:rFonts w:ascii="Arial" w:eastAsia="Times New Roman" w:hAnsi="Arial" w:cs="Arial"/>
          <w:kern w:val="0"/>
          <w:sz w:val="20"/>
          <w:szCs w:val="20"/>
          <w:lang w:eastAsia="en-IN"/>
        </w:rPr>
        <w:t xml:space="preserve">. </w:t>
      </w:r>
      <w:proofErr w:type="gramStart"/>
      <w:r w:rsidRPr="00E448CD">
        <w:rPr>
          <w:rFonts w:ascii="Arial" w:eastAsia="Times New Roman" w:hAnsi="Arial" w:cs="Arial"/>
          <w:kern w:val="0"/>
          <w:sz w:val="20"/>
          <w:szCs w:val="20"/>
          <w:lang w:eastAsia="en-IN"/>
        </w:rPr>
        <w:t>2025;124:108119</w:t>
      </w:r>
      <w:proofErr w:type="gramEnd"/>
      <w:r w:rsidRPr="00E448CD">
        <w:rPr>
          <w:rFonts w:ascii="Arial" w:eastAsia="Times New Roman" w:hAnsi="Arial" w:cs="Arial"/>
          <w:kern w:val="0"/>
          <w:sz w:val="20"/>
          <w:szCs w:val="20"/>
          <w:lang w:eastAsia="en-IN"/>
        </w:rPr>
        <w:t>. doi:10.1016/j.jmgm.2025.108119</w:t>
      </w:r>
    </w:p>
    <w:p w14:paraId="33BD89A5"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t xml:space="preserve">Bors L, Erdo F. Overcoming the blood–brain barrier: challenges and tricks for CNS drug delivery. </w:t>
      </w:r>
      <w:r w:rsidRPr="00E448CD">
        <w:rPr>
          <w:rFonts w:ascii="Arial" w:eastAsia="Times New Roman" w:hAnsi="Arial" w:cs="Arial"/>
          <w:i/>
          <w:iCs/>
          <w:kern w:val="0"/>
          <w:sz w:val="20"/>
          <w:szCs w:val="20"/>
          <w:lang w:eastAsia="en-IN"/>
        </w:rPr>
        <w:t>Sci Pharm</w:t>
      </w:r>
      <w:r w:rsidRPr="00E448CD">
        <w:rPr>
          <w:rFonts w:ascii="Arial" w:eastAsia="Times New Roman" w:hAnsi="Arial" w:cs="Arial"/>
          <w:kern w:val="0"/>
          <w:sz w:val="20"/>
          <w:szCs w:val="20"/>
          <w:lang w:eastAsia="en-IN"/>
        </w:rPr>
        <w:t>. 2019;87(1):6. doi:10.3390/scipharm87010006.</w:t>
      </w:r>
    </w:p>
    <w:p w14:paraId="09565BB5" w14:textId="77777777" w:rsidR="004037EE" w:rsidRPr="00E448CD" w:rsidRDefault="004037EE" w:rsidP="004037EE">
      <w:pPr>
        <w:pStyle w:val="ListParagraph"/>
        <w:numPr>
          <w:ilvl w:val="0"/>
          <w:numId w:val="4"/>
        </w:numPr>
        <w:spacing w:before="100" w:beforeAutospacing="1" w:after="100" w:afterAutospacing="1" w:line="240" w:lineRule="auto"/>
        <w:jc w:val="both"/>
        <w:rPr>
          <w:rFonts w:ascii="Arial" w:eastAsia="Times New Roman" w:hAnsi="Arial" w:cs="Arial"/>
          <w:kern w:val="0"/>
          <w:sz w:val="20"/>
          <w:szCs w:val="20"/>
          <w:lang w:eastAsia="en-IN"/>
        </w:rPr>
      </w:pPr>
      <w:r w:rsidRPr="00E448CD">
        <w:rPr>
          <w:rFonts w:ascii="Arial" w:eastAsia="Times New Roman" w:hAnsi="Arial" w:cs="Arial"/>
          <w:kern w:val="0"/>
          <w:sz w:val="20"/>
          <w:szCs w:val="20"/>
          <w:lang w:eastAsia="en-IN"/>
        </w:rPr>
        <w:lastRenderedPageBreak/>
        <w:t>Hasan MM, Khan Z, Chowdhury MS, Khan MA, Moni MA, Rahman MH. In silico molecular docking and ADME/T analysis of quercetin compound with its evaluation of broad</w:t>
      </w:r>
      <w:r w:rsidRPr="00E448CD">
        <w:rPr>
          <w:rFonts w:ascii="Arial" w:eastAsia="Times New Roman" w:hAnsi="Arial" w:cs="Arial"/>
          <w:kern w:val="0"/>
          <w:sz w:val="20"/>
          <w:szCs w:val="20"/>
          <w:lang w:eastAsia="en-IN"/>
        </w:rPr>
        <w:noBreakHyphen/>
        <w:t xml:space="preserve">spectrum therapeutic potential against particular diseases. </w:t>
      </w:r>
      <w:r w:rsidRPr="00E448CD">
        <w:rPr>
          <w:rFonts w:ascii="Arial" w:eastAsia="Times New Roman" w:hAnsi="Arial" w:cs="Arial"/>
          <w:i/>
          <w:iCs/>
          <w:kern w:val="0"/>
          <w:sz w:val="20"/>
          <w:szCs w:val="20"/>
          <w:lang w:eastAsia="en-IN"/>
        </w:rPr>
        <w:t>Sci Rep</w:t>
      </w:r>
      <w:r w:rsidRPr="00E448CD">
        <w:rPr>
          <w:rFonts w:ascii="Arial" w:eastAsia="Times New Roman" w:hAnsi="Arial" w:cs="Arial"/>
          <w:kern w:val="0"/>
          <w:sz w:val="20"/>
          <w:szCs w:val="20"/>
          <w:lang w:eastAsia="en-IN"/>
        </w:rPr>
        <w:t xml:space="preserve">. </w:t>
      </w:r>
      <w:proofErr w:type="gramStart"/>
      <w:r w:rsidRPr="00E448CD">
        <w:rPr>
          <w:rFonts w:ascii="Arial" w:eastAsia="Times New Roman" w:hAnsi="Arial" w:cs="Arial"/>
          <w:kern w:val="0"/>
          <w:sz w:val="20"/>
          <w:szCs w:val="20"/>
          <w:lang w:eastAsia="en-IN"/>
        </w:rPr>
        <w:t>2024;14:22345</w:t>
      </w:r>
      <w:proofErr w:type="gramEnd"/>
      <w:r w:rsidRPr="00E448CD">
        <w:rPr>
          <w:rFonts w:ascii="Arial" w:eastAsia="Times New Roman" w:hAnsi="Arial" w:cs="Arial"/>
          <w:kern w:val="0"/>
          <w:sz w:val="20"/>
          <w:szCs w:val="20"/>
          <w:lang w:eastAsia="en-IN"/>
        </w:rPr>
        <w:t>. doi:10.1038/s41598</w:t>
      </w:r>
      <w:r w:rsidRPr="00E448CD">
        <w:rPr>
          <w:rFonts w:ascii="Arial" w:eastAsia="Times New Roman" w:hAnsi="Arial" w:cs="Arial"/>
          <w:kern w:val="0"/>
          <w:sz w:val="20"/>
          <w:szCs w:val="20"/>
          <w:lang w:eastAsia="en-IN"/>
        </w:rPr>
        <w:noBreakHyphen/>
        <w:t>024</w:t>
      </w:r>
      <w:r w:rsidRPr="00E448CD">
        <w:rPr>
          <w:rFonts w:ascii="Arial" w:eastAsia="Times New Roman" w:hAnsi="Arial" w:cs="Arial"/>
          <w:kern w:val="0"/>
          <w:sz w:val="20"/>
          <w:szCs w:val="20"/>
          <w:lang w:eastAsia="en-IN"/>
        </w:rPr>
        <w:noBreakHyphen/>
        <w:t>22345</w:t>
      </w:r>
      <w:r w:rsidRPr="00E448CD">
        <w:rPr>
          <w:rFonts w:ascii="Arial" w:eastAsia="Times New Roman" w:hAnsi="Arial" w:cs="Arial"/>
          <w:kern w:val="0"/>
          <w:sz w:val="20"/>
          <w:szCs w:val="20"/>
          <w:lang w:eastAsia="en-IN"/>
        </w:rPr>
        <w:noBreakHyphen/>
        <w:t>9.</w:t>
      </w:r>
    </w:p>
    <w:p w14:paraId="5108DD49" w14:textId="77777777" w:rsidR="004037EE" w:rsidRPr="00E448CD" w:rsidRDefault="004037EE" w:rsidP="004037EE">
      <w:pPr>
        <w:spacing w:before="100" w:beforeAutospacing="1" w:after="100" w:afterAutospacing="1" w:line="240" w:lineRule="auto"/>
        <w:ind w:left="142"/>
        <w:jc w:val="both"/>
        <w:rPr>
          <w:rFonts w:ascii="Arial" w:eastAsia="Times New Roman" w:hAnsi="Arial" w:cs="Arial"/>
          <w:kern w:val="0"/>
          <w:sz w:val="20"/>
          <w:szCs w:val="20"/>
          <w:lang w:eastAsia="en-IN"/>
        </w:rPr>
      </w:pPr>
    </w:p>
    <w:p w14:paraId="5C1E0BA4" w14:textId="77777777" w:rsidR="004037EE" w:rsidRPr="00E448CD" w:rsidRDefault="004037EE" w:rsidP="004037EE">
      <w:pPr>
        <w:pStyle w:val="ListParagraph"/>
        <w:spacing w:before="100" w:beforeAutospacing="1" w:after="100" w:afterAutospacing="1" w:line="240" w:lineRule="auto"/>
        <w:ind w:left="502"/>
        <w:jc w:val="both"/>
        <w:rPr>
          <w:rFonts w:ascii="Arial" w:hAnsi="Arial" w:cs="Arial"/>
          <w:b/>
          <w:bCs/>
          <w:sz w:val="20"/>
          <w:szCs w:val="20"/>
        </w:rPr>
      </w:pPr>
    </w:p>
    <w:p w14:paraId="07B16F6B" w14:textId="77777777" w:rsidR="004037EE" w:rsidRPr="00E448CD" w:rsidRDefault="004037EE" w:rsidP="004037EE">
      <w:pPr>
        <w:jc w:val="both"/>
        <w:rPr>
          <w:rFonts w:ascii="Arial" w:hAnsi="Arial" w:cs="Arial"/>
          <w:sz w:val="20"/>
          <w:szCs w:val="20"/>
        </w:rPr>
      </w:pPr>
    </w:p>
    <w:p w14:paraId="3D0C115F" w14:textId="77777777" w:rsidR="004037EE" w:rsidRPr="00E448CD" w:rsidRDefault="008B7D11" w:rsidP="004037EE">
      <w:pPr>
        <w:jc w:val="both"/>
        <w:rPr>
          <w:rStyle w:val="Hyperlink"/>
          <w:rFonts w:ascii="Arial" w:hAnsi="Arial" w:cs="Arial"/>
          <w:sz w:val="20"/>
          <w:szCs w:val="20"/>
        </w:rPr>
      </w:pPr>
      <w:r w:rsidRPr="00E448CD">
        <w:rPr>
          <w:rFonts w:ascii="Arial" w:hAnsi="Arial" w:cs="Arial"/>
          <w:sz w:val="20"/>
          <w:szCs w:val="20"/>
        </w:rPr>
        <w:fldChar w:fldCharType="begin"/>
      </w:r>
      <w:r w:rsidR="004037EE" w:rsidRPr="00E448CD">
        <w:rPr>
          <w:rFonts w:ascii="Arial" w:hAnsi="Arial" w:cs="Arial"/>
          <w:sz w:val="20"/>
          <w:szCs w:val="20"/>
        </w:rPr>
        <w:instrText>HYPERLINK "https://www.researchgate.net/publication/386291355_Druggability_of_Pharmaceutical_Compounds_Using_Lipinski_Rules_with_Machine_Learning" \l "pfd"</w:instrText>
      </w:r>
      <w:r w:rsidRPr="00E448CD">
        <w:rPr>
          <w:rFonts w:ascii="Arial" w:hAnsi="Arial" w:cs="Arial"/>
          <w:sz w:val="20"/>
          <w:szCs w:val="20"/>
        </w:rPr>
        <w:fldChar w:fldCharType="separate"/>
      </w:r>
    </w:p>
    <w:p w14:paraId="13033784" w14:textId="77777777" w:rsidR="004037EE" w:rsidRPr="00E448CD" w:rsidRDefault="008B7D11" w:rsidP="004037EE">
      <w:pPr>
        <w:jc w:val="both"/>
        <w:rPr>
          <w:rFonts w:ascii="Arial" w:hAnsi="Arial" w:cs="Arial"/>
          <w:sz w:val="20"/>
          <w:szCs w:val="20"/>
        </w:rPr>
      </w:pPr>
      <w:r w:rsidRPr="00E448CD">
        <w:rPr>
          <w:rFonts w:ascii="Arial" w:hAnsi="Arial" w:cs="Arial"/>
          <w:sz w:val="20"/>
          <w:szCs w:val="20"/>
        </w:rPr>
        <w:fldChar w:fldCharType="end"/>
      </w:r>
    </w:p>
    <w:p w14:paraId="7D7579CC" w14:textId="77777777" w:rsidR="004037EE" w:rsidRPr="00E448CD" w:rsidRDefault="004037EE" w:rsidP="004037EE">
      <w:pPr>
        <w:jc w:val="both"/>
        <w:rPr>
          <w:rFonts w:ascii="Arial" w:hAnsi="Arial" w:cs="Arial"/>
          <w:sz w:val="20"/>
          <w:szCs w:val="20"/>
        </w:rPr>
      </w:pPr>
    </w:p>
    <w:p w14:paraId="1ECE85D1" w14:textId="77777777" w:rsidR="004037EE" w:rsidRPr="00E448CD" w:rsidRDefault="004037EE" w:rsidP="004037EE">
      <w:pPr>
        <w:jc w:val="both"/>
        <w:rPr>
          <w:rFonts w:ascii="Arial" w:hAnsi="Arial" w:cs="Arial"/>
          <w:sz w:val="20"/>
          <w:szCs w:val="20"/>
        </w:rPr>
      </w:pPr>
    </w:p>
    <w:p w14:paraId="73F05C65" w14:textId="77777777" w:rsidR="004037EE" w:rsidRPr="00E448CD" w:rsidRDefault="004037EE" w:rsidP="004037EE">
      <w:pPr>
        <w:jc w:val="both"/>
        <w:rPr>
          <w:rFonts w:ascii="Arial" w:hAnsi="Arial" w:cs="Arial"/>
          <w:b/>
          <w:bCs/>
          <w:sz w:val="20"/>
          <w:szCs w:val="20"/>
        </w:rPr>
      </w:pPr>
    </w:p>
    <w:p w14:paraId="671574BE" w14:textId="77777777" w:rsidR="004037EE" w:rsidRPr="00E448CD" w:rsidRDefault="004037EE" w:rsidP="00596E8C">
      <w:pPr>
        <w:jc w:val="both"/>
        <w:rPr>
          <w:rFonts w:ascii="Arial" w:hAnsi="Arial" w:cs="Arial"/>
          <w:b/>
          <w:bCs/>
          <w:sz w:val="20"/>
          <w:szCs w:val="20"/>
        </w:rPr>
      </w:pPr>
    </w:p>
    <w:sectPr w:rsidR="004037EE" w:rsidRPr="00E448CD" w:rsidSect="00167E76">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6414F" w14:textId="77777777" w:rsidR="00D84B2E" w:rsidRDefault="00D84B2E" w:rsidP="003266BB">
      <w:pPr>
        <w:spacing w:after="0" w:line="240" w:lineRule="auto"/>
      </w:pPr>
      <w:r>
        <w:separator/>
      </w:r>
    </w:p>
  </w:endnote>
  <w:endnote w:type="continuationSeparator" w:id="0">
    <w:p w14:paraId="3A8BF2F2" w14:textId="77777777" w:rsidR="00D84B2E" w:rsidRDefault="00D84B2E" w:rsidP="0032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AB378" w14:textId="77777777" w:rsidR="003266BB" w:rsidRDefault="00326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4E4B" w14:textId="77777777" w:rsidR="003266BB" w:rsidRDefault="00326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FB44" w14:textId="77777777" w:rsidR="003266BB" w:rsidRDefault="00326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989BB" w14:textId="77777777" w:rsidR="00D84B2E" w:rsidRDefault="00D84B2E" w:rsidP="003266BB">
      <w:pPr>
        <w:spacing w:after="0" w:line="240" w:lineRule="auto"/>
      </w:pPr>
      <w:r>
        <w:separator/>
      </w:r>
    </w:p>
  </w:footnote>
  <w:footnote w:type="continuationSeparator" w:id="0">
    <w:p w14:paraId="1C951C23" w14:textId="77777777" w:rsidR="00D84B2E" w:rsidRDefault="00D84B2E" w:rsidP="0032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BE4D9" w14:textId="502C8630" w:rsidR="003266BB" w:rsidRDefault="003266BB">
    <w:pPr>
      <w:pStyle w:val="Header"/>
    </w:pPr>
    <w:r>
      <w:rPr>
        <w:noProof/>
      </w:rPr>
      <w:pict w14:anchorId="7467E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3117" w14:textId="4F2D09F4" w:rsidR="003266BB" w:rsidRDefault="003266BB">
    <w:pPr>
      <w:pStyle w:val="Header"/>
    </w:pPr>
    <w:r>
      <w:rPr>
        <w:noProof/>
      </w:rPr>
      <w:pict w14:anchorId="7B783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C192E" w14:textId="1FD805B0" w:rsidR="003266BB" w:rsidRDefault="003266BB">
    <w:pPr>
      <w:pStyle w:val="Header"/>
    </w:pPr>
    <w:r>
      <w:rPr>
        <w:noProof/>
      </w:rPr>
      <w:pict w14:anchorId="47123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D344C"/>
    <w:multiLevelType w:val="hybridMultilevel"/>
    <w:tmpl w:val="89306E20"/>
    <w:lvl w:ilvl="0" w:tplc="63AAF00A">
      <w:start w:val="1"/>
      <w:numFmt w:val="decimal"/>
      <w:lvlText w:val="%1."/>
      <w:lvlJc w:val="left"/>
      <w:pPr>
        <w:ind w:left="502" w:hanging="360"/>
      </w:pPr>
      <w:rPr>
        <w:rFonts w:hint="default"/>
        <w:b w:val="0"/>
        <w:bCs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71FF240F"/>
    <w:multiLevelType w:val="multilevel"/>
    <w:tmpl w:val="0C46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766BF"/>
    <w:multiLevelType w:val="hybridMultilevel"/>
    <w:tmpl w:val="AFA4B394"/>
    <w:lvl w:ilvl="0" w:tplc="3BBAA9C6">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DFC0B6A"/>
    <w:multiLevelType w:val="hybridMultilevel"/>
    <w:tmpl w:val="1B2021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3722"/>
    <w:rsid w:val="000126E8"/>
    <w:rsid w:val="00042625"/>
    <w:rsid w:val="00080921"/>
    <w:rsid w:val="000B425D"/>
    <w:rsid w:val="000D4F26"/>
    <w:rsid w:val="000E0E9B"/>
    <w:rsid w:val="000E6870"/>
    <w:rsid w:val="000F23D2"/>
    <w:rsid w:val="00104377"/>
    <w:rsid w:val="0012773D"/>
    <w:rsid w:val="00144697"/>
    <w:rsid w:val="00167E76"/>
    <w:rsid w:val="0019559B"/>
    <w:rsid w:val="001A2D46"/>
    <w:rsid w:val="001B11B3"/>
    <w:rsid w:val="001C4002"/>
    <w:rsid w:val="001C4D77"/>
    <w:rsid w:val="00203682"/>
    <w:rsid w:val="00207BFC"/>
    <w:rsid w:val="00251309"/>
    <w:rsid w:val="00266006"/>
    <w:rsid w:val="002711BE"/>
    <w:rsid w:val="002750B6"/>
    <w:rsid w:val="00275941"/>
    <w:rsid w:val="00277457"/>
    <w:rsid w:val="002868CF"/>
    <w:rsid w:val="002B0666"/>
    <w:rsid w:val="002B1CD7"/>
    <w:rsid w:val="002C4D52"/>
    <w:rsid w:val="002C5F06"/>
    <w:rsid w:val="002D732E"/>
    <w:rsid w:val="002F0F5A"/>
    <w:rsid w:val="00310845"/>
    <w:rsid w:val="0032423C"/>
    <w:rsid w:val="003266BB"/>
    <w:rsid w:val="00345276"/>
    <w:rsid w:val="00355249"/>
    <w:rsid w:val="00374240"/>
    <w:rsid w:val="00376D77"/>
    <w:rsid w:val="00380AF3"/>
    <w:rsid w:val="003868B4"/>
    <w:rsid w:val="003C3B69"/>
    <w:rsid w:val="003E3046"/>
    <w:rsid w:val="003F5755"/>
    <w:rsid w:val="003F588B"/>
    <w:rsid w:val="004037EE"/>
    <w:rsid w:val="0040403D"/>
    <w:rsid w:val="004476D7"/>
    <w:rsid w:val="00457A1A"/>
    <w:rsid w:val="00461B0B"/>
    <w:rsid w:val="00467143"/>
    <w:rsid w:val="00472037"/>
    <w:rsid w:val="00475F84"/>
    <w:rsid w:val="004A06E1"/>
    <w:rsid w:val="004B3F6B"/>
    <w:rsid w:val="004D13D0"/>
    <w:rsid w:val="00505F84"/>
    <w:rsid w:val="00536374"/>
    <w:rsid w:val="0054089F"/>
    <w:rsid w:val="005609D3"/>
    <w:rsid w:val="0057772F"/>
    <w:rsid w:val="00596E8C"/>
    <w:rsid w:val="005A6E23"/>
    <w:rsid w:val="005B1198"/>
    <w:rsid w:val="005F39A8"/>
    <w:rsid w:val="006361B3"/>
    <w:rsid w:val="00640E57"/>
    <w:rsid w:val="00666F0E"/>
    <w:rsid w:val="00670EC0"/>
    <w:rsid w:val="006B5FB8"/>
    <w:rsid w:val="00745340"/>
    <w:rsid w:val="0075522A"/>
    <w:rsid w:val="007635C5"/>
    <w:rsid w:val="007A0405"/>
    <w:rsid w:val="007B169B"/>
    <w:rsid w:val="007C6EB8"/>
    <w:rsid w:val="007C71D9"/>
    <w:rsid w:val="007D28FF"/>
    <w:rsid w:val="007E57C8"/>
    <w:rsid w:val="007E7670"/>
    <w:rsid w:val="00801B06"/>
    <w:rsid w:val="008150B9"/>
    <w:rsid w:val="00831433"/>
    <w:rsid w:val="00842BCF"/>
    <w:rsid w:val="00855B18"/>
    <w:rsid w:val="00895539"/>
    <w:rsid w:val="00896930"/>
    <w:rsid w:val="008B7D11"/>
    <w:rsid w:val="008C0CFC"/>
    <w:rsid w:val="008D23BC"/>
    <w:rsid w:val="00905D5C"/>
    <w:rsid w:val="009073BF"/>
    <w:rsid w:val="009328AD"/>
    <w:rsid w:val="00942DEF"/>
    <w:rsid w:val="00964289"/>
    <w:rsid w:val="00971753"/>
    <w:rsid w:val="009742DD"/>
    <w:rsid w:val="009848C8"/>
    <w:rsid w:val="00994D62"/>
    <w:rsid w:val="009A02C6"/>
    <w:rsid w:val="009C5EF0"/>
    <w:rsid w:val="009F7E98"/>
    <w:rsid w:val="00A31597"/>
    <w:rsid w:val="00A43C26"/>
    <w:rsid w:val="00A45436"/>
    <w:rsid w:val="00A73700"/>
    <w:rsid w:val="00AA64FC"/>
    <w:rsid w:val="00AE2542"/>
    <w:rsid w:val="00B03722"/>
    <w:rsid w:val="00B26249"/>
    <w:rsid w:val="00B33E88"/>
    <w:rsid w:val="00B57553"/>
    <w:rsid w:val="00B96F65"/>
    <w:rsid w:val="00BE60C6"/>
    <w:rsid w:val="00C05881"/>
    <w:rsid w:val="00C05F03"/>
    <w:rsid w:val="00C14C0B"/>
    <w:rsid w:val="00C17431"/>
    <w:rsid w:val="00C31F19"/>
    <w:rsid w:val="00CA3942"/>
    <w:rsid w:val="00CC3B4C"/>
    <w:rsid w:val="00CD2853"/>
    <w:rsid w:val="00CE0EA3"/>
    <w:rsid w:val="00D11BCF"/>
    <w:rsid w:val="00D24E35"/>
    <w:rsid w:val="00D6547F"/>
    <w:rsid w:val="00D66AF7"/>
    <w:rsid w:val="00D84B2E"/>
    <w:rsid w:val="00D97873"/>
    <w:rsid w:val="00D97B7B"/>
    <w:rsid w:val="00DC3A7F"/>
    <w:rsid w:val="00DD1A6C"/>
    <w:rsid w:val="00DD2AE3"/>
    <w:rsid w:val="00DF0214"/>
    <w:rsid w:val="00E448CD"/>
    <w:rsid w:val="00E5380E"/>
    <w:rsid w:val="00E61597"/>
    <w:rsid w:val="00EA4E19"/>
    <w:rsid w:val="00EA542E"/>
    <w:rsid w:val="00EB0490"/>
    <w:rsid w:val="00EC46F0"/>
    <w:rsid w:val="00EC7E1C"/>
    <w:rsid w:val="00EE50E7"/>
    <w:rsid w:val="00F0462B"/>
    <w:rsid w:val="00F1181F"/>
    <w:rsid w:val="00F243DC"/>
    <w:rsid w:val="00F2577C"/>
    <w:rsid w:val="00F270C9"/>
    <w:rsid w:val="00F30764"/>
    <w:rsid w:val="00F463AC"/>
    <w:rsid w:val="00F57461"/>
    <w:rsid w:val="00F728FE"/>
    <w:rsid w:val="00F741A5"/>
    <w:rsid w:val="00FA50FF"/>
    <w:rsid w:val="00FB11E6"/>
    <w:rsid w:val="00FE1A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2397FF"/>
  <w15:docId w15:val="{9554DC0D-5D0C-4912-A112-54135E5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kern w:val="2"/>
        <w:sz w:val="36"/>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E76"/>
  </w:style>
  <w:style w:type="paragraph" w:styleId="Heading1">
    <w:name w:val="heading 1"/>
    <w:basedOn w:val="Normal"/>
    <w:next w:val="Normal"/>
    <w:link w:val="Heading1Char"/>
    <w:uiPriority w:val="9"/>
    <w:qFormat/>
    <w:rsid w:val="00B03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3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372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37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372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037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37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37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37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3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372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37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037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037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37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37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37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3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7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7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3722"/>
    <w:pPr>
      <w:spacing w:before="160"/>
      <w:jc w:val="center"/>
    </w:pPr>
    <w:rPr>
      <w:i/>
      <w:iCs/>
      <w:color w:val="404040" w:themeColor="text1" w:themeTint="BF"/>
    </w:rPr>
  </w:style>
  <w:style w:type="character" w:customStyle="1" w:styleId="QuoteChar">
    <w:name w:val="Quote Char"/>
    <w:basedOn w:val="DefaultParagraphFont"/>
    <w:link w:val="Quote"/>
    <w:uiPriority w:val="29"/>
    <w:rsid w:val="00B03722"/>
    <w:rPr>
      <w:i/>
      <w:iCs/>
      <w:color w:val="404040" w:themeColor="text1" w:themeTint="BF"/>
    </w:rPr>
  </w:style>
  <w:style w:type="paragraph" w:styleId="ListParagraph">
    <w:name w:val="List Paragraph"/>
    <w:basedOn w:val="Normal"/>
    <w:uiPriority w:val="34"/>
    <w:qFormat/>
    <w:rsid w:val="00B03722"/>
    <w:pPr>
      <w:ind w:left="720"/>
      <w:contextualSpacing/>
    </w:pPr>
  </w:style>
  <w:style w:type="character" w:styleId="IntenseEmphasis">
    <w:name w:val="Intense Emphasis"/>
    <w:basedOn w:val="DefaultParagraphFont"/>
    <w:uiPriority w:val="21"/>
    <w:qFormat/>
    <w:rsid w:val="00B03722"/>
    <w:rPr>
      <w:i/>
      <w:iCs/>
      <w:color w:val="2F5496" w:themeColor="accent1" w:themeShade="BF"/>
    </w:rPr>
  </w:style>
  <w:style w:type="paragraph" w:styleId="IntenseQuote">
    <w:name w:val="Intense Quote"/>
    <w:basedOn w:val="Normal"/>
    <w:next w:val="Normal"/>
    <w:link w:val="IntenseQuoteChar"/>
    <w:uiPriority w:val="30"/>
    <w:qFormat/>
    <w:rsid w:val="00B03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3722"/>
    <w:rPr>
      <w:i/>
      <w:iCs/>
      <w:color w:val="2F5496" w:themeColor="accent1" w:themeShade="BF"/>
    </w:rPr>
  </w:style>
  <w:style w:type="character" w:styleId="IntenseReference">
    <w:name w:val="Intense Reference"/>
    <w:basedOn w:val="DefaultParagraphFont"/>
    <w:uiPriority w:val="32"/>
    <w:qFormat/>
    <w:rsid w:val="00B03722"/>
    <w:rPr>
      <w:b/>
      <w:bCs/>
      <w:smallCaps/>
      <w:color w:val="2F5496" w:themeColor="accent1" w:themeShade="BF"/>
      <w:spacing w:val="5"/>
    </w:rPr>
  </w:style>
  <w:style w:type="paragraph" w:styleId="NormalWeb">
    <w:name w:val="Normal (Web)"/>
    <w:basedOn w:val="Normal"/>
    <w:uiPriority w:val="99"/>
    <w:semiHidden/>
    <w:unhideWhenUsed/>
    <w:rsid w:val="00B03722"/>
    <w:rPr>
      <w:rFonts w:ascii="Times New Roman" w:hAnsi="Times New Roman"/>
      <w:sz w:val="24"/>
      <w:szCs w:val="24"/>
    </w:rPr>
  </w:style>
  <w:style w:type="character" w:styleId="Hyperlink">
    <w:name w:val="Hyperlink"/>
    <w:basedOn w:val="DefaultParagraphFont"/>
    <w:uiPriority w:val="99"/>
    <w:unhideWhenUsed/>
    <w:rsid w:val="00831433"/>
    <w:rPr>
      <w:color w:val="0563C1" w:themeColor="hyperlink"/>
      <w:u w:val="single"/>
    </w:rPr>
  </w:style>
  <w:style w:type="table" w:styleId="TableGrid">
    <w:name w:val="Table Grid"/>
    <w:basedOn w:val="TableNormal"/>
    <w:uiPriority w:val="39"/>
    <w:rsid w:val="001A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2D46"/>
    <w:rPr>
      <w:b/>
      <w:bCs/>
    </w:rPr>
  </w:style>
  <w:style w:type="character" w:customStyle="1" w:styleId="UnresolvedMention1">
    <w:name w:val="Unresolved Mention1"/>
    <w:basedOn w:val="DefaultParagraphFont"/>
    <w:uiPriority w:val="99"/>
    <w:semiHidden/>
    <w:unhideWhenUsed/>
    <w:rsid w:val="00F2577C"/>
    <w:rPr>
      <w:color w:val="605E5C"/>
      <w:shd w:val="clear" w:color="auto" w:fill="E1DFDD"/>
    </w:rPr>
  </w:style>
  <w:style w:type="paragraph" w:styleId="BalloonText">
    <w:name w:val="Balloon Text"/>
    <w:basedOn w:val="Normal"/>
    <w:link w:val="BalloonTextChar"/>
    <w:uiPriority w:val="99"/>
    <w:semiHidden/>
    <w:unhideWhenUsed/>
    <w:rsid w:val="000D4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F26"/>
    <w:rPr>
      <w:rFonts w:ascii="Tahoma" w:hAnsi="Tahoma" w:cs="Tahoma"/>
      <w:sz w:val="16"/>
      <w:szCs w:val="16"/>
    </w:rPr>
  </w:style>
  <w:style w:type="paragraph" w:styleId="Header">
    <w:name w:val="header"/>
    <w:basedOn w:val="Normal"/>
    <w:link w:val="HeaderChar"/>
    <w:uiPriority w:val="99"/>
    <w:unhideWhenUsed/>
    <w:rsid w:val="0032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6BB"/>
  </w:style>
  <w:style w:type="paragraph" w:styleId="Footer">
    <w:name w:val="footer"/>
    <w:basedOn w:val="Normal"/>
    <w:link w:val="FooterChar"/>
    <w:uiPriority w:val="99"/>
    <w:unhideWhenUsed/>
    <w:rsid w:val="0032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image" Target="media/image13.emf"/><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7.emf"/><Relationship Id="rId25" Type="http://schemas.openxmlformats.org/officeDocument/2006/relationships/image" Target="media/image12.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rcsb.or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1.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png"/><Relationship Id="rId28" Type="http://schemas.openxmlformats.org/officeDocument/2006/relationships/hyperlink" Target="https://doi.org/10.1016/j.bioorg.2025.108660" TargetMode="External"/><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s://scfbio-iitd.res.in/software/drugdesign/lipinski.jsp"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9.png"/><Relationship Id="rId27" Type="http://schemas.openxmlformats.org/officeDocument/2006/relationships/oleObject" Target="embeddings/oleObject6.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15</Pages>
  <Words>6204</Words>
  <Characters>35363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acharya</dc:creator>
  <cp:keywords/>
  <dc:description/>
  <cp:lastModifiedBy>SDI 1084</cp:lastModifiedBy>
  <cp:revision>143</cp:revision>
  <dcterms:created xsi:type="dcterms:W3CDTF">2026-01-27T09:19:00Z</dcterms:created>
  <dcterms:modified xsi:type="dcterms:W3CDTF">2026-02-04T07:11:00Z</dcterms:modified>
</cp:coreProperties>
</file>